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F88FA3">
      <w:pPr>
        <w:pStyle w:val="6"/>
        <w:spacing w:line="252" w:lineRule="auto"/>
        <w:rPr>
          <w:rFonts w:hint="eastAsia" w:eastAsia="宋体"/>
          <w:color w:val="auto"/>
          <w:highlight w:val="none"/>
          <w:lang w:eastAsia="zh-CN"/>
        </w:rPr>
      </w:pPr>
    </w:p>
    <w:p w14:paraId="05541211">
      <w:pPr>
        <w:pStyle w:val="6"/>
        <w:spacing w:line="252" w:lineRule="auto"/>
        <w:rPr>
          <w:rFonts w:hint="eastAsia" w:eastAsia="宋体"/>
          <w:color w:val="auto"/>
          <w:highlight w:val="none"/>
          <w:lang w:eastAsia="zh-CN"/>
        </w:rPr>
      </w:pPr>
    </w:p>
    <w:p w14:paraId="060A65B2">
      <w:pPr>
        <w:pStyle w:val="6"/>
        <w:spacing w:line="252" w:lineRule="auto"/>
        <w:rPr>
          <w:rFonts w:hint="eastAsia" w:eastAsia="宋体"/>
          <w:color w:val="auto"/>
          <w:highlight w:val="none"/>
          <w:lang w:eastAsia="zh-CN"/>
        </w:rPr>
      </w:pPr>
      <w:bookmarkStart w:id="1626" w:name="_GoBack"/>
      <w:bookmarkEnd w:id="1626"/>
      <w:r>
        <w:rPr>
          <w:rFonts w:hint="eastAsia" w:eastAsia="宋体"/>
          <w:color w:val="auto"/>
          <w:highlight w:val="none"/>
          <w:lang w:eastAsia="zh-CN"/>
        </w:rPr>
        <w:drawing>
          <wp:inline distT="0" distB="0" distL="114300" distR="114300">
            <wp:extent cx="5470525" cy="7742555"/>
            <wp:effectExtent l="0" t="0" r="15875" b="10795"/>
            <wp:docPr id="1" name="图片 1" descr="南宁市政府采购竞争性磋商文件(工程类)(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南宁市政府采购竞争性磋商文件(工程类)(1)_01"/>
                    <pic:cNvPicPr>
                      <a:picLocks noChangeAspect="1"/>
                    </pic:cNvPicPr>
                  </pic:nvPicPr>
                  <pic:blipFill>
                    <a:blip r:embed="rId90"/>
                    <a:stretch>
                      <a:fillRect/>
                    </a:stretch>
                  </pic:blipFill>
                  <pic:spPr>
                    <a:xfrm>
                      <a:off x="0" y="0"/>
                      <a:ext cx="5470525" cy="7742555"/>
                    </a:xfrm>
                    <a:prstGeom prst="rect">
                      <a:avLst/>
                    </a:prstGeom>
                  </pic:spPr>
                </pic:pic>
              </a:graphicData>
            </a:graphic>
          </wp:inline>
        </w:drawing>
      </w:r>
    </w:p>
    <w:p w14:paraId="157C80CD">
      <w:pPr>
        <w:pStyle w:val="6"/>
        <w:spacing w:line="253" w:lineRule="auto"/>
        <w:rPr>
          <w:color w:val="auto"/>
          <w:highlight w:val="none"/>
        </w:rPr>
      </w:pPr>
    </w:p>
    <w:p w14:paraId="556C5327">
      <w:pPr>
        <w:pStyle w:val="6"/>
        <w:spacing w:line="253" w:lineRule="auto"/>
        <w:rPr>
          <w:color w:val="auto"/>
          <w:highlight w:val="none"/>
        </w:rPr>
      </w:pPr>
    </w:p>
    <w:p w14:paraId="1F22286B">
      <w:pPr>
        <w:pStyle w:val="6"/>
        <w:spacing w:line="474" w:lineRule="auto"/>
        <w:rPr>
          <w:color w:val="auto"/>
          <w:highlight w:val="none"/>
        </w:rPr>
      </w:pPr>
    </w:p>
    <w:p w14:paraId="413F5AC2">
      <w:pPr>
        <w:pStyle w:val="6"/>
        <w:spacing w:line="474" w:lineRule="auto"/>
        <w:rPr>
          <w:color w:val="auto"/>
          <w:highlight w:val="none"/>
        </w:rPr>
      </w:pPr>
    </w:p>
    <w:p w14:paraId="64F5211C">
      <w:pPr>
        <w:pStyle w:val="6"/>
        <w:spacing w:line="474" w:lineRule="auto"/>
        <w:rPr>
          <w:color w:val="auto"/>
          <w:highlight w:val="none"/>
        </w:rPr>
      </w:pPr>
    </w:p>
    <w:p w14:paraId="79A1E79A">
      <w:pPr>
        <w:pStyle w:val="6"/>
        <w:spacing w:line="474" w:lineRule="auto"/>
        <w:rPr>
          <w:color w:val="auto"/>
          <w:highlight w:val="none"/>
        </w:rPr>
      </w:pPr>
    </w:p>
    <w:sdt>
      <w:sdtPr>
        <w:rPr>
          <w:rFonts w:ascii="宋体" w:hAnsi="宋体" w:eastAsia="宋体" w:cs="Arial"/>
          <w:snapToGrid w:val="0"/>
          <w:color w:val="000000"/>
          <w:kern w:val="0"/>
          <w:sz w:val="21"/>
          <w:szCs w:val="21"/>
          <w:highlight w:val="none"/>
          <w:lang w:val="en-US" w:eastAsia="en-US" w:bidi="ar-SA"/>
        </w:rPr>
        <w:id w:val="147475068"/>
        <w15:color w:val="DBDBDB"/>
        <w:docPartObj>
          <w:docPartGallery w:val="Table of Contents"/>
          <w:docPartUnique/>
        </w:docPartObj>
      </w:sdtPr>
      <w:sdtEndPr>
        <w:rPr>
          <w:rFonts w:ascii="Times New Roman" w:hAnsi="Times New Roman" w:eastAsia="Times New Roman" w:cs="Times New Roman"/>
          <w:snapToGrid w:val="0"/>
          <w:color w:val="auto"/>
          <w:kern w:val="0"/>
          <w:sz w:val="21"/>
          <w:szCs w:val="30"/>
          <w:highlight w:val="none"/>
          <w:lang w:val="en-US" w:eastAsia="en-US" w:bidi="ar-SA"/>
        </w:rPr>
      </w:sdtEndPr>
      <w:sdtContent>
        <w:p w14:paraId="35D15B41">
          <w:pPr>
            <w:spacing w:before="0" w:beforeLines="0" w:after="0" w:afterLines="0" w:line="240" w:lineRule="auto"/>
            <w:ind w:left="0" w:leftChars="0" w:right="0" w:rightChars="0" w:firstLine="0" w:firstLineChars="0"/>
            <w:jc w:val="center"/>
            <w:rPr>
              <w:rFonts w:ascii="宋体" w:hAnsi="宋体" w:eastAsia="宋体"/>
              <w:sz w:val="36"/>
              <w:szCs w:val="36"/>
              <w:highlight w:val="none"/>
            </w:rPr>
          </w:pPr>
          <w:r>
            <w:rPr>
              <w:rFonts w:ascii="宋体" w:hAnsi="宋体" w:eastAsia="宋体"/>
              <w:sz w:val="36"/>
              <w:szCs w:val="36"/>
              <w:highlight w:val="none"/>
            </w:rPr>
            <w:t>目</w:t>
          </w:r>
          <w:r>
            <w:rPr>
              <w:rFonts w:hint="eastAsia" w:ascii="宋体" w:hAnsi="宋体" w:eastAsia="宋体"/>
              <w:sz w:val="36"/>
              <w:szCs w:val="36"/>
              <w:highlight w:val="none"/>
              <w:lang w:val="en-US" w:eastAsia="zh-CN"/>
            </w:rPr>
            <w:t xml:space="preserve"> </w:t>
          </w:r>
          <w:r>
            <w:rPr>
              <w:rFonts w:ascii="宋体" w:hAnsi="宋体" w:eastAsia="宋体"/>
              <w:sz w:val="36"/>
              <w:szCs w:val="36"/>
              <w:highlight w:val="none"/>
            </w:rPr>
            <w:t>录</w:t>
          </w:r>
        </w:p>
        <w:p w14:paraId="62A7E754">
          <w:pPr>
            <w:spacing w:before="0" w:beforeLines="0" w:after="0" w:afterLines="0" w:line="240" w:lineRule="auto"/>
            <w:ind w:left="0" w:leftChars="0" w:right="0" w:rightChars="0" w:firstLine="0" w:firstLineChars="0"/>
            <w:jc w:val="center"/>
            <w:rPr>
              <w:rFonts w:ascii="宋体" w:hAnsi="宋体" w:eastAsia="宋体"/>
              <w:sz w:val="36"/>
              <w:szCs w:val="36"/>
              <w:highlight w:val="none"/>
            </w:rPr>
          </w:pPr>
        </w:p>
        <w:p w14:paraId="70EC9DDD">
          <w:pPr>
            <w:pStyle w:val="11"/>
            <w:keepNext w:val="0"/>
            <w:keepLines w:val="0"/>
            <w:pageBreakBefore w:val="0"/>
            <w:widowControl/>
            <w:tabs>
              <w:tab w:val="right" w:leader="dot" w:pos="8959"/>
            </w:tabs>
            <w:kinsoku w:val="0"/>
            <w:wordWrap/>
            <w:overflowPunct/>
            <w:topLinePunct w:val="0"/>
            <w:autoSpaceDE w:val="0"/>
            <w:autoSpaceDN w:val="0"/>
            <w:bidi w:val="0"/>
            <w:adjustRightInd w:val="0"/>
            <w:snapToGrid w:val="0"/>
            <w:spacing w:line="360" w:lineRule="auto"/>
            <w:textAlignment w:val="baseline"/>
            <w:rPr>
              <w:highlight w:val="none"/>
            </w:rPr>
          </w:pPr>
          <w:r>
            <w:rPr>
              <w:rFonts w:ascii="Times New Roman" w:hAnsi="Times New Roman" w:eastAsia="Times New Roman" w:cs="Times New Roman"/>
              <w:color w:val="auto"/>
              <w:sz w:val="30"/>
              <w:szCs w:val="30"/>
              <w:highlight w:val="none"/>
            </w:rPr>
            <w:fldChar w:fldCharType="begin"/>
          </w:r>
          <w:r>
            <w:rPr>
              <w:rFonts w:ascii="Times New Roman" w:hAnsi="Times New Roman" w:eastAsia="Times New Roman" w:cs="Times New Roman"/>
              <w:color w:val="auto"/>
              <w:sz w:val="30"/>
              <w:szCs w:val="30"/>
              <w:highlight w:val="none"/>
            </w:rPr>
            <w:instrText xml:space="preserve">TOC \o "1-3" \h \u </w:instrText>
          </w:r>
          <w:r>
            <w:rPr>
              <w:rFonts w:ascii="Times New Roman" w:hAnsi="Times New Roman" w:eastAsia="Times New Roman" w:cs="Times New Roman"/>
              <w:color w:val="auto"/>
              <w:sz w:val="30"/>
              <w:szCs w:val="30"/>
              <w:highlight w:val="none"/>
            </w:rPr>
            <w:fldChar w:fldCharType="separate"/>
          </w:r>
          <w:r>
            <w:rPr>
              <w:rFonts w:ascii="Times New Roman" w:hAnsi="Times New Roman" w:eastAsia="Times New Roman" w:cs="Times New Roman"/>
              <w:color w:val="auto"/>
              <w:szCs w:val="30"/>
              <w:highlight w:val="none"/>
            </w:rPr>
            <w:fldChar w:fldCharType="begin"/>
          </w:r>
          <w:r>
            <w:rPr>
              <w:rFonts w:ascii="Times New Roman" w:hAnsi="Times New Roman" w:eastAsia="Times New Roman" w:cs="Times New Roman"/>
              <w:szCs w:val="30"/>
              <w:highlight w:val="none"/>
            </w:rPr>
            <w:instrText xml:space="preserve"> HYPERLINK \l _Toc7357 </w:instrText>
          </w:r>
          <w:r>
            <w:rPr>
              <w:rFonts w:ascii="Times New Roman" w:hAnsi="Times New Roman" w:eastAsia="Times New Roman" w:cs="Times New Roman"/>
              <w:szCs w:val="30"/>
              <w:highlight w:val="none"/>
            </w:rPr>
            <w:fldChar w:fldCharType="separate"/>
          </w:r>
          <w:r>
            <w:rPr>
              <w:rFonts w:ascii="宋体" w:hAnsi="宋体" w:eastAsia="宋体" w:cs="宋体"/>
              <w:bCs/>
              <w:spacing w:val="5"/>
              <w:szCs w:val="43"/>
              <w:highlight w:val="none"/>
            </w:rPr>
            <w:t>第一章</w:t>
          </w:r>
          <w:r>
            <w:rPr>
              <w:rFonts w:ascii="宋体" w:hAnsi="宋体" w:eastAsia="宋体" w:cs="宋体"/>
              <w:spacing w:val="5"/>
              <w:szCs w:val="43"/>
              <w:highlight w:val="none"/>
            </w:rPr>
            <w:t xml:space="preserve"> </w:t>
          </w:r>
          <w:r>
            <w:rPr>
              <w:rFonts w:ascii="宋体" w:hAnsi="宋体" w:eastAsia="宋体" w:cs="宋体"/>
              <w:bCs/>
              <w:spacing w:val="5"/>
              <w:szCs w:val="43"/>
              <w:highlight w:val="none"/>
            </w:rPr>
            <w:t>竞争性磋商公告</w:t>
          </w:r>
          <w:r>
            <w:rPr>
              <w:highlight w:val="none"/>
            </w:rPr>
            <w:tab/>
          </w:r>
          <w:r>
            <w:rPr>
              <w:highlight w:val="none"/>
            </w:rPr>
            <w:fldChar w:fldCharType="begin"/>
          </w:r>
          <w:r>
            <w:rPr>
              <w:highlight w:val="none"/>
            </w:rPr>
            <w:instrText xml:space="preserve"> PAGEREF _Toc7357 \h </w:instrText>
          </w:r>
          <w:r>
            <w:rPr>
              <w:highlight w:val="none"/>
            </w:rPr>
            <w:fldChar w:fldCharType="separate"/>
          </w:r>
          <w:r>
            <w:rPr>
              <w:highlight w:val="none"/>
            </w:rPr>
            <w:t>1</w:t>
          </w:r>
          <w:r>
            <w:rPr>
              <w:highlight w:val="none"/>
            </w:rPr>
            <w:fldChar w:fldCharType="end"/>
          </w:r>
          <w:r>
            <w:rPr>
              <w:rFonts w:ascii="Times New Roman" w:hAnsi="Times New Roman" w:eastAsia="Times New Roman" w:cs="Times New Roman"/>
              <w:color w:val="auto"/>
              <w:szCs w:val="30"/>
              <w:highlight w:val="none"/>
            </w:rPr>
            <w:fldChar w:fldCharType="end"/>
          </w:r>
        </w:p>
        <w:p w14:paraId="1DCC77CD">
          <w:pPr>
            <w:pStyle w:val="11"/>
            <w:keepNext w:val="0"/>
            <w:keepLines w:val="0"/>
            <w:pageBreakBefore w:val="0"/>
            <w:widowControl/>
            <w:tabs>
              <w:tab w:val="right" w:leader="dot" w:pos="8959"/>
            </w:tabs>
            <w:kinsoku w:val="0"/>
            <w:wordWrap/>
            <w:overflowPunct/>
            <w:topLinePunct w:val="0"/>
            <w:autoSpaceDE w:val="0"/>
            <w:autoSpaceDN w:val="0"/>
            <w:bidi w:val="0"/>
            <w:adjustRightInd w:val="0"/>
            <w:snapToGrid w:val="0"/>
            <w:spacing w:line="360" w:lineRule="auto"/>
            <w:textAlignment w:val="baseline"/>
            <w:rPr>
              <w:highlight w:val="none"/>
            </w:rPr>
          </w:pPr>
          <w:r>
            <w:rPr>
              <w:rFonts w:ascii="Times New Roman" w:hAnsi="Times New Roman" w:eastAsia="Times New Roman" w:cs="Times New Roman"/>
              <w:color w:val="auto"/>
              <w:szCs w:val="30"/>
              <w:highlight w:val="none"/>
            </w:rPr>
            <w:fldChar w:fldCharType="begin"/>
          </w:r>
          <w:r>
            <w:rPr>
              <w:rFonts w:ascii="Times New Roman" w:hAnsi="Times New Roman" w:eastAsia="Times New Roman" w:cs="Times New Roman"/>
              <w:szCs w:val="30"/>
              <w:highlight w:val="none"/>
            </w:rPr>
            <w:instrText xml:space="preserve"> HYPERLINK \l _Toc25993 </w:instrText>
          </w:r>
          <w:r>
            <w:rPr>
              <w:rFonts w:ascii="Times New Roman" w:hAnsi="Times New Roman" w:eastAsia="Times New Roman" w:cs="Times New Roman"/>
              <w:szCs w:val="30"/>
              <w:highlight w:val="none"/>
            </w:rPr>
            <w:fldChar w:fldCharType="separate"/>
          </w:r>
          <w:r>
            <w:rPr>
              <w:rFonts w:ascii="宋体" w:hAnsi="宋体" w:eastAsia="宋体" w:cs="宋体"/>
              <w:bCs/>
              <w:strike w:val="0"/>
              <w:dstrike w:val="0"/>
              <w:spacing w:val="4"/>
              <w:szCs w:val="43"/>
              <w:highlight w:val="none"/>
            </w:rPr>
            <w:t>第二章</w:t>
          </w:r>
          <w:r>
            <w:rPr>
              <w:rFonts w:ascii="宋体" w:hAnsi="宋体" w:eastAsia="宋体" w:cs="宋体"/>
              <w:strike w:val="0"/>
              <w:dstrike w:val="0"/>
              <w:spacing w:val="4"/>
              <w:szCs w:val="43"/>
              <w:highlight w:val="none"/>
            </w:rPr>
            <w:t xml:space="preserve"> </w:t>
          </w:r>
          <w:r>
            <w:rPr>
              <w:rFonts w:ascii="宋体" w:hAnsi="宋体" w:eastAsia="宋体" w:cs="宋体"/>
              <w:bCs/>
              <w:strike w:val="0"/>
              <w:dstrike w:val="0"/>
              <w:spacing w:val="4"/>
              <w:szCs w:val="43"/>
              <w:highlight w:val="none"/>
            </w:rPr>
            <w:t>采购需求</w:t>
          </w:r>
          <w:r>
            <w:rPr>
              <w:highlight w:val="none"/>
            </w:rPr>
            <w:tab/>
          </w:r>
          <w:r>
            <w:rPr>
              <w:highlight w:val="none"/>
            </w:rPr>
            <w:fldChar w:fldCharType="begin"/>
          </w:r>
          <w:r>
            <w:rPr>
              <w:highlight w:val="none"/>
            </w:rPr>
            <w:instrText xml:space="preserve"> PAGEREF _Toc25993 \h </w:instrText>
          </w:r>
          <w:r>
            <w:rPr>
              <w:highlight w:val="none"/>
            </w:rPr>
            <w:fldChar w:fldCharType="separate"/>
          </w:r>
          <w:r>
            <w:rPr>
              <w:highlight w:val="none"/>
            </w:rPr>
            <w:t>6</w:t>
          </w:r>
          <w:r>
            <w:rPr>
              <w:highlight w:val="none"/>
            </w:rPr>
            <w:fldChar w:fldCharType="end"/>
          </w:r>
          <w:r>
            <w:rPr>
              <w:rFonts w:ascii="Times New Roman" w:hAnsi="Times New Roman" w:eastAsia="Times New Roman" w:cs="Times New Roman"/>
              <w:color w:val="auto"/>
              <w:szCs w:val="30"/>
              <w:highlight w:val="none"/>
            </w:rPr>
            <w:fldChar w:fldCharType="end"/>
          </w:r>
        </w:p>
        <w:p w14:paraId="1CEFFCE3">
          <w:pPr>
            <w:pStyle w:val="11"/>
            <w:keepNext w:val="0"/>
            <w:keepLines w:val="0"/>
            <w:pageBreakBefore w:val="0"/>
            <w:widowControl/>
            <w:tabs>
              <w:tab w:val="right" w:leader="dot" w:pos="8959"/>
            </w:tabs>
            <w:kinsoku w:val="0"/>
            <w:wordWrap/>
            <w:overflowPunct/>
            <w:topLinePunct w:val="0"/>
            <w:autoSpaceDE w:val="0"/>
            <w:autoSpaceDN w:val="0"/>
            <w:bidi w:val="0"/>
            <w:adjustRightInd w:val="0"/>
            <w:snapToGrid w:val="0"/>
            <w:spacing w:line="360" w:lineRule="auto"/>
            <w:textAlignment w:val="baseline"/>
            <w:rPr>
              <w:highlight w:val="none"/>
            </w:rPr>
          </w:pPr>
          <w:r>
            <w:rPr>
              <w:rFonts w:ascii="Times New Roman" w:hAnsi="Times New Roman" w:eastAsia="Times New Roman" w:cs="Times New Roman"/>
              <w:color w:val="auto"/>
              <w:szCs w:val="30"/>
              <w:highlight w:val="none"/>
            </w:rPr>
            <w:fldChar w:fldCharType="begin"/>
          </w:r>
          <w:r>
            <w:rPr>
              <w:rFonts w:ascii="Times New Roman" w:hAnsi="Times New Roman" w:eastAsia="Times New Roman" w:cs="Times New Roman"/>
              <w:szCs w:val="30"/>
              <w:highlight w:val="none"/>
            </w:rPr>
            <w:instrText xml:space="preserve"> HYPERLINK \l _Toc18396 </w:instrText>
          </w:r>
          <w:r>
            <w:rPr>
              <w:rFonts w:ascii="Times New Roman" w:hAnsi="Times New Roman" w:eastAsia="Times New Roman" w:cs="Times New Roman"/>
              <w:szCs w:val="30"/>
              <w:highlight w:val="none"/>
            </w:rPr>
            <w:fldChar w:fldCharType="separate"/>
          </w:r>
          <w:r>
            <w:rPr>
              <w:rFonts w:ascii="宋体" w:hAnsi="宋体" w:eastAsia="宋体" w:cs="宋体"/>
              <w:bCs/>
              <w:spacing w:val="4"/>
              <w:szCs w:val="36"/>
              <w:highlight w:val="none"/>
            </w:rPr>
            <w:t>第三章</w:t>
          </w:r>
          <w:r>
            <w:rPr>
              <w:rFonts w:ascii="宋体" w:hAnsi="宋体" w:eastAsia="宋体" w:cs="宋体"/>
              <w:spacing w:val="4"/>
              <w:szCs w:val="36"/>
              <w:highlight w:val="none"/>
            </w:rPr>
            <w:t xml:space="preserve"> </w:t>
          </w:r>
          <w:r>
            <w:rPr>
              <w:rFonts w:ascii="宋体" w:hAnsi="宋体" w:eastAsia="宋体" w:cs="宋体"/>
              <w:bCs/>
              <w:spacing w:val="4"/>
              <w:szCs w:val="36"/>
              <w:highlight w:val="none"/>
            </w:rPr>
            <w:t>供应商须知</w:t>
          </w:r>
          <w:r>
            <w:rPr>
              <w:highlight w:val="none"/>
            </w:rPr>
            <w:tab/>
          </w:r>
          <w:r>
            <w:rPr>
              <w:highlight w:val="none"/>
            </w:rPr>
            <w:fldChar w:fldCharType="begin"/>
          </w:r>
          <w:r>
            <w:rPr>
              <w:highlight w:val="none"/>
            </w:rPr>
            <w:instrText xml:space="preserve"> PAGEREF _Toc18396 \h </w:instrText>
          </w:r>
          <w:r>
            <w:rPr>
              <w:highlight w:val="none"/>
            </w:rPr>
            <w:fldChar w:fldCharType="separate"/>
          </w:r>
          <w:r>
            <w:rPr>
              <w:highlight w:val="none"/>
            </w:rPr>
            <w:t>13</w:t>
          </w:r>
          <w:r>
            <w:rPr>
              <w:highlight w:val="none"/>
            </w:rPr>
            <w:fldChar w:fldCharType="end"/>
          </w:r>
          <w:r>
            <w:rPr>
              <w:rFonts w:ascii="Times New Roman" w:hAnsi="Times New Roman" w:eastAsia="Times New Roman" w:cs="Times New Roman"/>
              <w:color w:val="auto"/>
              <w:szCs w:val="30"/>
              <w:highlight w:val="none"/>
            </w:rPr>
            <w:fldChar w:fldCharType="end"/>
          </w:r>
        </w:p>
        <w:p w14:paraId="366AA309">
          <w:pPr>
            <w:pStyle w:val="11"/>
            <w:keepNext w:val="0"/>
            <w:keepLines w:val="0"/>
            <w:pageBreakBefore w:val="0"/>
            <w:widowControl/>
            <w:tabs>
              <w:tab w:val="right" w:leader="dot" w:pos="8959"/>
            </w:tabs>
            <w:kinsoku w:val="0"/>
            <w:wordWrap/>
            <w:overflowPunct/>
            <w:topLinePunct w:val="0"/>
            <w:autoSpaceDE w:val="0"/>
            <w:autoSpaceDN w:val="0"/>
            <w:bidi w:val="0"/>
            <w:adjustRightInd w:val="0"/>
            <w:snapToGrid w:val="0"/>
            <w:spacing w:line="360" w:lineRule="auto"/>
            <w:textAlignment w:val="baseline"/>
            <w:rPr>
              <w:highlight w:val="none"/>
            </w:rPr>
          </w:pPr>
          <w:r>
            <w:rPr>
              <w:rFonts w:ascii="Times New Roman" w:hAnsi="Times New Roman" w:eastAsia="Times New Roman" w:cs="Times New Roman"/>
              <w:color w:val="auto"/>
              <w:szCs w:val="30"/>
              <w:highlight w:val="none"/>
            </w:rPr>
            <w:fldChar w:fldCharType="begin"/>
          </w:r>
          <w:r>
            <w:rPr>
              <w:rFonts w:ascii="Times New Roman" w:hAnsi="Times New Roman" w:eastAsia="Times New Roman" w:cs="Times New Roman"/>
              <w:szCs w:val="30"/>
              <w:highlight w:val="none"/>
            </w:rPr>
            <w:instrText xml:space="preserve"> HYPERLINK \l _Toc15533 </w:instrText>
          </w:r>
          <w:r>
            <w:rPr>
              <w:rFonts w:ascii="Times New Roman" w:hAnsi="Times New Roman" w:eastAsia="Times New Roman" w:cs="Times New Roman"/>
              <w:szCs w:val="30"/>
              <w:highlight w:val="none"/>
            </w:rPr>
            <w:fldChar w:fldCharType="separate"/>
          </w:r>
          <w:r>
            <w:rPr>
              <w:rFonts w:ascii="宋体" w:hAnsi="宋体" w:eastAsia="宋体" w:cs="宋体"/>
              <w:bCs/>
              <w:spacing w:val="6"/>
              <w:szCs w:val="43"/>
              <w:highlight w:val="none"/>
            </w:rPr>
            <w:t>第四章</w:t>
          </w:r>
          <w:r>
            <w:rPr>
              <w:rFonts w:ascii="宋体" w:hAnsi="宋体" w:eastAsia="宋体" w:cs="宋体"/>
              <w:spacing w:val="6"/>
              <w:szCs w:val="43"/>
              <w:highlight w:val="none"/>
            </w:rPr>
            <w:t xml:space="preserve"> </w:t>
          </w:r>
          <w:r>
            <w:rPr>
              <w:rFonts w:ascii="宋体" w:hAnsi="宋体" w:eastAsia="宋体" w:cs="宋体"/>
              <w:bCs/>
              <w:spacing w:val="6"/>
              <w:szCs w:val="43"/>
              <w:highlight w:val="none"/>
            </w:rPr>
            <w:t>评审程序、评审方法和评审标准</w:t>
          </w:r>
          <w:r>
            <w:rPr>
              <w:highlight w:val="none"/>
            </w:rPr>
            <w:tab/>
          </w:r>
          <w:r>
            <w:rPr>
              <w:highlight w:val="none"/>
            </w:rPr>
            <w:fldChar w:fldCharType="begin"/>
          </w:r>
          <w:r>
            <w:rPr>
              <w:highlight w:val="none"/>
            </w:rPr>
            <w:instrText xml:space="preserve"> PAGEREF _Toc15533 \h </w:instrText>
          </w:r>
          <w:r>
            <w:rPr>
              <w:highlight w:val="none"/>
            </w:rPr>
            <w:fldChar w:fldCharType="separate"/>
          </w:r>
          <w:r>
            <w:rPr>
              <w:highlight w:val="none"/>
            </w:rPr>
            <w:t>31</w:t>
          </w:r>
          <w:r>
            <w:rPr>
              <w:highlight w:val="none"/>
            </w:rPr>
            <w:fldChar w:fldCharType="end"/>
          </w:r>
          <w:r>
            <w:rPr>
              <w:rFonts w:ascii="Times New Roman" w:hAnsi="Times New Roman" w:eastAsia="Times New Roman" w:cs="Times New Roman"/>
              <w:color w:val="auto"/>
              <w:szCs w:val="30"/>
              <w:highlight w:val="none"/>
            </w:rPr>
            <w:fldChar w:fldCharType="end"/>
          </w:r>
        </w:p>
        <w:p w14:paraId="6502BA25">
          <w:pPr>
            <w:pStyle w:val="11"/>
            <w:keepNext w:val="0"/>
            <w:keepLines w:val="0"/>
            <w:pageBreakBefore w:val="0"/>
            <w:widowControl/>
            <w:tabs>
              <w:tab w:val="right" w:leader="dot" w:pos="8959"/>
            </w:tabs>
            <w:kinsoku w:val="0"/>
            <w:wordWrap/>
            <w:overflowPunct/>
            <w:topLinePunct w:val="0"/>
            <w:autoSpaceDE w:val="0"/>
            <w:autoSpaceDN w:val="0"/>
            <w:bidi w:val="0"/>
            <w:adjustRightInd w:val="0"/>
            <w:snapToGrid w:val="0"/>
            <w:spacing w:line="360" w:lineRule="auto"/>
            <w:textAlignment w:val="baseline"/>
            <w:rPr>
              <w:highlight w:val="none"/>
            </w:rPr>
          </w:pPr>
          <w:r>
            <w:rPr>
              <w:rFonts w:ascii="Times New Roman" w:hAnsi="Times New Roman" w:eastAsia="Times New Roman" w:cs="Times New Roman"/>
              <w:color w:val="auto"/>
              <w:szCs w:val="30"/>
              <w:highlight w:val="none"/>
            </w:rPr>
            <w:fldChar w:fldCharType="begin"/>
          </w:r>
          <w:r>
            <w:rPr>
              <w:rFonts w:ascii="Times New Roman" w:hAnsi="Times New Roman" w:eastAsia="Times New Roman" w:cs="Times New Roman"/>
              <w:szCs w:val="30"/>
              <w:highlight w:val="none"/>
            </w:rPr>
            <w:instrText xml:space="preserve"> HYPERLINK \l _Toc22844 </w:instrText>
          </w:r>
          <w:r>
            <w:rPr>
              <w:rFonts w:ascii="Times New Roman" w:hAnsi="Times New Roman" w:eastAsia="Times New Roman" w:cs="Times New Roman"/>
              <w:szCs w:val="30"/>
              <w:highlight w:val="none"/>
            </w:rPr>
            <w:fldChar w:fldCharType="separate"/>
          </w:r>
          <w:r>
            <w:rPr>
              <w:rFonts w:ascii="宋体" w:hAnsi="宋体" w:eastAsia="宋体" w:cs="宋体"/>
              <w:bCs/>
              <w:szCs w:val="43"/>
              <w:highlight w:val="none"/>
            </w:rPr>
            <w:t>第五章</w:t>
          </w:r>
          <w:r>
            <w:rPr>
              <w:rFonts w:ascii="宋体" w:hAnsi="宋体" w:eastAsia="宋体" w:cs="宋体"/>
              <w:spacing w:val="48"/>
              <w:szCs w:val="43"/>
              <w:highlight w:val="none"/>
            </w:rPr>
            <w:t xml:space="preserve"> </w:t>
          </w:r>
          <w:r>
            <w:rPr>
              <w:rFonts w:ascii="宋体" w:hAnsi="宋体" w:eastAsia="宋体" w:cs="宋体"/>
              <w:bCs/>
              <w:szCs w:val="43"/>
              <w:highlight w:val="none"/>
            </w:rPr>
            <w:t>响应文件格式</w:t>
          </w:r>
          <w:r>
            <w:rPr>
              <w:highlight w:val="none"/>
            </w:rPr>
            <w:tab/>
          </w:r>
          <w:r>
            <w:rPr>
              <w:highlight w:val="none"/>
            </w:rPr>
            <w:fldChar w:fldCharType="begin"/>
          </w:r>
          <w:r>
            <w:rPr>
              <w:highlight w:val="none"/>
            </w:rPr>
            <w:instrText xml:space="preserve"> PAGEREF _Toc22844 \h </w:instrText>
          </w:r>
          <w:r>
            <w:rPr>
              <w:highlight w:val="none"/>
            </w:rPr>
            <w:fldChar w:fldCharType="separate"/>
          </w:r>
          <w:r>
            <w:rPr>
              <w:highlight w:val="none"/>
            </w:rPr>
            <w:t>43</w:t>
          </w:r>
          <w:r>
            <w:rPr>
              <w:highlight w:val="none"/>
            </w:rPr>
            <w:fldChar w:fldCharType="end"/>
          </w:r>
          <w:r>
            <w:rPr>
              <w:rFonts w:ascii="Times New Roman" w:hAnsi="Times New Roman" w:eastAsia="Times New Roman" w:cs="Times New Roman"/>
              <w:color w:val="auto"/>
              <w:szCs w:val="30"/>
              <w:highlight w:val="none"/>
            </w:rPr>
            <w:fldChar w:fldCharType="end"/>
          </w:r>
        </w:p>
        <w:p w14:paraId="10EB5892">
          <w:pPr>
            <w:pStyle w:val="11"/>
            <w:keepNext w:val="0"/>
            <w:keepLines w:val="0"/>
            <w:pageBreakBefore w:val="0"/>
            <w:widowControl/>
            <w:tabs>
              <w:tab w:val="right" w:leader="dot" w:pos="8959"/>
            </w:tabs>
            <w:kinsoku w:val="0"/>
            <w:wordWrap/>
            <w:overflowPunct/>
            <w:topLinePunct w:val="0"/>
            <w:autoSpaceDE w:val="0"/>
            <w:autoSpaceDN w:val="0"/>
            <w:bidi w:val="0"/>
            <w:adjustRightInd w:val="0"/>
            <w:snapToGrid w:val="0"/>
            <w:spacing w:line="360" w:lineRule="auto"/>
            <w:textAlignment w:val="baseline"/>
            <w:rPr>
              <w:highlight w:val="none"/>
            </w:rPr>
          </w:pPr>
          <w:r>
            <w:rPr>
              <w:rFonts w:ascii="Times New Roman" w:hAnsi="Times New Roman" w:eastAsia="Times New Roman" w:cs="Times New Roman"/>
              <w:color w:val="auto"/>
              <w:szCs w:val="30"/>
              <w:highlight w:val="none"/>
            </w:rPr>
            <w:fldChar w:fldCharType="begin"/>
          </w:r>
          <w:r>
            <w:rPr>
              <w:rFonts w:ascii="Times New Roman" w:hAnsi="Times New Roman" w:eastAsia="Times New Roman" w:cs="Times New Roman"/>
              <w:szCs w:val="30"/>
              <w:highlight w:val="none"/>
            </w:rPr>
            <w:instrText xml:space="preserve"> HYPERLINK \l _Toc20678 </w:instrText>
          </w:r>
          <w:r>
            <w:rPr>
              <w:rFonts w:ascii="Times New Roman" w:hAnsi="Times New Roman" w:eastAsia="Times New Roman" w:cs="Times New Roman"/>
              <w:szCs w:val="30"/>
              <w:highlight w:val="none"/>
            </w:rPr>
            <w:fldChar w:fldCharType="separate"/>
          </w:r>
          <w:r>
            <w:rPr>
              <w:rFonts w:ascii="宋体" w:hAnsi="宋体" w:eastAsia="宋体" w:cs="宋体"/>
              <w:bCs/>
              <w:spacing w:val="4"/>
              <w:szCs w:val="43"/>
              <w:highlight w:val="none"/>
            </w:rPr>
            <w:t>第六章</w:t>
          </w:r>
          <w:r>
            <w:rPr>
              <w:rFonts w:ascii="宋体" w:hAnsi="宋体" w:eastAsia="宋体" w:cs="宋体"/>
              <w:spacing w:val="4"/>
              <w:szCs w:val="43"/>
              <w:highlight w:val="none"/>
            </w:rPr>
            <w:t xml:space="preserve"> </w:t>
          </w:r>
          <w:r>
            <w:rPr>
              <w:rFonts w:ascii="宋体" w:hAnsi="宋体" w:eastAsia="宋体" w:cs="宋体"/>
              <w:bCs/>
              <w:spacing w:val="4"/>
              <w:szCs w:val="43"/>
              <w:highlight w:val="none"/>
            </w:rPr>
            <w:t>合同文本</w:t>
          </w:r>
          <w:r>
            <w:rPr>
              <w:highlight w:val="none"/>
            </w:rPr>
            <w:tab/>
          </w:r>
          <w:r>
            <w:rPr>
              <w:highlight w:val="none"/>
            </w:rPr>
            <w:fldChar w:fldCharType="begin"/>
          </w:r>
          <w:r>
            <w:rPr>
              <w:highlight w:val="none"/>
            </w:rPr>
            <w:instrText xml:space="preserve"> PAGEREF _Toc20678 \h </w:instrText>
          </w:r>
          <w:r>
            <w:rPr>
              <w:highlight w:val="none"/>
            </w:rPr>
            <w:fldChar w:fldCharType="separate"/>
          </w:r>
          <w:r>
            <w:rPr>
              <w:highlight w:val="none"/>
            </w:rPr>
            <w:t>82</w:t>
          </w:r>
          <w:r>
            <w:rPr>
              <w:highlight w:val="none"/>
            </w:rPr>
            <w:fldChar w:fldCharType="end"/>
          </w:r>
          <w:r>
            <w:rPr>
              <w:rFonts w:ascii="Times New Roman" w:hAnsi="Times New Roman" w:eastAsia="Times New Roman" w:cs="Times New Roman"/>
              <w:color w:val="auto"/>
              <w:szCs w:val="30"/>
              <w:highlight w:val="none"/>
            </w:rPr>
            <w:fldChar w:fldCharType="end"/>
          </w:r>
        </w:p>
        <w:p w14:paraId="3B1C9F22">
          <w:pPr>
            <w:pStyle w:val="11"/>
            <w:keepNext w:val="0"/>
            <w:keepLines w:val="0"/>
            <w:pageBreakBefore w:val="0"/>
            <w:widowControl/>
            <w:tabs>
              <w:tab w:val="right" w:leader="dot" w:pos="8959"/>
            </w:tabs>
            <w:kinsoku w:val="0"/>
            <w:wordWrap/>
            <w:overflowPunct/>
            <w:topLinePunct w:val="0"/>
            <w:autoSpaceDE w:val="0"/>
            <w:autoSpaceDN w:val="0"/>
            <w:bidi w:val="0"/>
            <w:adjustRightInd w:val="0"/>
            <w:snapToGrid w:val="0"/>
            <w:spacing w:line="360" w:lineRule="auto"/>
            <w:textAlignment w:val="baseline"/>
            <w:rPr>
              <w:highlight w:val="none"/>
            </w:rPr>
          </w:pPr>
          <w:r>
            <w:rPr>
              <w:rFonts w:ascii="Times New Roman" w:hAnsi="Times New Roman" w:eastAsia="Times New Roman" w:cs="Times New Roman"/>
              <w:color w:val="auto"/>
              <w:szCs w:val="30"/>
              <w:highlight w:val="none"/>
            </w:rPr>
            <w:fldChar w:fldCharType="begin"/>
          </w:r>
          <w:r>
            <w:rPr>
              <w:rFonts w:ascii="Times New Roman" w:hAnsi="Times New Roman" w:eastAsia="Times New Roman" w:cs="Times New Roman"/>
              <w:szCs w:val="30"/>
              <w:highlight w:val="none"/>
            </w:rPr>
            <w:instrText xml:space="preserve"> HYPERLINK \l _Toc29065 </w:instrText>
          </w:r>
          <w:r>
            <w:rPr>
              <w:rFonts w:ascii="Times New Roman" w:hAnsi="Times New Roman" w:eastAsia="Times New Roman" w:cs="Times New Roman"/>
              <w:szCs w:val="30"/>
              <w:highlight w:val="none"/>
            </w:rPr>
            <w:fldChar w:fldCharType="separate"/>
          </w:r>
          <w:r>
            <w:rPr>
              <w:rFonts w:ascii="宋体" w:hAnsi="宋体" w:eastAsia="宋体" w:cs="宋体"/>
              <w:bCs/>
              <w:spacing w:val="5"/>
              <w:szCs w:val="43"/>
              <w:highlight w:val="none"/>
            </w:rPr>
            <w:t>第七章</w:t>
          </w:r>
          <w:r>
            <w:rPr>
              <w:rFonts w:ascii="宋体" w:hAnsi="宋体" w:eastAsia="宋体" w:cs="宋体"/>
              <w:spacing w:val="5"/>
              <w:szCs w:val="43"/>
              <w:highlight w:val="none"/>
            </w:rPr>
            <w:t xml:space="preserve"> </w:t>
          </w:r>
          <w:r>
            <w:rPr>
              <w:rFonts w:ascii="宋体" w:hAnsi="宋体" w:eastAsia="宋体" w:cs="宋体"/>
              <w:bCs/>
              <w:spacing w:val="5"/>
              <w:szCs w:val="43"/>
              <w:highlight w:val="none"/>
            </w:rPr>
            <w:t>工程量清单</w:t>
          </w:r>
          <w:r>
            <w:rPr>
              <w:highlight w:val="none"/>
            </w:rPr>
            <w:tab/>
          </w:r>
          <w:r>
            <w:rPr>
              <w:highlight w:val="none"/>
            </w:rPr>
            <w:fldChar w:fldCharType="begin"/>
          </w:r>
          <w:r>
            <w:rPr>
              <w:highlight w:val="none"/>
            </w:rPr>
            <w:instrText xml:space="preserve"> PAGEREF _Toc29065 \h </w:instrText>
          </w:r>
          <w:r>
            <w:rPr>
              <w:highlight w:val="none"/>
            </w:rPr>
            <w:fldChar w:fldCharType="separate"/>
          </w:r>
          <w:r>
            <w:rPr>
              <w:highlight w:val="none"/>
            </w:rPr>
            <w:t>183</w:t>
          </w:r>
          <w:r>
            <w:rPr>
              <w:highlight w:val="none"/>
            </w:rPr>
            <w:fldChar w:fldCharType="end"/>
          </w:r>
          <w:r>
            <w:rPr>
              <w:rFonts w:ascii="Times New Roman" w:hAnsi="Times New Roman" w:eastAsia="Times New Roman" w:cs="Times New Roman"/>
              <w:color w:val="auto"/>
              <w:szCs w:val="30"/>
              <w:highlight w:val="none"/>
            </w:rPr>
            <w:fldChar w:fldCharType="end"/>
          </w:r>
        </w:p>
        <w:p w14:paraId="3BD1BB93">
          <w:pPr>
            <w:pStyle w:val="11"/>
            <w:keepNext w:val="0"/>
            <w:keepLines w:val="0"/>
            <w:pageBreakBefore w:val="0"/>
            <w:widowControl/>
            <w:tabs>
              <w:tab w:val="right" w:leader="dot" w:pos="8959"/>
            </w:tabs>
            <w:kinsoku w:val="0"/>
            <w:wordWrap/>
            <w:overflowPunct/>
            <w:topLinePunct w:val="0"/>
            <w:autoSpaceDE w:val="0"/>
            <w:autoSpaceDN w:val="0"/>
            <w:bidi w:val="0"/>
            <w:adjustRightInd w:val="0"/>
            <w:snapToGrid w:val="0"/>
            <w:spacing w:line="360" w:lineRule="auto"/>
            <w:textAlignment w:val="baseline"/>
            <w:rPr>
              <w:highlight w:val="none"/>
            </w:rPr>
          </w:pPr>
          <w:r>
            <w:rPr>
              <w:rFonts w:ascii="Times New Roman" w:hAnsi="Times New Roman" w:eastAsia="Times New Roman" w:cs="Times New Roman"/>
              <w:color w:val="auto"/>
              <w:szCs w:val="30"/>
              <w:highlight w:val="none"/>
            </w:rPr>
            <w:fldChar w:fldCharType="begin"/>
          </w:r>
          <w:r>
            <w:rPr>
              <w:rFonts w:ascii="Times New Roman" w:hAnsi="Times New Roman" w:eastAsia="Times New Roman" w:cs="Times New Roman"/>
              <w:szCs w:val="30"/>
              <w:highlight w:val="none"/>
            </w:rPr>
            <w:instrText xml:space="preserve"> HYPERLINK \l _Toc28120 </w:instrText>
          </w:r>
          <w:r>
            <w:rPr>
              <w:rFonts w:ascii="Times New Roman" w:hAnsi="Times New Roman" w:eastAsia="Times New Roman" w:cs="Times New Roman"/>
              <w:szCs w:val="30"/>
              <w:highlight w:val="none"/>
            </w:rPr>
            <w:fldChar w:fldCharType="separate"/>
          </w:r>
          <w:r>
            <w:rPr>
              <w:rFonts w:ascii="宋体" w:hAnsi="宋体" w:eastAsia="宋体" w:cs="宋体"/>
              <w:bCs/>
              <w:spacing w:val="-4"/>
              <w:szCs w:val="43"/>
              <w:highlight w:val="none"/>
            </w:rPr>
            <w:t>第八章</w:t>
          </w:r>
          <w:r>
            <w:rPr>
              <w:rFonts w:ascii="宋体" w:hAnsi="宋体" w:eastAsia="宋体" w:cs="宋体"/>
              <w:spacing w:val="39"/>
              <w:szCs w:val="43"/>
              <w:highlight w:val="none"/>
            </w:rPr>
            <w:t xml:space="preserve"> </w:t>
          </w:r>
          <w:r>
            <w:rPr>
              <w:rFonts w:ascii="宋体" w:hAnsi="宋体" w:eastAsia="宋体" w:cs="宋体"/>
              <w:bCs/>
              <w:spacing w:val="-4"/>
              <w:szCs w:val="43"/>
              <w:highlight w:val="none"/>
            </w:rPr>
            <w:t>图纸（另册）</w:t>
          </w:r>
          <w:r>
            <w:rPr>
              <w:highlight w:val="none"/>
            </w:rPr>
            <w:tab/>
          </w:r>
          <w:r>
            <w:rPr>
              <w:highlight w:val="none"/>
            </w:rPr>
            <w:fldChar w:fldCharType="begin"/>
          </w:r>
          <w:r>
            <w:rPr>
              <w:highlight w:val="none"/>
            </w:rPr>
            <w:instrText xml:space="preserve"> PAGEREF _Toc28120 \h </w:instrText>
          </w:r>
          <w:r>
            <w:rPr>
              <w:highlight w:val="none"/>
            </w:rPr>
            <w:fldChar w:fldCharType="separate"/>
          </w:r>
          <w:r>
            <w:rPr>
              <w:highlight w:val="none"/>
            </w:rPr>
            <w:t>184</w:t>
          </w:r>
          <w:r>
            <w:rPr>
              <w:highlight w:val="none"/>
            </w:rPr>
            <w:fldChar w:fldCharType="end"/>
          </w:r>
          <w:r>
            <w:rPr>
              <w:rFonts w:ascii="Times New Roman" w:hAnsi="Times New Roman" w:eastAsia="Times New Roman" w:cs="Times New Roman"/>
              <w:color w:val="auto"/>
              <w:szCs w:val="30"/>
              <w:highlight w:val="none"/>
            </w:rPr>
            <w:fldChar w:fldCharType="end"/>
          </w:r>
        </w:p>
        <w:p w14:paraId="638E0133">
          <w:pPr>
            <w:pStyle w:val="11"/>
            <w:keepNext w:val="0"/>
            <w:keepLines w:val="0"/>
            <w:pageBreakBefore w:val="0"/>
            <w:widowControl/>
            <w:tabs>
              <w:tab w:val="right" w:leader="dot" w:pos="8959"/>
            </w:tabs>
            <w:kinsoku w:val="0"/>
            <w:wordWrap/>
            <w:overflowPunct/>
            <w:topLinePunct w:val="0"/>
            <w:autoSpaceDE w:val="0"/>
            <w:autoSpaceDN w:val="0"/>
            <w:bidi w:val="0"/>
            <w:adjustRightInd w:val="0"/>
            <w:snapToGrid w:val="0"/>
            <w:spacing w:line="360" w:lineRule="auto"/>
            <w:textAlignment w:val="baseline"/>
            <w:rPr>
              <w:highlight w:val="none"/>
            </w:rPr>
          </w:pPr>
          <w:r>
            <w:rPr>
              <w:rFonts w:ascii="Times New Roman" w:hAnsi="Times New Roman" w:eastAsia="Times New Roman" w:cs="Times New Roman"/>
              <w:color w:val="auto"/>
              <w:szCs w:val="30"/>
              <w:highlight w:val="none"/>
            </w:rPr>
            <w:fldChar w:fldCharType="begin"/>
          </w:r>
          <w:r>
            <w:rPr>
              <w:rFonts w:ascii="Times New Roman" w:hAnsi="Times New Roman" w:eastAsia="Times New Roman" w:cs="Times New Roman"/>
              <w:szCs w:val="30"/>
              <w:highlight w:val="none"/>
            </w:rPr>
            <w:instrText xml:space="preserve"> HYPERLINK \l _Toc21033 </w:instrText>
          </w:r>
          <w:r>
            <w:rPr>
              <w:rFonts w:ascii="Times New Roman" w:hAnsi="Times New Roman" w:eastAsia="Times New Roman" w:cs="Times New Roman"/>
              <w:szCs w:val="30"/>
              <w:highlight w:val="none"/>
            </w:rPr>
            <w:fldChar w:fldCharType="separate"/>
          </w:r>
          <w:r>
            <w:rPr>
              <w:rFonts w:ascii="宋体" w:hAnsi="宋体" w:eastAsia="宋体" w:cs="宋体"/>
              <w:bCs/>
              <w:spacing w:val="5"/>
              <w:szCs w:val="43"/>
              <w:highlight w:val="none"/>
            </w:rPr>
            <w:t>第九章</w:t>
          </w:r>
          <w:r>
            <w:rPr>
              <w:rFonts w:ascii="宋体" w:hAnsi="宋体" w:eastAsia="宋体" w:cs="宋体"/>
              <w:spacing w:val="5"/>
              <w:szCs w:val="43"/>
              <w:highlight w:val="none"/>
            </w:rPr>
            <w:t xml:space="preserve"> </w:t>
          </w:r>
          <w:r>
            <w:rPr>
              <w:rFonts w:ascii="宋体" w:hAnsi="宋体" w:eastAsia="宋体" w:cs="宋体"/>
              <w:bCs/>
              <w:spacing w:val="5"/>
              <w:szCs w:val="43"/>
              <w:highlight w:val="none"/>
            </w:rPr>
            <w:t>质疑、投诉材料格式</w:t>
          </w:r>
          <w:r>
            <w:rPr>
              <w:highlight w:val="none"/>
            </w:rPr>
            <w:tab/>
          </w:r>
          <w:r>
            <w:rPr>
              <w:highlight w:val="none"/>
            </w:rPr>
            <w:fldChar w:fldCharType="begin"/>
          </w:r>
          <w:r>
            <w:rPr>
              <w:highlight w:val="none"/>
            </w:rPr>
            <w:instrText xml:space="preserve"> PAGEREF _Toc21033 \h </w:instrText>
          </w:r>
          <w:r>
            <w:rPr>
              <w:highlight w:val="none"/>
            </w:rPr>
            <w:fldChar w:fldCharType="separate"/>
          </w:r>
          <w:r>
            <w:rPr>
              <w:highlight w:val="none"/>
            </w:rPr>
            <w:t>185</w:t>
          </w:r>
          <w:r>
            <w:rPr>
              <w:highlight w:val="none"/>
            </w:rPr>
            <w:fldChar w:fldCharType="end"/>
          </w:r>
          <w:r>
            <w:rPr>
              <w:rFonts w:ascii="Times New Roman" w:hAnsi="Times New Roman" w:eastAsia="Times New Roman" w:cs="Times New Roman"/>
              <w:color w:val="auto"/>
              <w:szCs w:val="30"/>
              <w:highlight w:val="none"/>
            </w:rPr>
            <w:fldChar w:fldCharType="end"/>
          </w:r>
        </w:p>
        <w:p w14:paraId="766CDD7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eastAsia="Times New Roman" w:cs="Times New Roman"/>
              <w:snapToGrid w:val="0"/>
              <w:color w:val="auto"/>
              <w:kern w:val="0"/>
              <w:sz w:val="21"/>
              <w:szCs w:val="30"/>
              <w:highlight w:val="none"/>
              <w:lang w:val="en-US" w:eastAsia="en-US" w:bidi="ar-SA"/>
            </w:rPr>
          </w:pPr>
          <w:r>
            <w:rPr>
              <w:rFonts w:ascii="Times New Roman" w:hAnsi="Times New Roman" w:eastAsia="Times New Roman" w:cs="Times New Roman"/>
              <w:color w:val="auto"/>
              <w:szCs w:val="30"/>
              <w:highlight w:val="none"/>
            </w:rPr>
            <w:fldChar w:fldCharType="end"/>
          </w:r>
        </w:p>
      </w:sdtContent>
    </w:sdt>
    <w:p w14:paraId="4F352B9D">
      <w:pPr>
        <w:spacing w:line="449" w:lineRule="exact"/>
        <w:rPr>
          <w:rFonts w:ascii="Times New Roman" w:hAnsi="Times New Roman" w:eastAsia="Times New Roman" w:cs="Times New Roman"/>
          <w:snapToGrid w:val="0"/>
          <w:color w:val="auto"/>
          <w:kern w:val="0"/>
          <w:sz w:val="21"/>
          <w:szCs w:val="30"/>
          <w:highlight w:val="none"/>
          <w:lang w:val="en-US" w:eastAsia="en-US" w:bidi="ar-SA"/>
        </w:rPr>
        <w:sectPr>
          <w:headerReference r:id="rId5" w:type="default"/>
          <w:footerReference r:id="rId6" w:type="default"/>
          <w:pgSz w:w="11905" w:h="16839"/>
          <w:pgMar w:top="960" w:right="1473" w:bottom="1055" w:left="1473" w:header="945" w:footer="819" w:gutter="0"/>
          <w:cols w:space="720" w:num="1"/>
        </w:sectPr>
      </w:pPr>
    </w:p>
    <w:p w14:paraId="3C773F9F">
      <w:pPr>
        <w:pStyle w:val="6"/>
        <w:spacing w:line="277" w:lineRule="auto"/>
        <w:rPr>
          <w:strike/>
          <w:dstrike w:val="0"/>
          <w:color w:val="auto"/>
          <w:highlight w:val="none"/>
        </w:rPr>
      </w:pPr>
    </w:p>
    <w:p w14:paraId="6941F0FC">
      <w:pPr>
        <w:pStyle w:val="6"/>
        <w:spacing w:line="278" w:lineRule="auto"/>
        <w:rPr>
          <w:strike/>
          <w:dstrike w:val="0"/>
          <w:color w:val="auto"/>
          <w:highlight w:val="none"/>
        </w:rPr>
      </w:pPr>
    </w:p>
    <w:p w14:paraId="0F8D9040">
      <w:pPr>
        <w:spacing w:before="140" w:line="223" w:lineRule="auto"/>
        <w:ind w:left="2289"/>
        <w:outlineLvl w:val="0"/>
        <w:rPr>
          <w:rFonts w:ascii="宋体" w:hAnsi="宋体" w:eastAsia="宋体" w:cs="宋体"/>
          <w:color w:val="auto"/>
          <w:sz w:val="43"/>
          <w:szCs w:val="43"/>
          <w:highlight w:val="none"/>
        </w:rPr>
      </w:pPr>
      <w:bookmarkStart w:id="0" w:name="bookmark1"/>
      <w:bookmarkEnd w:id="0"/>
      <w:bookmarkStart w:id="1" w:name="_Toc7357"/>
      <w:r>
        <w:rPr>
          <w:rFonts w:ascii="宋体" w:hAnsi="宋体" w:eastAsia="宋体" w:cs="宋体"/>
          <w:b/>
          <w:bCs/>
          <w:color w:val="auto"/>
          <w:spacing w:val="5"/>
          <w:sz w:val="43"/>
          <w:szCs w:val="43"/>
          <w:highlight w:val="none"/>
        </w:rPr>
        <w:t>第一章</w:t>
      </w:r>
      <w:r>
        <w:rPr>
          <w:rFonts w:ascii="宋体" w:hAnsi="宋体" w:eastAsia="宋体" w:cs="宋体"/>
          <w:color w:val="auto"/>
          <w:spacing w:val="5"/>
          <w:sz w:val="43"/>
          <w:szCs w:val="43"/>
          <w:highlight w:val="none"/>
        </w:rPr>
        <w:t xml:space="preserve"> </w:t>
      </w:r>
      <w:r>
        <w:rPr>
          <w:rFonts w:ascii="宋体" w:hAnsi="宋体" w:eastAsia="宋体" w:cs="宋体"/>
          <w:b/>
          <w:bCs/>
          <w:color w:val="auto"/>
          <w:spacing w:val="5"/>
          <w:sz w:val="43"/>
          <w:szCs w:val="43"/>
          <w:highlight w:val="none"/>
        </w:rPr>
        <w:t>竞争性磋商公告</w:t>
      </w:r>
      <w:bookmarkEnd w:id="1"/>
    </w:p>
    <w:tbl>
      <w:tblPr>
        <w:tblStyle w:val="19"/>
        <w:tblW w:w="9863"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63"/>
      </w:tblGrid>
      <w:tr w14:paraId="3127E98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609" w:hRule="atLeast"/>
          <w:jc w:val="center"/>
        </w:trPr>
        <w:tc>
          <w:tcPr>
            <w:tcW w:w="9863" w:type="dxa"/>
            <w:vAlign w:val="top"/>
          </w:tcPr>
          <w:p w14:paraId="02A19971">
            <w:pPr>
              <w:pStyle w:val="20"/>
              <w:spacing w:before="146" w:line="228" w:lineRule="auto"/>
              <w:ind w:left="538"/>
              <w:rPr>
                <w:color w:val="auto"/>
                <w:highlight w:val="none"/>
              </w:rPr>
            </w:pPr>
            <w:r>
              <w:rPr>
                <w:color w:val="auto"/>
                <w:spacing w:val="6"/>
                <w:highlight w:val="none"/>
              </w:rPr>
              <w:t>项目概况</w:t>
            </w:r>
          </w:p>
          <w:p w14:paraId="7F5530B1">
            <w:pPr>
              <w:pStyle w:val="20"/>
              <w:tabs>
                <w:tab w:val="left" w:pos="225"/>
              </w:tabs>
              <w:spacing w:before="152" w:line="324" w:lineRule="auto"/>
              <w:ind w:left="106" w:right="107" w:firstLine="427"/>
              <w:jc w:val="both"/>
              <w:rPr>
                <w:color w:val="auto"/>
                <w:highlight w:val="none"/>
              </w:rPr>
            </w:pPr>
            <w:r>
              <w:rPr>
                <w:rFonts w:hint="eastAsia"/>
                <w:color w:val="auto"/>
                <w:highlight w:val="none"/>
                <w:u w:val="single" w:color="auto"/>
                <w:lang w:eastAsia="zh-CN"/>
              </w:rPr>
              <w:t>横州市石塘镇芦村村委小学运动场地提升项目</w:t>
            </w:r>
            <w:r>
              <w:rPr>
                <w:color w:val="auto"/>
                <w:spacing w:val="-60"/>
                <w:highlight w:val="none"/>
                <w:u w:val="single" w:color="auto"/>
              </w:rPr>
              <w:t xml:space="preserve"> </w:t>
            </w:r>
            <w:r>
              <w:rPr>
                <w:color w:val="auto"/>
                <w:spacing w:val="-74"/>
                <w:highlight w:val="none"/>
              </w:rPr>
              <w:t xml:space="preserve"> </w:t>
            </w:r>
            <w:r>
              <w:rPr>
                <w:color w:val="auto"/>
                <w:highlight w:val="none"/>
              </w:rPr>
              <w:t>的</w:t>
            </w:r>
            <w:r>
              <w:rPr>
                <w:color w:val="auto"/>
                <w:spacing w:val="-52"/>
                <w:highlight w:val="none"/>
              </w:rPr>
              <w:t xml:space="preserve"> </w:t>
            </w:r>
            <w:r>
              <w:rPr>
                <w:color w:val="auto"/>
                <w:highlight w:val="none"/>
              </w:rPr>
              <w:t>潜</w:t>
            </w:r>
            <w:r>
              <w:rPr>
                <w:color w:val="auto"/>
                <w:spacing w:val="-50"/>
                <w:highlight w:val="none"/>
              </w:rPr>
              <w:t xml:space="preserve"> </w:t>
            </w:r>
            <w:r>
              <w:rPr>
                <w:color w:val="auto"/>
                <w:highlight w:val="none"/>
              </w:rPr>
              <w:t>在</w:t>
            </w:r>
            <w:r>
              <w:rPr>
                <w:color w:val="auto"/>
                <w:spacing w:val="-51"/>
                <w:highlight w:val="none"/>
              </w:rPr>
              <w:t xml:space="preserve"> </w:t>
            </w:r>
            <w:r>
              <w:rPr>
                <w:color w:val="auto"/>
                <w:highlight w:val="none"/>
              </w:rPr>
              <w:t>供</w:t>
            </w:r>
            <w:r>
              <w:rPr>
                <w:color w:val="auto"/>
                <w:spacing w:val="-52"/>
                <w:highlight w:val="none"/>
              </w:rPr>
              <w:t xml:space="preserve"> </w:t>
            </w:r>
            <w:r>
              <w:rPr>
                <w:color w:val="auto"/>
                <w:highlight w:val="none"/>
              </w:rPr>
              <w:t>应</w:t>
            </w:r>
            <w:r>
              <w:rPr>
                <w:color w:val="auto"/>
                <w:spacing w:val="-44"/>
                <w:highlight w:val="none"/>
              </w:rPr>
              <w:t xml:space="preserve"> </w:t>
            </w:r>
            <w:r>
              <w:rPr>
                <w:color w:val="auto"/>
                <w:highlight w:val="none"/>
              </w:rPr>
              <w:t>商</w:t>
            </w:r>
            <w:r>
              <w:rPr>
                <w:color w:val="auto"/>
                <w:spacing w:val="-51"/>
                <w:highlight w:val="none"/>
              </w:rPr>
              <w:t xml:space="preserve"> </w:t>
            </w:r>
            <w:r>
              <w:rPr>
                <w:color w:val="auto"/>
                <w:highlight w:val="none"/>
              </w:rPr>
              <w:t>应</w:t>
            </w:r>
            <w:r>
              <w:rPr>
                <w:color w:val="auto"/>
                <w:spacing w:val="-53"/>
                <w:highlight w:val="none"/>
              </w:rPr>
              <w:t xml:space="preserve"> </w:t>
            </w:r>
            <w:r>
              <w:rPr>
                <w:color w:val="auto"/>
                <w:highlight w:val="none"/>
              </w:rPr>
              <w:t>在</w:t>
            </w:r>
            <w:r>
              <w:rPr>
                <w:color w:val="auto"/>
                <w:highlight w:val="none"/>
                <w:u w:val="single" w:color="auto"/>
              </w:rPr>
              <w:t>广</w:t>
            </w:r>
            <w:r>
              <w:rPr>
                <w:color w:val="auto"/>
                <w:spacing w:val="-46"/>
                <w:highlight w:val="none"/>
                <w:u w:val="single" w:color="auto"/>
              </w:rPr>
              <w:t xml:space="preserve"> </w:t>
            </w:r>
            <w:r>
              <w:rPr>
                <w:color w:val="auto"/>
                <w:highlight w:val="none"/>
                <w:u w:val="single" w:color="auto"/>
              </w:rPr>
              <w:t>西</w:t>
            </w:r>
            <w:r>
              <w:rPr>
                <w:color w:val="auto"/>
                <w:spacing w:val="-49"/>
                <w:highlight w:val="none"/>
                <w:u w:val="single" w:color="auto"/>
              </w:rPr>
              <w:t xml:space="preserve"> </w:t>
            </w:r>
            <w:r>
              <w:rPr>
                <w:color w:val="auto"/>
                <w:highlight w:val="none"/>
                <w:u w:val="single" w:color="auto"/>
              </w:rPr>
              <w:t>政</w:t>
            </w:r>
            <w:r>
              <w:rPr>
                <w:color w:val="auto"/>
                <w:spacing w:val="-53"/>
                <w:highlight w:val="none"/>
                <w:u w:val="single" w:color="auto"/>
              </w:rPr>
              <w:t xml:space="preserve"> </w:t>
            </w:r>
            <w:r>
              <w:rPr>
                <w:color w:val="auto"/>
                <w:highlight w:val="none"/>
                <w:u w:val="single" w:color="auto"/>
              </w:rPr>
              <w:t>府</w:t>
            </w:r>
            <w:r>
              <w:rPr>
                <w:color w:val="auto"/>
                <w:spacing w:val="-52"/>
                <w:highlight w:val="none"/>
                <w:u w:val="single" w:color="auto"/>
              </w:rPr>
              <w:t xml:space="preserve"> </w:t>
            </w:r>
            <w:r>
              <w:rPr>
                <w:color w:val="auto"/>
                <w:highlight w:val="none"/>
                <w:u w:val="single" w:color="auto"/>
              </w:rPr>
              <w:t>采</w:t>
            </w:r>
            <w:r>
              <w:rPr>
                <w:color w:val="auto"/>
                <w:spacing w:val="-50"/>
                <w:highlight w:val="none"/>
                <w:u w:val="single" w:color="auto"/>
              </w:rPr>
              <w:t xml:space="preserve"> </w:t>
            </w:r>
            <w:r>
              <w:rPr>
                <w:color w:val="auto"/>
                <w:highlight w:val="none"/>
                <w:u w:val="single" w:color="auto"/>
              </w:rPr>
              <w:t>购</w:t>
            </w:r>
            <w:r>
              <w:rPr>
                <w:color w:val="auto"/>
                <w:spacing w:val="-46"/>
                <w:highlight w:val="none"/>
                <w:u w:val="single" w:color="auto"/>
              </w:rPr>
              <w:t xml:space="preserve"> </w:t>
            </w:r>
            <w:r>
              <w:rPr>
                <w:color w:val="auto"/>
                <w:highlight w:val="none"/>
                <w:u w:val="single" w:color="auto"/>
              </w:rPr>
              <w:t>云</w:t>
            </w:r>
            <w:r>
              <w:rPr>
                <w:color w:val="auto"/>
                <w:spacing w:val="-52"/>
                <w:highlight w:val="none"/>
                <w:u w:val="single" w:color="auto"/>
              </w:rPr>
              <w:t xml:space="preserve"> </w:t>
            </w:r>
            <w:r>
              <w:rPr>
                <w:color w:val="auto"/>
                <w:highlight w:val="none"/>
                <w:u w:val="single" w:color="auto"/>
              </w:rPr>
              <w:t>平</w:t>
            </w:r>
            <w:r>
              <w:rPr>
                <w:color w:val="auto"/>
                <w:spacing w:val="-32"/>
                <w:highlight w:val="none"/>
                <w:u w:val="single" w:color="auto"/>
              </w:rPr>
              <w:t xml:space="preserve"> </w:t>
            </w:r>
            <w:r>
              <w:rPr>
                <w:color w:val="auto"/>
                <w:highlight w:val="none"/>
                <w:u w:val="single" w:color="auto"/>
              </w:rPr>
              <w:t>台</w:t>
            </w:r>
            <w:r>
              <w:rPr>
                <w:color w:val="auto"/>
                <w:spacing w:val="2"/>
                <w:highlight w:val="none"/>
                <w:u w:val="single" w:color="auto"/>
              </w:rPr>
              <w:t>（</w:t>
            </w:r>
            <w:r>
              <w:rPr>
                <w:color w:val="auto"/>
                <w:highlight w:val="none"/>
              </w:rPr>
              <w:fldChar w:fldCharType="begin"/>
            </w:r>
            <w:r>
              <w:rPr>
                <w:color w:val="auto"/>
                <w:highlight w:val="none"/>
              </w:rPr>
              <w:instrText xml:space="preserve"> HYPERLINK "https://www.gcy.zfcg.gxzf.gov.cn/" </w:instrText>
            </w:r>
            <w:r>
              <w:rPr>
                <w:color w:val="auto"/>
                <w:highlight w:val="none"/>
              </w:rPr>
              <w:fldChar w:fldCharType="separate"/>
            </w:r>
            <w:r>
              <w:rPr>
                <w:color w:val="auto"/>
                <w:highlight w:val="none"/>
                <w:u w:val="single" w:color="auto"/>
              </w:rPr>
              <w:t>https</w:t>
            </w:r>
            <w:r>
              <w:rPr>
                <w:color w:val="auto"/>
                <w:spacing w:val="2"/>
                <w:highlight w:val="none"/>
                <w:u w:val="single" w:color="auto"/>
              </w:rPr>
              <w:t>://</w:t>
            </w:r>
            <w:r>
              <w:rPr>
                <w:color w:val="auto"/>
                <w:highlight w:val="none"/>
                <w:u w:val="single" w:color="auto"/>
              </w:rPr>
              <w:t>www</w:t>
            </w:r>
            <w:r>
              <w:rPr>
                <w:color w:val="auto"/>
                <w:spacing w:val="2"/>
                <w:highlight w:val="none"/>
                <w:u w:val="single" w:color="auto"/>
              </w:rPr>
              <w:t>.</w:t>
            </w:r>
            <w:r>
              <w:rPr>
                <w:color w:val="auto"/>
                <w:highlight w:val="none"/>
                <w:u w:val="single" w:color="auto"/>
              </w:rPr>
              <w:t>gcy</w:t>
            </w:r>
            <w:r>
              <w:rPr>
                <w:color w:val="auto"/>
                <w:spacing w:val="2"/>
                <w:highlight w:val="none"/>
                <w:u w:val="single" w:color="auto"/>
              </w:rPr>
              <w:t>.</w:t>
            </w:r>
            <w:r>
              <w:rPr>
                <w:color w:val="auto"/>
                <w:highlight w:val="none"/>
                <w:u w:val="single" w:color="auto"/>
              </w:rPr>
              <w:t>zfcg</w:t>
            </w:r>
            <w:r>
              <w:rPr>
                <w:color w:val="auto"/>
                <w:spacing w:val="2"/>
                <w:highlight w:val="none"/>
                <w:u w:val="single" w:color="auto"/>
              </w:rPr>
              <w:t>.</w:t>
            </w:r>
            <w:r>
              <w:rPr>
                <w:color w:val="auto"/>
                <w:highlight w:val="none"/>
                <w:u w:val="single" w:color="auto"/>
              </w:rPr>
              <w:t>gxzf</w:t>
            </w:r>
            <w:r>
              <w:rPr>
                <w:color w:val="auto"/>
                <w:spacing w:val="2"/>
                <w:highlight w:val="none"/>
                <w:u w:val="single" w:color="auto"/>
              </w:rPr>
              <w:t>.</w:t>
            </w:r>
            <w:r>
              <w:rPr>
                <w:color w:val="auto"/>
                <w:highlight w:val="none"/>
                <w:u w:val="single" w:color="auto"/>
              </w:rPr>
              <w:t>gov</w:t>
            </w:r>
            <w:r>
              <w:rPr>
                <w:color w:val="auto"/>
                <w:spacing w:val="2"/>
                <w:highlight w:val="none"/>
                <w:u w:val="single" w:color="auto"/>
              </w:rPr>
              <w:t>.</w:t>
            </w:r>
            <w:r>
              <w:rPr>
                <w:color w:val="auto"/>
                <w:highlight w:val="none"/>
                <w:u w:val="single" w:color="auto"/>
              </w:rPr>
              <w:t>cn</w:t>
            </w:r>
            <w:r>
              <w:rPr>
                <w:color w:val="auto"/>
                <w:spacing w:val="2"/>
                <w:highlight w:val="none"/>
                <w:u w:val="single" w:color="auto"/>
              </w:rPr>
              <w:t>/</w:t>
            </w:r>
            <w:r>
              <w:rPr>
                <w:color w:val="auto"/>
                <w:spacing w:val="2"/>
                <w:highlight w:val="none"/>
                <w:u w:val="single" w:color="auto"/>
              </w:rPr>
              <w:fldChar w:fldCharType="end"/>
            </w:r>
            <w:r>
              <w:rPr>
                <w:color w:val="auto"/>
                <w:spacing w:val="2"/>
                <w:highlight w:val="none"/>
                <w:u w:val="single" w:color="auto"/>
              </w:rPr>
              <w:t>）</w:t>
            </w:r>
            <w:r>
              <w:rPr>
                <w:color w:val="auto"/>
                <w:spacing w:val="2"/>
                <w:highlight w:val="none"/>
              </w:rPr>
              <w:t>获取（下载）获取竞争性磋商文件，并于</w:t>
            </w:r>
            <w:r>
              <w:rPr>
                <w:color w:val="auto"/>
                <w:spacing w:val="-24"/>
                <w:highlight w:val="none"/>
              </w:rPr>
              <w:t xml:space="preserve"> </w:t>
            </w:r>
            <w:r>
              <w:rPr>
                <w:color w:val="auto"/>
                <w:spacing w:val="2"/>
                <w:highlight w:val="none"/>
                <w:u w:val="single" w:color="auto"/>
              </w:rPr>
              <w:t>202</w:t>
            </w:r>
            <w:r>
              <w:rPr>
                <w:rFonts w:hint="eastAsia"/>
                <w:color w:val="auto"/>
                <w:spacing w:val="2"/>
                <w:highlight w:val="none"/>
                <w:u w:val="single" w:color="auto"/>
                <w:lang w:val="en-US" w:eastAsia="zh-CN"/>
              </w:rPr>
              <w:t>6</w:t>
            </w:r>
            <w:r>
              <w:rPr>
                <w:color w:val="auto"/>
                <w:spacing w:val="-40"/>
                <w:highlight w:val="none"/>
                <w:u w:val="single" w:color="auto"/>
              </w:rPr>
              <w:t xml:space="preserve"> </w:t>
            </w:r>
            <w:r>
              <w:rPr>
                <w:color w:val="auto"/>
                <w:spacing w:val="2"/>
                <w:highlight w:val="none"/>
                <w:u w:val="single" w:color="auto"/>
              </w:rPr>
              <w:t>年</w:t>
            </w:r>
            <w:r>
              <w:rPr>
                <w:rFonts w:hint="eastAsia"/>
                <w:color w:val="auto"/>
                <w:spacing w:val="2"/>
                <w:highlight w:val="none"/>
                <w:u w:val="single" w:color="auto"/>
                <w:lang w:val="en-US" w:eastAsia="zh-CN"/>
              </w:rPr>
              <w:t>6</w:t>
            </w:r>
            <w:r>
              <w:rPr>
                <w:color w:val="auto"/>
                <w:spacing w:val="2"/>
                <w:highlight w:val="none"/>
                <w:u w:val="single" w:color="auto"/>
              </w:rPr>
              <w:t>月</w:t>
            </w:r>
            <w:r>
              <w:rPr>
                <w:rFonts w:hint="eastAsia"/>
                <w:color w:val="auto"/>
                <w:spacing w:val="2"/>
                <w:highlight w:val="none"/>
                <w:u w:val="single" w:color="auto"/>
                <w:lang w:val="en-US" w:eastAsia="zh-CN"/>
              </w:rPr>
              <w:t>29</w:t>
            </w:r>
            <w:r>
              <w:rPr>
                <w:color w:val="auto"/>
                <w:spacing w:val="2"/>
                <w:highlight w:val="none"/>
                <w:u w:val="single" w:color="auto"/>
              </w:rPr>
              <w:t>日</w:t>
            </w:r>
            <w:r>
              <w:rPr>
                <w:rFonts w:hint="eastAsia"/>
                <w:color w:val="auto"/>
                <w:spacing w:val="2"/>
                <w:highlight w:val="none"/>
                <w:u w:val="single" w:color="auto"/>
                <w:lang w:val="en-US" w:eastAsia="zh-CN"/>
              </w:rPr>
              <w:t>9</w:t>
            </w:r>
            <w:r>
              <w:rPr>
                <w:color w:val="auto"/>
                <w:spacing w:val="7"/>
                <w:highlight w:val="none"/>
                <w:u w:val="single" w:color="auto"/>
              </w:rPr>
              <w:t>时</w:t>
            </w:r>
            <w:r>
              <w:rPr>
                <w:rFonts w:hint="eastAsia"/>
                <w:color w:val="auto"/>
                <w:spacing w:val="7"/>
                <w:highlight w:val="none"/>
                <w:u w:val="single" w:color="auto"/>
                <w:lang w:val="en-US" w:eastAsia="zh-CN"/>
              </w:rPr>
              <w:t>3</w:t>
            </w:r>
            <w:r>
              <w:rPr>
                <w:color w:val="auto"/>
                <w:spacing w:val="7"/>
                <w:highlight w:val="none"/>
                <w:u w:val="single" w:color="auto"/>
              </w:rPr>
              <w:t>0</w:t>
            </w:r>
            <w:r>
              <w:rPr>
                <w:color w:val="auto"/>
                <w:spacing w:val="-36"/>
                <w:highlight w:val="none"/>
                <w:u w:val="single" w:color="auto"/>
              </w:rPr>
              <w:t xml:space="preserve"> </w:t>
            </w:r>
            <w:r>
              <w:rPr>
                <w:color w:val="auto"/>
                <w:spacing w:val="7"/>
                <w:highlight w:val="none"/>
                <w:u w:val="single" w:color="auto"/>
              </w:rPr>
              <w:t>分</w:t>
            </w:r>
            <w:r>
              <w:rPr>
                <w:color w:val="auto"/>
                <w:spacing w:val="7"/>
                <w:highlight w:val="none"/>
              </w:rPr>
              <w:t>（北京时间）前提交响应文件。</w:t>
            </w:r>
          </w:p>
        </w:tc>
      </w:tr>
    </w:tbl>
    <w:p w14:paraId="58845042">
      <w:pPr>
        <w:spacing w:before="78" w:line="219" w:lineRule="auto"/>
        <w:ind w:left="605"/>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一、项目基本情况</w:t>
      </w:r>
    </w:p>
    <w:p w14:paraId="1F043EA8">
      <w:pPr>
        <w:spacing w:before="140" w:line="228" w:lineRule="auto"/>
        <w:ind w:left="556"/>
        <w:rPr>
          <w:rFonts w:hint="eastAsia" w:ascii="宋体" w:hAnsi="宋体" w:eastAsia="宋体" w:cs="宋体"/>
          <w:color w:val="auto"/>
          <w:sz w:val="20"/>
          <w:szCs w:val="20"/>
          <w:highlight w:val="none"/>
          <w:lang w:eastAsia="zh-CN"/>
        </w:rPr>
      </w:pPr>
      <w:r>
        <w:rPr>
          <w:rFonts w:ascii="宋体" w:hAnsi="宋体" w:eastAsia="宋体" w:cs="宋体"/>
          <w:color w:val="auto"/>
          <w:spacing w:val="6"/>
          <w:sz w:val="20"/>
          <w:szCs w:val="20"/>
          <w:highlight w:val="none"/>
        </w:rPr>
        <w:t>1.项目编号：</w:t>
      </w:r>
      <w:r>
        <w:rPr>
          <w:rFonts w:hint="eastAsia" w:ascii="宋体" w:hAnsi="宋体" w:eastAsia="宋体" w:cs="宋体"/>
          <w:color w:val="auto"/>
          <w:spacing w:val="6"/>
          <w:sz w:val="20"/>
          <w:szCs w:val="20"/>
          <w:highlight w:val="none"/>
          <w:lang w:eastAsia="zh-CN"/>
        </w:rPr>
        <w:t>NNZC2026-C2-270081-GXTZ</w:t>
      </w:r>
    </w:p>
    <w:p w14:paraId="21E54612">
      <w:pPr>
        <w:spacing w:before="154" w:line="228" w:lineRule="auto"/>
        <w:ind w:left="544"/>
        <w:rPr>
          <w:rFonts w:hint="eastAsia" w:ascii="宋体" w:hAnsi="宋体" w:eastAsia="宋体" w:cs="宋体"/>
          <w:color w:val="auto"/>
          <w:spacing w:val="9"/>
          <w:sz w:val="20"/>
          <w:szCs w:val="20"/>
          <w:highlight w:val="none"/>
          <w:lang w:eastAsia="zh-CN"/>
        </w:rPr>
      </w:pPr>
      <w:r>
        <w:rPr>
          <w:rFonts w:ascii="宋体" w:hAnsi="宋体" w:eastAsia="宋体" w:cs="宋体"/>
          <w:color w:val="auto"/>
          <w:spacing w:val="9"/>
          <w:sz w:val="20"/>
          <w:szCs w:val="20"/>
          <w:highlight w:val="none"/>
        </w:rPr>
        <w:t>2.项目名称：</w:t>
      </w:r>
      <w:r>
        <w:rPr>
          <w:rFonts w:hint="eastAsia" w:ascii="宋体" w:hAnsi="宋体" w:eastAsia="宋体" w:cs="宋体"/>
          <w:color w:val="auto"/>
          <w:spacing w:val="9"/>
          <w:sz w:val="20"/>
          <w:szCs w:val="20"/>
          <w:highlight w:val="none"/>
          <w:lang w:eastAsia="zh-CN"/>
        </w:rPr>
        <w:t>横州市石塘镇芦村村委小学运动场地提升项目</w:t>
      </w:r>
    </w:p>
    <w:p w14:paraId="2ACCA8D1">
      <w:pPr>
        <w:spacing w:before="154" w:line="228" w:lineRule="auto"/>
        <w:ind w:left="544"/>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3.预算金额：</w:t>
      </w:r>
      <w:r>
        <w:rPr>
          <w:rFonts w:hint="eastAsia" w:ascii="宋体" w:hAnsi="宋体" w:eastAsia="宋体" w:cs="宋体"/>
          <w:color w:val="auto"/>
          <w:spacing w:val="5"/>
          <w:sz w:val="20"/>
          <w:szCs w:val="20"/>
          <w:highlight w:val="none"/>
          <w:lang w:val="en-US" w:eastAsia="zh-CN"/>
        </w:rPr>
        <w:t>2475916.54</w:t>
      </w:r>
      <w:r>
        <w:rPr>
          <w:rFonts w:ascii="宋体" w:hAnsi="宋体" w:eastAsia="宋体" w:cs="宋体"/>
          <w:color w:val="auto"/>
          <w:spacing w:val="5"/>
          <w:sz w:val="20"/>
          <w:szCs w:val="20"/>
          <w:highlight w:val="none"/>
        </w:rPr>
        <w:t>元</w:t>
      </w:r>
    </w:p>
    <w:p w14:paraId="17560354">
      <w:pPr>
        <w:spacing w:before="154" w:line="227" w:lineRule="auto"/>
        <w:ind w:left="539"/>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4.最高限价：</w:t>
      </w:r>
      <w:r>
        <w:rPr>
          <w:rFonts w:hint="eastAsia" w:ascii="宋体" w:hAnsi="宋体" w:eastAsia="宋体" w:cs="宋体"/>
          <w:color w:val="auto"/>
          <w:spacing w:val="5"/>
          <w:sz w:val="20"/>
          <w:szCs w:val="20"/>
          <w:highlight w:val="none"/>
          <w:lang w:val="en-US" w:eastAsia="zh-CN"/>
        </w:rPr>
        <w:t>2475916.54</w:t>
      </w:r>
      <w:r>
        <w:rPr>
          <w:rFonts w:ascii="宋体" w:hAnsi="宋体" w:eastAsia="宋体" w:cs="宋体"/>
          <w:color w:val="auto"/>
          <w:spacing w:val="5"/>
          <w:sz w:val="20"/>
          <w:szCs w:val="20"/>
          <w:highlight w:val="none"/>
        </w:rPr>
        <w:t>元</w:t>
      </w:r>
    </w:p>
    <w:p w14:paraId="435BB358">
      <w:pPr>
        <w:spacing w:before="152" w:line="228" w:lineRule="auto"/>
        <w:ind w:left="544"/>
        <w:rPr>
          <w:color w:val="auto"/>
          <w:highlight w:val="none"/>
        </w:rPr>
      </w:pPr>
      <w:r>
        <w:rPr>
          <w:rFonts w:ascii="宋体" w:hAnsi="宋体" w:eastAsia="宋体" w:cs="宋体"/>
          <w:color w:val="auto"/>
          <w:spacing w:val="5"/>
          <w:sz w:val="20"/>
          <w:szCs w:val="20"/>
          <w:highlight w:val="none"/>
        </w:rPr>
        <w:t>5.采购需求：</w:t>
      </w:r>
    </w:p>
    <w:p w14:paraId="6BAC788A">
      <w:pPr>
        <w:spacing w:before="49"/>
        <w:rPr>
          <w:color w:val="auto"/>
          <w:highlight w:val="none"/>
        </w:rPr>
      </w:pPr>
    </w:p>
    <w:tbl>
      <w:tblPr>
        <w:tblStyle w:val="19"/>
        <w:tblW w:w="974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8"/>
        <w:gridCol w:w="2076"/>
        <w:gridCol w:w="547"/>
        <w:gridCol w:w="600"/>
        <w:gridCol w:w="5936"/>
      </w:tblGrid>
      <w:tr w14:paraId="1DD86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588" w:type="dxa"/>
            <w:vAlign w:val="top"/>
          </w:tcPr>
          <w:p w14:paraId="2DDD596D">
            <w:pPr>
              <w:pStyle w:val="20"/>
              <w:spacing w:before="36" w:line="230" w:lineRule="auto"/>
              <w:ind w:left="135"/>
              <w:rPr>
                <w:color w:val="auto"/>
                <w:highlight w:val="none"/>
              </w:rPr>
            </w:pPr>
            <w:r>
              <w:rPr>
                <w:color w:val="auto"/>
                <w:spacing w:val="5"/>
                <w:highlight w:val="none"/>
              </w:rPr>
              <w:t>序号</w:t>
            </w:r>
          </w:p>
        </w:tc>
        <w:tc>
          <w:tcPr>
            <w:tcW w:w="2076" w:type="dxa"/>
            <w:vAlign w:val="top"/>
          </w:tcPr>
          <w:p w14:paraId="01A86EB6">
            <w:pPr>
              <w:pStyle w:val="20"/>
              <w:spacing w:before="36" w:line="229" w:lineRule="auto"/>
              <w:ind w:left="225"/>
              <w:rPr>
                <w:color w:val="auto"/>
                <w:highlight w:val="none"/>
              </w:rPr>
            </w:pPr>
            <w:r>
              <w:rPr>
                <w:color w:val="auto"/>
                <w:spacing w:val="7"/>
                <w:highlight w:val="none"/>
              </w:rPr>
              <w:t>标的的名称</w:t>
            </w:r>
          </w:p>
        </w:tc>
        <w:tc>
          <w:tcPr>
            <w:tcW w:w="547" w:type="dxa"/>
            <w:vAlign w:val="top"/>
          </w:tcPr>
          <w:p w14:paraId="7B536557">
            <w:pPr>
              <w:pStyle w:val="20"/>
              <w:spacing w:before="36" w:line="229" w:lineRule="auto"/>
              <w:ind w:left="118"/>
              <w:rPr>
                <w:color w:val="auto"/>
                <w:highlight w:val="none"/>
              </w:rPr>
            </w:pPr>
            <w:r>
              <w:rPr>
                <w:color w:val="auto"/>
                <w:spacing w:val="3"/>
                <w:highlight w:val="none"/>
              </w:rPr>
              <w:t>单位</w:t>
            </w:r>
          </w:p>
        </w:tc>
        <w:tc>
          <w:tcPr>
            <w:tcW w:w="600" w:type="dxa"/>
            <w:vAlign w:val="top"/>
          </w:tcPr>
          <w:p w14:paraId="31E79588">
            <w:pPr>
              <w:pStyle w:val="20"/>
              <w:spacing w:before="36" w:line="228" w:lineRule="auto"/>
              <w:ind w:left="154"/>
              <w:rPr>
                <w:color w:val="auto"/>
                <w:highlight w:val="none"/>
              </w:rPr>
            </w:pPr>
            <w:r>
              <w:rPr>
                <w:color w:val="auto"/>
                <w:spacing w:val="3"/>
                <w:highlight w:val="none"/>
              </w:rPr>
              <w:t>数量</w:t>
            </w:r>
          </w:p>
        </w:tc>
        <w:tc>
          <w:tcPr>
            <w:tcW w:w="5936" w:type="dxa"/>
            <w:vAlign w:val="top"/>
          </w:tcPr>
          <w:p w14:paraId="5ED5B81A">
            <w:pPr>
              <w:pStyle w:val="20"/>
              <w:spacing w:before="36" w:line="228" w:lineRule="auto"/>
              <w:ind w:left="1562"/>
              <w:rPr>
                <w:color w:val="auto"/>
                <w:highlight w:val="none"/>
              </w:rPr>
            </w:pPr>
            <w:r>
              <w:rPr>
                <w:color w:val="auto"/>
                <w:spacing w:val="8"/>
                <w:highlight w:val="none"/>
              </w:rPr>
              <w:t>简要服务要求或者技术需求</w:t>
            </w:r>
          </w:p>
        </w:tc>
      </w:tr>
      <w:tr w14:paraId="0144A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jc w:val="center"/>
        </w:trPr>
        <w:tc>
          <w:tcPr>
            <w:tcW w:w="588" w:type="dxa"/>
            <w:vAlign w:val="center"/>
          </w:tcPr>
          <w:p w14:paraId="5B8E5EB6">
            <w:pPr>
              <w:pStyle w:val="20"/>
              <w:spacing w:before="65" w:line="271" w:lineRule="exact"/>
              <w:ind w:firstLine="200" w:firstLineChars="100"/>
              <w:jc w:val="center"/>
              <w:rPr>
                <w:color w:val="auto"/>
                <w:highlight w:val="none"/>
              </w:rPr>
            </w:pPr>
            <w:r>
              <w:rPr>
                <w:color w:val="auto"/>
                <w:position w:val="1"/>
                <w:highlight w:val="none"/>
              </w:rPr>
              <w:t>1</w:t>
            </w:r>
          </w:p>
        </w:tc>
        <w:tc>
          <w:tcPr>
            <w:tcW w:w="2076" w:type="dxa"/>
            <w:vAlign w:val="center"/>
          </w:tcPr>
          <w:p w14:paraId="576DF593">
            <w:pPr>
              <w:pStyle w:val="20"/>
              <w:spacing w:before="160" w:line="228" w:lineRule="auto"/>
              <w:jc w:val="center"/>
              <w:rPr>
                <w:color w:val="auto"/>
                <w:highlight w:val="none"/>
              </w:rPr>
            </w:pPr>
            <w:r>
              <w:rPr>
                <w:rFonts w:hint="eastAsia"/>
                <w:color w:val="auto"/>
                <w:highlight w:val="none"/>
                <w:lang w:eastAsia="zh-CN"/>
              </w:rPr>
              <w:t>横州市石塘镇芦村村委小学运动场地提升项目</w:t>
            </w:r>
          </w:p>
        </w:tc>
        <w:tc>
          <w:tcPr>
            <w:tcW w:w="547" w:type="dxa"/>
            <w:vAlign w:val="center"/>
          </w:tcPr>
          <w:p w14:paraId="262CD620">
            <w:pPr>
              <w:pStyle w:val="20"/>
              <w:spacing w:before="65" w:line="229" w:lineRule="auto"/>
              <w:ind w:firstLine="200" w:firstLineChars="100"/>
              <w:jc w:val="center"/>
              <w:rPr>
                <w:color w:val="auto"/>
                <w:highlight w:val="none"/>
              </w:rPr>
            </w:pPr>
            <w:r>
              <w:rPr>
                <w:color w:val="auto"/>
                <w:highlight w:val="none"/>
              </w:rPr>
              <w:t>项</w:t>
            </w:r>
          </w:p>
        </w:tc>
        <w:tc>
          <w:tcPr>
            <w:tcW w:w="600" w:type="dxa"/>
            <w:vAlign w:val="center"/>
          </w:tcPr>
          <w:p w14:paraId="557E491F">
            <w:pPr>
              <w:pStyle w:val="20"/>
              <w:spacing w:before="65" w:line="271" w:lineRule="exact"/>
              <w:ind w:firstLine="200" w:firstLineChars="100"/>
              <w:jc w:val="center"/>
              <w:rPr>
                <w:color w:val="auto"/>
                <w:highlight w:val="none"/>
              </w:rPr>
            </w:pPr>
            <w:r>
              <w:rPr>
                <w:color w:val="auto"/>
                <w:position w:val="1"/>
                <w:highlight w:val="none"/>
              </w:rPr>
              <w:t>1</w:t>
            </w:r>
          </w:p>
        </w:tc>
        <w:tc>
          <w:tcPr>
            <w:tcW w:w="5936" w:type="dxa"/>
            <w:vAlign w:val="center"/>
          </w:tcPr>
          <w:p w14:paraId="1FE0A65C">
            <w:pPr>
              <w:pStyle w:val="20"/>
              <w:spacing w:before="35" w:line="373" w:lineRule="auto"/>
              <w:ind w:left="112" w:right="38" w:firstLine="3"/>
              <w:jc w:val="left"/>
              <w:rPr>
                <w:rFonts w:hint="eastAsia" w:eastAsia="宋体"/>
                <w:color w:val="auto"/>
                <w:highlight w:val="none"/>
                <w:lang w:eastAsia="zh-CN"/>
              </w:rPr>
            </w:pPr>
            <w:r>
              <w:rPr>
                <w:rFonts w:hint="eastAsia" w:eastAsia="宋体"/>
                <w:color w:val="auto"/>
                <w:highlight w:val="none"/>
                <w:lang w:eastAsia="zh-CN"/>
              </w:rPr>
              <w:t>建设主要内容主要包含土方工程、场地平整及拆除、运动场塑胶跑道、足球场铺设、8m硅PU地面(篮球场、羽毛球场)、砖砌排水沟、排水管网、看台设计、白改黑沥青道路、安砌平立缘石等，具体详见施工图纸及工程量清单。</w:t>
            </w:r>
          </w:p>
        </w:tc>
      </w:tr>
    </w:tbl>
    <w:p w14:paraId="126DFE30">
      <w:pPr>
        <w:spacing w:before="139" w:line="229" w:lineRule="auto"/>
        <w:ind w:left="542"/>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6.合同履约期限：工期</w:t>
      </w:r>
      <w:r>
        <w:rPr>
          <w:rFonts w:ascii="宋体" w:hAnsi="宋体" w:eastAsia="宋体" w:cs="宋体"/>
          <w:color w:val="auto"/>
          <w:spacing w:val="-22"/>
          <w:sz w:val="20"/>
          <w:szCs w:val="20"/>
          <w:highlight w:val="none"/>
        </w:rPr>
        <w:t xml:space="preserve"> </w:t>
      </w:r>
      <w:r>
        <w:rPr>
          <w:rFonts w:hint="eastAsia" w:ascii="宋体" w:hAnsi="宋体" w:eastAsia="宋体" w:cs="宋体"/>
          <w:color w:val="auto"/>
          <w:spacing w:val="3"/>
          <w:sz w:val="20"/>
          <w:szCs w:val="20"/>
          <w:highlight w:val="none"/>
          <w:lang w:val="en-US" w:eastAsia="zh-CN"/>
        </w:rPr>
        <w:t>90</w:t>
      </w:r>
      <w:r>
        <w:rPr>
          <w:rFonts w:ascii="宋体" w:hAnsi="宋体" w:eastAsia="宋体" w:cs="宋体"/>
          <w:color w:val="auto"/>
          <w:spacing w:val="3"/>
          <w:sz w:val="20"/>
          <w:szCs w:val="20"/>
          <w:highlight w:val="none"/>
        </w:rPr>
        <w:t xml:space="preserve"> 日历天。</w:t>
      </w:r>
    </w:p>
    <w:p w14:paraId="4EEF39DC">
      <w:pPr>
        <w:spacing w:before="152" w:line="228" w:lineRule="auto"/>
        <w:ind w:left="545"/>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7.本项目是否接受联合体：否。</w:t>
      </w:r>
    </w:p>
    <w:p w14:paraId="3A851A33">
      <w:pPr>
        <w:spacing w:before="128" w:line="219" w:lineRule="auto"/>
        <w:ind w:left="605"/>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二、供应商的资格条件</w:t>
      </w:r>
    </w:p>
    <w:p w14:paraId="30EEE3E0">
      <w:pPr>
        <w:spacing w:before="139" w:line="228" w:lineRule="auto"/>
        <w:ind w:left="556"/>
        <w:rPr>
          <w:rFonts w:ascii="宋体" w:hAnsi="宋体" w:eastAsia="宋体" w:cs="宋体"/>
          <w:snapToGrid w:val="0"/>
          <w:color w:val="auto"/>
          <w:spacing w:val="8"/>
          <w:kern w:val="0"/>
          <w:sz w:val="20"/>
          <w:szCs w:val="20"/>
          <w:highlight w:val="none"/>
          <w:lang w:val="en-US" w:eastAsia="en-US" w:bidi="ar-SA"/>
        </w:rPr>
      </w:pPr>
      <w:r>
        <w:rPr>
          <w:rFonts w:ascii="宋体" w:hAnsi="宋体" w:eastAsia="宋体" w:cs="宋体"/>
          <w:color w:val="auto"/>
          <w:spacing w:val="8"/>
          <w:sz w:val="20"/>
          <w:szCs w:val="20"/>
          <w:highlight w:val="none"/>
        </w:rPr>
        <w:t>1.满足《中华人民共和国政府采购法》第二十二条规定；</w:t>
      </w:r>
    </w:p>
    <w:p w14:paraId="2D5EFBC9">
      <w:pPr>
        <w:spacing w:before="153" w:line="300" w:lineRule="auto"/>
        <w:ind w:left="123" w:right="799" w:firstLine="420"/>
        <w:rPr>
          <w:rFonts w:ascii="宋体" w:hAnsi="宋体" w:eastAsia="宋体" w:cs="宋体"/>
          <w:snapToGrid w:val="0"/>
          <w:color w:val="auto"/>
          <w:spacing w:val="8"/>
          <w:kern w:val="0"/>
          <w:sz w:val="20"/>
          <w:szCs w:val="20"/>
          <w:highlight w:val="none"/>
          <w:lang w:val="en-US" w:eastAsia="en-US" w:bidi="ar-SA"/>
        </w:rPr>
      </w:pPr>
      <w:r>
        <w:rPr>
          <w:rFonts w:ascii="宋体" w:hAnsi="宋体" w:eastAsia="宋体" w:cs="宋体"/>
          <w:snapToGrid w:val="0"/>
          <w:color w:val="auto"/>
          <w:spacing w:val="8"/>
          <w:kern w:val="0"/>
          <w:sz w:val="20"/>
          <w:szCs w:val="20"/>
          <w:highlight w:val="none"/>
          <w:lang w:val="en-US" w:eastAsia="en-US" w:bidi="ar-SA"/>
        </w:rPr>
        <w:t>2.落实政府采购政策需满足的资格要求：专门面向小微企业采购的项目（供应商应为小微企业 或监狱企业或残疾人福利性单位)。</w:t>
      </w:r>
    </w:p>
    <w:p w14:paraId="452933D7">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648" w:firstLineChars="300"/>
        <w:textAlignment w:val="baseline"/>
        <w:rPr>
          <w:rFonts w:ascii="宋体" w:hAnsi="宋体" w:eastAsia="宋体" w:cs="宋体"/>
          <w:color w:val="auto"/>
          <w:sz w:val="20"/>
          <w:szCs w:val="20"/>
          <w:highlight w:val="none"/>
        </w:rPr>
      </w:pPr>
      <w:r>
        <w:rPr>
          <w:rFonts w:ascii="宋体" w:hAnsi="宋体" w:eastAsia="宋体" w:cs="宋体"/>
          <w:snapToGrid w:val="0"/>
          <w:color w:val="auto"/>
          <w:spacing w:val="8"/>
          <w:kern w:val="0"/>
          <w:sz w:val="20"/>
          <w:szCs w:val="20"/>
          <w:highlight w:val="none"/>
          <w:lang w:val="en-US" w:eastAsia="en-US" w:bidi="ar-SA"/>
        </w:rPr>
        <w:t>3.本项目的特定资格要求：供应商具有建筑工程施工总承包三级（含三</w:t>
      </w:r>
      <w:r>
        <w:rPr>
          <w:rFonts w:ascii="宋体" w:hAnsi="宋体" w:eastAsia="宋体" w:cs="宋体"/>
          <w:color w:val="auto"/>
          <w:spacing w:val="7"/>
          <w:sz w:val="20"/>
          <w:szCs w:val="20"/>
          <w:highlight w:val="none"/>
        </w:rPr>
        <w:t>级）以上资质，供应商</w:t>
      </w:r>
      <w:r>
        <w:rPr>
          <w:rFonts w:ascii="宋体" w:hAnsi="宋体" w:eastAsia="宋体" w:cs="宋体"/>
          <w:color w:val="auto"/>
          <w:spacing w:val="9"/>
          <w:sz w:val="20"/>
          <w:szCs w:val="20"/>
          <w:highlight w:val="none"/>
        </w:rPr>
        <w:t>具有有效的安全生产许可证；供应商拟派项目经理</w:t>
      </w:r>
      <w:r>
        <w:rPr>
          <w:rFonts w:ascii="宋体" w:hAnsi="宋体" w:eastAsia="宋体" w:cs="宋体"/>
          <w:color w:val="auto"/>
          <w:spacing w:val="8"/>
          <w:sz w:val="20"/>
          <w:szCs w:val="20"/>
          <w:highlight w:val="none"/>
        </w:rPr>
        <w:t>具有建筑工程专业二级及以上注册建造师证书，</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具备有效的安全生产考核合格证书（B</w:t>
      </w:r>
      <w:r>
        <w:rPr>
          <w:rFonts w:ascii="宋体" w:hAnsi="宋体" w:eastAsia="宋体" w:cs="宋体"/>
          <w:color w:val="auto"/>
          <w:spacing w:val="-38"/>
          <w:sz w:val="20"/>
          <w:szCs w:val="20"/>
          <w:highlight w:val="none"/>
        </w:rPr>
        <w:t xml:space="preserve"> </w:t>
      </w:r>
      <w:r>
        <w:rPr>
          <w:rFonts w:ascii="宋体" w:hAnsi="宋体" w:eastAsia="宋体" w:cs="宋体"/>
          <w:color w:val="auto"/>
          <w:spacing w:val="9"/>
          <w:sz w:val="20"/>
          <w:szCs w:val="20"/>
          <w:highlight w:val="none"/>
        </w:rPr>
        <w:t>类）。本项目不接受有在建、已中标未开工或已列为本项目</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或其他项目中标候选人第一名的建造师作为项目经理。（符合《广西壮族自治区建筑市场诚信卡管</w:t>
      </w:r>
      <w:r>
        <w:rPr>
          <w:rFonts w:ascii="宋体" w:hAnsi="宋体" w:eastAsia="宋体" w:cs="宋体"/>
          <w:color w:val="auto"/>
          <w:spacing w:val="2"/>
          <w:sz w:val="20"/>
          <w:szCs w:val="20"/>
          <w:highlight w:val="none"/>
        </w:rPr>
        <w:t xml:space="preserve"> </w:t>
      </w:r>
      <w:r>
        <w:rPr>
          <w:rFonts w:ascii="宋体" w:hAnsi="宋体" w:eastAsia="宋体" w:cs="宋体"/>
          <w:color w:val="auto"/>
          <w:spacing w:val="9"/>
          <w:sz w:val="20"/>
          <w:szCs w:val="20"/>
          <w:highlight w:val="none"/>
        </w:rPr>
        <w:t>理暂行办法》第十六条第一款及桂建管﹝2016﹞70</w:t>
      </w:r>
      <w:r>
        <w:rPr>
          <w:rFonts w:ascii="宋体" w:hAnsi="宋体" w:eastAsia="宋体" w:cs="宋体"/>
          <w:color w:val="auto"/>
          <w:spacing w:val="-33"/>
          <w:sz w:val="20"/>
          <w:szCs w:val="20"/>
          <w:highlight w:val="none"/>
        </w:rPr>
        <w:t xml:space="preserve"> </w:t>
      </w:r>
      <w:r>
        <w:rPr>
          <w:rFonts w:ascii="宋体" w:hAnsi="宋体" w:eastAsia="宋体" w:cs="宋体"/>
          <w:color w:val="auto"/>
          <w:spacing w:val="9"/>
          <w:sz w:val="20"/>
          <w:szCs w:val="20"/>
          <w:highlight w:val="none"/>
        </w:rPr>
        <w:t>号、桂建管〔</w:t>
      </w:r>
      <w:r>
        <w:rPr>
          <w:rFonts w:ascii="宋体" w:hAnsi="宋体" w:eastAsia="宋体" w:cs="宋体"/>
          <w:color w:val="auto"/>
          <w:spacing w:val="8"/>
          <w:sz w:val="20"/>
          <w:szCs w:val="20"/>
          <w:highlight w:val="none"/>
        </w:rPr>
        <w:t>2020〕11</w:t>
      </w:r>
      <w:r>
        <w:rPr>
          <w:rFonts w:ascii="宋体" w:hAnsi="宋体" w:eastAsia="宋体" w:cs="宋体"/>
          <w:color w:val="auto"/>
          <w:spacing w:val="-33"/>
          <w:sz w:val="20"/>
          <w:szCs w:val="20"/>
          <w:highlight w:val="none"/>
        </w:rPr>
        <w:t xml:space="preserve"> </w:t>
      </w:r>
      <w:r>
        <w:rPr>
          <w:rFonts w:ascii="宋体" w:hAnsi="宋体" w:eastAsia="宋体" w:cs="宋体"/>
          <w:color w:val="auto"/>
          <w:spacing w:val="8"/>
          <w:sz w:val="20"/>
          <w:szCs w:val="20"/>
          <w:highlight w:val="none"/>
        </w:rPr>
        <w:t>号文除外）。拟派本项</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目专职安全员持有有效的省级或省级以上建设行政主管部门颁发的《安全生产考核合格证书（建安</w:t>
      </w:r>
      <w:r>
        <w:rPr>
          <w:rFonts w:ascii="宋体" w:hAnsi="宋体" w:eastAsia="宋体" w:cs="宋体"/>
          <w:color w:val="auto"/>
          <w:spacing w:val="3"/>
          <w:sz w:val="20"/>
          <w:szCs w:val="20"/>
          <w:highlight w:val="none"/>
        </w:rPr>
        <w:t xml:space="preserve"> </w:t>
      </w:r>
      <w:r>
        <w:rPr>
          <w:rFonts w:ascii="宋体" w:hAnsi="宋体" w:eastAsia="宋体" w:cs="宋体"/>
          <w:color w:val="auto"/>
          <w:spacing w:val="5"/>
          <w:sz w:val="20"/>
          <w:szCs w:val="20"/>
          <w:highlight w:val="none"/>
        </w:rPr>
        <w:t>C 证）》，人数不少于</w:t>
      </w:r>
      <w:r>
        <w:rPr>
          <w:rFonts w:ascii="宋体" w:hAnsi="宋体" w:eastAsia="宋体" w:cs="宋体"/>
          <w:color w:val="auto"/>
          <w:spacing w:val="31"/>
          <w:sz w:val="20"/>
          <w:szCs w:val="20"/>
          <w:highlight w:val="none"/>
        </w:rPr>
        <w:t xml:space="preserve"> </w:t>
      </w:r>
      <w:r>
        <w:rPr>
          <w:rFonts w:ascii="宋体" w:hAnsi="宋体" w:eastAsia="宋体" w:cs="宋体"/>
          <w:color w:val="auto"/>
          <w:spacing w:val="5"/>
          <w:sz w:val="20"/>
          <w:szCs w:val="20"/>
          <w:highlight w:val="none"/>
        </w:rPr>
        <w:t>1</w:t>
      </w:r>
      <w:r>
        <w:rPr>
          <w:rFonts w:ascii="宋体" w:hAnsi="宋体" w:eastAsia="宋体" w:cs="宋体"/>
          <w:color w:val="auto"/>
          <w:spacing w:val="14"/>
          <w:sz w:val="20"/>
          <w:szCs w:val="20"/>
          <w:highlight w:val="none"/>
        </w:rPr>
        <w:t xml:space="preserve"> </w:t>
      </w:r>
      <w:r>
        <w:rPr>
          <w:rFonts w:ascii="宋体" w:hAnsi="宋体" w:eastAsia="宋体" w:cs="宋体"/>
          <w:color w:val="auto"/>
          <w:spacing w:val="5"/>
          <w:sz w:val="20"/>
          <w:szCs w:val="20"/>
          <w:highlight w:val="none"/>
        </w:rPr>
        <w:t>人。</w:t>
      </w:r>
    </w:p>
    <w:p w14:paraId="466F7EEA">
      <w:pPr>
        <w:spacing w:before="127" w:line="220" w:lineRule="auto"/>
        <w:ind w:left="488"/>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三、获取竞争性磋商文件</w:t>
      </w:r>
    </w:p>
    <w:p w14:paraId="540B4759">
      <w:pPr>
        <w:spacing w:before="141" w:line="227" w:lineRule="auto"/>
        <w:ind w:left="443"/>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1.时间：</w:t>
      </w:r>
      <w:r>
        <w:rPr>
          <w:rFonts w:ascii="宋体" w:hAnsi="宋体" w:eastAsia="宋体" w:cs="宋体"/>
          <w:color w:val="auto"/>
          <w:spacing w:val="-33"/>
          <w:sz w:val="20"/>
          <w:szCs w:val="20"/>
          <w:highlight w:val="none"/>
        </w:rPr>
        <w:t xml:space="preserve"> </w:t>
      </w:r>
      <w:r>
        <w:rPr>
          <w:rFonts w:ascii="宋体" w:hAnsi="宋体" w:eastAsia="宋体" w:cs="宋体"/>
          <w:color w:val="auto"/>
          <w:spacing w:val="6"/>
          <w:sz w:val="20"/>
          <w:szCs w:val="20"/>
          <w:highlight w:val="none"/>
        </w:rPr>
        <w:t>自公告发布之日起至磋商响应文件提交截止时间前。</w:t>
      </w:r>
    </w:p>
    <w:p w14:paraId="6017BB7C">
      <w:pPr>
        <w:spacing w:before="152" w:line="223" w:lineRule="auto"/>
        <w:ind w:left="430"/>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2.地点：广西政府采购云平台（</w:t>
      </w:r>
      <w:r>
        <w:rPr>
          <w:color w:val="auto"/>
          <w:highlight w:val="none"/>
        </w:rPr>
        <w:fldChar w:fldCharType="begin"/>
      </w:r>
      <w:r>
        <w:rPr>
          <w:color w:val="auto"/>
          <w:highlight w:val="none"/>
        </w:rPr>
        <w:instrText xml:space="preserve"> HYPERLINK "https://www.gcy.zfcg.gxzf.gov.cn/" </w:instrText>
      </w:r>
      <w:r>
        <w:rPr>
          <w:color w:val="auto"/>
          <w:highlight w:val="none"/>
        </w:rPr>
        <w:fldChar w:fldCharType="separate"/>
      </w:r>
      <w:r>
        <w:rPr>
          <w:rFonts w:ascii="宋体" w:hAnsi="宋体" w:eastAsia="宋体" w:cs="宋体"/>
          <w:color w:val="auto"/>
          <w:sz w:val="20"/>
          <w:szCs w:val="20"/>
          <w:highlight w:val="none"/>
        </w:rPr>
        <w:t>https</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www</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gcy</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zfcg</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gxzf</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pacing w:val="11"/>
          <w:sz w:val="20"/>
          <w:szCs w:val="20"/>
          <w:highlight w:val="none"/>
        </w:rPr>
        <w:t>/</w:t>
      </w:r>
      <w:r>
        <w:rPr>
          <w:rFonts w:ascii="宋体" w:hAnsi="宋体" w:eastAsia="宋体" w:cs="宋体"/>
          <w:color w:val="auto"/>
          <w:spacing w:val="11"/>
          <w:sz w:val="20"/>
          <w:szCs w:val="20"/>
          <w:highlight w:val="none"/>
        </w:rPr>
        <w:fldChar w:fldCharType="end"/>
      </w:r>
      <w:r>
        <w:rPr>
          <w:rFonts w:ascii="宋体" w:hAnsi="宋体" w:eastAsia="宋体" w:cs="宋体"/>
          <w:color w:val="auto"/>
          <w:spacing w:val="11"/>
          <w:sz w:val="20"/>
          <w:szCs w:val="20"/>
          <w:highlight w:val="none"/>
        </w:rPr>
        <w:t>）</w:t>
      </w:r>
    </w:p>
    <w:p w14:paraId="0FAE973A">
      <w:pPr>
        <w:spacing w:before="157" w:line="346" w:lineRule="auto"/>
        <w:ind w:left="6" w:firstLine="425"/>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3.方式：网上下载。本项目不提供纸质文件，潜在供应商需使用账号登录或者使用</w:t>
      </w:r>
      <w:r>
        <w:rPr>
          <w:rFonts w:ascii="宋体" w:hAnsi="宋体" w:eastAsia="宋体" w:cs="宋体"/>
          <w:color w:val="auto"/>
          <w:sz w:val="20"/>
          <w:szCs w:val="20"/>
          <w:highlight w:val="none"/>
        </w:rPr>
        <w:t>CA</w:t>
      </w:r>
      <w:r>
        <w:rPr>
          <w:rFonts w:ascii="宋体" w:hAnsi="宋体" w:eastAsia="宋体" w:cs="宋体"/>
          <w:color w:val="auto"/>
          <w:spacing w:val="-19"/>
          <w:sz w:val="20"/>
          <w:szCs w:val="20"/>
          <w:highlight w:val="none"/>
        </w:rPr>
        <w:t xml:space="preserve"> </w:t>
      </w:r>
      <w:r>
        <w:rPr>
          <w:rFonts w:ascii="宋体" w:hAnsi="宋体" w:eastAsia="宋体" w:cs="宋体"/>
          <w:color w:val="auto"/>
          <w:spacing w:val="11"/>
          <w:sz w:val="20"/>
          <w:szCs w:val="20"/>
          <w:highlight w:val="none"/>
        </w:rPr>
        <w:t>登录广</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西政府采购云平台（</w:t>
      </w:r>
      <w:r>
        <w:rPr>
          <w:color w:val="auto"/>
          <w:highlight w:val="none"/>
        </w:rPr>
        <w:fldChar w:fldCharType="begin"/>
      </w:r>
      <w:r>
        <w:rPr>
          <w:color w:val="auto"/>
          <w:highlight w:val="none"/>
        </w:rPr>
        <w:instrText xml:space="preserve"> HYPERLINK "https://www.gcy.zfcg.gxzf.gov.cn/" </w:instrText>
      </w:r>
      <w:r>
        <w:rPr>
          <w:color w:val="auto"/>
          <w:highlight w:val="none"/>
        </w:rPr>
        <w:fldChar w:fldCharType="separate"/>
      </w:r>
      <w:r>
        <w:rPr>
          <w:rFonts w:ascii="宋体" w:hAnsi="宋体" w:eastAsia="宋体" w:cs="宋体"/>
          <w:color w:val="auto"/>
          <w:sz w:val="20"/>
          <w:szCs w:val="20"/>
          <w:highlight w:val="none"/>
        </w:rPr>
        <w:t>https</w:t>
      </w:r>
      <w:r>
        <w:rPr>
          <w:rFonts w:ascii="宋体" w:hAnsi="宋体" w:eastAsia="宋体" w:cs="宋体"/>
          <w:color w:val="auto"/>
          <w:spacing w:val="10"/>
          <w:sz w:val="20"/>
          <w:szCs w:val="20"/>
          <w:highlight w:val="none"/>
        </w:rPr>
        <w:t>://</w:t>
      </w:r>
      <w:r>
        <w:rPr>
          <w:rFonts w:ascii="宋体" w:hAnsi="宋体" w:eastAsia="宋体" w:cs="宋体"/>
          <w:color w:val="auto"/>
          <w:sz w:val="20"/>
          <w:szCs w:val="20"/>
          <w:highlight w:val="none"/>
        </w:rPr>
        <w:t>www</w:t>
      </w:r>
      <w:r>
        <w:rPr>
          <w:rFonts w:ascii="宋体" w:hAnsi="宋体" w:eastAsia="宋体" w:cs="宋体"/>
          <w:color w:val="auto"/>
          <w:spacing w:val="10"/>
          <w:sz w:val="20"/>
          <w:szCs w:val="20"/>
          <w:highlight w:val="none"/>
        </w:rPr>
        <w:t>.</w:t>
      </w:r>
      <w:r>
        <w:rPr>
          <w:rFonts w:ascii="宋体" w:hAnsi="宋体" w:eastAsia="宋体" w:cs="宋体"/>
          <w:color w:val="auto"/>
          <w:sz w:val="20"/>
          <w:szCs w:val="20"/>
          <w:highlight w:val="none"/>
        </w:rPr>
        <w:t>gcy</w:t>
      </w:r>
      <w:r>
        <w:rPr>
          <w:rFonts w:ascii="宋体" w:hAnsi="宋体" w:eastAsia="宋体" w:cs="宋体"/>
          <w:color w:val="auto"/>
          <w:spacing w:val="10"/>
          <w:sz w:val="20"/>
          <w:szCs w:val="20"/>
          <w:highlight w:val="none"/>
        </w:rPr>
        <w:t>.</w:t>
      </w:r>
      <w:r>
        <w:rPr>
          <w:rFonts w:ascii="宋体" w:hAnsi="宋体" w:eastAsia="宋体" w:cs="宋体"/>
          <w:color w:val="auto"/>
          <w:sz w:val="20"/>
          <w:szCs w:val="20"/>
          <w:highlight w:val="none"/>
        </w:rPr>
        <w:t>zfcg</w:t>
      </w:r>
      <w:r>
        <w:rPr>
          <w:rFonts w:ascii="宋体" w:hAnsi="宋体" w:eastAsia="宋体" w:cs="宋体"/>
          <w:color w:val="auto"/>
          <w:spacing w:val="10"/>
          <w:sz w:val="20"/>
          <w:szCs w:val="20"/>
          <w:highlight w:val="none"/>
        </w:rPr>
        <w:t>.</w:t>
      </w:r>
      <w:r>
        <w:rPr>
          <w:rFonts w:ascii="宋体" w:hAnsi="宋体" w:eastAsia="宋体" w:cs="宋体"/>
          <w:color w:val="auto"/>
          <w:sz w:val="20"/>
          <w:szCs w:val="20"/>
          <w:highlight w:val="none"/>
        </w:rPr>
        <w:t>gxzf</w:t>
      </w:r>
      <w:r>
        <w:rPr>
          <w:rFonts w:ascii="宋体" w:hAnsi="宋体" w:eastAsia="宋体" w:cs="宋体"/>
          <w:color w:val="auto"/>
          <w:spacing w:val="10"/>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10"/>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pacing w:val="10"/>
          <w:sz w:val="20"/>
          <w:szCs w:val="20"/>
          <w:highlight w:val="none"/>
        </w:rPr>
        <w:t>/</w:t>
      </w:r>
      <w:r>
        <w:rPr>
          <w:rFonts w:ascii="宋体" w:hAnsi="宋体" w:eastAsia="宋体" w:cs="宋体"/>
          <w:color w:val="auto"/>
          <w:spacing w:val="10"/>
          <w:sz w:val="20"/>
          <w:szCs w:val="20"/>
          <w:highlight w:val="none"/>
        </w:rPr>
        <w:fldChar w:fldCharType="end"/>
      </w:r>
      <w:r>
        <w:rPr>
          <w:rFonts w:ascii="宋体" w:hAnsi="宋体" w:eastAsia="宋体" w:cs="宋体"/>
          <w:color w:val="auto"/>
          <w:spacing w:val="10"/>
          <w:sz w:val="20"/>
          <w:szCs w:val="20"/>
          <w:highlight w:val="none"/>
        </w:rPr>
        <w:t>）-进入“项目</w:t>
      </w:r>
      <w:r>
        <w:rPr>
          <w:rFonts w:ascii="宋体" w:hAnsi="宋体" w:eastAsia="宋体" w:cs="宋体"/>
          <w:color w:val="auto"/>
          <w:spacing w:val="9"/>
          <w:sz w:val="20"/>
          <w:szCs w:val="20"/>
          <w:highlight w:val="none"/>
        </w:rPr>
        <w:t>采购”应用，在获取采购</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文件菜单中选择项目，获取采购文件（或在“广西政府采购</w:t>
      </w:r>
      <w:r>
        <w:rPr>
          <w:rFonts w:ascii="宋体" w:hAnsi="宋体" w:eastAsia="宋体" w:cs="宋体"/>
          <w:color w:val="auto"/>
          <w:spacing w:val="9"/>
          <w:sz w:val="20"/>
          <w:szCs w:val="20"/>
          <w:highlight w:val="none"/>
        </w:rPr>
        <w:t>云平台电子投标客户端-获取采购文件</w:t>
      </w:r>
      <w:r>
        <w:rPr>
          <w:rFonts w:ascii="宋体" w:hAnsi="宋体" w:eastAsia="宋体" w:cs="宋体"/>
          <w:color w:val="auto"/>
          <w:spacing w:val="-70"/>
          <w:sz w:val="20"/>
          <w:szCs w:val="20"/>
          <w:highlight w:val="none"/>
        </w:rPr>
        <w:t xml:space="preserve"> </w:t>
      </w:r>
      <w:r>
        <w:rPr>
          <w:rFonts w:ascii="宋体" w:hAnsi="宋体" w:eastAsia="宋体" w:cs="宋体"/>
          <w:color w:val="auto"/>
          <w:spacing w:val="9"/>
          <w:sz w:val="20"/>
          <w:szCs w:val="20"/>
          <w:highlight w:val="none"/>
        </w:rPr>
        <w:t>”</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跳转到广西政府采购云平台系统获取）。电子响应文件制作需要基于广西政府采购云平台获取的采购文件编制，通过其他方式获取采购文件的，将有可能导致供应商无法在广西政府采购云平台编制</w:t>
      </w:r>
      <w:r>
        <w:rPr>
          <w:rFonts w:ascii="宋体" w:hAnsi="宋体" w:eastAsia="宋体" w:cs="宋体"/>
          <w:color w:val="auto"/>
          <w:spacing w:val="7"/>
          <w:sz w:val="20"/>
          <w:szCs w:val="20"/>
          <w:highlight w:val="none"/>
        </w:rPr>
        <w:t>及上传响应文件。</w:t>
      </w:r>
    </w:p>
    <w:p w14:paraId="0B4AADD5">
      <w:pPr>
        <w:spacing w:before="154" w:line="227" w:lineRule="auto"/>
        <w:ind w:left="426"/>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4.售价：0</w:t>
      </w:r>
      <w:r>
        <w:rPr>
          <w:rFonts w:ascii="宋体" w:hAnsi="宋体" w:eastAsia="宋体" w:cs="宋体"/>
          <w:color w:val="auto"/>
          <w:spacing w:val="-33"/>
          <w:sz w:val="20"/>
          <w:szCs w:val="20"/>
          <w:highlight w:val="none"/>
        </w:rPr>
        <w:t xml:space="preserve"> </w:t>
      </w:r>
      <w:r>
        <w:rPr>
          <w:rFonts w:ascii="宋体" w:hAnsi="宋体" w:eastAsia="宋体" w:cs="宋体"/>
          <w:color w:val="auto"/>
          <w:spacing w:val="4"/>
          <w:sz w:val="20"/>
          <w:szCs w:val="20"/>
          <w:highlight w:val="none"/>
        </w:rPr>
        <w:t>元。</w:t>
      </w:r>
    </w:p>
    <w:p w14:paraId="5285A94F">
      <w:pPr>
        <w:spacing w:before="128" w:line="220" w:lineRule="auto"/>
        <w:ind w:left="511"/>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四、响应文件提交</w:t>
      </w:r>
    </w:p>
    <w:p w14:paraId="57F0250A">
      <w:pPr>
        <w:spacing w:before="139" w:line="299" w:lineRule="auto"/>
        <w:ind w:left="8" w:right="205" w:firstLine="434"/>
        <w:rPr>
          <w:rFonts w:ascii="宋体" w:hAnsi="宋体" w:eastAsia="宋体" w:cs="宋体"/>
          <w:color w:val="auto"/>
          <w:spacing w:val="7"/>
          <w:sz w:val="20"/>
          <w:szCs w:val="20"/>
          <w:highlight w:val="none"/>
          <w:u w:val="none" w:color="auto"/>
        </w:rPr>
      </w:pPr>
      <w:r>
        <w:rPr>
          <w:rFonts w:ascii="宋体" w:hAnsi="宋体" w:eastAsia="宋体" w:cs="宋体"/>
          <w:color w:val="auto"/>
          <w:spacing w:val="5"/>
          <w:sz w:val="20"/>
          <w:szCs w:val="20"/>
          <w:highlight w:val="none"/>
        </w:rPr>
        <w:t>1.首次响应文件提交截止时间（北京时间</w:t>
      </w:r>
      <w:r>
        <w:rPr>
          <w:rFonts w:ascii="宋体" w:hAnsi="宋体" w:eastAsia="宋体" w:cs="宋体"/>
          <w:color w:val="auto"/>
          <w:spacing w:val="-2"/>
          <w:sz w:val="20"/>
          <w:szCs w:val="20"/>
          <w:highlight w:val="none"/>
        </w:rPr>
        <w:t>）</w:t>
      </w:r>
      <w:r>
        <w:rPr>
          <w:rFonts w:ascii="宋体" w:hAnsi="宋体" w:eastAsia="宋体" w:cs="宋体"/>
          <w:color w:val="auto"/>
          <w:spacing w:val="-58"/>
          <w:sz w:val="20"/>
          <w:szCs w:val="20"/>
          <w:highlight w:val="none"/>
        </w:rPr>
        <w:t xml:space="preserve"> </w:t>
      </w:r>
      <w:r>
        <w:rPr>
          <w:rFonts w:ascii="宋体" w:hAnsi="宋体" w:eastAsia="宋体" w:cs="宋体"/>
          <w:color w:val="auto"/>
          <w:spacing w:val="-2"/>
          <w:sz w:val="20"/>
          <w:szCs w:val="20"/>
          <w:highlight w:val="none"/>
          <w:u w:val="none" w:color="auto"/>
        </w:rPr>
        <w:t>： 202</w:t>
      </w:r>
      <w:r>
        <w:rPr>
          <w:rFonts w:hint="eastAsia" w:ascii="宋体" w:hAnsi="宋体" w:eastAsia="宋体" w:cs="宋体"/>
          <w:color w:val="auto"/>
          <w:spacing w:val="-2"/>
          <w:sz w:val="20"/>
          <w:szCs w:val="20"/>
          <w:highlight w:val="none"/>
          <w:u w:val="none" w:color="auto"/>
          <w:lang w:val="en-US" w:eastAsia="zh-CN"/>
        </w:rPr>
        <w:t>6</w:t>
      </w:r>
      <w:r>
        <w:rPr>
          <w:rFonts w:ascii="宋体" w:hAnsi="宋体" w:eastAsia="宋体" w:cs="宋体"/>
          <w:color w:val="auto"/>
          <w:spacing w:val="-2"/>
          <w:sz w:val="20"/>
          <w:szCs w:val="20"/>
          <w:highlight w:val="none"/>
          <w:u w:val="none" w:color="auto"/>
        </w:rPr>
        <w:t xml:space="preserve"> 年</w:t>
      </w:r>
      <w:r>
        <w:rPr>
          <w:rFonts w:hint="eastAsia" w:ascii="宋体" w:hAnsi="宋体" w:eastAsia="宋体" w:cs="宋体"/>
          <w:color w:val="auto"/>
          <w:spacing w:val="-2"/>
          <w:sz w:val="20"/>
          <w:szCs w:val="20"/>
          <w:highlight w:val="none"/>
          <w:u w:val="none" w:color="auto"/>
          <w:lang w:val="en-US" w:eastAsia="zh-CN"/>
        </w:rPr>
        <w:t>6</w:t>
      </w:r>
      <w:r>
        <w:rPr>
          <w:rFonts w:ascii="宋体" w:hAnsi="宋体" w:eastAsia="宋体" w:cs="宋体"/>
          <w:color w:val="auto"/>
          <w:spacing w:val="-2"/>
          <w:sz w:val="20"/>
          <w:szCs w:val="20"/>
          <w:highlight w:val="none"/>
          <w:u w:val="none" w:color="auto"/>
        </w:rPr>
        <w:t>月</w:t>
      </w:r>
      <w:r>
        <w:rPr>
          <w:rFonts w:hint="eastAsia" w:ascii="宋体" w:hAnsi="宋体" w:eastAsia="宋体" w:cs="宋体"/>
          <w:color w:val="auto"/>
          <w:spacing w:val="-2"/>
          <w:sz w:val="20"/>
          <w:szCs w:val="20"/>
          <w:highlight w:val="none"/>
          <w:u w:val="none" w:color="auto"/>
          <w:lang w:val="en-US" w:eastAsia="zh-CN"/>
        </w:rPr>
        <w:t>29</w:t>
      </w:r>
      <w:r>
        <w:rPr>
          <w:rFonts w:ascii="宋体" w:hAnsi="宋体" w:eastAsia="宋体" w:cs="宋体"/>
          <w:color w:val="auto"/>
          <w:spacing w:val="-2"/>
          <w:sz w:val="20"/>
          <w:szCs w:val="20"/>
          <w:highlight w:val="none"/>
          <w:u w:val="none" w:color="auto"/>
        </w:rPr>
        <w:t>日</w:t>
      </w:r>
      <w:r>
        <w:rPr>
          <w:rFonts w:hint="eastAsia" w:ascii="宋体" w:hAnsi="宋体" w:eastAsia="宋体" w:cs="宋体"/>
          <w:color w:val="auto"/>
          <w:spacing w:val="-2"/>
          <w:sz w:val="20"/>
          <w:szCs w:val="20"/>
          <w:highlight w:val="none"/>
          <w:u w:val="none" w:color="auto"/>
          <w:lang w:val="en-US" w:eastAsia="zh-CN"/>
        </w:rPr>
        <w:t>9</w:t>
      </w:r>
      <w:r>
        <w:rPr>
          <w:rFonts w:ascii="宋体" w:hAnsi="宋体" w:eastAsia="宋体" w:cs="宋体"/>
          <w:color w:val="auto"/>
          <w:spacing w:val="-2"/>
          <w:sz w:val="20"/>
          <w:szCs w:val="20"/>
          <w:highlight w:val="none"/>
          <w:u w:val="none" w:color="auto"/>
        </w:rPr>
        <w:t>时</w:t>
      </w:r>
      <w:r>
        <w:rPr>
          <w:rFonts w:hint="eastAsia" w:ascii="宋体" w:hAnsi="宋体" w:eastAsia="宋体" w:cs="宋体"/>
          <w:color w:val="auto"/>
          <w:spacing w:val="-2"/>
          <w:sz w:val="20"/>
          <w:szCs w:val="20"/>
          <w:highlight w:val="none"/>
          <w:u w:val="none" w:color="auto"/>
          <w:lang w:val="en-US" w:eastAsia="zh-CN"/>
        </w:rPr>
        <w:t>3</w:t>
      </w:r>
      <w:r>
        <w:rPr>
          <w:rFonts w:ascii="宋体" w:hAnsi="宋体" w:eastAsia="宋体" w:cs="宋体"/>
          <w:color w:val="auto"/>
          <w:spacing w:val="-2"/>
          <w:sz w:val="20"/>
          <w:szCs w:val="20"/>
          <w:highlight w:val="none"/>
          <w:u w:val="none" w:color="auto"/>
        </w:rPr>
        <w:t>0 分</w:t>
      </w:r>
      <w:r>
        <w:rPr>
          <w:rFonts w:ascii="宋体" w:hAnsi="宋体" w:eastAsia="宋体" w:cs="宋体"/>
          <w:color w:val="auto"/>
          <w:spacing w:val="4"/>
          <w:sz w:val="20"/>
          <w:szCs w:val="20"/>
          <w:highlight w:val="none"/>
          <w:u w:val="none" w:color="auto"/>
        </w:rPr>
        <w:t>（从磋商文件开</w:t>
      </w:r>
      <w:r>
        <w:rPr>
          <w:rFonts w:ascii="宋体" w:hAnsi="宋体" w:eastAsia="宋体" w:cs="宋体"/>
          <w:color w:val="auto"/>
          <w:sz w:val="20"/>
          <w:szCs w:val="20"/>
          <w:highlight w:val="none"/>
          <w:u w:val="none" w:color="auto"/>
        </w:rPr>
        <w:t xml:space="preserve"> </w:t>
      </w:r>
      <w:r>
        <w:rPr>
          <w:rFonts w:ascii="宋体" w:hAnsi="宋体" w:eastAsia="宋体" w:cs="宋体"/>
          <w:color w:val="auto"/>
          <w:spacing w:val="7"/>
          <w:sz w:val="20"/>
          <w:szCs w:val="20"/>
          <w:highlight w:val="none"/>
          <w:u w:val="none" w:color="auto"/>
        </w:rPr>
        <w:t>始发出之日起至供应商提交首次响应文件截止之日止不得少于</w:t>
      </w:r>
      <w:r>
        <w:rPr>
          <w:rFonts w:ascii="宋体" w:hAnsi="宋体" w:eastAsia="宋体" w:cs="宋体"/>
          <w:color w:val="auto"/>
          <w:spacing w:val="-7"/>
          <w:sz w:val="20"/>
          <w:szCs w:val="20"/>
          <w:highlight w:val="none"/>
          <w:u w:val="none" w:color="auto"/>
        </w:rPr>
        <w:t xml:space="preserve"> </w:t>
      </w:r>
      <w:r>
        <w:rPr>
          <w:rFonts w:ascii="宋体" w:hAnsi="宋体" w:eastAsia="宋体" w:cs="宋体"/>
          <w:color w:val="auto"/>
          <w:spacing w:val="7"/>
          <w:sz w:val="20"/>
          <w:szCs w:val="20"/>
          <w:highlight w:val="none"/>
          <w:u w:val="none" w:color="auto"/>
        </w:rPr>
        <w:t>10 日）。</w:t>
      </w:r>
    </w:p>
    <w:p w14:paraId="4C120CA3">
      <w:pPr>
        <w:spacing w:before="153" w:line="322" w:lineRule="auto"/>
        <w:ind w:left="6" w:right="180" w:firstLine="425"/>
        <w:rPr>
          <w:rFonts w:ascii="宋体" w:hAnsi="宋体" w:eastAsia="宋体" w:cs="宋体"/>
          <w:color w:val="auto"/>
          <w:sz w:val="20"/>
          <w:szCs w:val="20"/>
          <w:highlight w:val="none"/>
        </w:rPr>
      </w:pPr>
      <w:r>
        <w:rPr>
          <w:rFonts w:hint="eastAsia" w:ascii="宋体" w:hAnsi="宋体" w:eastAsia="宋体" w:cs="宋体"/>
          <w:color w:val="auto"/>
          <w:spacing w:val="8"/>
          <w:sz w:val="20"/>
          <w:szCs w:val="20"/>
          <w:highlight w:val="none"/>
          <w:lang w:val="en-US" w:eastAsia="zh-CN"/>
        </w:rPr>
        <w:t>2</w:t>
      </w:r>
      <w:r>
        <w:rPr>
          <w:rFonts w:ascii="宋体" w:hAnsi="宋体" w:eastAsia="宋体" w:cs="宋体"/>
          <w:color w:val="auto"/>
          <w:spacing w:val="8"/>
          <w:sz w:val="20"/>
          <w:szCs w:val="20"/>
          <w:highlight w:val="none"/>
        </w:rPr>
        <w:t>.单位负责人为同一人或者存在直接控股、管理关系的不同供应</w:t>
      </w:r>
      <w:r>
        <w:rPr>
          <w:rFonts w:ascii="宋体" w:hAnsi="宋体" w:eastAsia="宋体" w:cs="宋体"/>
          <w:color w:val="auto"/>
          <w:spacing w:val="7"/>
          <w:sz w:val="20"/>
          <w:szCs w:val="20"/>
          <w:highlight w:val="none"/>
        </w:rPr>
        <w:t>商，不得参加同一合同项下的</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政府采购活动。为本项目提供过整体设计、规范编制或者项目</w:t>
      </w:r>
      <w:r>
        <w:rPr>
          <w:rFonts w:ascii="宋体" w:hAnsi="宋体" w:eastAsia="宋体" w:cs="宋体"/>
          <w:color w:val="auto"/>
          <w:spacing w:val="8"/>
          <w:sz w:val="20"/>
          <w:szCs w:val="20"/>
          <w:highlight w:val="none"/>
        </w:rPr>
        <w:t>管理、监理、检测等服务的供应商，</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不得再参加本项目上述服务以外的其他采购活动。</w:t>
      </w:r>
    </w:p>
    <w:p w14:paraId="1B8A4059">
      <w:pPr>
        <w:spacing w:before="153" w:line="322" w:lineRule="auto"/>
        <w:ind w:left="7" w:right="204" w:firstLine="421"/>
        <w:rPr>
          <w:rFonts w:ascii="宋体" w:hAnsi="宋体" w:eastAsia="宋体" w:cs="宋体"/>
          <w:color w:val="auto"/>
          <w:spacing w:val="7"/>
          <w:sz w:val="20"/>
          <w:szCs w:val="20"/>
          <w:highlight w:val="none"/>
          <w:u w:val="single" w:color="auto"/>
        </w:rPr>
      </w:pPr>
      <w:r>
        <w:rPr>
          <w:rFonts w:hint="eastAsia" w:ascii="宋体" w:hAnsi="宋体" w:eastAsia="宋体" w:cs="宋体"/>
          <w:color w:val="auto"/>
          <w:spacing w:val="17"/>
          <w:sz w:val="20"/>
          <w:szCs w:val="20"/>
          <w:highlight w:val="none"/>
          <w:lang w:val="en-US" w:eastAsia="zh-CN"/>
        </w:rPr>
        <w:t>3</w:t>
      </w:r>
      <w:r>
        <w:rPr>
          <w:rFonts w:ascii="宋体" w:hAnsi="宋体" w:eastAsia="宋体" w:cs="宋体"/>
          <w:color w:val="auto"/>
          <w:spacing w:val="17"/>
          <w:sz w:val="20"/>
          <w:szCs w:val="20"/>
          <w:highlight w:val="none"/>
        </w:rPr>
        <w:t>.对在“信用中国”网站(</w:t>
      </w:r>
      <w:r>
        <w:rPr>
          <w:color w:val="auto"/>
          <w:highlight w:val="none"/>
        </w:rPr>
        <w:fldChar w:fldCharType="begin"/>
      </w:r>
      <w:r>
        <w:rPr>
          <w:color w:val="auto"/>
          <w:highlight w:val="none"/>
        </w:rPr>
        <w:instrText xml:space="preserve"> HYPERLINK "https://www.creditchina.gov.cn" </w:instrText>
      </w:r>
      <w:r>
        <w:rPr>
          <w:color w:val="auto"/>
          <w:highlight w:val="none"/>
        </w:rPr>
        <w:fldChar w:fldCharType="separate"/>
      </w:r>
      <w:r>
        <w:rPr>
          <w:rFonts w:ascii="宋体" w:hAnsi="宋体" w:eastAsia="宋体" w:cs="宋体"/>
          <w:color w:val="auto"/>
          <w:sz w:val="20"/>
          <w:szCs w:val="20"/>
          <w:highlight w:val="none"/>
        </w:rPr>
        <w:t>www</w:t>
      </w:r>
      <w:r>
        <w:rPr>
          <w:rFonts w:ascii="宋体" w:hAnsi="宋体" w:eastAsia="宋体" w:cs="宋体"/>
          <w:color w:val="auto"/>
          <w:spacing w:val="17"/>
          <w:sz w:val="20"/>
          <w:szCs w:val="20"/>
          <w:highlight w:val="none"/>
        </w:rPr>
        <w:t>.</w:t>
      </w:r>
      <w:r>
        <w:rPr>
          <w:rFonts w:ascii="宋体" w:hAnsi="宋体" w:eastAsia="宋体" w:cs="宋体"/>
          <w:color w:val="auto"/>
          <w:sz w:val="20"/>
          <w:szCs w:val="20"/>
          <w:highlight w:val="none"/>
        </w:rPr>
        <w:t>creditchina</w:t>
      </w:r>
      <w:r>
        <w:rPr>
          <w:rFonts w:ascii="宋体" w:hAnsi="宋体" w:eastAsia="宋体" w:cs="宋体"/>
          <w:color w:val="auto"/>
          <w:spacing w:val="17"/>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17"/>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z w:val="20"/>
          <w:szCs w:val="20"/>
          <w:highlight w:val="none"/>
        </w:rPr>
        <w:fldChar w:fldCharType="end"/>
      </w:r>
      <w:r>
        <w:rPr>
          <w:rFonts w:ascii="宋体" w:hAnsi="宋体" w:eastAsia="宋体" w:cs="宋体"/>
          <w:color w:val="auto"/>
          <w:spacing w:val="17"/>
          <w:sz w:val="20"/>
          <w:szCs w:val="20"/>
          <w:highlight w:val="none"/>
        </w:rPr>
        <w:t>) 、中国政府采购网(</w:t>
      </w:r>
      <w:r>
        <w:rPr>
          <w:color w:val="auto"/>
          <w:highlight w:val="none"/>
        </w:rPr>
        <w:fldChar w:fldCharType="begin"/>
      </w:r>
      <w:r>
        <w:rPr>
          <w:color w:val="auto"/>
          <w:highlight w:val="none"/>
        </w:rPr>
        <w:instrText xml:space="preserve"> HYPERLINK "https://www.ccgp.gov.cn" </w:instrText>
      </w:r>
      <w:r>
        <w:rPr>
          <w:color w:val="auto"/>
          <w:highlight w:val="none"/>
        </w:rPr>
        <w:fldChar w:fldCharType="separate"/>
      </w:r>
      <w:r>
        <w:rPr>
          <w:rFonts w:ascii="宋体" w:hAnsi="宋体" w:eastAsia="宋体" w:cs="宋体"/>
          <w:color w:val="auto"/>
          <w:sz w:val="20"/>
          <w:szCs w:val="20"/>
          <w:highlight w:val="none"/>
        </w:rPr>
        <w:t>www</w:t>
      </w:r>
      <w:r>
        <w:rPr>
          <w:rFonts w:ascii="宋体" w:hAnsi="宋体" w:eastAsia="宋体" w:cs="宋体"/>
          <w:color w:val="auto"/>
          <w:spacing w:val="17"/>
          <w:sz w:val="20"/>
          <w:szCs w:val="20"/>
          <w:highlight w:val="none"/>
        </w:rPr>
        <w:t>.</w:t>
      </w:r>
      <w:r>
        <w:rPr>
          <w:rFonts w:ascii="宋体" w:hAnsi="宋体" w:eastAsia="宋体" w:cs="宋体"/>
          <w:color w:val="auto"/>
          <w:sz w:val="20"/>
          <w:szCs w:val="20"/>
          <w:highlight w:val="none"/>
        </w:rPr>
        <w:t>ccgp</w:t>
      </w:r>
      <w:r>
        <w:rPr>
          <w:rFonts w:ascii="宋体" w:hAnsi="宋体" w:eastAsia="宋体" w:cs="宋体"/>
          <w:color w:val="auto"/>
          <w:spacing w:val="16"/>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16"/>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z w:val="20"/>
          <w:szCs w:val="20"/>
          <w:highlight w:val="none"/>
        </w:rPr>
        <w:fldChar w:fldCharType="end"/>
      </w:r>
      <w:r>
        <w:rPr>
          <w:rFonts w:ascii="宋体" w:hAnsi="宋体" w:eastAsia="宋体" w:cs="宋体"/>
          <w:color w:val="auto"/>
          <w:spacing w:val="16"/>
          <w:sz w:val="20"/>
          <w:szCs w:val="20"/>
          <w:highlight w:val="none"/>
        </w:rPr>
        <w:t>)</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被列入失信被执行人、重大税收违法失信主体、政府采购严重违法失信行为记录名单及其他不符合</w:t>
      </w:r>
      <w:r>
        <w:rPr>
          <w:rFonts w:ascii="宋体" w:hAnsi="宋体" w:eastAsia="宋体" w:cs="宋体"/>
          <w:color w:val="auto"/>
          <w:spacing w:val="1"/>
          <w:sz w:val="20"/>
          <w:szCs w:val="20"/>
          <w:highlight w:val="none"/>
        </w:rPr>
        <w:t xml:space="preserve"> </w:t>
      </w:r>
      <w:r>
        <w:rPr>
          <w:rFonts w:ascii="宋体" w:hAnsi="宋体" w:eastAsia="宋体" w:cs="宋体"/>
          <w:color w:val="auto"/>
          <w:spacing w:val="9"/>
          <w:sz w:val="20"/>
          <w:szCs w:val="20"/>
          <w:highlight w:val="none"/>
        </w:rPr>
        <w:t>《中华人民共和国政府采购法》第二十二条规定条件的供应商，不得参与政府采购活动。</w:t>
      </w:r>
    </w:p>
    <w:p w14:paraId="7022DE17">
      <w:pPr>
        <w:spacing w:before="154" w:line="223" w:lineRule="auto"/>
        <w:ind w:left="430"/>
        <w:rPr>
          <w:rFonts w:ascii="宋体" w:hAnsi="宋体" w:eastAsia="宋体" w:cs="宋体"/>
          <w:color w:val="auto"/>
          <w:spacing w:val="11"/>
          <w:sz w:val="20"/>
          <w:szCs w:val="20"/>
          <w:highlight w:val="none"/>
          <w:u w:val="none" w:color="auto"/>
        </w:rPr>
      </w:pPr>
      <w:r>
        <w:rPr>
          <w:rFonts w:hint="eastAsia" w:ascii="宋体" w:hAnsi="宋体" w:eastAsia="宋体" w:cs="宋体"/>
          <w:color w:val="auto"/>
          <w:spacing w:val="12"/>
          <w:sz w:val="20"/>
          <w:szCs w:val="20"/>
          <w:highlight w:val="none"/>
          <w:lang w:val="en-US" w:eastAsia="zh-CN"/>
        </w:rPr>
        <w:t>4</w:t>
      </w:r>
      <w:r>
        <w:rPr>
          <w:rFonts w:ascii="宋体" w:hAnsi="宋体" w:eastAsia="宋体" w:cs="宋体"/>
          <w:color w:val="auto"/>
          <w:spacing w:val="12"/>
          <w:sz w:val="20"/>
          <w:szCs w:val="20"/>
          <w:highlight w:val="none"/>
        </w:rPr>
        <w:t>.首次响应文件提交地点：</w:t>
      </w:r>
      <w:r>
        <w:rPr>
          <w:rFonts w:ascii="宋体" w:hAnsi="宋体" w:eastAsia="宋体" w:cs="宋体"/>
          <w:color w:val="auto"/>
          <w:spacing w:val="12"/>
          <w:sz w:val="20"/>
          <w:szCs w:val="20"/>
          <w:highlight w:val="none"/>
          <w:u w:val="none" w:color="auto"/>
        </w:rPr>
        <w:t>广西政府采购</w:t>
      </w:r>
      <w:r>
        <w:rPr>
          <w:rFonts w:ascii="宋体" w:hAnsi="宋体" w:eastAsia="宋体" w:cs="宋体"/>
          <w:color w:val="auto"/>
          <w:spacing w:val="11"/>
          <w:sz w:val="20"/>
          <w:szCs w:val="20"/>
          <w:highlight w:val="none"/>
          <w:u w:val="none" w:color="auto"/>
        </w:rPr>
        <w:t>云平台（</w:t>
      </w:r>
      <w:r>
        <w:rPr>
          <w:color w:val="auto"/>
          <w:highlight w:val="none"/>
          <w:u w:val="none" w:color="auto"/>
        </w:rPr>
        <w:fldChar w:fldCharType="begin"/>
      </w:r>
      <w:r>
        <w:rPr>
          <w:color w:val="auto"/>
          <w:highlight w:val="none"/>
          <w:u w:val="none" w:color="auto"/>
        </w:rPr>
        <w:instrText xml:space="preserve"> HYPERLINK "https://www.gcy.zfcg.gxzf.gov.cn/" </w:instrText>
      </w:r>
      <w:r>
        <w:rPr>
          <w:color w:val="auto"/>
          <w:highlight w:val="none"/>
          <w:u w:val="none" w:color="auto"/>
        </w:rPr>
        <w:fldChar w:fldCharType="separate"/>
      </w:r>
      <w:r>
        <w:rPr>
          <w:rFonts w:ascii="宋体" w:hAnsi="宋体" w:eastAsia="宋体" w:cs="宋体"/>
          <w:color w:val="auto"/>
          <w:sz w:val="20"/>
          <w:szCs w:val="20"/>
          <w:highlight w:val="none"/>
          <w:u w:val="none" w:color="auto"/>
        </w:rPr>
        <w:t>https</w:t>
      </w:r>
      <w:r>
        <w:rPr>
          <w:rFonts w:ascii="宋体" w:hAnsi="宋体" w:eastAsia="宋体" w:cs="宋体"/>
          <w:color w:val="auto"/>
          <w:spacing w:val="11"/>
          <w:sz w:val="20"/>
          <w:szCs w:val="20"/>
          <w:highlight w:val="none"/>
          <w:u w:val="none" w:color="auto"/>
        </w:rPr>
        <w:t>://</w:t>
      </w:r>
      <w:r>
        <w:rPr>
          <w:rFonts w:ascii="宋体" w:hAnsi="宋体" w:eastAsia="宋体" w:cs="宋体"/>
          <w:color w:val="auto"/>
          <w:sz w:val="20"/>
          <w:szCs w:val="20"/>
          <w:highlight w:val="none"/>
          <w:u w:val="none" w:color="auto"/>
        </w:rPr>
        <w:t>www</w:t>
      </w:r>
      <w:r>
        <w:rPr>
          <w:rFonts w:ascii="宋体" w:hAnsi="宋体" w:eastAsia="宋体" w:cs="宋体"/>
          <w:color w:val="auto"/>
          <w:spacing w:val="11"/>
          <w:sz w:val="20"/>
          <w:szCs w:val="20"/>
          <w:highlight w:val="none"/>
          <w:u w:val="none" w:color="auto"/>
        </w:rPr>
        <w:t>.</w:t>
      </w:r>
      <w:r>
        <w:rPr>
          <w:rFonts w:ascii="宋体" w:hAnsi="宋体" w:eastAsia="宋体" w:cs="宋体"/>
          <w:color w:val="auto"/>
          <w:sz w:val="20"/>
          <w:szCs w:val="20"/>
          <w:highlight w:val="none"/>
          <w:u w:val="none" w:color="auto"/>
        </w:rPr>
        <w:t>gcy</w:t>
      </w:r>
      <w:r>
        <w:rPr>
          <w:rFonts w:ascii="宋体" w:hAnsi="宋体" w:eastAsia="宋体" w:cs="宋体"/>
          <w:color w:val="auto"/>
          <w:spacing w:val="11"/>
          <w:sz w:val="20"/>
          <w:szCs w:val="20"/>
          <w:highlight w:val="none"/>
          <w:u w:val="none" w:color="auto"/>
        </w:rPr>
        <w:t>.</w:t>
      </w:r>
      <w:r>
        <w:rPr>
          <w:rFonts w:ascii="宋体" w:hAnsi="宋体" w:eastAsia="宋体" w:cs="宋体"/>
          <w:color w:val="auto"/>
          <w:sz w:val="20"/>
          <w:szCs w:val="20"/>
          <w:highlight w:val="none"/>
          <w:u w:val="none" w:color="auto"/>
        </w:rPr>
        <w:t>zfcg</w:t>
      </w:r>
      <w:r>
        <w:rPr>
          <w:rFonts w:ascii="宋体" w:hAnsi="宋体" w:eastAsia="宋体" w:cs="宋体"/>
          <w:color w:val="auto"/>
          <w:spacing w:val="11"/>
          <w:sz w:val="20"/>
          <w:szCs w:val="20"/>
          <w:highlight w:val="none"/>
          <w:u w:val="none" w:color="auto"/>
        </w:rPr>
        <w:t>.</w:t>
      </w:r>
      <w:r>
        <w:rPr>
          <w:rFonts w:ascii="宋体" w:hAnsi="宋体" w:eastAsia="宋体" w:cs="宋体"/>
          <w:color w:val="auto"/>
          <w:sz w:val="20"/>
          <w:szCs w:val="20"/>
          <w:highlight w:val="none"/>
          <w:u w:val="none" w:color="auto"/>
        </w:rPr>
        <w:t>gxzf</w:t>
      </w:r>
      <w:r>
        <w:rPr>
          <w:rFonts w:ascii="宋体" w:hAnsi="宋体" w:eastAsia="宋体" w:cs="宋体"/>
          <w:color w:val="auto"/>
          <w:spacing w:val="11"/>
          <w:sz w:val="20"/>
          <w:szCs w:val="20"/>
          <w:highlight w:val="none"/>
          <w:u w:val="none" w:color="auto"/>
        </w:rPr>
        <w:t>.</w:t>
      </w:r>
      <w:r>
        <w:rPr>
          <w:rFonts w:ascii="宋体" w:hAnsi="宋体" w:eastAsia="宋体" w:cs="宋体"/>
          <w:color w:val="auto"/>
          <w:sz w:val="20"/>
          <w:szCs w:val="20"/>
          <w:highlight w:val="none"/>
          <w:u w:val="none" w:color="auto"/>
        </w:rPr>
        <w:t>gov</w:t>
      </w:r>
      <w:r>
        <w:rPr>
          <w:rFonts w:ascii="宋体" w:hAnsi="宋体" w:eastAsia="宋体" w:cs="宋体"/>
          <w:color w:val="auto"/>
          <w:spacing w:val="11"/>
          <w:sz w:val="20"/>
          <w:szCs w:val="20"/>
          <w:highlight w:val="none"/>
          <w:u w:val="none" w:color="auto"/>
        </w:rPr>
        <w:t>.</w:t>
      </w:r>
      <w:r>
        <w:rPr>
          <w:rFonts w:ascii="宋体" w:hAnsi="宋体" w:eastAsia="宋体" w:cs="宋体"/>
          <w:color w:val="auto"/>
          <w:sz w:val="20"/>
          <w:szCs w:val="20"/>
          <w:highlight w:val="none"/>
          <w:u w:val="none" w:color="auto"/>
        </w:rPr>
        <w:t>cn</w:t>
      </w:r>
      <w:r>
        <w:rPr>
          <w:rFonts w:ascii="宋体" w:hAnsi="宋体" w:eastAsia="宋体" w:cs="宋体"/>
          <w:color w:val="auto"/>
          <w:spacing w:val="11"/>
          <w:sz w:val="20"/>
          <w:szCs w:val="20"/>
          <w:highlight w:val="none"/>
          <w:u w:val="none" w:color="auto"/>
        </w:rPr>
        <w:t>/</w:t>
      </w:r>
      <w:r>
        <w:rPr>
          <w:rFonts w:ascii="宋体" w:hAnsi="宋体" w:eastAsia="宋体" w:cs="宋体"/>
          <w:color w:val="auto"/>
          <w:spacing w:val="11"/>
          <w:sz w:val="20"/>
          <w:szCs w:val="20"/>
          <w:highlight w:val="none"/>
          <w:u w:val="none" w:color="auto"/>
        </w:rPr>
        <w:fldChar w:fldCharType="end"/>
      </w:r>
      <w:r>
        <w:rPr>
          <w:rFonts w:ascii="宋体" w:hAnsi="宋体" w:eastAsia="宋体" w:cs="宋体"/>
          <w:color w:val="auto"/>
          <w:spacing w:val="11"/>
          <w:sz w:val="20"/>
          <w:szCs w:val="20"/>
          <w:highlight w:val="none"/>
          <w:u w:val="none" w:color="auto"/>
        </w:rPr>
        <w:t>）</w:t>
      </w:r>
    </w:p>
    <w:p w14:paraId="512460C9">
      <w:pPr>
        <w:spacing w:before="156" w:line="228" w:lineRule="auto"/>
        <w:ind w:left="431"/>
        <w:rPr>
          <w:rFonts w:ascii="宋体" w:hAnsi="宋体" w:eastAsia="宋体" w:cs="宋体"/>
          <w:color w:val="auto"/>
          <w:sz w:val="20"/>
          <w:szCs w:val="20"/>
          <w:highlight w:val="none"/>
          <w:u w:val="none" w:color="auto"/>
        </w:rPr>
      </w:pPr>
      <w:r>
        <w:rPr>
          <w:rFonts w:hint="eastAsia" w:ascii="宋体" w:hAnsi="宋体" w:eastAsia="宋体" w:cs="宋体"/>
          <w:color w:val="auto"/>
          <w:spacing w:val="9"/>
          <w:sz w:val="20"/>
          <w:szCs w:val="20"/>
          <w:highlight w:val="none"/>
          <w:u w:val="none" w:color="auto"/>
          <w:lang w:val="en-US" w:eastAsia="zh-CN"/>
        </w:rPr>
        <w:t>5</w:t>
      </w:r>
      <w:r>
        <w:rPr>
          <w:rFonts w:ascii="宋体" w:hAnsi="宋体" w:eastAsia="宋体" w:cs="宋体"/>
          <w:color w:val="auto"/>
          <w:spacing w:val="9"/>
          <w:sz w:val="20"/>
          <w:szCs w:val="20"/>
          <w:highlight w:val="none"/>
          <w:u w:val="none" w:color="auto"/>
        </w:rPr>
        <w:t>.响应文件提交方式：本项目为全流程电子化项目，通过广西政府采购云平台</w:t>
      </w:r>
    </w:p>
    <w:p w14:paraId="4A44A8AB">
      <w:pPr>
        <w:spacing w:before="156" w:line="369" w:lineRule="auto"/>
        <w:ind w:left="6" w:right="203" w:firstLine="10"/>
        <w:jc w:val="both"/>
        <w:rPr>
          <w:rFonts w:ascii="宋体" w:hAnsi="宋体" w:eastAsia="宋体" w:cs="宋体"/>
          <w:color w:val="auto"/>
          <w:spacing w:val="11"/>
          <w:sz w:val="20"/>
          <w:szCs w:val="20"/>
          <w:highlight w:val="none"/>
        </w:rPr>
      </w:pPr>
      <w:r>
        <w:rPr>
          <w:rFonts w:ascii="宋体" w:hAnsi="宋体" w:eastAsia="宋体" w:cs="宋体"/>
          <w:color w:val="auto"/>
          <w:spacing w:val="12"/>
          <w:sz w:val="20"/>
          <w:szCs w:val="20"/>
          <w:highlight w:val="none"/>
        </w:rPr>
        <w:t>（</w:t>
      </w:r>
      <w:r>
        <w:rPr>
          <w:color w:val="auto"/>
          <w:highlight w:val="none"/>
        </w:rPr>
        <w:fldChar w:fldCharType="begin"/>
      </w:r>
      <w:r>
        <w:rPr>
          <w:color w:val="auto"/>
          <w:highlight w:val="none"/>
        </w:rPr>
        <w:instrText xml:space="preserve"> HYPERLINK "https://www.gcy.zfcg.gxzf.gov.cn/" </w:instrText>
      </w:r>
      <w:r>
        <w:rPr>
          <w:color w:val="auto"/>
          <w:highlight w:val="none"/>
        </w:rPr>
        <w:fldChar w:fldCharType="separate"/>
      </w:r>
      <w:r>
        <w:rPr>
          <w:rFonts w:ascii="宋体" w:hAnsi="宋体" w:eastAsia="宋体" w:cs="宋体"/>
          <w:color w:val="auto"/>
          <w:sz w:val="20"/>
          <w:szCs w:val="20"/>
          <w:highlight w:val="none"/>
        </w:rPr>
        <w:t>https</w:t>
      </w:r>
      <w:r>
        <w:rPr>
          <w:rFonts w:ascii="宋体" w:hAnsi="宋体" w:eastAsia="宋体" w:cs="宋体"/>
          <w:color w:val="auto"/>
          <w:spacing w:val="12"/>
          <w:sz w:val="20"/>
          <w:szCs w:val="20"/>
          <w:highlight w:val="none"/>
        </w:rPr>
        <w:t>://</w:t>
      </w:r>
      <w:r>
        <w:rPr>
          <w:rFonts w:ascii="宋体" w:hAnsi="宋体" w:eastAsia="宋体" w:cs="宋体"/>
          <w:color w:val="auto"/>
          <w:sz w:val="20"/>
          <w:szCs w:val="20"/>
          <w:highlight w:val="none"/>
        </w:rPr>
        <w:t>www</w:t>
      </w:r>
      <w:r>
        <w:rPr>
          <w:rFonts w:ascii="宋体" w:hAnsi="宋体" w:eastAsia="宋体" w:cs="宋体"/>
          <w:color w:val="auto"/>
          <w:spacing w:val="12"/>
          <w:sz w:val="20"/>
          <w:szCs w:val="20"/>
          <w:highlight w:val="none"/>
        </w:rPr>
        <w:t>.</w:t>
      </w:r>
      <w:r>
        <w:rPr>
          <w:rFonts w:ascii="宋体" w:hAnsi="宋体" w:eastAsia="宋体" w:cs="宋体"/>
          <w:color w:val="auto"/>
          <w:sz w:val="20"/>
          <w:szCs w:val="20"/>
          <w:highlight w:val="none"/>
        </w:rPr>
        <w:t>gcy</w:t>
      </w:r>
      <w:r>
        <w:rPr>
          <w:rFonts w:ascii="宋体" w:hAnsi="宋体" w:eastAsia="宋体" w:cs="宋体"/>
          <w:color w:val="auto"/>
          <w:spacing w:val="12"/>
          <w:sz w:val="20"/>
          <w:szCs w:val="20"/>
          <w:highlight w:val="none"/>
        </w:rPr>
        <w:t>.</w:t>
      </w:r>
      <w:r>
        <w:rPr>
          <w:rFonts w:ascii="宋体" w:hAnsi="宋体" w:eastAsia="宋体" w:cs="宋体"/>
          <w:color w:val="auto"/>
          <w:sz w:val="20"/>
          <w:szCs w:val="20"/>
          <w:highlight w:val="none"/>
        </w:rPr>
        <w:t>zfcg</w:t>
      </w:r>
      <w:r>
        <w:rPr>
          <w:rFonts w:ascii="宋体" w:hAnsi="宋体" w:eastAsia="宋体" w:cs="宋体"/>
          <w:color w:val="auto"/>
          <w:spacing w:val="12"/>
          <w:sz w:val="20"/>
          <w:szCs w:val="20"/>
          <w:highlight w:val="none"/>
        </w:rPr>
        <w:t>.</w:t>
      </w:r>
      <w:r>
        <w:rPr>
          <w:rFonts w:ascii="宋体" w:hAnsi="宋体" w:eastAsia="宋体" w:cs="宋体"/>
          <w:color w:val="auto"/>
          <w:sz w:val="20"/>
          <w:szCs w:val="20"/>
          <w:highlight w:val="none"/>
        </w:rPr>
        <w:t>gxzf</w:t>
      </w:r>
      <w:r>
        <w:rPr>
          <w:rFonts w:ascii="宋体" w:hAnsi="宋体" w:eastAsia="宋体" w:cs="宋体"/>
          <w:color w:val="auto"/>
          <w:spacing w:val="12"/>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12"/>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pacing w:val="12"/>
          <w:sz w:val="20"/>
          <w:szCs w:val="20"/>
          <w:highlight w:val="none"/>
        </w:rPr>
        <w:t>/</w:t>
      </w:r>
      <w:r>
        <w:rPr>
          <w:rFonts w:ascii="宋体" w:hAnsi="宋体" w:eastAsia="宋体" w:cs="宋体"/>
          <w:color w:val="auto"/>
          <w:spacing w:val="12"/>
          <w:sz w:val="20"/>
          <w:szCs w:val="20"/>
          <w:highlight w:val="none"/>
        </w:rPr>
        <w:fldChar w:fldCharType="end"/>
      </w:r>
      <w:r>
        <w:rPr>
          <w:rFonts w:ascii="宋体" w:hAnsi="宋体" w:eastAsia="宋体" w:cs="宋体"/>
          <w:color w:val="auto"/>
          <w:spacing w:val="12"/>
          <w:sz w:val="20"/>
          <w:szCs w:val="20"/>
          <w:highlight w:val="none"/>
        </w:rPr>
        <w:t>）实行在线电子响应</w:t>
      </w:r>
      <w:r>
        <w:rPr>
          <w:rFonts w:ascii="宋体" w:hAnsi="宋体" w:eastAsia="宋体" w:cs="宋体"/>
          <w:color w:val="auto"/>
          <w:spacing w:val="11"/>
          <w:sz w:val="20"/>
          <w:szCs w:val="20"/>
          <w:highlight w:val="none"/>
        </w:rPr>
        <w:t>，供应商应先安装“广西政府采购云</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电子交易客户端</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”（请自行前往广西政府采购云平台进行下载</w:t>
      </w:r>
      <w:r>
        <w:rPr>
          <w:rFonts w:ascii="宋体" w:hAnsi="宋体" w:eastAsia="宋体" w:cs="宋体"/>
          <w:color w:val="auto"/>
          <w:sz w:val="20"/>
          <w:szCs w:val="20"/>
          <w:highlight w:val="none"/>
        </w:rPr>
        <w:t>），</w:t>
      </w:r>
      <w:r>
        <w:rPr>
          <w:rFonts w:ascii="宋体" w:hAnsi="宋体" w:eastAsia="宋体" w:cs="宋体"/>
          <w:color w:val="auto"/>
          <w:spacing w:val="8"/>
          <w:sz w:val="20"/>
          <w:szCs w:val="20"/>
          <w:highlight w:val="none"/>
        </w:rPr>
        <w:t>并按</w:t>
      </w:r>
      <w:r>
        <w:rPr>
          <w:rFonts w:ascii="宋体" w:hAnsi="宋体" w:eastAsia="宋体" w:cs="宋体"/>
          <w:color w:val="auto"/>
          <w:spacing w:val="7"/>
          <w:sz w:val="20"/>
          <w:szCs w:val="20"/>
          <w:highlight w:val="none"/>
        </w:rPr>
        <w:t>照本项目采购文件和广西政</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府采购云平台的要求编制、加密后在投标截止时间前通过网络上传至广西政府采购云平台，供应商</w:t>
      </w:r>
      <w:r>
        <w:rPr>
          <w:rFonts w:ascii="宋体" w:hAnsi="宋体" w:eastAsia="宋体" w:cs="宋体"/>
          <w:color w:val="auto"/>
          <w:spacing w:val="4"/>
          <w:sz w:val="20"/>
          <w:szCs w:val="20"/>
          <w:highlight w:val="none"/>
        </w:rPr>
        <w:t xml:space="preserve"> </w:t>
      </w:r>
      <w:r>
        <w:rPr>
          <w:rFonts w:ascii="宋体" w:hAnsi="宋体" w:eastAsia="宋体" w:cs="宋体"/>
          <w:color w:val="auto"/>
          <w:spacing w:val="10"/>
          <w:sz w:val="20"/>
          <w:szCs w:val="20"/>
          <w:highlight w:val="none"/>
        </w:rPr>
        <w:t>在广西政府采购云平台提交电子版响应文件时</w:t>
      </w:r>
      <w:r>
        <w:rPr>
          <w:rFonts w:ascii="宋体" w:hAnsi="宋体" w:eastAsia="宋体" w:cs="宋体"/>
          <w:color w:val="auto"/>
          <w:spacing w:val="9"/>
          <w:sz w:val="20"/>
          <w:szCs w:val="20"/>
          <w:highlight w:val="none"/>
        </w:rPr>
        <w:t>，请填写参加远程采购活动经办人联系方</w:t>
      </w:r>
      <w:r>
        <w:rPr>
          <w:rFonts w:ascii="宋体" w:hAnsi="宋体" w:eastAsia="宋体" w:cs="宋体"/>
          <w:color w:val="auto"/>
          <w:spacing w:val="11"/>
          <w:sz w:val="20"/>
          <w:szCs w:val="20"/>
          <w:highlight w:val="none"/>
        </w:rPr>
        <w:t>式。</w:t>
      </w:r>
    </w:p>
    <w:p w14:paraId="1B659538">
      <w:pPr>
        <w:spacing w:before="156" w:line="369" w:lineRule="auto"/>
        <w:ind w:right="203" w:firstLine="222" w:firstLineChars="100"/>
        <w:jc w:val="both"/>
        <w:rPr>
          <w:rFonts w:ascii="宋体" w:hAnsi="宋体" w:eastAsia="宋体" w:cs="宋体"/>
          <w:color w:val="auto"/>
          <w:spacing w:val="11"/>
          <w:sz w:val="20"/>
          <w:szCs w:val="20"/>
          <w:highlight w:val="none"/>
          <w:lang w:val="en-US" w:eastAsia="en-US"/>
        </w:rPr>
      </w:pPr>
      <w:r>
        <w:rPr>
          <w:rFonts w:ascii="宋体" w:hAnsi="宋体" w:eastAsia="宋体" w:cs="宋体"/>
          <w:color w:val="auto"/>
          <w:spacing w:val="11"/>
          <w:sz w:val="20"/>
          <w:szCs w:val="20"/>
          <w:highlight w:val="none"/>
          <w:lang w:val="en-US" w:eastAsia="en-US"/>
        </w:rPr>
        <w:t>(1)未进行网上注册并办理数字证书（CA 认证）的供应商将无法参与本项目政府采购活动，潜 在供应商应当在投标截止时间前，完成电子交易平台上的 CA 数字证书办理（申领流程见本公告附 件 1）及响应文件的提交。完成 CA 数字证书办理预计 7 日左右，供应商只需办理其中一家 CA 数 字证书及签章。</w:t>
      </w:r>
    </w:p>
    <w:p w14:paraId="70CC9022">
      <w:pPr>
        <w:spacing w:before="65" w:line="370" w:lineRule="auto"/>
        <w:ind w:right="15" w:firstLine="218" w:firstLineChars="10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(2)为确保网上操作合法、有效和安全，请供</w:t>
      </w:r>
      <w:r>
        <w:rPr>
          <w:rFonts w:ascii="宋体" w:hAnsi="宋体" w:eastAsia="宋体" w:cs="宋体"/>
          <w:color w:val="auto"/>
          <w:spacing w:val="8"/>
          <w:sz w:val="20"/>
          <w:szCs w:val="20"/>
          <w:highlight w:val="none"/>
        </w:rPr>
        <w:t>应商确保在电子响应过程中能够对相关数据电文</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 xml:space="preserve">进行加密和使用电子签章，妥善保管 </w:t>
      </w:r>
      <w:r>
        <w:rPr>
          <w:rFonts w:ascii="宋体" w:hAnsi="宋体" w:eastAsia="宋体" w:cs="宋体"/>
          <w:color w:val="auto"/>
          <w:sz w:val="20"/>
          <w:szCs w:val="20"/>
          <w:highlight w:val="none"/>
        </w:rPr>
        <w:t>CA</w:t>
      </w:r>
      <w:r>
        <w:rPr>
          <w:rFonts w:ascii="宋体" w:hAnsi="宋体" w:eastAsia="宋体" w:cs="宋体"/>
          <w:color w:val="auto"/>
          <w:spacing w:val="9"/>
          <w:sz w:val="20"/>
          <w:szCs w:val="20"/>
          <w:highlight w:val="none"/>
        </w:rPr>
        <w:t xml:space="preserve"> 数字证书并使用有效的 </w:t>
      </w:r>
      <w:r>
        <w:rPr>
          <w:rFonts w:ascii="宋体" w:hAnsi="宋体" w:eastAsia="宋体" w:cs="宋体"/>
          <w:color w:val="auto"/>
          <w:sz w:val="20"/>
          <w:szCs w:val="20"/>
          <w:highlight w:val="none"/>
        </w:rPr>
        <w:t>CA</w:t>
      </w:r>
      <w:r>
        <w:rPr>
          <w:rFonts w:ascii="宋体" w:hAnsi="宋体" w:eastAsia="宋体" w:cs="宋体"/>
          <w:color w:val="auto"/>
          <w:spacing w:val="9"/>
          <w:sz w:val="20"/>
          <w:szCs w:val="20"/>
          <w:highlight w:val="none"/>
        </w:rPr>
        <w:t xml:space="preserve"> 数字证书参与整个采购活动。</w:t>
      </w:r>
    </w:p>
    <w:p w14:paraId="01FC8AAB">
      <w:pPr>
        <w:spacing w:before="3" w:line="368" w:lineRule="auto"/>
        <w:ind w:left="6" w:firstLine="42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注：供应商应当在首次响应文件提交截止时间前完成电子响应文件的上传、递交，响应文件提</w:t>
      </w:r>
      <w:r>
        <w:rPr>
          <w:rFonts w:ascii="宋体" w:hAnsi="宋体" w:eastAsia="宋体" w:cs="宋体"/>
          <w:color w:val="auto"/>
          <w:sz w:val="20"/>
          <w:szCs w:val="20"/>
          <w:highlight w:val="none"/>
        </w:rPr>
        <w:t xml:space="preserve"> </w:t>
      </w:r>
      <w:r>
        <w:rPr>
          <w:rFonts w:ascii="宋体" w:hAnsi="宋体" w:eastAsia="宋体" w:cs="宋体"/>
          <w:color w:val="auto"/>
          <w:spacing w:val="5"/>
          <w:sz w:val="20"/>
          <w:szCs w:val="20"/>
          <w:highlight w:val="none"/>
        </w:rPr>
        <w:t>交截止时间前可以补充、修改或者撤回响应文件。补充或者</w:t>
      </w:r>
      <w:r>
        <w:rPr>
          <w:rFonts w:ascii="宋体" w:hAnsi="宋体" w:eastAsia="宋体" w:cs="宋体"/>
          <w:color w:val="auto"/>
          <w:spacing w:val="4"/>
          <w:sz w:val="20"/>
          <w:szCs w:val="20"/>
          <w:highlight w:val="none"/>
        </w:rPr>
        <w:t>修改响应文件的，应当先行撤回原文件，</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补充、修改后重新上传、递交。响应截止时间前未完成上传、递交的，视为撤回响应文件。响应文</w:t>
      </w:r>
      <w:r>
        <w:rPr>
          <w:rFonts w:ascii="宋体" w:hAnsi="宋体" w:eastAsia="宋体" w:cs="宋体"/>
          <w:color w:val="auto"/>
          <w:spacing w:val="4"/>
          <w:sz w:val="20"/>
          <w:szCs w:val="20"/>
          <w:highlight w:val="none"/>
        </w:rPr>
        <w:t xml:space="preserve"> </w:t>
      </w:r>
      <w:r>
        <w:rPr>
          <w:rFonts w:ascii="宋体" w:hAnsi="宋体" w:eastAsia="宋体" w:cs="宋体"/>
          <w:color w:val="auto"/>
          <w:spacing w:val="9"/>
          <w:sz w:val="20"/>
          <w:szCs w:val="20"/>
          <w:highlight w:val="none"/>
        </w:rPr>
        <w:t>件提交截止时间以后上传递交的响应文件的，广西政府采购云平台将予以拒收。</w:t>
      </w:r>
    </w:p>
    <w:p w14:paraId="4F979652">
      <w:pPr>
        <w:spacing w:before="1" w:line="322" w:lineRule="auto"/>
        <w:ind w:left="9" w:right="87" w:firstLine="433"/>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1.</w:t>
      </w:r>
      <w:r>
        <w:rPr>
          <w:rFonts w:ascii="宋体" w:hAnsi="宋体" w:eastAsia="宋体" w:cs="宋体"/>
          <w:color w:val="auto"/>
          <w:sz w:val="20"/>
          <w:szCs w:val="20"/>
          <w:highlight w:val="none"/>
        </w:rPr>
        <w:t>CA</w:t>
      </w:r>
      <w:r>
        <w:rPr>
          <w:rFonts w:ascii="宋体" w:hAnsi="宋体" w:eastAsia="宋体" w:cs="宋体"/>
          <w:color w:val="auto"/>
          <w:spacing w:val="9"/>
          <w:sz w:val="20"/>
          <w:szCs w:val="20"/>
          <w:highlight w:val="none"/>
        </w:rPr>
        <w:t xml:space="preserve"> 证书在线解密：首次响应文件开启时，须要供应商携带制作响应文件时用来加密的有效 </w:t>
      </w:r>
      <w:r>
        <w:rPr>
          <w:rFonts w:ascii="宋体" w:hAnsi="宋体" w:eastAsia="宋体" w:cs="宋体"/>
          <w:color w:val="auto"/>
          <w:spacing w:val="10"/>
          <w:sz w:val="20"/>
          <w:szCs w:val="20"/>
          <w:highlight w:val="none"/>
        </w:rPr>
        <w:t>数字证书（</w:t>
      </w:r>
      <w:r>
        <w:rPr>
          <w:rFonts w:ascii="宋体" w:hAnsi="宋体" w:eastAsia="宋体" w:cs="宋体"/>
          <w:color w:val="auto"/>
          <w:sz w:val="20"/>
          <w:szCs w:val="20"/>
          <w:highlight w:val="none"/>
        </w:rPr>
        <w:t>CA</w:t>
      </w:r>
      <w:r>
        <w:rPr>
          <w:rFonts w:ascii="宋体" w:hAnsi="宋体" w:eastAsia="宋体" w:cs="宋体"/>
          <w:color w:val="auto"/>
          <w:spacing w:val="10"/>
          <w:sz w:val="20"/>
          <w:szCs w:val="20"/>
          <w:highlight w:val="none"/>
        </w:rPr>
        <w:t xml:space="preserve"> 认证）登录广西政府采购云平台电子开标大厅现场按规定时间对</w:t>
      </w:r>
      <w:r>
        <w:rPr>
          <w:rFonts w:ascii="宋体" w:hAnsi="宋体" w:eastAsia="宋体" w:cs="宋体"/>
          <w:color w:val="auto"/>
          <w:spacing w:val="9"/>
          <w:sz w:val="20"/>
          <w:szCs w:val="20"/>
          <w:highlight w:val="none"/>
        </w:rPr>
        <w:t>加密的响应文件进</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行解密，未能按要求进行解密的，由此产生的后果由供应商自行承担。</w:t>
      </w:r>
    </w:p>
    <w:p w14:paraId="5606D1EA">
      <w:pPr>
        <w:spacing w:before="151" w:line="299" w:lineRule="auto"/>
        <w:ind w:left="6" w:right="190" w:firstLine="423"/>
        <w:rPr>
          <w:rFonts w:ascii="宋体" w:hAnsi="宋体" w:eastAsia="宋体" w:cs="宋体"/>
          <w:color w:val="auto"/>
          <w:spacing w:val="9"/>
          <w:sz w:val="20"/>
          <w:szCs w:val="20"/>
          <w:highlight w:val="none"/>
        </w:rPr>
      </w:pPr>
      <w:r>
        <w:rPr>
          <w:rFonts w:ascii="宋体" w:hAnsi="宋体" w:eastAsia="宋体" w:cs="宋体"/>
          <w:color w:val="auto"/>
          <w:spacing w:val="10"/>
          <w:sz w:val="20"/>
          <w:szCs w:val="20"/>
          <w:highlight w:val="none"/>
        </w:rPr>
        <w:t>2.供应商需要在具备有摄像头及语音功能</w:t>
      </w:r>
      <w:r>
        <w:rPr>
          <w:rFonts w:ascii="宋体" w:hAnsi="宋体" w:eastAsia="宋体" w:cs="宋体"/>
          <w:color w:val="auto"/>
          <w:spacing w:val="9"/>
          <w:sz w:val="20"/>
          <w:szCs w:val="20"/>
          <w:highlight w:val="none"/>
        </w:rPr>
        <w:t>且互联网网络状况良好的电脑登录广西政府采购云</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平台远程开标大厅参与本次磋商，否则后果由供应商自行承担。</w:t>
      </w:r>
    </w:p>
    <w:p w14:paraId="30D24DF2">
      <w:pPr>
        <w:spacing w:before="127" w:line="220" w:lineRule="auto"/>
        <w:ind w:left="492"/>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五、开启（首次响应文件开启时间）</w:t>
      </w:r>
    </w:p>
    <w:p w14:paraId="7AA756F1">
      <w:pPr>
        <w:spacing w:before="140" w:line="228" w:lineRule="auto"/>
        <w:ind w:left="443"/>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1.时间（北京时间</w:t>
      </w:r>
      <w:r>
        <w:rPr>
          <w:rFonts w:ascii="宋体" w:hAnsi="宋体" w:eastAsia="宋体" w:cs="宋体"/>
          <w:color w:val="auto"/>
          <w:spacing w:val="15"/>
          <w:sz w:val="20"/>
          <w:szCs w:val="20"/>
          <w:highlight w:val="none"/>
        </w:rPr>
        <w:t>）： 202</w:t>
      </w:r>
      <w:r>
        <w:rPr>
          <w:rFonts w:hint="eastAsia" w:ascii="宋体" w:hAnsi="宋体" w:eastAsia="宋体" w:cs="宋体"/>
          <w:color w:val="auto"/>
          <w:spacing w:val="15"/>
          <w:sz w:val="20"/>
          <w:szCs w:val="20"/>
          <w:highlight w:val="none"/>
          <w:lang w:val="en-US" w:eastAsia="zh-CN"/>
        </w:rPr>
        <w:t>6</w:t>
      </w:r>
      <w:r>
        <w:rPr>
          <w:rFonts w:ascii="宋体" w:hAnsi="宋体" w:eastAsia="宋体" w:cs="宋体"/>
          <w:color w:val="auto"/>
          <w:spacing w:val="15"/>
          <w:sz w:val="20"/>
          <w:szCs w:val="20"/>
          <w:highlight w:val="none"/>
        </w:rPr>
        <w:t xml:space="preserve"> 年</w:t>
      </w:r>
      <w:r>
        <w:rPr>
          <w:rFonts w:hint="eastAsia" w:ascii="宋体" w:hAnsi="宋体" w:eastAsia="宋体" w:cs="宋体"/>
          <w:color w:val="auto"/>
          <w:spacing w:val="15"/>
          <w:sz w:val="20"/>
          <w:szCs w:val="20"/>
          <w:highlight w:val="none"/>
          <w:lang w:val="en-US" w:eastAsia="zh-CN"/>
        </w:rPr>
        <w:t>6</w:t>
      </w:r>
      <w:r>
        <w:rPr>
          <w:rFonts w:ascii="宋体" w:hAnsi="宋体" w:eastAsia="宋体" w:cs="宋体"/>
          <w:color w:val="auto"/>
          <w:spacing w:val="15"/>
          <w:sz w:val="20"/>
          <w:szCs w:val="20"/>
          <w:highlight w:val="none"/>
        </w:rPr>
        <w:t>月</w:t>
      </w:r>
      <w:r>
        <w:rPr>
          <w:rFonts w:hint="eastAsia" w:ascii="宋体" w:hAnsi="宋体" w:eastAsia="宋体" w:cs="宋体"/>
          <w:color w:val="auto"/>
          <w:spacing w:val="15"/>
          <w:sz w:val="20"/>
          <w:szCs w:val="20"/>
          <w:highlight w:val="none"/>
          <w:lang w:val="en-US" w:eastAsia="zh-CN"/>
        </w:rPr>
        <w:t>29</w:t>
      </w:r>
      <w:r>
        <w:rPr>
          <w:rFonts w:ascii="宋体" w:hAnsi="宋体" w:eastAsia="宋体" w:cs="宋体"/>
          <w:color w:val="auto"/>
          <w:spacing w:val="15"/>
          <w:sz w:val="20"/>
          <w:szCs w:val="20"/>
          <w:highlight w:val="none"/>
        </w:rPr>
        <w:t>日</w:t>
      </w:r>
      <w:r>
        <w:rPr>
          <w:rFonts w:hint="eastAsia" w:ascii="宋体" w:hAnsi="宋体" w:eastAsia="宋体" w:cs="宋体"/>
          <w:color w:val="auto"/>
          <w:spacing w:val="15"/>
          <w:sz w:val="20"/>
          <w:szCs w:val="20"/>
          <w:highlight w:val="none"/>
          <w:lang w:val="en-US" w:eastAsia="zh-CN"/>
        </w:rPr>
        <w:t>9</w:t>
      </w:r>
      <w:r>
        <w:rPr>
          <w:rFonts w:ascii="宋体" w:hAnsi="宋体" w:eastAsia="宋体" w:cs="宋体"/>
          <w:color w:val="auto"/>
          <w:spacing w:val="15"/>
          <w:sz w:val="20"/>
          <w:szCs w:val="20"/>
          <w:highlight w:val="none"/>
        </w:rPr>
        <w:t>时</w:t>
      </w:r>
      <w:r>
        <w:rPr>
          <w:rFonts w:hint="eastAsia" w:ascii="宋体" w:hAnsi="宋体" w:eastAsia="宋体" w:cs="宋体"/>
          <w:color w:val="auto"/>
          <w:spacing w:val="15"/>
          <w:sz w:val="20"/>
          <w:szCs w:val="20"/>
          <w:highlight w:val="none"/>
          <w:lang w:val="en-US" w:eastAsia="zh-CN"/>
        </w:rPr>
        <w:t>3</w:t>
      </w:r>
      <w:r>
        <w:rPr>
          <w:rFonts w:ascii="宋体" w:hAnsi="宋体" w:eastAsia="宋体" w:cs="宋体"/>
          <w:color w:val="auto"/>
          <w:spacing w:val="15"/>
          <w:sz w:val="20"/>
          <w:szCs w:val="20"/>
          <w:highlight w:val="none"/>
        </w:rPr>
        <w:t>0分</w:t>
      </w:r>
    </w:p>
    <w:p w14:paraId="181B031A">
      <w:pPr>
        <w:spacing w:before="153" w:line="228" w:lineRule="auto"/>
        <w:ind w:left="430"/>
        <w:rPr>
          <w:rFonts w:ascii="宋体" w:hAnsi="宋体" w:eastAsia="宋体" w:cs="宋体"/>
          <w:color w:val="auto"/>
          <w:sz w:val="20"/>
          <w:szCs w:val="20"/>
          <w:highlight w:val="none"/>
          <w:u w:val="none" w:color="auto"/>
        </w:rPr>
      </w:pPr>
      <w:r>
        <w:rPr>
          <w:rFonts w:ascii="宋体" w:hAnsi="宋体" w:eastAsia="宋体" w:cs="宋体"/>
          <w:color w:val="auto"/>
          <w:spacing w:val="8"/>
          <w:sz w:val="20"/>
          <w:szCs w:val="20"/>
          <w:highlight w:val="none"/>
        </w:rPr>
        <w:t>2.地点：</w:t>
      </w:r>
      <w:r>
        <w:rPr>
          <w:rFonts w:ascii="宋体" w:hAnsi="宋体" w:eastAsia="宋体" w:cs="宋体"/>
          <w:color w:val="auto"/>
          <w:spacing w:val="8"/>
          <w:sz w:val="20"/>
          <w:szCs w:val="20"/>
          <w:highlight w:val="none"/>
          <w:u w:val="none" w:color="auto"/>
        </w:rPr>
        <w:t>广西政府采购云平台电子开标大厅</w:t>
      </w:r>
    </w:p>
    <w:p w14:paraId="7CFACB45">
      <w:pPr>
        <w:spacing w:before="127" w:line="219" w:lineRule="auto"/>
        <w:ind w:left="490"/>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六、公告期限</w:t>
      </w:r>
    </w:p>
    <w:p w14:paraId="7FFB9517">
      <w:pPr>
        <w:spacing w:before="141" w:line="227" w:lineRule="auto"/>
        <w:ind w:left="462"/>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自本公告发布之日起</w:t>
      </w:r>
      <w:r>
        <w:rPr>
          <w:rFonts w:ascii="宋体" w:hAnsi="宋体" w:eastAsia="宋体" w:cs="宋体"/>
          <w:color w:val="auto"/>
          <w:spacing w:val="-28"/>
          <w:sz w:val="20"/>
          <w:szCs w:val="20"/>
          <w:highlight w:val="none"/>
        </w:rPr>
        <w:t xml:space="preserve"> </w:t>
      </w:r>
      <w:r>
        <w:rPr>
          <w:rFonts w:ascii="宋体" w:hAnsi="宋体" w:eastAsia="宋体" w:cs="宋体"/>
          <w:color w:val="auto"/>
          <w:spacing w:val="4"/>
          <w:sz w:val="20"/>
          <w:szCs w:val="20"/>
          <w:highlight w:val="none"/>
        </w:rPr>
        <w:t>5</w:t>
      </w:r>
      <w:r>
        <w:rPr>
          <w:rFonts w:ascii="宋体" w:hAnsi="宋体" w:eastAsia="宋体" w:cs="宋体"/>
          <w:color w:val="auto"/>
          <w:spacing w:val="-38"/>
          <w:sz w:val="20"/>
          <w:szCs w:val="20"/>
          <w:highlight w:val="none"/>
        </w:rPr>
        <w:t xml:space="preserve"> </w:t>
      </w:r>
      <w:r>
        <w:rPr>
          <w:rFonts w:ascii="宋体" w:hAnsi="宋体" w:eastAsia="宋体" w:cs="宋体"/>
          <w:color w:val="auto"/>
          <w:spacing w:val="4"/>
          <w:sz w:val="20"/>
          <w:szCs w:val="20"/>
          <w:highlight w:val="none"/>
        </w:rPr>
        <w:t>个工作日。</w:t>
      </w:r>
    </w:p>
    <w:p w14:paraId="2CF9E8D1">
      <w:pPr>
        <w:spacing w:before="128" w:line="221" w:lineRule="auto"/>
        <w:ind w:left="488"/>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七、其他补充事宜</w:t>
      </w:r>
    </w:p>
    <w:p w14:paraId="100BEA5A">
      <w:pPr>
        <w:spacing w:before="140" w:line="228" w:lineRule="auto"/>
        <w:ind w:left="44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1.磋商保证金：本项目不收取磋商保证金</w:t>
      </w:r>
    </w:p>
    <w:p w14:paraId="5666405F">
      <w:pPr>
        <w:spacing w:before="153" w:line="228" w:lineRule="auto"/>
        <w:ind w:left="437"/>
        <w:rPr>
          <w:rFonts w:ascii="宋体" w:hAnsi="宋体" w:eastAsia="宋体" w:cs="宋体"/>
          <w:color w:val="auto"/>
          <w:spacing w:val="9"/>
          <w:sz w:val="20"/>
          <w:szCs w:val="20"/>
          <w:highlight w:val="none"/>
        </w:rPr>
      </w:pPr>
      <w:r>
        <w:rPr>
          <w:rFonts w:ascii="宋体" w:hAnsi="宋体" w:eastAsia="宋体" w:cs="宋体"/>
          <w:color w:val="auto"/>
          <w:spacing w:val="9"/>
          <w:sz w:val="20"/>
          <w:szCs w:val="20"/>
          <w:highlight w:val="none"/>
        </w:rPr>
        <w:t>2.采购意向公开链接：</w:t>
      </w:r>
    </w:p>
    <w:p w14:paraId="14E9A6F4">
      <w:pPr>
        <w:spacing w:before="153" w:line="228" w:lineRule="auto"/>
        <w:ind w:left="437"/>
        <w:rPr>
          <w:rFonts w:hint="eastAsia" w:ascii="宋体" w:hAnsi="宋体" w:eastAsia="宋体" w:cs="宋体"/>
          <w:color w:val="auto"/>
          <w:spacing w:val="9"/>
          <w:sz w:val="20"/>
          <w:szCs w:val="20"/>
          <w:highlight w:val="none"/>
        </w:rPr>
      </w:pPr>
      <w:r>
        <w:rPr>
          <w:rFonts w:ascii="宋体" w:hAnsi="宋体" w:eastAsia="宋体" w:cs="宋体"/>
          <w:color w:val="auto"/>
          <w:spacing w:val="9"/>
          <w:sz w:val="20"/>
          <w:szCs w:val="20"/>
          <w:highlight w:val="none"/>
        </w:rPr>
        <w:fldChar w:fldCharType="begin"/>
      </w:r>
      <w:r>
        <w:rPr>
          <w:rFonts w:ascii="宋体" w:hAnsi="宋体" w:eastAsia="宋体" w:cs="宋体"/>
          <w:color w:val="auto"/>
          <w:spacing w:val="9"/>
          <w:sz w:val="20"/>
          <w:szCs w:val="20"/>
          <w:highlight w:val="none"/>
        </w:rPr>
        <w:instrText xml:space="preserve"> HYPERLINK "http://zfcg.gxzf.gov.cn/luban/detail?parentId=66485&amp;articleId=ann_fWguldmSOkCd4jUfEaTzDtD5ndTMr3NGt5TILBJnhQo=" \t "https://middle.gcy.zfcg.gxzf.gov.cn/purchaseplan_front/" \l "/plan/list/_blank" </w:instrText>
      </w:r>
      <w:r>
        <w:rPr>
          <w:rFonts w:ascii="宋体" w:hAnsi="宋体" w:eastAsia="宋体" w:cs="宋体"/>
          <w:color w:val="auto"/>
          <w:spacing w:val="9"/>
          <w:sz w:val="20"/>
          <w:szCs w:val="20"/>
          <w:highlight w:val="none"/>
        </w:rPr>
        <w:fldChar w:fldCharType="separate"/>
      </w:r>
      <w:r>
        <w:rPr>
          <w:rFonts w:hint="eastAsia" w:ascii="宋体" w:hAnsi="宋体" w:eastAsia="宋体" w:cs="宋体"/>
          <w:color w:val="auto"/>
          <w:spacing w:val="9"/>
          <w:sz w:val="20"/>
          <w:szCs w:val="20"/>
          <w:highlight w:val="none"/>
        </w:rPr>
        <w:t>http://zfcg.gxzf.gov.cn/luban/detail?parentId=66485&amp;articleId=ann_fWguldmSOkCd4jUfEaTzDtD5ndTMr3NGt5TILBJnhQo=</w:t>
      </w:r>
      <w:r>
        <w:rPr>
          <w:rFonts w:hint="eastAsia" w:ascii="宋体" w:hAnsi="宋体" w:eastAsia="宋体" w:cs="宋体"/>
          <w:color w:val="auto"/>
          <w:spacing w:val="9"/>
          <w:sz w:val="20"/>
          <w:szCs w:val="20"/>
          <w:highlight w:val="none"/>
        </w:rPr>
        <w:fldChar w:fldCharType="end"/>
      </w:r>
    </w:p>
    <w:p w14:paraId="48AC9026">
      <w:pPr>
        <w:spacing w:before="153" w:line="228" w:lineRule="auto"/>
        <w:ind w:left="437"/>
        <w:rPr>
          <w:rFonts w:ascii="宋体" w:hAnsi="宋体" w:eastAsia="宋体" w:cs="宋体"/>
          <w:color w:val="auto"/>
          <w:spacing w:val="9"/>
          <w:sz w:val="20"/>
          <w:szCs w:val="20"/>
          <w:highlight w:val="none"/>
        </w:rPr>
      </w:pPr>
      <w:r>
        <w:rPr>
          <w:rFonts w:ascii="宋体" w:hAnsi="宋体" w:eastAsia="宋体" w:cs="宋体"/>
          <w:color w:val="auto"/>
          <w:spacing w:val="9"/>
          <w:sz w:val="20"/>
          <w:szCs w:val="20"/>
          <w:highlight w:val="none"/>
        </w:rPr>
        <w:t>3.网上查询地址</w:t>
      </w:r>
    </w:p>
    <w:p w14:paraId="3C2BD1E4">
      <w:pPr>
        <w:spacing w:before="151" w:line="368" w:lineRule="auto"/>
        <w:ind w:left="6" w:firstLine="418"/>
        <w:rPr>
          <w:rFonts w:hint="eastAsia" w:ascii="宋体" w:hAnsi="宋体" w:eastAsia="宋体" w:cs="宋体"/>
          <w:color w:val="auto"/>
          <w:sz w:val="20"/>
          <w:szCs w:val="20"/>
          <w:highlight w:val="none"/>
          <w:lang w:eastAsia="zh-CN"/>
        </w:rPr>
      </w:pP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ascii="宋体" w:hAnsi="宋体" w:eastAsia="宋体" w:cs="宋体"/>
          <w:color w:val="auto"/>
          <w:sz w:val="20"/>
          <w:szCs w:val="20"/>
          <w:highlight w:val="none"/>
        </w:rPr>
        <w:t>http</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www</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ccgp</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pacing w:val="11"/>
          <w:sz w:val="20"/>
          <w:szCs w:val="20"/>
          <w:highlight w:val="none"/>
        </w:rPr>
        <w:t>/</w:t>
      </w:r>
      <w:r>
        <w:rPr>
          <w:rFonts w:ascii="宋体" w:hAnsi="宋体" w:eastAsia="宋体" w:cs="宋体"/>
          <w:color w:val="auto"/>
          <w:spacing w:val="11"/>
          <w:sz w:val="20"/>
          <w:szCs w:val="20"/>
          <w:highlight w:val="none"/>
        </w:rPr>
        <w:fldChar w:fldCharType="end"/>
      </w:r>
      <w:r>
        <w:rPr>
          <w:rFonts w:ascii="宋体" w:hAnsi="宋体" w:eastAsia="宋体" w:cs="宋体"/>
          <w:color w:val="auto"/>
          <w:spacing w:val="11"/>
          <w:sz w:val="20"/>
          <w:szCs w:val="20"/>
          <w:highlight w:val="none"/>
        </w:rPr>
        <w:t>（中国政府采购网）、</w:t>
      </w:r>
      <w:r>
        <w:rPr>
          <w:color w:val="auto"/>
          <w:highlight w:val="none"/>
        </w:rPr>
        <w:fldChar w:fldCharType="begin"/>
      </w:r>
      <w:r>
        <w:rPr>
          <w:color w:val="auto"/>
          <w:highlight w:val="none"/>
        </w:rPr>
        <w:instrText xml:space="preserve"> HYPERLINK "http://www.ccgp-guangxi.gov.cn/" </w:instrText>
      </w:r>
      <w:r>
        <w:rPr>
          <w:color w:val="auto"/>
          <w:highlight w:val="none"/>
        </w:rPr>
        <w:fldChar w:fldCharType="separate"/>
      </w:r>
      <w:r>
        <w:rPr>
          <w:rFonts w:ascii="宋体" w:hAnsi="宋体" w:eastAsia="宋体" w:cs="宋体"/>
          <w:color w:val="auto"/>
          <w:sz w:val="20"/>
          <w:szCs w:val="20"/>
          <w:highlight w:val="none"/>
        </w:rPr>
        <w:t>http</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www</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ccgp</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guangxi</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pacing w:val="11"/>
          <w:sz w:val="20"/>
          <w:szCs w:val="20"/>
          <w:highlight w:val="none"/>
        </w:rPr>
        <w:t>/</w:t>
      </w:r>
      <w:r>
        <w:rPr>
          <w:rFonts w:ascii="宋体" w:hAnsi="宋体" w:eastAsia="宋体" w:cs="宋体"/>
          <w:color w:val="auto"/>
          <w:spacing w:val="11"/>
          <w:sz w:val="20"/>
          <w:szCs w:val="20"/>
          <w:highlight w:val="none"/>
        </w:rPr>
        <w:fldChar w:fldCharType="end"/>
      </w:r>
      <w:r>
        <w:rPr>
          <w:rFonts w:ascii="宋体" w:hAnsi="宋体" w:eastAsia="宋体" w:cs="宋体"/>
          <w:color w:val="auto"/>
          <w:spacing w:val="11"/>
          <w:sz w:val="20"/>
          <w:szCs w:val="20"/>
          <w:highlight w:val="none"/>
        </w:rPr>
        <w:t xml:space="preserve"> (广西壮</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族自治区政府采购网)、</w:t>
      </w:r>
      <w:r>
        <w:rPr>
          <w:color w:val="auto"/>
          <w:highlight w:val="none"/>
        </w:rPr>
        <w:fldChar w:fldCharType="begin"/>
      </w:r>
      <w:r>
        <w:rPr>
          <w:color w:val="auto"/>
          <w:highlight w:val="none"/>
        </w:rPr>
        <w:instrText xml:space="preserve"> HYPERLINK "http://ggzy.jgswj.gxzf.gov.cn/nnggzy/" </w:instrText>
      </w:r>
      <w:r>
        <w:rPr>
          <w:color w:val="auto"/>
          <w:highlight w:val="none"/>
        </w:rPr>
        <w:fldChar w:fldCharType="separate"/>
      </w:r>
      <w:r>
        <w:rPr>
          <w:rFonts w:ascii="宋体" w:hAnsi="宋体" w:eastAsia="宋体" w:cs="宋体"/>
          <w:color w:val="auto"/>
          <w:sz w:val="20"/>
          <w:szCs w:val="20"/>
          <w:highlight w:val="none"/>
        </w:rPr>
        <w:t>http</w:t>
      </w:r>
      <w:r>
        <w:rPr>
          <w:rFonts w:ascii="宋体" w:hAnsi="宋体" w:eastAsia="宋体" w:cs="宋体"/>
          <w:color w:val="auto"/>
          <w:spacing w:val="4"/>
          <w:sz w:val="20"/>
          <w:szCs w:val="20"/>
          <w:highlight w:val="none"/>
        </w:rPr>
        <w:t>://</w:t>
      </w:r>
      <w:r>
        <w:rPr>
          <w:rFonts w:ascii="宋体" w:hAnsi="宋体" w:eastAsia="宋体" w:cs="宋体"/>
          <w:color w:val="auto"/>
          <w:sz w:val="20"/>
          <w:szCs w:val="20"/>
          <w:highlight w:val="none"/>
        </w:rPr>
        <w:t>ggzy</w:t>
      </w:r>
      <w:r>
        <w:rPr>
          <w:rFonts w:ascii="宋体" w:hAnsi="宋体" w:eastAsia="宋体" w:cs="宋体"/>
          <w:color w:val="auto"/>
          <w:spacing w:val="4"/>
          <w:sz w:val="20"/>
          <w:szCs w:val="20"/>
          <w:highlight w:val="none"/>
        </w:rPr>
        <w:t>.</w:t>
      </w:r>
      <w:r>
        <w:rPr>
          <w:rFonts w:ascii="宋体" w:hAnsi="宋体" w:eastAsia="宋体" w:cs="宋体"/>
          <w:color w:val="auto"/>
          <w:sz w:val="20"/>
          <w:szCs w:val="20"/>
          <w:highlight w:val="none"/>
        </w:rPr>
        <w:t>jgswj</w:t>
      </w:r>
      <w:r>
        <w:rPr>
          <w:rFonts w:ascii="宋体" w:hAnsi="宋体" w:eastAsia="宋体" w:cs="宋体"/>
          <w:color w:val="auto"/>
          <w:spacing w:val="4"/>
          <w:sz w:val="20"/>
          <w:szCs w:val="20"/>
          <w:highlight w:val="none"/>
        </w:rPr>
        <w:t>.</w:t>
      </w:r>
      <w:r>
        <w:rPr>
          <w:rFonts w:ascii="宋体" w:hAnsi="宋体" w:eastAsia="宋体" w:cs="宋体"/>
          <w:color w:val="auto"/>
          <w:sz w:val="20"/>
          <w:szCs w:val="20"/>
          <w:highlight w:val="none"/>
        </w:rPr>
        <w:t>gxzf</w:t>
      </w:r>
      <w:r>
        <w:rPr>
          <w:rFonts w:ascii="宋体" w:hAnsi="宋体" w:eastAsia="宋体" w:cs="宋体"/>
          <w:color w:val="auto"/>
          <w:spacing w:val="4"/>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4"/>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pacing w:val="4"/>
          <w:sz w:val="20"/>
          <w:szCs w:val="20"/>
          <w:highlight w:val="none"/>
        </w:rPr>
        <w:t>/</w:t>
      </w:r>
      <w:r>
        <w:rPr>
          <w:rFonts w:ascii="宋体" w:hAnsi="宋体" w:eastAsia="宋体" w:cs="宋体"/>
          <w:color w:val="auto"/>
          <w:sz w:val="20"/>
          <w:szCs w:val="20"/>
          <w:highlight w:val="none"/>
        </w:rPr>
        <w:t>nnggzy</w:t>
      </w:r>
      <w:r>
        <w:rPr>
          <w:rFonts w:ascii="宋体" w:hAnsi="宋体" w:eastAsia="宋体" w:cs="宋体"/>
          <w:color w:val="auto"/>
          <w:spacing w:val="4"/>
          <w:sz w:val="20"/>
          <w:szCs w:val="20"/>
          <w:highlight w:val="none"/>
        </w:rPr>
        <w:t>/</w:t>
      </w:r>
      <w:r>
        <w:rPr>
          <w:rFonts w:ascii="宋体" w:hAnsi="宋体" w:eastAsia="宋体" w:cs="宋体"/>
          <w:color w:val="auto"/>
          <w:spacing w:val="4"/>
          <w:sz w:val="20"/>
          <w:szCs w:val="20"/>
          <w:highlight w:val="none"/>
        </w:rPr>
        <w:fldChar w:fldCharType="end"/>
      </w:r>
      <w:r>
        <w:rPr>
          <w:rFonts w:ascii="宋体" w:hAnsi="宋体" w:eastAsia="宋体" w:cs="宋体"/>
          <w:color w:val="auto"/>
          <w:spacing w:val="4"/>
          <w:sz w:val="20"/>
          <w:szCs w:val="20"/>
          <w:highlight w:val="none"/>
        </w:rPr>
        <w:t>（全国公共资源交易平台·南宁</w:t>
      </w:r>
      <w:r>
        <w:rPr>
          <w:rFonts w:ascii="宋体" w:hAnsi="宋体" w:eastAsia="宋体" w:cs="宋体"/>
          <w:color w:val="auto"/>
          <w:spacing w:val="-48"/>
          <w:w w:val="90"/>
          <w:sz w:val="20"/>
          <w:szCs w:val="20"/>
          <w:highlight w:val="none"/>
        </w:rPr>
        <w:t>）</w:t>
      </w:r>
      <w:r>
        <w:rPr>
          <w:rFonts w:hint="eastAsia" w:ascii="宋体" w:hAnsi="宋体" w:eastAsia="宋体" w:cs="宋体"/>
          <w:color w:val="auto"/>
          <w:spacing w:val="-48"/>
          <w:w w:val="90"/>
          <w:sz w:val="20"/>
          <w:szCs w:val="20"/>
          <w:highlight w:val="none"/>
          <w:lang w:eastAsia="zh-CN"/>
        </w:rPr>
        <w:t>。</w:t>
      </w:r>
    </w:p>
    <w:p w14:paraId="5FC7AEC1">
      <w:pPr>
        <w:spacing w:before="4" w:line="228" w:lineRule="auto"/>
        <w:ind w:left="426"/>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4. 本项目需要落实的政府采购政策</w:t>
      </w:r>
    </w:p>
    <w:p w14:paraId="48AE76AD">
      <w:pPr>
        <w:spacing w:before="154" w:line="228" w:lineRule="auto"/>
        <w:ind w:left="437"/>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（1）政府采购促进中小企业发展。</w:t>
      </w:r>
    </w:p>
    <w:p w14:paraId="23128424">
      <w:pPr>
        <w:spacing w:before="152" w:line="228" w:lineRule="auto"/>
        <w:ind w:left="437"/>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（2）政府采购支持采用本国产品的政策。</w:t>
      </w:r>
    </w:p>
    <w:p w14:paraId="358295C1">
      <w:pPr>
        <w:spacing w:before="153" w:line="228" w:lineRule="auto"/>
        <w:ind w:left="437"/>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（3）强制采购节能产品；优先采购节能产</w:t>
      </w:r>
      <w:r>
        <w:rPr>
          <w:rFonts w:ascii="宋体" w:hAnsi="宋体" w:eastAsia="宋体" w:cs="宋体"/>
          <w:color w:val="auto"/>
          <w:spacing w:val="8"/>
          <w:sz w:val="20"/>
          <w:szCs w:val="20"/>
          <w:highlight w:val="none"/>
        </w:rPr>
        <w:t>品、环境标志产品。</w:t>
      </w:r>
    </w:p>
    <w:p w14:paraId="02BF8285">
      <w:pPr>
        <w:keepNext w:val="0"/>
        <w:keepLines w:val="0"/>
        <w:pageBreakBefore w:val="0"/>
        <w:widowControl/>
        <w:kinsoku w:val="0"/>
        <w:wordWrap/>
        <w:overflowPunct/>
        <w:topLinePunct w:val="0"/>
        <w:autoSpaceDE w:val="0"/>
        <w:autoSpaceDN w:val="0"/>
        <w:bidi w:val="0"/>
        <w:adjustRightInd w:val="0"/>
        <w:snapToGrid w:val="0"/>
        <w:spacing w:before="154" w:line="360" w:lineRule="auto"/>
        <w:ind w:left="437"/>
        <w:textAlignment w:val="baseline"/>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（4）政府采购促进残疾人就业政策。</w:t>
      </w:r>
    </w:p>
    <w:p w14:paraId="664C209C">
      <w:pPr>
        <w:keepNext w:val="0"/>
        <w:keepLines w:val="0"/>
        <w:pageBreakBefore w:val="0"/>
        <w:widowControl/>
        <w:kinsoku w:val="0"/>
        <w:wordWrap/>
        <w:overflowPunct/>
        <w:topLinePunct w:val="0"/>
        <w:autoSpaceDE w:val="0"/>
        <w:autoSpaceDN w:val="0"/>
        <w:bidi w:val="0"/>
        <w:adjustRightInd w:val="0"/>
        <w:snapToGrid w:val="0"/>
        <w:spacing w:before="4" w:line="360" w:lineRule="auto"/>
        <w:ind w:left="426"/>
        <w:textAlignment w:val="baseline"/>
        <w:rPr>
          <w:rFonts w:ascii="宋体" w:hAnsi="宋体" w:eastAsia="宋体" w:cs="宋体"/>
          <w:color w:val="auto"/>
          <w:spacing w:val="8"/>
          <w:sz w:val="20"/>
          <w:szCs w:val="20"/>
          <w:highlight w:val="none"/>
        </w:rPr>
      </w:pPr>
      <w:r>
        <w:rPr>
          <w:rFonts w:ascii="宋体" w:hAnsi="宋体" w:eastAsia="宋体" w:cs="宋体"/>
          <w:color w:val="auto"/>
          <w:spacing w:val="8"/>
          <w:sz w:val="20"/>
          <w:szCs w:val="20"/>
          <w:highlight w:val="none"/>
        </w:rPr>
        <w:t>（5）政府采购支持监狱企业发展。</w:t>
      </w:r>
    </w:p>
    <w:p w14:paraId="0174B277">
      <w:pPr>
        <w:keepNext w:val="0"/>
        <w:keepLines w:val="0"/>
        <w:pageBreakBefore w:val="0"/>
        <w:widowControl/>
        <w:kinsoku w:val="0"/>
        <w:wordWrap/>
        <w:overflowPunct/>
        <w:topLinePunct w:val="0"/>
        <w:autoSpaceDE w:val="0"/>
        <w:autoSpaceDN w:val="0"/>
        <w:bidi w:val="0"/>
        <w:adjustRightInd w:val="0"/>
        <w:snapToGrid w:val="0"/>
        <w:spacing w:before="4" w:line="360" w:lineRule="auto"/>
        <w:ind w:left="426"/>
        <w:textAlignment w:val="baseline"/>
        <w:rPr>
          <w:rFonts w:ascii="宋体" w:hAnsi="宋体" w:eastAsia="宋体" w:cs="宋体"/>
          <w:color w:val="auto"/>
          <w:spacing w:val="8"/>
          <w:sz w:val="20"/>
          <w:szCs w:val="20"/>
          <w:highlight w:val="none"/>
        </w:rPr>
      </w:pPr>
      <w:r>
        <w:rPr>
          <w:rFonts w:ascii="宋体" w:hAnsi="宋体" w:eastAsia="宋体" w:cs="宋体"/>
          <w:color w:val="auto"/>
          <w:spacing w:val="8"/>
          <w:sz w:val="20"/>
          <w:szCs w:val="20"/>
          <w:highlight w:val="none"/>
        </w:rPr>
        <w:t>5.供应商认为采购文件使自己的权益受到损害的，可以自获取采购文件之日或者采购文件公告 期限届满之日（公告期限届满后获取采购文件的，以公告期限届满之日为准）起 7 个工作日内以书 面形式一次性向采购人和采购代理机构提出同一环节的质疑。否则，逾期的质疑采购人及招标代理 机构可不予接受。质疑供应商对采购人、采购代理机构的答复不满意或者采购人、采购代理机构未 在规定的时间内作出答复的，可以在答复期满后十五个工作日内向同级政府采购监督管理部门投诉。</w:t>
      </w:r>
    </w:p>
    <w:p w14:paraId="7C800E86">
      <w:pPr>
        <w:spacing w:before="151" w:line="322" w:lineRule="auto"/>
        <w:ind w:left="10" w:right="53" w:firstLine="419"/>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6.</w:t>
      </w:r>
      <w:r>
        <w:rPr>
          <w:rFonts w:ascii="宋体" w:hAnsi="宋体" w:eastAsia="宋体" w:cs="宋体"/>
          <w:color w:val="auto"/>
          <w:spacing w:val="78"/>
          <w:sz w:val="20"/>
          <w:szCs w:val="20"/>
          <w:highlight w:val="none"/>
        </w:rPr>
        <w:t xml:space="preserve"> </w:t>
      </w:r>
      <w:r>
        <w:rPr>
          <w:rFonts w:ascii="宋体" w:hAnsi="宋体" w:eastAsia="宋体" w:cs="宋体"/>
          <w:color w:val="auto"/>
          <w:spacing w:val="-4"/>
          <w:sz w:val="20"/>
          <w:szCs w:val="20"/>
          <w:highlight w:val="none"/>
        </w:rPr>
        <w:t>若</w:t>
      </w:r>
      <w:r>
        <w:rPr>
          <w:rFonts w:ascii="宋体" w:hAnsi="宋体" w:eastAsia="宋体" w:cs="宋体"/>
          <w:color w:val="auto"/>
          <w:spacing w:val="-28"/>
          <w:sz w:val="20"/>
          <w:szCs w:val="20"/>
          <w:highlight w:val="none"/>
        </w:rPr>
        <w:t xml:space="preserve"> </w:t>
      </w:r>
      <w:r>
        <w:rPr>
          <w:rFonts w:ascii="宋体" w:hAnsi="宋体" w:eastAsia="宋体" w:cs="宋体"/>
          <w:color w:val="auto"/>
          <w:spacing w:val="-4"/>
          <w:sz w:val="20"/>
          <w:szCs w:val="20"/>
          <w:highlight w:val="none"/>
        </w:rPr>
        <w:t>对</w:t>
      </w:r>
      <w:r>
        <w:rPr>
          <w:rFonts w:ascii="宋体" w:hAnsi="宋体" w:eastAsia="宋体" w:cs="宋体"/>
          <w:color w:val="auto"/>
          <w:spacing w:val="-24"/>
          <w:sz w:val="20"/>
          <w:szCs w:val="20"/>
          <w:highlight w:val="none"/>
        </w:rPr>
        <w:t xml:space="preserve"> </w:t>
      </w:r>
      <w:r>
        <w:rPr>
          <w:rFonts w:ascii="宋体" w:hAnsi="宋体" w:eastAsia="宋体" w:cs="宋体"/>
          <w:color w:val="auto"/>
          <w:spacing w:val="-4"/>
          <w:sz w:val="20"/>
          <w:szCs w:val="20"/>
          <w:highlight w:val="none"/>
        </w:rPr>
        <w:t>项 目</w:t>
      </w:r>
      <w:r>
        <w:rPr>
          <w:rFonts w:ascii="宋体" w:hAnsi="宋体" w:eastAsia="宋体" w:cs="宋体"/>
          <w:color w:val="auto"/>
          <w:spacing w:val="-28"/>
          <w:sz w:val="20"/>
          <w:szCs w:val="20"/>
          <w:highlight w:val="none"/>
        </w:rPr>
        <w:t xml:space="preserve"> </w:t>
      </w:r>
      <w:r>
        <w:rPr>
          <w:rFonts w:ascii="宋体" w:hAnsi="宋体" w:eastAsia="宋体" w:cs="宋体"/>
          <w:color w:val="auto"/>
          <w:spacing w:val="-4"/>
          <w:sz w:val="20"/>
          <w:szCs w:val="20"/>
          <w:highlight w:val="none"/>
        </w:rPr>
        <w:t>采</w:t>
      </w:r>
      <w:r>
        <w:rPr>
          <w:rFonts w:ascii="宋体" w:hAnsi="宋体" w:eastAsia="宋体" w:cs="宋体"/>
          <w:color w:val="auto"/>
          <w:spacing w:val="-29"/>
          <w:sz w:val="20"/>
          <w:szCs w:val="20"/>
          <w:highlight w:val="none"/>
        </w:rPr>
        <w:t xml:space="preserve"> </w:t>
      </w:r>
      <w:r>
        <w:rPr>
          <w:rFonts w:ascii="宋体" w:hAnsi="宋体" w:eastAsia="宋体" w:cs="宋体"/>
          <w:color w:val="auto"/>
          <w:spacing w:val="-4"/>
          <w:sz w:val="20"/>
          <w:szCs w:val="20"/>
          <w:highlight w:val="none"/>
        </w:rPr>
        <w:t>购 电</w:t>
      </w:r>
      <w:r>
        <w:rPr>
          <w:rFonts w:ascii="宋体" w:hAnsi="宋体" w:eastAsia="宋体" w:cs="宋体"/>
          <w:color w:val="auto"/>
          <w:spacing w:val="-26"/>
          <w:sz w:val="20"/>
          <w:szCs w:val="20"/>
          <w:highlight w:val="none"/>
        </w:rPr>
        <w:t xml:space="preserve"> </w:t>
      </w:r>
      <w:r>
        <w:rPr>
          <w:rFonts w:ascii="宋体" w:hAnsi="宋体" w:eastAsia="宋体" w:cs="宋体"/>
          <w:color w:val="auto"/>
          <w:spacing w:val="-4"/>
          <w:sz w:val="20"/>
          <w:szCs w:val="20"/>
          <w:highlight w:val="none"/>
        </w:rPr>
        <w:t>子</w:t>
      </w:r>
      <w:r>
        <w:rPr>
          <w:rFonts w:ascii="宋体" w:hAnsi="宋体" w:eastAsia="宋体" w:cs="宋体"/>
          <w:color w:val="auto"/>
          <w:spacing w:val="-21"/>
          <w:sz w:val="20"/>
          <w:szCs w:val="20"/>
          <w:highlight w:val="none"/>
        </w:rPr>
        <w:t xml:space="preserve"> </w:t>
      </w:r>
      <w:r>
        <w:rPr>
          <w:rFonts w:ascii="宋体" w:hAnsi="宋体" w:eastAsia="宋体" w:cs="宋体"/>
          <w:color w:val="auto"/>
          <w:spacing w:val="-4"/>
          <w:sz w:val="20"/>
          <w:szCs w:val="20"/>
          <w:highlight w:val="none"/>
        </w:rPr>
        <w:t>交 易</w:t>
      </w:r>
      <w:r>
        <w:rPr>
          <w:rFonts w:ascii="宋体" w:hAnsi="宋体" w:eastAsia="宋体" w:cs="宋体"/>
          <w:color w:val="auto"/>
          <w:spacing w:val="-23"/>
          <w:sz w:val="20"/>
          <w:szCs w:val="20"/>
          <w:highlight w:val="none"/>
        </w:rPr>
        <w:t xml:space="preserve"> </w:t>
      </w:r>
      <w:r>
        <w:rPr>
          <w:rFonts w:ascii="宋体" w:hAnsi="宋体" w:eastAsia="宋体" w:cs="宋体"/>
          <w:color w:val="auto"/>
          <w:spacing w:val="-4"/>
          <w:sz w:val="20"/>
          <w:szCs w:val="20"/>
          <w:highlight w:val="none"/>
        </w:rPr>
        <w:t>系</w:t>
      </w:r>
      <w:r>
        <w:rPr>
          <w:rFonts w:ascii="宋体" w:hAnsi="宋体" w:eastAsia="宋体" w:cs="宋体"/>
          <w:color w:val="auto"/>
          <w:spacing w:val="-22"/>
          <w:sz w:val="20"/>
          <w:szCs w:val="20"/>
          <w:highlight w:val="none"/>
        </w:rPr>
        <w:t xml:space="preserve"> </w:t>
      </w:r>
      <w:r>
        <w:rPr>
          <w:rFonts w:ascii="宋体" w:hAnsi="宋体" w:eastAsia="宋体" w:cs="宋体"/>
          <w:color w:val="auto"/>
          <w:spacing w:val="-4"/>
          <w:sz w:val="20"/>
          <w:szCs w:val="20"/>
          <w:highlight w:val="none"/>
        </w:rPr>
        <w:t>统</w:t>
      </w:r>
      <w:r>
        <w:rPr>
          <w:rFonts w:ascii="宋体" w:hAnsi="宋体" w:eastAsia="宋体" w:cs="宋体"/>
          <w:color w:val="auto"/>
          <w:spacing w:val="-29"/>
          <w:sz w:val="20"/>
          <w:szCs w:val="20"/>
          <w:highlight w:val="none"/>
        </w:rPr>
        <w:t xml:space="preserve"> </w:t>
      </w:r>
      <w:r>
        <w:rPr>
          <w:rFonts w:ascii="宋体" w:hAnsi="宋体" w:eastAsia="宋体" w:cs="宋体"/>
          <w:color w:val="auto"/>
          <w:spacing w:val="-4"/>
          <w:sz w:val="20"/>
          <w:szCs w:val="20"/>
          <w:highlight w:val="none"/>
        </w:rPr>
        <w:t>操</w:t>
      </w:r>
      <w:r>
        <w:rPr>
          <w:rFonts w:ascii="宋体" w:hAnsi="宋体" w:eastAsia="宋体" w:cs="宋体"/>
          <w:color w:val="auto"/>
          <w:spacing w:val="-24"/>
          <w:sz w:val="20"/>
          <w:szCs w:val="20"/>
          <w:highlight w:val="none"/>
        </w:rPr>
        <w:t xml:space="preserve"> </w:t>
      </w:r>
      <w:r>
        <w:rPr>
          <w:rFonts w:ascii="宋体" w:hAnsi="宋体" w:eastAsia="宋体" w:cs="宋体"/>
          <w:color w:val="auto"/>
          <w:spacing w:val="-4"/>
          <w:sz w:val="20"/>
          <w:szCs w:val="20"/>
          <w:highlight w:val="none"/>
        </w:rPr>
        <w:t>作</w:t>
      </w:r>
      <w:r>
        <w:rPr>
          <w:rFonts w:ascii="宋体" w:hAnsi="宋体" w:eastAsia="宋体" w:cs="宋体"/>
          <w:color w:val="auto"/>
          <w:spacing w:val="-26"/>
          <w:sz w:val="20"/>
          <w:szCs w:val="20"/>
          <w:highlight w:val="none"/>
        </w:rPr>
        <w:t xml:space="preserve"> </w:t>
      </w:r>
      <w:r>
        <w:rPr>
          <w:rFonts w:ascii="宋体" w:hAnsi="宋体" w:eastAsia="宋体" w:cs="宋体"/>
          <w:color w:val="auto"/>
          <w:spacing w:val="-4"/>
          <w:sz w:val="20"/>
          <w:szCs w:val="20"/>
          <w:highlight w:val="none"/>
        </w:rPr>
        <w:t>有</w:t>
      </w:r>
      <w:r>
        <w:rPr>
          <w:rFonts w:ascii="宋体" w:hAnsi="宋体" w:eastAsia="宋体" w:cs="宋体"/>
          <w:color w:val="auto"/>
          <w:spacing w:val="-25"/>
          <w:sz w:val="20"/>
          <w:szCs w:val="20"/>
          <w:highlight w:val="none"/>
        </w:rPr>
        <w:t xml:space="preserve"> </w:t>
      </w:r>
      <w:r>
        <w:rPr>
          <w:rFonts w:ascii="宋体" w:hAnsi="宋体" w:eastAsia="宋体" w:cs="宋体"/>
          <w:color w:val="auto"/>
          <w:spacing w:val="-5"/>
          <w:sz w:val="20"/>
          <w:szCs w:val="20"/>
          <w:highlight w:val="none"/>
        </w:rPr>
        <w:t>疑 问 ，</w:t>
      </w:r>
      <w:r>
        <w:rPr>
          <w:rFonts w:ascii="宋体" w:hAnsi="宋体" w:eastAsia="宋体" w:cs="宋体"/>
          <w:color w:val="auto"/>
          <w:spacing w:val="-20"/>
          <w:sz w:val="20"/>
          <w:szCs w:val="20"/>
          <w:highlight w:val="none"/>
        </w:rPr>
        <w:t xml:space="preserve"> </w:t>
      </w:r>
      <w:r>
        <w:rPr>
          <w:rFonts w:ascii="宋体" w:hAnsi="宋体" w:eastAsia="宋体" w:cs="宋体"/>
          <w:color w:val="auto"/>
          <w:spacing w:val="-5"/>
          <w:sz w:val="20"/>
          <w:szCs w:val="20"/>
          <w:highlight w:val="none"/>
        </w:rPr>
        <w:t>可</w:t>
      </w:r>
      <w:r>
        <w:rPr>
          <w:rFonts w:ascii="宋体" w:hAnsi="宋体" w:eastAsia="宋体" w:cs="宋体"/>
          <w:color w:val="auto"/>
          <w:spacing w:val="-21"/>
          <w:sz w:val="20"/>
          <w:szCs w:val="20"/>
          <w:highlight w:val="none"/>
        </w:rPr>
        <w:t xml:space="preserve"> </w:t>
      </w:r>
      <w:r>
        <w:rPr>
          <w:rFonts w:ascii="宋体" w:hAnsi="宋体" w:eastAsia="宋体" w:cs="宋体"/>
          <w:color w:val="auto"/>
          <w:spacing w:val="-5"/>
          <w:sz w:val="20"/>
          <w:szCs w:val="20"/>
          <w:highlight w:val="none"/>
        </w:rPr>
        <w:t>登</w:t>
      </w:r>
      <w:r>
        <w:rPr>
          <w:rFonts w:ascii="宋体" w:hAnsi="宋体" w:eastAsia="宋体" w:cs="宋体"/>
          <w:color w:val="auto"/>
          <w:spacing w:val="-26"/>
          <w:sz w:val="20"/>
          <w:szCs w:val="20"/>
          <w:highlight w:val="none"/>
        </w:rPr>
        <w:t xml:space="preserve"> </w:t>
      </w:r>
      <w:r>
        <w:rPr>
          <w:rFonts w:ascii="宋体" w:hAnsi="宋体" w:eastAsia="宋体" w:cs="宋体"/>
          <w:color w:val="auto"/>
          <w:spacing w:val="-5"/>
          <w:sz w:val="20"/>
          <w:szCs w:val="20"/>
          <w:highlight w:val="none"/>
        </w:rPr>
        <w:t>录</w:t>
      </w:r>
      <w:r>
        <w:rPr>
          <w:rFonts w:ascii="宋体" w:hAnsi="宋体" w:eastAsia="宋体" w:cs="宋体"/>
          <w:color w:val="auto"/>
          <w:spacing w:val="-28"/>
          <w:sz w:val="20"/>
          <w:szCs w:val="20"/>
          <w:highlight w:val="none"/>
        </w:rPr>
        <w:t xml:space="preserve"> </w:t>
      </w:r>
      <w:r>
        <w:rPr>
          <w:rFonts w:ascii="宋体" w:hAnsi="宋体" w:eastAsia="宋体" w:cs="宋体"/>
          <w:color w:val="auto"/>
          <w:spacing w:val="-5"/>
          <w:sz w:val="20"/>
          <w:szCs w:val="20"/>
          <w:highlight w:val="none"/>
        </w:rPr>
        <w:t>广</w:t>
      </w:r>
      <w:r>
        <w:rPr>
          <w:rFonts w:ascii="宋体" w:hAnsi="宋体" w:eastAsia="宋体" w:cs="宋体"/>
          <w:color w:val="auto"/>
          <w:spacing w:val="-22"/>
          <w:sz w:val="20"/>
          <w:szCs w:val="20"/>
          <w:highlight w:val="none"/>
        </w:rPr>
        <w:t xml:space="preserve"> </w:t>
      </w:r>
      <w:r>
        <w:rPr>
          <w:rFonts w:ascii="宋体" w:hAnsi="宋体" w:eastAsia="宋体" w:cs="宋体"/>
          <w:color w:val="auto"/>
          <w:spacing w:val="-5"/>
          <w:sz w:val="20"/>
          <w:szCs w:val="20"/>
          <w:highlight w:val="none"/>
        </w:rPr>
        <w:t>西</w:t>
      </w:r>
      <w:r>
        <w:rPr>
          <w:rFonts w:ascii="宋体" w:hAnsi="宋体" w:eastAsia="宋体" w:cs="宋体"/>
          <w:color w:val="auto"/>
          <w:spacing w:val="-28"/>
          <w:sz w:val="20"/>
          <w:szCs w:val="20"/>
          <w:highlight w:val="none"/>
        </w:rPr>
        <w:t xml:space="preserve"> </w:t>
      </w:r>
      <w:r>
        <w:rPr>
          <w:rFonts w:ascii="宋体" w:hAnsi="宋体" w:eastAsia="宋体" w:cs="宋体"/>
          <w:color w:val="auto"/>
          <w:spacing w:val="-5"/>
          <w:sz w:val="20"/>
          <w:szCs w:val="20"/>
          <w:highlight w:val="none"/>
        </w:rPr>
        <w:t>政</w:t>
      </w:r>
      <w:r>
        <w:rPr>
          <w:rFonts w:ascii="宋体" w:hAnsi="宋体" w:eastAsia="宋体" w:cs="宋体"/>
          <w:color w:val="auto"/>
          <w:spacing w:val="-26"/>
          <w:sz w:val="20"/>
          <w:szCs w:val="20"/>
          <w:highlight w:val="none"/>
        </w:rPr>
        <w:t xml:space="preserve"> </w:t>
      </w:r>
      <w:r>
        <w:rPr>
          <w:rFonts w:ascii="宋体" w:hAnsi="宋体" w:eastAsia="宋体" w:cs="宋体"/>
          <w:color w:val="auto"/>
          <w:spacing w:val="-5"/>
          <w:sz w:val="20"/>
          <w:szCs w:val="20"/>
          <w:highlight w:val="none"/>
        </w:rPr>
        <w:t>府</w:t>
      </w:r>
      <w:r>
        <w:rPr>
          <w:rFonts w:ascii="宋体" w:hAnsi="宋体" w:eastAsia="宋体" w:cs="宋体"/>
          <w:color w:val="auto"/>
          <w:spacing w:val="-28"/>
          <w:sz w:val="20"/>
          <w:szCs w:val="20"/>
          <w:highlight w:val="none"/>
        </w:rPr>
        <w:t xml:space="preserve"> </w:t>
      </w:r>
      <w:r>
        <w:rPr>
          <w:rFonts w:ascii="宋体" w:hAnsi="宋体" w:eastAsia="宋体" w:cs="宋体"/>
          <w:color w:val="auto"/>
          <w:spacing w:val="-5"/>
          <w:sz w:val="20"/>
          <w:szCs w:val="20"/>
          <w:highlight w:val="none"/>
        </w:rPr>
        <w:t>采</w:t>
      </w:r>
      <w:r>
        <w:rPr>
          <w:rFonts w:ascii="宋体" w:hAnsi="宋体" w:eastAsia="宋体" w:cs="宋体"/>
          <w:color w:val="auto"/>
          <w:spacing w:val="-29"/>
          <w:sz w:val="20"/>
          <w:szCs w:val="20"/>
          <w:highlight w:val="none"/>
        </w:rPr>
        <w:t xml:space="preserve"> </w:t>
      </w:r>
      <w:r>
        <w:rPr>
          <w:rFonts w:ascii="宋体" w:hAnsi="宋体" w:eastAsia="宋体" w:cs="宋体"/>
          <w:color w:val="auto"/>
          <w:spacing w:val="-5"/>
          <w:sz w:val="20"/>
          <w:szCs w:val="20"/>
          <w:highlight w:val="none"/>
        </w:rPr>
        <w:t>购</w:t>
      </w:r>
      <w:r>
        <w:rPr>
          <w:rFonts w:ascii="宋体" w:hAnsi="宋体" w:eastAsia="宋体" w:cs="宋体"/>
          <w:color w:val="auto"/>
          <w:spacing w:val="-21"/>
          <w:sz w:val="20"/>
          <w:szCs w:val="20"/>
          <w:highlight w:val="none"/>
        </w:rPr>
        <w:t xml:space="preserve"> </w:t>
      </w:r>
      <w:r>
        <w:rPr>
          <w:rFonts w:ascii="宋体" w:hAnsi="宋体" w:eastAsia="宋体" w:cs="宋体"/>
          <w:color w:val="auto"/>
          <w:spacing w:val="-5"/>
          <w:sz w:val="20"/>
          <w:szCs w:val="20"/>
          <w:highlight w:val="none"/>
        </w:rPr>
        <w:t>云</w:t>
      </w:r>
      <w:r>
        <w:rPr>
          <w:rFonts w:ascii="宋体" w:hAnsi="宋体" w:eastAsia="宋体" w:cs="宋体"/>
          <w:color w:val="auto"/>
          <w:spacing w:val="-28"/>
          <w:sz w:val="20"/>
          <w:szCs w:val="20"/>
          <w:highlight w:val="none"/>
        </w:rPr>
        <w:t xml:space="preserve"> </w:t>
      </w:r>
      <w:r>
        <w:rPr>
          <w:rFonts w:ascii="宋体" w:hAnsi="宋体" w:eastAsia="宋体" w:cs="宋体"/>
          <w:color w:val="auto"/>
          <w:spacing w:val="-5"/>
          <w:sz w:val="20"/>
          <w:szCs w:val="20"/>
          <w:highlight w:val="none"/>
        </w:rPr>
        <w:t>平 台</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w:t>
      </w:r>
      <w:r>
        <w:rPr>
          <w:color w:val="auto"/>
          <w:highlight w:val="none"/>
        </w:rPr>
        <w:fldChar w:fldCharType="begin"/>
      </w:r>
      <w:r>
        <w:rPr>
          <w:color w:val="auto"/>
          <w:highlight w:val="none"/>
        </w:rPr>
        <w:instrText xml:space="preserve"> HYPERLINK "https://www.gcy.zfcg.gxzf.gov.cn/" </w:instrText>
      </w:r>
      <w:r>
        <w:rPr>
          <w:color w:val="auto"/>
          <w:highlight w:val="none"/>
        </w:rPr>
        <w:fldChar w:fldCharType="separate"/>
      </w:r>
      <w:r>
        <w:rPr>
          <w:rFonts w:ascii="宋体" w:hAnsi="宋体" w:eastAsia="宋体" w:cs="宋体"/>
          <w:color w:val="auto"/>
          <w:sz w:val="20"/>
          <w:szCs w:val="20"/>
          <w:highlight w:val="none"/>
        </w:rPr>
        <w:t>https</w:t>
      </w:r>
      <w:r>
        <w:rPr>
          <w:rFonts w:ascii="宋体" w:hAnsi="宋体" w:eastAsia="宋体" w:cs="宋体"/>
          <w:color w:val="auto"/>
          <w:spacing w:val="12"/>
          <w:sz w:val="20"/>
          <w:szCs w:val="20"/>
          <w:highlight w:val="none"/>
        </w:rPr>
        <w:t>://</w:t>
      </w:r>
      <w:r>
        <w:rPr>
          <w:rFonts w:ascii="宋体" w:hAnsi="宋体" w:eastAsia="宋体" w:cs="宋体"/>
          <w:color w:val="auto"/>
          <w:sz w:val="20"/>
          <w:szCs w:val="20"/>
          <w:highlight w:val="none"/>
        </w:rPr>
        <w:t>www</w:t>
      </w:r>
      <w:r>
        <w:rPr>
          <w:rFonts w:ascii="宋体" w:hAnsi="宋体" w:eastAsia="宋体" w:cs="宋体"/>
          <w:color w:val="auto"/>
          <w:spacing w:val="12"/>
          <w:sz w:val="20"/>
          <w:szCs w:val="20"/>
          <w:highlight w:val="none"/>
        </w:rPr>
        <w:t>.</w:t>
      </w:r>
      <w:r>
        <w:rPr>
          <w:rFonts w:ascii="宋体" w:hAnsi="宋体" w:eastAsia="宋体" w:cs="宋体"/>
          <w:color w:val="auto"/>
          <w:sz w:val="20"/>
          <w:szCs w:val="20"/>
          <w:highlight w:val="none"/>
        </w:rPr>
        <w:t>gcy</w:t>
      </w:r>
      <w:r>
        <w:rPr>
          <w:rFonts w:ascii="宋体" w:hAnsi="宋体" w:eastAsia="宋体" w:cs="宋体"/>
          <w:color w:val="auto"/>
          <w:spacing w:val="12"/>
          <w:sz w:val="20"/>
          <w:szCs w:val="20"/>
          <w:highlight w:val="none"/>
        </w:rPr>
        <w:t>.</w:t>
      </w:r>
      <w:r>
        <w:rPr>
          <w:rFonts w:ascii="宋体" w:hAnsi="宋体" w:eastAsia="宋体" w:cs="宋体"/>
          <w:color w:val="auto"/>
          <w:sz w:val="20"/>
          <w:szCs w:val="20"/>
          <w:highlight w:val="none"/>
        </w:rPr>
        <w:t>zfcg</w:t>
      </w:r>
      <w:r>
        <w:rPr>
          <w:rFonts w:ascii="宋体" w:hAnsi="宋体" w:eastAsia="宋体" w:cs="宋体"/>
          <w:color w:val="auto"/>
          <w:spacing w:val="12"/>
          <w:sz w:val="20"/>
          <w:szCs w:val="20"/>
          <w:highlight w:val="none"/>
        </w:rPr>
        <w:t>.</w:t>
      </w:r>
      <w:r>
        <w:rPr>
          <w:rFonts w:ascii="宋体" w:hAnsi="宋体" w:eastAsia="宋体" w:cs="宋体"/>
          <w:color w:val="auto"/>
          <w:sz w:val="20"/>
          <w:szCs w:val="20"/>
          <w:highlight w:val="none"/>
        </w:rPr>
        <w:t>gxzf</w:t>
      </w:r>
      <w:r>
        <w:rPr>
          <w:rFonts w:ascii="宋体" w:hAnsi="宋体" w:eastAsia="宋体" w:cs="宋体"/>
          <w:color w:val="auto"/>
          <w:spacing w:val="12"/>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12"/>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pacing w:val="12"/>
          <w:sz w:val="20"/>
          <w:szCs w:val="20"/>
          <w:highlight w:val="none"/>
        </w:rPr>
        <w:t>/</w:t>
      </w:r>
      <w:r>
        <w:rPr>
          <w:rFonts w:ascii="宋体" w:hAnsi="宋体" w:eastAsia="宋体" w:cs="宋体"/>
          <w:color w:val="auto"/>
          <w:spacing w:val="12"/>
          <w:sz w:val="20"/>
          <w:szCs w:val="20"/>
          <w:highlight w:val="none"/>
        </w:rPr>
        <w:fldChar w:fldCharType="end"/>
      </w:r>
      <w:r>
        <w:rPr>
          <w:rFonts w:ascii="宋体" w:hAnsi="宋体" w:eastAsia="宋体" w:cs="宋体"/>
          <w:color w:val="auto"/>
          <w:spacing w:val="19"/>
          <w:sz w:val="20"/>
          <w:szCs w:val="20"/>
          <w:highlight w:val="none"/>
        </w:rPr>
        <w:t>），</w:t>
      </w:r>
      <w:r>
        <w:rPr>
          <w:rFonts w:ascii="宋体" w:hAnsi="宋体" w:eastAsia="宋体" w:cs="宋体"/>
          <w:color w:val="auto"/>
          <w:spacing w:val="12"/>
          <w:sz w:val="20"/>
          <w:szCs w:val="20"/>
          <w:highlight w:val="none"/>
        </w:rPr>
        <w:t>点击右侧咨询小采，获取采小蜜智能服务管</w:t>
      </w:r>
      <w:r>
        <w:rPr>
          <w:rFonts w:ascii="宋体" w:hAnsi="宋体" w:eastAsia="宋体" w:cs="宋体"/>
          <w:color w:val="auto"/>
          <w:spacing w:val="11"/>
          <w:sz w:val="20"/>
          <w:szCs w:val="20"/>
          <w:highlight w:val="none"/>
        </w:rPr>
        <w:t>家帮助，</w:t>
      </w:r>
      <w:r>
        <w:rPr>
          <w:rFonts w:ascii="宋体" w:hAnsi="宋体" w:eastAsia="宋体" w:cs="宋体"/>
          <w:color w:val="auto"/>
          <w:spacing w:val="1"/>
          <w:sz w:val="20"/>
          <w:szCs w:val="20"/>
          <w:highlight w:val="none"/>
        </w:rPr>
        <w:t xml:space="preserve"> </w:t>
      </w:r>
      <w:r>
        <w:rPr>
          <w:rFonts w:ascii="宋体" w:hAnsi="宋体" w:eastAsia="宋体" w:cs="宋体"/>
          <w:color w:val="auto"/>
          <w:spacing w:val="7"/>
          <w:sz w:val="20"/>
          <w:szCs w:val="20"/>
          <w:highlight w:val="none"/>
        </w:rPr>
        <w:t>或拨打政采云服务热线</w:t>
      </w:r>
      <w:r>
        <w:rPr>
          <w:rFonts w:ascii="宋体" w:hAnsi="宋体" w:eastAsia="宋体" w:cs="宋体"/>
          <w:color w:val="auto"/>
          <w:spacing w:val="-36"/>
          <w:sz w:val="20"/>
          <w:szCs w:val="20"/>
          <w:highlight w:val="none"/>
        </w:rPr>
        <w:t xml:space="preserve"> </w:t>
      </w:r>
      <w:r>
        <w:rPr>
          <w:rFonts w:ascii="宋体" w:hAnsi="宋体" w:eastAsia="宋体" w:cs="宋体"/>
          <w:color w:val="auto"/>
          <w:spacing w:val="7"/>
          <w:sz w:val="20"/>
          <w:szCs w:val="20"/>
          <w:highlight w:val="none"/>
        </w:rPr>
        <w:t>95763</w:t>
      </w:r>
      <w:r>
        <w:rPr>
          <w:rFonts w:ascii="宋体" w:hAnsi="宋体" w:eastAsia="宋体" w:cs="宋体"/>
          <w:color w:val="auto"/>
          <w:spacing w:val="-35"/>
          <w:sz w:val="20"/>
          <w:szCs w:val="20"/>
          <w:highlight w:val="none"/>
        </w:rPr>
        <w:t xml:space="preserve"> </w:t>
      </w:r>
      <w:r>
        <w:rPr>
          <w:rFonts w:ascii="宋体" w:hAnsi="宋体" w:eastAsia="宋体" w:cs="宋体"/>
          <w:color w:val="auto"/>
          <w:spacing w:val="7"/>
          <w:sz w:val="20"/>
          <w:szCs w:val="20"/>
          <w:highlight w:val="none"/>
        </w:rPr>
        <w:t>获取热线服务帮助。</w:t>
      </w:r>
    </w:p>
    <w:p w14:paraId="1FA3CE1C">
      <w:pPr>
        <w:spacing w:before="154" w:line="229" w:lineRule="auto"/>
        <w:ind w:left="432"/>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7.注意事项：</w:t>
      </w:r>
    </w:p>
    <w:p w14:paraId="1877C30A">
      <w:pPr>
        <w:spacing w:before="155" w:line="345" w:lineRule="auto"/>
        <w:ind w:left="6" w:right="53" w:firstLine="430"/>
        <w:rPr>
          <w:rFonts w:ascii="宋体" w:hAnsi="宋体" w:eastAsia="宋体" w:cs="宋体"/>
          <w:color w:val="auto"/>
          <w:sz w:val="20"/>
          <w:szCs w:val="20"/>
          <w:highlight w:val="none"/>
        </w:rPr>
      </w:pPr>
      <w:r>
        <w:rPr>
          <w:rFonts w:ascii="宋体" w:hAnsi="宋体" w:eastAsia="宋体" w:cs="宋体"/>
          <w:color w:val="auto"/>
          <w:spacing w:val="18"/>
          <w:sz w:val="20"/>
          <w:szCs w:val="20"/>
          <w:highlight w:val="none"/>
        </w:rPr>
        <w:t>（1）</w:t>
      </w:r>
      <w:r>
        <w:rPr>
          <w:rFonts w:ascii="宋体" w:hAnsi="宋体" w:eastAsia="宋体" w:cs="宋体"/>
          <w:color w:val="auto"/>
          <w:spacing w:val="-29"/>
          <w:sz w:val="20"/>
          <w:szCs w:val="20"/>
          <w:highlight w:val="none"/>
        </w:rPr>
        <w:t xml:space="preserve"> </w:t>
      </w:r>
      <w:r>
        <w:rPr>
          <w:rFonts w:ascii="宋体" w:hAnsi="宋体" w:eastAsia="宋体" w:cs="宋体"/>
          <w:color w:val="auto"/>
          <w:spacing w:val="18"/>
          <w:sz w:val="20"/>
          <w:szCs w:val="20"/>
          <w:highlight w:val="none"/>
        </w:rPr>
        <w:t>响应文件提交方式：</w:t>
      </w:r>
      <w:r>
        <w:rPr>
          <w:rFonts w:ascii="宋体" w:hAnsi="宋体" w:eastAsia="宋体" w:cs="宋体"/>
          <w:color w:val="auto"/>
          <w:spacing w:val="-56"/>
          <w:sz w:val="20"/>
          <w:szCs w:val="20"/>
          <w:highlight w:val="none"/>
        </w:rPr>
        <w:t xml:space="preserve"> </w:t>
      </w:r>
      <w:r>
        <w:rPr>
          <w:rFonts w:ascii="宋体" w:hAnsi="宋体" w:eastAsia="宋体" w:cs="宋体"/>
          <w:color w:val="auto"/>
          <w:spacing w:val="18"/>
          <w:sz w:val="20"/>
          <w:szCs w:val="20"/>
          <w:highlight w:val="none"/>
        </w:rPr>
        <w:t>本项目为南宁市全流程电子化项目，通过广西政府采购云平台</w:t>
      </w:r>
      <w:r>
        <w:rPr>
          <w:rFonts w:ascii="宋体" w:hAnsi="宋体" w:eastAsia="宋体" w:cs="宋体"/>
          <w:color w:val="auto"/>
          <w:sz w:val="20"/>
          <w:szCs w:val="20"/>
          <w:highlight w:val="none"/>
        </w:rPr>
        <w:t xml:space="preserve"> </w:t>
      </w:r>
      <w:r>
        <w:rPr>
          <w:rFonts w:ascii="宋体" w:hAnsi="宋体" w:eastAsia="宋体" w:cs="宋体"/>
          <w:color w:val="auto"/>
          <w:spacing w:val="13"/>
          <w:sz w:val="20"/>
          <w:szCs w:val="20"/>
          <w:highlight w:val="none"/>
        </w:rPr>
        <w:t>（</w:t>
      </w:r>
      <w:r>
        <w:rPr>
          <w:color w:val="auto"/>
          <w:highlight w:val="none"/>
        </w:rPr>
        <w:fldChar w:fldCharType="begin"/>
      </w:r>
      <w:r>
        <w:rPr>
          <w:color w:val="auto"/>
          <w:highlight w:val="none"/>
        </w:rPr>
        <w:instrText xml:space="preserve"> HYPERLINK "https://www.gcy.zfcg.gxzf.gov.cn/" </w:instrText>
      </w:r>
      <w:r>
        <w:rPr>
          <w:color w:val="auto"/>
          <w:highlight w:val="none"/>
        </w:rPr>
        <w:fldChar w:fldCharType="separate"/>
      </w:r>
      <w:r>
        <w:rPr>
          <w:rFonts w:ascii="宋体" w:hAnsi="宋体" w:eastAsia="宋体" w:cs="宋体"/>
          <w:color w:val="auto"/>
          <w:sz w:val="20"/>
          <w:szCs w:val="20"/>
          <w:highlight w:val="none"/>
        </w:rPr>
        <w:t>https</w:t>
      </w:r>
      <w:r>
        <w:rPr>
          <w:rFonts w:ascii="宋体" w:hAnsi="宋体" w:eastAsia="宋体" w:cs="宋体"/>
          <w:color w:val="auto"/>
          <w:spacing w:val="13"/>
          <w:sz w:val="20"/>
          <w:szCs w:val="20"/>
          <w:highlight w:val="none"/>
        </w:rPr>
        <w:t>://</w:t>
      </w:r>
      <w:r>
        <w:rPr>
          <w:rFonts w:ascii="宋体" w:hAnsi="宋体" w:eastAsia="宋体" w:cs="宋体"/>
          <w:color w:val="auto"/>
          <w:sz w:val="20"/>
          <w:szCs w:val="20"/>
          <w:highlight w:val="none"/>
        </w:rPr>
        <w:t>www</w:t>
      </w:r>
      <w:r>
        <w:rPr>
          <w:rFonts w:ascii="宋体" w:hAnsi="宋体" w:eastAsia="宋体" w:cs="宋体"/>
          <w:color w:val="auto"/>
          <w:spacing w:val="13"/>
          <w:sz w:val="20"/>
          <w:szCs w:val="20"/>
          <w:highlight w:val="none"/>
        </w:rPr>
        <w:t>.</w:t>
      </w:r>
      <w:r>
        <w:rPr>
          <w:rFonts w:ascii="宋体" w:hAnsi="宋体" w:eastAsia="宋体" w:cs="宋体"/>
          <w:color w:val="auto"/>
          <w:sz w:val="20"/>
          <w:szCs w:val="20"/>
          <w:highlight w:val="none"/>
        </w:rPr>
        <w:t>gcy</w:t>
      </w:r>
      <w:r>
        <w:rPr>
          <w:rFonts w:ascii="宋体" w:hAnsi="宋体" w:eastAsia="宋体" w:cs="宋体"/>
          <w:color w:val="auto"/>
          <w:spacing w:val="13"/>
          <w:sz w:val="20"/>
          <w:szCs w:val="20"/>
          <w:highlight w:val="none"/>
        </w:rPr>
        <w:t>.</w:t>
      </w:r>
      <w:r>
        <w:rPr>
          <w:rFonts w:ascii="宋体" w:hAnsi="宋体" w:eastAsia="宋体" w:cs="宋体"/>
          <w:color w:val="auto"/>
          <w:sz w:val="20"/>
          <w:szCs w:val="20"/>
          <w:highlight w:val="none"/>
        </w:rPr>
        <w:t>zfcg</w:t>
      </w:r>
      <w:r>
        <w:rPr>
          <w:rFonts w:ascii="宋体" w:hAnsi="宋体" w:eastAsia="宋体" w:cs="宋体"/>
          <w:color w:val="auto"/>
          <w:spacing w:val="13"/>
          <w:sz w:val="20"/>
          <w:szCs w:val="20"/>
          <w:highlight w:val="none"/>
        </w:rPr>
        <w:t>.</w:t>
      </w:r>
      <w:r>
        <w:rPr>
          <w:rFonts w:ascii="宋体" w:hAnsi="宋体" w:eastAsia="宋体" w:cs="宋体"/>
          <w:color w:val="auto"/>
          <w:sz w:val="20"/>
          <w:szCs w:val="20"/>
          <w:highlight w:val="none"/>
        </w:rPr>
        <w:t>gxzf</w:t>
      </w:r>
      <w:r>
        <w:rPr>
          <w:rFonts w:ascii="宋体" w:hAnsi="宋体" w:eastAsia="宋体" w:cs="宋体"/>
          <w:color w:val="auto"/>
          <w:spacing w:val="13"/>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13"/>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pacing w:val="13"/>
          <w:sz w:val="20"/>
          <w:szCs w:val="20"/>
          <w:highlight w:val="none"/>
        </w:rPr>
        <w:t>/</w:t>
      </w:r>
      <w:r>
        <w:rPr>
          <w:rFonts w:ascii="宋体" w:hAnsi="宋体" w:eastAsia="宋体" w:cs="宋体"/>
          <w:color w:val="auto"/>
          <w:spacing w:val="13"/>
          <w:sz w:val="20"/>
          <w:szCs w:val="20"/>
          <w:highlight w:val="none"/>
        </w:rPr>
        <w:fldChar w:fldCharType="end"/>
      </w:r>
      <w:r>
        <w:rPr>
          <w:rFonts w:ascii="宋体" w:hAnsi="宋体" w:eastAsia="宋体" w:cs="宋体"/>
          <w:color w:val="auto"/>
          <w:spacing w:val="13"/>
          <w:sz w:val="20"/>
          <w:szCs w:val="20"/>
          <w:highlight w:val="none"/>
        </w:rPr>
        <w:t>）实行在线电子响应，供应商应先安</w:t>
      </w:r>
      <w:r>
        <w:rPr>
          <w:rFonts w:ascii="宋体" w:hAnsi="宋体" w:eastAsia="宋体" w:cs="宋体"/>
          <w:color w:val="auto"/>
          <w:spacing w:val="12"/>
          <w:sz w:val="20"/>
          <w:szCs w:val="20"/>
          <w:highlight w:val="none"/>
        </w:rPr>
        <w:t>装“政采云电子交易</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客户端</w:t>
      </w:r>
      <w:r>
        <w:rPr>
          <w:rFonts w:ascii="宋体" w:hAnsi="宋体" w:eastAsia="宋体" w:cs="宋体"/>
          <w:color w:val="auto"/>
          <w:spacing w:val="-69"/>
          <w:sz w:val="20"/>
          <w:szCs w:val="20"/>
          <w:highlight w:val="none"/>
        </w:rPr>
        <w:t xml:space="preserve"> </w:t>
      </w:r>
      <w:r>
        <w:rPr>
          <w:rFonts w:ascii="宋体" w:hAnsi="宋体" w:eastAsia="宋体" w:cs="宋体"/>
          <w:color w:val="auto"/>
          <w:spacing w:val="8"/>
          <w:sz w:val="20"/>
          <w:szCs w:val="20"/>
          <w:highlight w:val="none"/>
        </w:rPr>
        <w:t>”（请自行前往广西政府采购云平台进行下载</w:t>
      </w:r>
      <w:r>
        <w:rPr>
          <w:rFonts w:ascii="宋体" w:hAnsi="宋体" w:eastAsia="宋体" w:cs="宋体"/>
          <w:color w:val="auto"/>
          <w:spacing w:val="-1"/>
          <w:sz w:val="20"/>
          <w:szCs w:val="20"/>
          <w:highlight w:val="none"/>
        </w:rPr>
        <w:t>），</w:t>
      </w:r>
      <w:r>
        <w:rPr>
          <w:rFonts w:ascii="宋体" w:hAnsi="宋体" w:eastAsia="宋体" w:cs="宋体"/>
          <w:color w:val="auto"/>
          <w:spacing w:val="8"/>
          <w:sz w:val="20"/>
          <w:szCs w:val="20"/>
          <w:highlight w:val="none"/>
        </w:rPr>
        <w:t>并按照本项目采购文</w:t>
      </w:r>
      <w:r>
        <w:rPr>
          <w:rFonts w:ascii="宋体" w:hAnsi="宋体" w:eastAsia="宋体" w:cs="宋体"/>
          <w:color w:val="auto"/>
          <w:spacing w:val="7"/>
          <w:sz w:val="20"/>
          <w:szCs w:val="20"/>
          <w:highlight w:val="none"/>
        </w:rPr>
        <w:t>件和广西政府采购云</w:t>
      </w:r>
      <w:r>
        <w:rPr>
          <w:rFonts w:ascii="宋体" w:hAnsi="宋体" w:eastAsia="宋体" w:cs="宋体"/>
          <w:color w:val="auto"/>
          <w:spacing w:val="8"/>
          <w:sz w:val="20"/>
          <w:szCs w:val="20"/>
          <w:highlight w:val="none"/>
        </w:rPr>
        <w:t>平台的要求编制、加密后在投标截止时间前通过网络上传至南宁市广西政府采购云平台，供应商在广西政府采购云平台提交电子版响应文件时，请填写参加远程采购活动经办人联系方式，电子响应</w:t>
      </w:r>
      <w:r>
        <w:rPr>
          <w:rFonts w:ascii="宋体" w:hAnsi="宋体" w:eastAsia="宋体" w:cs="宋体"/>
          <w:color w:val="auto"/>
          <w:spacing w:val="7"/>
          <w:sz w:val="20"/>
          <w:szCs w:val="20"/>
          <w:highlight w:val="none"/>
        </w:rPr>
        <w:t>文件具体操作流程详见本公告附件</w:t>
      </w:r>
      <w:r>
        <w:rPr>
          <w:rFonts w:ascii="宋体" w:hAnsi="宋体" w:eastAsia="宋体" w:cs="宋体"/>
          <w:color w:val="auto"/>
          <w:spacing w:val="-22"/>
          <w:sz w:val="20"/>
          <w:szCs w:val="20"/>
          <w:highlight w:val="none"/>
        </w:rPr>
        <w:t xml:space="preserve"> </w:t>
      </w:r>
      <w:r>
        <w:rPr>
          <w:rFonts w:ascii="宋体" w:hAnsi="宋体" w:eastAsia="宋体" w:cs="宋体"/>
          <w:color w:val="auto"/>
          <w:spacing w:val="7"/>
          <w:sz w:val="20"/>
          <w:szCs w:val="20"/>
          <w:highlight w:val="none"/>
        </w:rPr>
        <w:t>2。</w:t>
      </w:r>
    </w:p>
    <w:p w14:paraId="6FB145BF">
      <w:pPr>
        <w:spacing w:before="154" w:line="334" w:lineRule="auto"/>
        <w:ind w:left="6" w:right="53" w:firstLine="43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（2）未进行网上注册并办理数字证书（</w:t>
      </w:r>
      <w:r>
        <w:rPr>
          <w:rFonts w:ascii="宋体" w:hAnsi="宋体" w:eastAsia="宋体" w:cs="宋体"/>
          <w:color w:val="auto"/>
          <w:sz w:val="20"/>
          <w:szCs w:val="20"/>
          <w:highlight w:val="none"/>
        </w:rPr>
        <w:t>CA</w:t>
      </w:r>
      <w:r>
        <w:rPr>
          <w:rFonts w:ascii="宋体" w:hAnsi="宋体" w:eastAsia="宋体" w:cs="宋体"/>
          <w:color w:val="auto"/>
          <w:spacing w:val="-38"/>
          <w:sz w:val="20"/>
          <w:szCs w:val="20"/>
          <w:highlight w:val="none"/>
        </w:rPr>
        <w:t xml:space="preserve"> </w:t>
      </w:r>
      <w:r>
        <w:rPr>
          <w:rFonts w:ascii="宋体" w:hAnsi="宋体" w:eastAsia="宋体" w:cs="宋体"/>
          <w:color w:val="auto"/>
          <w:spacing w:val="9"/>
          <w:sz w:val="20"/>
          <w:szCs w:val="20"/>
          <w:highlight w:val="none"/>
        </w:rPr>
        <w:t>认证）的供应商将无法参与本项目政府</w:t>
      </w:r>
      <w:r>
        <w:rPr>
          <w:rFonts w:ascii="宋体" w:hAnsi="宋体" w:eastAsia="宋体" w:cs="宋体"/>
          <w:color w:val="auto"/>
          <w:spacing w:val="8"/>
          <w:sz w:val="20"/>
          <w:szCs w:val="20"/>
          <w:highlight w:val="none"/>
        </w:rPr>
        <w:t>采购活动，</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潜在供应商应当在投标截止时间前，完成电子交易平台上的</w:t>
      </w:r>
      <w:r>
        <w:rPr>
          <w:rFonts w:ascii="宋体" w:hAnsi="宋体" w:eastAsia="宋体" w:cs="宋体"/>
          <w:color w:val="auto"/>
          <w:spacing w:val="-26"/>
          <w:sz w:val="20"/>
          <w:szCs w:val="20"/>
          <w:highlight w:val="none"/>
        </w:rPr>
        <w:t xml:space="preserve"> </w:t>
      </w:r>
      <w:r>
        <w:rPr>
          <w:rFonts w:ascii="宋体" w:hAnsi="宋体" w:eastAsia="宋体" w:cs="宋体"/>
          <w:color w:val="auto"/>
          <w:sz w:val="20"/>
          <w:szCs w:val="20"/>
          <w:highlight w:val="none"/>
        </w:rPr>
        <w:t>CA</w:t>
      </w:r>
      <w:r>
        <w:rPr>
          <w:rFonts w:ascii="宋体" w:hAnsi="宋体" w:eastAsia="宋体" w:cs="宋体"/>
          <w:color w:val="auto"/>
          <w:spacing w:val="-36"/>
          <w:sz w:val="20"/>
          <w:szCs w:val="20"/>
          <w:highlight w:val="none"/>
        </w:rPr>
        <w:t xml:space="preserve"> </w:t>
      </w:r>
      <w:r>
        <w:rPr>
          <w:rFonts w:ascii="宋体" w:hAnsi="宋体" w:eastAsia="宋体" w:cs="宋体"/>
          <w:color w:val="auto"/>
          <w:spacing w:val="10"/>
          <w:sz w:val="20"/>
          <w:szCs w:val="20"/>
          <w:highlight w:val="none"/>
        </w:rPr>
        <w:t>数字证书办理（申领流程见本公告</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附件</w:t>
      </w:r>
      <w:r>
        <w:rPr>
          <w:rFonts w:ascii="宋体" w:hAnsi="宋体" w:eastAsia="宋体" w:cs="宋体"/>
          <w:color w:val="auto"/>
          <w:spacing w:val="-12"/>
          <w:sz w:val="20"/>
          <w:szCs w:val="20"/>
          <w:highlight w:val="none"/>
        </w:rPr>
        <w:t xml:space="preserve"> </w:t>
      </w:r>
      <w:r>
        <w:rPr>
          <w:rFonts w:ascii="宋体" w:hAnsi="宋体" w:eastAsia="宋体" w:cs="宋体"/>
          <w:color w:val="auto"/>
          <w:spacing w:val="6"/>
          <w:sz w:val="20"/>
          <w:szCs w:val="20"/>
          <w:highlight w:val="none"/>
        </w:rPr>
        <w:t>1）及响应文件的提交。完成</w:t>
      </w:r>
      <w:r>
        <w:rPr>
          <w:rFonts w:ascii="宋体" w:hAnsi="宋体" w:eastAsia="宋体" w:cs="宋体"/>
          <w:color w:val="auto"/>
          <w:spacing w:val="-38"/>
          <w:sz w:val="20"/>
          <w:szCs w:val="20"/>
          <w:highlight w:val="none"/>
        </w:rPr>
        <w:t xml:space="preserve"> </w:t>
      </w:r>
      <w:r>
        <w:rPr>
          <w:rFonts w:ascii="宋体" w:hAnsi="宋体" w:eastAsia="宋体" w:cs="宋体"/>
          <w:color w:val="auto"/>
          <w:sz w:val="20"/>
          <w:szCs w:val="20"/>
          <w:highlight w:val="none"/>
        </w:rPr>
        <w:t>CA</w:t>
      </w:r>
      <w:r>
        <w:rPr>
          <w:rFonts w:ascii="宋体" w:hAnsi="宋体" w:eastAsia="宋体" w:cs="宋体"/>
          <w:color w:val="auto"/>
          <w:spacing w:val="-39"/>
          <w:sz w:val="20"/>
          <w:szCs w:val="20"/>
          <w:highlight w:val="none"/>
        </w:rPr>
        <w:t xml:space="preserve"> </w:t>
      </w:r>
      <w:r>
        <w:rPr>
          <w:rFonts w:ascii="宋体" w:hAnsi="宋体" w:eastAsia="宋体" w:cs="宋体"/>
          <w:color w:val="auto"/>
          <w:spacing w:val="6"/>
          <w:sz w:val="20"/>
          <w:szCs w:val="20"/>
          <w:highlight w:val="none"/>
        </w:rPr>
        <w:t>数字证书办理预计</w:t>
      </w:r>
      <w:r>
        <w:rPr>
          <w:rFonts w:ascii="宋体" w:hAnsi="宋体" w:eastAsia="宋体" w:cs="宋体"/>
          <w:color w:val="auto"/>
          <w:spacing w:val="-32"/>
          <w:sz w:val="20"/>
          <w:szCs w:val="20"/>
          <w:highlight w:val="none"/>
        </w:rPr>
        <w:t xml:space="preserve"> </w:t>
      </w:r>
      <w:r>
        <w:rPr>
          <w:rFonts w:ascii="宋体" w:hAnsi="宋体" w:eastAsia="宋体" w:cs="宋体"/>
          <w:color w:val="auto"/>
          <w:spacing w:val="6"/>
          <w:sz w:val="20"/>
          <w:szCs w:val="20"/>
          <w:highlight w:val="none"/>
        </w:rPr>
        <w:t>7 日左右，供应商只需办理其中一家</w:t>
      </w:r>
      <w:r>
        <w:rPr>
          <w:rFonts w:ascii="宋体" w:hAnsi="宋体" w:eastAsia="宋体" w:cs="宋体"/>
          <w:color w:val="auto"/>
          <w:spacing w:val="-41"/>
          <w:sz w:val="20"/>
          <w:szCs w:val="20"/>
          <w:highlight w:val="none"/>
        </w:rPr>
        <w:t xml:space="preserve"> </w:t>
      </w:r>
      <w:r>
        <w:rPr>
          <w:rFonts w:ascii="宋体" w:hAnsi="宋体" w:eastAsia="宋体" w:cs="宋体"/>
          <w:color w:val="auto"/>
          <w:sz w:val="20"/>
          <w:szCs w:val="20"/>
          <w:highlight w:val="none"/>
        </w:rPr>
        <w:t>CA</w:t>
      </w:r>
      <w:r>
        <w:rPr>
          <w:rFonts w:ascii="宋体" w:hAnsi="宋体" w:eastAsia="宋体" w:cs="宋体"/>
          <w:color w:val="auto"/>
          <w:spacing w:val="-36"/>
          <w:sz w:val="20"/>
          <w:szCs w:val="20"/>
          <w:highlight w:val="none"/>
        </w:rPr>
        <w:t xml:space="preserve"> </w:t>
      </w:r>
      <w:r>
        <w:rPr>
          <w:rFonts w:ascii="宋体" w:hAnsi="宋体" w:eastAsia="宋体" w:cs="宋体"/>
          <w:color w:val="auto"/>
          <w:spacing w:val="6"/>
          <w:sz w:val="20"/>
          <w:szCs w:val="20"/>
          <w:highlight w:val="none"/>
        </w:rPr>
        <w:t>数</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字证书及签章。</w:t>
      </w:r>
    </w:p>
    <w:p w14:paraId="150796DD">
      <w:pPr>
        <w:spacing w:before="151" w:line="299" w:lineRule="auto"/>
        <w:ind w:left="9" w:right="15" w:firstLine="428"/>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（3）为确保网上操作合法、有效和安全，请供应商确保在电子响应过程中能够对相关数据电</w:t>
      </w:r>
      <w:r>
        <w:rPr>
          <w:rFonts w:ascii="宋体" w:hAnsi="宋体" w:eastAsia="宋体" w:cs="宋体"/>
          <w:color w:val="auto"/>
          <w:spacing w:val="7"/>
          <w:sz w:val="20"/>
          <w:szCs w:val="20"/>
          <w:highlight w:val="none"/>
        </w:rPr>
        <w:t xml:space="preserve"> </w:t>
      </w:r>
      <w:r>
        <w:rPr>
          <w:rFonts w:ascii="宋体" w:hAnsi="宋体" w:eastAsia="宋体" w:cs="宋体"/>
          <w:color w:val="auto"/>
          <w:spacing w:val="10"/>
          <w:sz w:val="20"/>
          <w:szCs w:val="20"/>
          <w:highlight w:val="none"/>
        </w:rPr>
        <w:t>文进行加密和使用电子签章，妥善保管</w:t>
      </w:r>
      <w:r>
        <w:rPr>
          <w:rFonts w:ascii="宋体" w:hAnsi="宋体" w:eastAsia="宋体" w:cs="宋体"/>
          <w:color w:val="auto"/>
          <w:spacing w:val="-41"/>
          <w:sz w:val="20"/>
          <w:szCs w:val="20"/>
          <w:highlight w:val="none"/>
        </w:rPr>
        <w:t xml:space="preserve"> </w:t>
      </w:r>
      <w:r>
        <w:rPr>
          <w:rFonts w:ascii="宋体" w:hAnsi="宋体" w:eastAsia="宋体" w:cs="宋体"/>
          <w:color w:val="auto"/>
          <w:sz w:val="20"/>
          <w:szCs w:val="20"/>
          <w:highlight w:val="none"/>
        </w:rPr>
        <w:t>CA</w:t>
      </w:r>
      <w:r>
        <w:rPr>
          <w:rFonts w:ascii="宋体" w:hAnsi="宋体" w:eastAsia="宋体" w:cs="宋体"/>
          <w:color w:val="auto"/>
          <w:spacing w:val="-37"/>
          <w:sz w:val="20"/>
          <w:szCs w:val="20"/>
          <w:highlight w:val="none"/>
        </w:rPr>
        <w:t xml:space="preserve"> </w:t>
      </w:r>
      <w:r>
        <w:rPr>
          <w:rFonts w:ascii="宋体" w:hAnsi="宋体" w:eastAsia="宋体" w:cs="宋体"/>
          <w:color w:val="auto"/>
          <w:spacing w:val="10"/>
          <w:sz w:val="20"/>
          <w:szCs w:val="20"/>
          <w:highlight w:val="none"/>
        </w:rPr>
        <w:t>数字证书并使用有效的</w:t>
      </w:r>
      <w:r>
        <w:rPr>
          <w:rFonts w:ascii="宋体" w:hAnsi="宋体" w:eastAsia="宋体" w:cs="宋体"/>
          <w:color w:val="auto"/>
          <w:sz w:val="20"/>
          <w:szCs w:val="20"/>
          <w:highlight w:val="none"/>
        </w:rPr>
        <w:t>CA</w:t>
      </w:r>
      <w:r>
        <w:rPr>
          <w:rFonts w:ascii="宋体" w:hAnsi="宋体" w:eastAsia="宋体" w:cs="宋体"/>
          <w:color w:val="auto"/>
          <w:spacing w:val="-38"/>
          <w:sz w:val="20"/>
          <w:szCs w:val="20"/>
          <w:highlight w:val="none"/>
        </w:rPr>
        <w:t xml:space="preserve"> </w:t>
      </w:r>
      <w:r>
        <w:rPr>
          <w:rFonts w:ascii="宋体" w:hAnsi="宋体" w:eastAsia="宋体" w:cs="宋体"/>
          <w:color w:val="auto"/>
          <w:spacing w:val="10"/>
          <w:sz w:val="20"/>
          <w:szCs w:val="20"/>
          <w:highlight w:val="none"/>
        </w:rPr>
        <w:t>数字证书参与整个采购活动。</w:t>
      </w:r>
    </w:p>
    <w:p w14:paraId="38D9B905">
      <w:pPr>
        <w:spacing w:before="154" w:line="369" w:lineRule="auto"/>
        <w:ind w:left="6" w:firstLine="420"/>
        <w:jc w:val="both"/>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注：供应商应当在首次响应文件提交截止时间前完成电子响应文件的上传、递交，响应文件提</w:t>
      </w:r>
      <w:r>
        <w:rPr>
          <w:rFonts w:ascii="宋体" w:hAnsi="宋体" w:eastAsia="宋体" w:cs="宋体"/>
          <w:color w:val="auto"/>
          <w:sz w:val="20"/>
          <w:szCs w:val="20"/>
          <w:highlight w:val="none"/>
        </w:rPr>
        <w:t xml:space="preserve"> </w:t>
      </w:r>
      <w:r>
        <w:rPr>
          <w:rFonts w:ascii="宋体" w:hAnsi="宋体" w:eastAsia="宋体" w:cs="宋体"/>
          <w:color w:val="auto"/>
          <w:spacing w:val="5"/>
          <w:sz w:val="20"/>
          <w:szCs w:val="20"/>
          <w:highlight w:val="none"/>
        </w:rPr>
        <w:t>交截止时间前可以补充、修改或者撤回响应文件。补充或者</w:t>
      </w:r>
      <w:r>
        <w:rPr>
          <w:rFonts w:ascii="宋体" w:hAnsi="宋体" w:eastAsia="宋体" w:cs="宋体"/>
          <w:color w:val="auto"/>
          <w:spacing w:val="4"/>
          <w:sz w:val="20"/>
          <w:szCs w:val="20"/>
          <w:highlight w:val="none"/>
        </w:rPr>
        <w:t>修改响应文件的，应当先行撤回原文件，</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补充、修改后重新上传、递交。响应截止时间前未完成上传、递交的，视为撤回响应文件。响应文</w:t>
      </w:r>
      <w:r>
        <w:rPr>
          <w:rFonts w:ascii="宋体" w:hAnsi="宋体" w:eastAsia="宋体" w:cs="宋体"/>
          <w:color w:val="auto"/>
          <w:spacing w:val="4"/>
          <w:sz w:val="20"/>
          <w:szCs w:val="20"/>
          <w:highlight w:val="none"/>
        </w:rPr>
        <w:t xml:space="preserve"> </w:t>
      </w:r>
      <w:r>
        <w:rPr>
          <w:rFonts w:ascii="宋体" w:hAnsi="宋体" w:eastAsia="宋体" w:cs="宋体"/>
          <w:color w:val="auto"/>
          <w:spacing w:val="9"/>
          <w:sz w:val="20"/>
          <w:szCs w:val="20"/>
          <w:highlight w:val="none"/>
        </w:rPr>
        <w:t>件提交截止时间以后上传递交的响应文件的，广西政府采购云平台将予以拒收。</w:t>
      </w:r>
    </w:p>
    <w:p w14:paraId="0FB46196">
      <w:pPr>
        <w:spacing w:before="2" w:line="322" w:lineRule="auto"/>
        <w:ind w:left="6" w:right="56" w:firstLine="431"/>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（4）</w:t>
      </w:r>
      <w:r>
        <w:rPr>
          <w:rFonts w:ascii="宋体" w:hAnsi="宋体" w:eastAsia="宋体" w:cs="宋体"/>
          <w:color w:val="auto"/>
          <w:sz w:val="20"/>
          <w:szCs w:val="20"/>
          <w:highlight w:val="none"/>
        </w:rPr>
        <w:t>CA</w:t>
      </w:r>
      <w:r>
        <w:rPr>
          <w:rFonts w:ascii="宋体" w:hAnsi="宋体" w:eastAsia="宋体" w:cs="宋体"/>
          <w:color w:val="auto"/>
          <w:spacing w:val="-40"/>
          <w:sz w:val="20"/>
          <w:szCs w:val="20"/>
          <w:highlight w:val="none"/>
        </w:rPr>
        <w:t xml:space="preserve"> </w:t>
      </w:r>
      <w:r>
        <w:rPr>
          <w:rFonts w:ascii="宋体" w:hAnsi="宋体" w:eastAsia="宋体" w:cs="宋体"/>
          <w:color w:val="auto"/>
          <w:spacing w:val="9"/>
          <w:sz w:val="20"/>
          <w:szCs w:val="20"/>
          <w:highlight w:val="none"/>
        </w:rPr>
        <w:t>证书在线解密：首次响应文件开启时，须要供应商携带制作响应文件时用</w:t>
      </w:r>
      <w:r>
        <w:rPr>
          <w:rFonts w:ascii="宋体" w:hAnsi="宋体" w:eastAsia="宋体" w:cs="宋体"/>
          <w:color w:val="auto"/>
          <w:spacing w:val="8"/>
          <w:sz w:val="20"/>
          <w:szCs w:val="20"/>
          <w:highlight w:val="none"/>
        </w:rPr>
        <w:t>来加密的有</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效数字证书（</w:t>
      </w:r>
      <w:r>
        <w:rPr>
          <w:rFonts w:ascii="宋体" w:hAnsi="宋体" w:eastAsia="宋体" w:cs="宋体"/>
          <w:color w:val="auto"/>
          <w:sz w:val="20"/>
          <w:szCs w:val="20"/>
          <w:highlight w:val="none"/>
        </w:rPr>
        <w:t>CA</w:t>
      </w:r>
      <w:r>
        <w:rPr>
          <w:rFonts w:ascii="宋体" w:hAnsi="宋体" w:eastAsia="宋体" w:cs="宋体"/>
          <w:color w:val="auto"/>
          <w:spacing w:val="-38"/>
          <w:sz w:val="20"/>
          <w:szCs w:val="20"/>
          <w:highlight w:val="none"/>
        </w:rPr>
        <w:t xml:space="preserve"> </w:t>
      </w:r>
      <w:r>
        <w:rPr>
          <w:rFonts w:ascii="宋体" w:hAnsi="宋体" w:eastAsia="宋体" w:cs="宋体"/>
          <w:color w:val="auto"/>
          <w:spacing w:val="12"/>
          <w:sz w:val="20"/>
          <w:szCs w:val="20"/>
          <w:highlight w:val="none"/>
        </w:rPr>
        <w:t>认证）登录广西政府采购云平台电子开标大厅现场按规定时间</w:t>
      </w:r>
      <w:r>
        <w:rPr>
          <w:rFonts w:ascii="宋体" w:hAnsi="宋体" w:eastAsia="宋体" w:cs="宋体"/>
          <w:color w:val="auto"/>
          <w:spacing w:val="11"/>
          <w:sz w:val="20"/>
          <w:szCs w:val="20"/>
          <w:highlight w:val="none"/>
        </w:rPr>
        <w:t>对加密的响应文件</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进行解密，否则后果自负。</w:t>
      </w:r>
    </w:p>
    <w:p w14:paraId="103B40E8">
      <w:pPr>
        <w:spacing w:before="151" w:line="299" w:lineRule="auto"/>
        <w:ind w:left="13" w:right="56" w:firstLine="424"/>
        <w:rPr>
          <w:rFonts w:ascii="宋体" w:hAnsi="宋体" w:eastAsia="宋体" w:cs="宋体"/>
          <w:color w:val="auto"/>
          <w:spacing w:val="8"/>
          <w:sz w:val="20"/>
          <w:szCs w:val="20"/>
          <w:highlight w:val="none"/>
        </w:rPr>
      </w:pPr>
      <w:r>
        <w:rPr>
          <w:rFonts w:ascii="宋体" w:hAnsi="宋体" w:eastAsia="宋体" w:cs="宋体"/>
          <w:color w:val="auto"/>
          <w:spacing w:val="10"/>
          <w:sz w:val="20"/>
          <w:szCs w:val="20"/>
          <w:highlight w:val="none"/>
        </w:rPr>
        <w:t>（5）供应商需要在具备有摄像头及语音功能且互联网网络状况良好的电脑登录广西政府采购</w:t>
      </w:r>
      <w:r>
        <w:rPr>
          <w:rFonts w:ascii="宋体" w:hAnsi="宋体" w:eastAsia="宋体" w:cs="宋体"/>
          <w:color w:val="auto"/>
          <w:spacing w:val="5"/>
          <w:sz w:val="20"/>
          <w:szCs w:val="20"/>
          <w:highlight w:val="none"/>
        </w:rPr>
        <w:t xml:space="preserve"> </w:t>
      </w:r>
      <w:r>
        <w:rPr>
          <w:rFonts w:ascii="宋体" w:hAnsi="宋体" w:eastAsia="宋体" w:cs="宋体"/>
          <w:color w:val="auto"/>
          <w:spacing w:val="9"/>
          <w:sz w:val="20"/>
          <w:szCs w:val="20"/>
          <w:highlight w:val="none"/>
        </w:rPr>
        <w:t>云平台远程开标大厅参与本次磋商，否则后果自</w:t>
      </w:r>
      <w:r>
        <w:rPr>
          <w:rFonts w:ascii="宋体" w:hAnsi="宋体" w:eastAsia="宋体" w:cs="宋体"/>
          <w:color w:val="auto"/>
          <w:spacing w:val="8"/>
          <w:sz w:val="20"/>
          <w:szCs w:val="20"/>
          <w:highlight w:val="none"/>
        </w:rPr>
        <w:t>负。</w:t>
      </w:r>
    </w:p>
    <w:p w14:paraId="6774FD40">
      <w:pPr>
        <w:spacing w:before="151" w:line="299" w:lineRule="auto"/>
        <w:ind w:left="13" w:right="56" w:firstLine="424"/>
        <w:rPr>
          <w:rFonts w:ascii="宋体" w:hAnsi="宋体" w:eastAsia="宋体" w:cs="宋体"/>
          <w:color w:val="auto"/>
          <w:spacing w:val="8"/>
          <w:sz w:val="20"/>
          <w:szCs w:val="20"/>
          <w:highlight w:val="none"/>
        </w:rPr>
      </w:pPr>
      <w:r>
        <w:rPr>
          <w:rFonts w:hint="eastAsia" w:ascii="宋体" w:hAnsi="宋体" w:eastAsia="宋体" w:cs="宋体"/>
          <w:color w:val="auto"/>
          <w:spacing w:val="8"/>
          <w:sz w:val="20"/>
          <w:szCs w:val="20"/>
          <w:highlight w:val="none"/>
          <w:lang w:eastAsia="zh-CN"/>
        </w:rPr>
        <w:t>（</w:t>
      </w:r>
      <w:r>
        <w:rPr>
          <w:rFonts w:hint="eastAsia" w:ascii="宋体" w:hAnsi="宋体" w:eastAsia="宋体" w:cs="宋体"/>
          <w:color w:val="auto"/>
          <w:spacing w:val="8"/>
          <w:sz w:val="20"/>
          <w:szCs w:val="20"/>
          <w:highlight w:val="none"/>
          <w:lang w:val="en-US" w:eastAsia="zh-CN"/>
        </w:rPr>
        <w:t>6）本项目的采购单位为：横州市石塘镇芦村村委小学，如公告或采购文件有与本条补充说明不一致的，均以本条补充说明为准。</w:t>
      </w:r>
    </w:p>
    <w:p w14:paraId="0AEBAAD7">
      <w:pPr>
        <w:spacing w:before="128" w:line="219" w:lineRule="auto"/>
        <w:ind w:left="492"/>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八、凡对本次采购提出询问，请按以下方式联系</w:t>
      </w:r>
    </w:p>
    <w:p w14:paraId="3F41316E">
      <w:pPr>
        <w:spacing w:before="139" w:line="228" w:lineRule="auto"/>
        <w:ind w:left="443"/>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1.采购人信息</w:t>
      </w:r>
    </w:p>
    <w:p w14:paraId="5E49BF0A">
      <w:pPr>
        <w:spacing w:before="154" w:line="228" w:lineRule="auto"/>
        <w:ind w:left="427"/>
        <w:rPr>
          <w:rFonts w:hint="eastAsia" w:ascii="宋体" w:hAnsi="宋体" w:eastAsia="宋体" w:cs="宋体"/>
          <w:color w:val="auto"/>
          <w:spacing w:val="8"/>
          <w:sz w:val="20"/>
          <w:szCs w:val="20"/>
          <w:highlight w:val="none"/>
          <w:lang w:eastAsia="zh-CN"/>
        </w:rPr>
      </w:pPr>
      <w:r>
        <w:rPr>
          <w:rFonts w:ascii="宋体" w:hAnsi="宋体" w:eastAsia="宋体" w:cs="宋体"/>
          <w:color w:val="auto"/>
          <w:spacing w:val="8"/>
          <w:sz w:val="20"/>
          <w:szCs w:val="20"/>
          <w:highlight w:val="none"/>
        </w:rPr>
        <w:t>名称：</w:t>
      </w:r>
      <w:r>
        <w:rPr>
          <w:rFonts w:hint="eastAsia" w:ascii="宋体" w:hAnsi="宋体" w:eastAsia="宋体" w:cs="宋体"/>
          <w:color w:val="auto"/>
          <w:spacing w:val="8"/>
          <w:sz w:val="20"/>
          <w:szCs w:val="20"/>
          <w:highlight w:val="none"/>
          <w:lang w:eastAsia="zh-CN"/>
        </w:rPr>
        <w:t>横州市石塘镇芦村村委小学</w:t>
      </w:r>
    </w:p>
    <w:p w14:paraId="29AB2CE3">
      <w:pPr>
        <w:spacing w:before="154" w:line="228" w:lineRule="auto"/>
        <w:ind w:left="427"/>
        <w:rPr>
          <w:rFonts w:hint="eastAsia" w:ascii="宋体" w:hAnsi="宋体" w:eastAsia="宋体" w:cs="宋体"/>
          <w:color w:val="auto"/>
          <w:sz w:val="20"/>
          <w:szCs w:val="20"/>
          <w:highlight w:val="none"/>
          <w:lang w:eastAsia="zh-CN"/>
        </w:rPr>
      </w:pPr>
      <w:r>
        <w:rPr>
          <w:rFonts w:ascii="宋体" w:hAnsi="宋体" w:eastAsia="宋体" w:cs="宋体"/>
          <w:color w:val="auto"/>
          <w:spacing w:val="7"/>
          <w:sz w:val="20"/>
          <w:szCs w:val="20"/>
          <w:highlight w:val="none"/>
        </w:rPr>
        <w:t>地址：</w:t>
      </w:r>
      <w:r>
        <w:rPr>
          <w:rFonts w:hint="eastAsia" w:ascii="宋体" w:hAnsi="宋体" w:eastAsia="宋体" w:cs="宋体"/>
          <w:color w:val="auto"/>
          <w:spacing w:val="7"/>
          <w:sz w:val="20"/>
          <w:szCs w:val="20"/>
          <w:highlight w:val="none"/>
          <w:lang w:val="en-US" w:eastAsia="zh-CN"/>
        </w:rPr>
        <w:t>横州市石塘镇芦村村委小学</w:t>
      </w:r>
    </w:p>
    <w:p w14:paraId="69E66E7F">
      <w:pPr>
        <w:spacing w:before="151" w:line="228" w:lineRule="auto"/>
        <w:ind w:left="430"/>
        <w:rPr>
          <w:rFonts w:hint="eastAsia" w:ascii="宋体" w:hAnsi="宋体" w:eastAsia="宋体" w:cs="宋体"/>
          <w:color w:val="auto"/>
          <w:spacing w:val="8"/>
          <w:sz w:val="20"/>
          <w:szCs w:val="20"/>
          <w:highlight w:val="none"/>
          <w:lang w:eastAsia="zh-CN"/>
        </w:rPr>
      </w:pPr>
      <w:r>
        <w:rPr>
          <w:rFonts w:ascii="宋体" w:hAnsi="宋体" w:eastAsia="宋体" w:cs="宋体"/>
          <w:color w:val="auto"/>
          <w:spacing w:val="8"/>
          <w:sz w:val="20"/>
          <w:szCs w:val="20"/>
          <w:highlight w:val="none"/>
        </w:rPr>
        <w:t>项目联系人：</w:t>
      </w:r>
      <w:r>
        <w:rPr>
          <w:rFonts w:hint="eastAsia" w:ascii="宋体" w:hAnsi="宋体" w:eastAsia="宋体" w:cs="宋体"/>
          <w:color w:val="auto"/>
          <w:spacing w:val="8"/>
          <w:sz w:val="20"/>
          <w:szCs w:val="20"/>
          <w:highlight w:val="none"/>
          <w:lang w:val="en-US" w:eastAsia="zh-CN"/>
        </w:rPr>
        <w:t>陆昌严</w:t>
      </w:r>
    </w:p>
    <w:p w14:paraId="48FA8C20">
      <w:pPr>
        <w:spacing w:before="151" w:line="228" w:lineRule="auto"/>
        <w:ind w:left="430"/>
        <w:rPr>
          <w:rFonts w:ascii="宋体" w:hAnsi="宋体" w:eastAsia="宋体" w:cs="宋体"/>
          <w:color w:val="auto"/>
          <w:spacing w:val="6"/>
          <w:sz w:val="20"/>
          <w:szCs w:val="20"/>
          <w:highlight w:val="none"/>
        </w:rPr>
      </w:pPr>
      <w:r>
        <w:rPr>
          <w:rFonts w:ascii="宋体" w:hAnsi="宋体" w:eastAsia="宋体" w:cs="宋体"/>
          <w:color w:val="auto"/>
          <w:spacing w:val="6"/>
          <w:sz w:val="20"/>
          <w:szCs w:val="20"/>
          <w:highlight w:val="none"/>
        </w:rPr>
        <w:t>联系电话：</w:t>
      </w:r>
      <w:r>
        <w:rPr>
          <w:rFonts w:hint="eastAsia" w:ascii="宋体" w:hAnsi="宋体" w:eastAsia="宋体" w:cs="宋体"/>
          <w:color w:val="auto"/>
          <w:spacing w:val="8"/>
          <w:sz w:val="20"/>
          <w:szCs w:val="20"/>
          <w:highlight w:val="none"/>
          <w:lang w:val="en-US" w:eastAsia="zh-CN"/>
        </w:rPr>
        <w:t>0771-7190030</w:t>
      </w:r>
    </w:p>
    <w:p w14:paraId="670F5BA2">
      <w:pPr>
        <w:spacing w:before="151" w:line="228" w:lineRule="auto"/>
        <w:ind w:left="430"/>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2.采购代理机构信息</w:t>
      </w:r>
    </w:p>
    <w:p w14:paraId="0C856FC9">
      <w:pPr>
        <w:spacing w:before="151" w:line="227" w:lineRule="auto"/>
        <w:ind w:left="43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名 称：广西拓正工程造价咨询有限公司</w:t>
      </w:r>
    </w:p>
    <w:p w14:paraId="269D2187">
      <w:pPr>
        <w:spacing w:before="156" w:line="228" w:lineRule="auto"/>
        <w:ind w:left="427"/>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地  址：中国（广西）自由贸易试验区南宁片区五象大道401</w:t>
      </w:r>
      <w:r>
        <w:rPr>
          <w:rFonts w:ascii="宋体" w:hAnsi="宋体" w:eastAsia="宋体" w:cs="宋体"/>
          <w:color w:val="auto"/>
          <w:spacing w:val="-19"/>
          <w:sz w:val="20"/>
          <w:szCs w:val="20"/>
          <w:highlight w:val="none"/>
        </w:rPr>
        <w:t xml:space="preserve"> </w:t>
      </w:r>
      <w:r>
        <w:rPr>
          <w:rFonts w:ascii="宋体" w:hAnsi="宋体" w:eastAsia="宋体" w:cs="宋体"/>
          <w:color w:val="auto"/>
          <w:spacing w:val="7"/>
          <w:sz w:val="20"/>
          <w:szCs w:val="20"/>
          <w:highlight w:val="none"/>
        </w:rPr>
        <w:t>号南宁航洋信和广场</w:t>
      </w:r>
      <w:r>
        <w:rPr>
          <w:rFonts w:ascii="宋体" w:hAnsi="宋体" w:eastAsia="宋体" w:cs="宋体"/>
          <w:color w:val="auto"/>
          <w:spacing w:val="-24"/>
          <w:sz w:val="20"/>
          <w:szCs w:val="20"/>
          <w:highlight w:val="none"/>
        </w:rPr>
        <w:t xml:space="preserve"> </w:t>
      </w:r>
      <w:r>
        <w:rPr>
          <w:rFonts w:ascii="宋体" w:hAnsi="宋体" w:eastAsia="宋体" w:cs="宋体"/>
          <w:color w:val="auto"/>
          <w:spacing w:val="7"/>
          <w:sz w:val="20"/>
          <w:szCs w:val="20"/>
          <w:highlight w:val="none"/>
        </w:rPr>
        <w:t>1</w:t>
      </w:r>
      <w:r>
        <w:rPr>
          <w:rFonts w:ascii="宋体" w:hAnsi="宋体" w:eastAsia="宋体" w:cs="宋体"/>
          <w:color w:val="auto"/>
          <w:spacing w:val="-33"/>
          <w:sz w:val="20"/>
          <w:szCs w:val="20"/>
          <w:highlight w:val="none"/>
        </w:rPr>
        <w:t xml:space="preserve"> </w:t>
      </w:r>
      <w:r>
        <w:rPr>
          <w:rFonts w:ascii="宋体" w:hAnsi="宋体" w:eastAsia="宋体" w:cs="宋体"/>
          <w:color w:val="auto"/>
          <w:spacing w:val="7"/>
          <w:sz w:val="20"/>
          <w:szCs w:val="20"/>
          <w:highlight w:val="none"/>
        </w:rPr>
        <w:t>号楼二十</w:t>
      </w:r>
    </w:p>
    <w:p w14:paraId="79849562">
      <w:pPr>
        <w:spacing w:before="154" w:line="228" w:lineRule="auto"/>
        <w:ind w:left="27"/>
        <w:rPr>
          <w:color w:val="auto"/>
          <w:highlight w:val="none"/>
        </w:rPr>
      </w:pPr>
      <w:r>
        <w:rPr>
          <w:rFonts w:ascii="宋体" w:hAnsi="宋体" w:eastAsia="宋体" w:cs="宋体"/>
          <w:color w:val="auto"/>
          <w:sz w:val="20"/>
          <w:szCs w:val="20"/>
          <w:highlight w:val="none"/>
        </w:rPr>
        <w:t>四层</w:t>
      </w:r>
      <w:r>
        <w:rPr>
          <w:rFonts w:ascii="宋体" w:hAnsi="宋体" w:eastAsia="宋体" w:cs="宋体"/>
          <w:color w:val="auto"/>
          <w:spacing w:val="-35"/>
          <w:sz w:val="20"/>
          <w:szCs w:val="20"/>
          <w:highlight w:val="none"/>
        </w:rPr>
        <w:t xml:space="preserve"> </w:t>
      </w:r>
      <w:r>
        <w:rPr>
          <w:rFonts w:ascii="宋体" w:hAnsi="宋体" w:eastAsia="宋体" w:cs="宋体"/>
          <w:color w:val="auto"/>
          <w:sz w:val="20"/>
          <w:szCs w:val="20"/>
          <w:highlight w:val="none"/>
        </w:rPr>
        <w:t>2417</w:t>
      </w:r>
      <w:r>
        <w:rPr>
          <w:rFonts w:ascii="宋体" w:hAnsi="宋体" w:eastAsia="宋体" w:cs="宋体"/>
          <w:color w:val="auto"/>
          <w:spacing w:val="-36"/>
          <w:sz w:val="20"/>
          <w:szCs w:val="20"/>
          <w:highlight w:val="none"/>
        </w:rPr>
        <w:t xml:space="preserve"> </w:t>
      </w:r>
      <w:r>
        <w:rPr>
          <w:rFonts w:ascii="宋体" w:hAnsi="宋体" w:eastAsia="宋体" w:cs="宋体"/>
          <w:color w:val="auto"/>
          <w:sz w:val="20"/>
          <w:szCs w:val="20"/>
          <w:highlight w:val="none"/>
        </w:rPr>
        <w:t>号</w:t>
      </w:r>
    </w:p>
    <w:p w14:paraId="12AF45F9">
      <w:pPr>
        <w:spacing w:before="65" w:line="230" w:lineRule="auto"/>
        <w:ind w:left="428"/>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联系方式：0771-5355015</w:t>
      </w:r>
    </w:p>
    <w:p w14:paraId="73B71D9E">
      <w:pPr>
        <w:spacing w:before="151" w:line="229" w:lineRule="auto"/>
        <w:ind w:left="431"/>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3.项目联系方式</w:t>
      </w:r>
    </w:p>
    <w:p w14:paraId="2FFE7DC3">
      <w:pPr>
        <w:spacing w:before="153" w:line="228" w:lineRule="auto"/>
        <w:ind w:left="431"/>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项目联系人：</w:t>
      </w:r>
      <w:r>
        <w:rPr>
          <w:rFonts w:hint="eastAsia" w:ascii="宋体" w:hAnsi="宋体" w:eastAsia="宋体" w:cs="宋体"/>
          <w:color w:val="auto"/>
          <w:spacing w:val="8"/>
          <w:sz w:val="20"/>
          <w:szCs w:val="20"/>
          <w:highlight w:val="none"/>
          <w:lang w:val="en-US" w:eastAsia="zh-CN"/>
        </w:rPr>
        <w:t>陈培蓝</w:t>
      </w:r>
    </w:p>
    <w:p w14:paraId="068312B0">
      <w:pPr>
        <w:spacing w:before="150" w:line="231" w:lineRule="auto"/>
        <w:ind w:left="452"/>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电</w:t>
      </w:r>
      <w:r>
        <w:rPr>
          <w:rFonts w:ascii="宋体" w:hAnsi="宋体" w:eastAsia="宋体" w:cs="宋体"/>
          <w:color w:val="auto"/>
          <w:spacing w:val="7"/>
          <w:sz w:val="20"/>
          <w:szCs w:val="20"/>
          <w:highlight w:val="none"/>
        </w:rPr>
        <w:t xml:space="preserve">    </w:t>
      </w:r>
      <w:r>
        <w:rPr>
          <w:rFonts w:ascii="宋体" w:hAnsi="宋体" w:eastAsia="宋体" w:cs="宋体"/>
          <w:color w:val="auto"/>
          <w:spacing w:val="3"/>
          <w:sz w:val="20"/>
          <w:szCs w:val="20"/>
          <w:highlight w:val="none"/>
        </w:rPr>
        <w:t>话：0771-5355015</w:t>
      </w:r>
    </w:p>
    <w:p w14:paraId="31CF08F4">
      <w:pPr>
        <w:spacing w:before="150" w:line="228" w:lineRule="auto"/>
        <w:ind w:left="444"/>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附件：</w:t>
      </w:r>
    </w:p>
    <w:p w14:paraId="29C6DC6B">
      <w:pPr>
        <w:spacing w:before="13" w:line="400" w:lineRule="auto"/>
        <w:ind w:left="12" w:right="2" w:firstLine="430"/>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1.</w:t>
      </w:r>
      <w:r>
        <w:rPr>
          <w:rFonts w:ascii="宋体" w:hAnsi="宋体" w:eastAsia="宋体" w:cs="宋体"/>
          <w:color w:val="auto"/>
          <w:sz w:val="20"/>
          <w:szCs w:val="20"/>
          <w:highlight w:val="none"/>
        </w:rPr>
        <w:t>CA</w:t>
      </w:r>
      <w:r>
        <w:rPr>
          <w:rFonts w:ascii="宋体" w:hAnsi="宋体" w:eastAsia="宋体" w:cs="宋体"/>
          <w:color w:val="auto"/>
          <w:spacing w:val="-31"/>
          <w:sz w:val="20"/>
          <w:szCs w:val="20"/>
          <w:highlight w:val="none"/>
        </w:rPr>
        <w:t xml:space="preserve"> </w:t>
      </w:r>
      <w:r>
        <w:rPr>
          <w:rFonts w:ascii="宋体" w:hAnsi="宋体" w:eastAsia="宋体" w:cs="宋体"/>
          <w:color w:val="auto"/>
          <w:spacing w:val="10"/>
          <w:sz w:val="20"/>
          <w:szCs w:val="20"/>
          <w:highlight w:val="none"/>
        </w:rPr>
        <w:t>证书申请方式及操作指南下载地址（登陆</w:t>
      </w:r>
      <w:r>
        <w:rPr>
          <w:color w:val="auto"/>
          <w:highlight w:val="none"/>
        </w:rPr>
        <w:fldChar w:fldCharType="begin"/>
      </w:r>
      <w:r>
        <w:rPr>
          <w:color w:val="auto"/>
          <w:highlight w:val="none"/>
        </w:rPr>
        <w:instrText xml:space="preserve"> HYPERLINK "http://nncz.nanning.gov.cn/" </w:instrText>
      </w:r>
      <w:r>
        <w:rPr>
          <w:color w:val="auto"/>
          <w:highlight w:val="none"/>
        </w:rPr>
        <w:fldChar w:fldCharType="separate"/>
      </w:r>
      <w:r>
        <w:rPr>
          <w:rFonts w:ascii="宋体" w:hAnsi="宋体" w:eastAsia="宋体" w:cs="宋体"/>
          <w:color w:val="auto"/>
          <w:sz w:val="20"/>
          <w:szCs w:val="20"/>
          <w:highlight w:val="none"/>
        </w:rPr>
        <w:t>http</w:t>
      </w:r>
      <w:r>
        <w:rPr>
          <w:rFonts w:ascii="宋体" w:hAnsi="宋体" w:eastAsia="宋体" w:cs="宋体"/>
          <w:color w:val="auto"/>
          <w:spacing w:val="10"/>
          <w:sz w:val="20"/>
          <w:szCs w:val="20"/>
          <w:highlight w:val="none"/>
        </w:rPr>
        <w:t>://</w:t>
      </w:r>
      <w:r>
        <w:rPr>
          <w:rFonts w:ascii="宋体" w:hAnsi="宋体" w:eastAsia="宋体" w:cs="宋体"/>
          <w:color w:val="auto"/>
          <w:sz w:val="20"/>
          <w:szCs w:val="20"/>
          <w:highlight w:val="none"/>
        </w:rPr>
        <w:t>nncz</w:t>
      </w:r>
      <w:r>
        <w:rPr>
          <w:rFonts w:ascii="宋体" w:hAnsi="宋体" w:eastAsia="宋体" w:cs="宋体"/>
          <w:color w:val="auto"/>
          <w:spacing w:val="10"/>
          <w:sz w:val="20"/>
          <w:szCs w:val="20"/>
          <w:highlight w:val="none"/>
        </w:rPr>
        <w:t>.</w:t>
      </w:r>
      <w:r>
        <w:rPr>
          <w:rFonts w:ascii="宋体" w:hAnsi="宋体" w:eastAsia="宋体" w:cs="宋体"/>
          <w:color w:val="auto"/>
          <w:sz w:val="20"/>
          <w:szCs w:val="20"/>
          <w:highlight w:val="none"/>
        </w:rPr>
        <w:t>nanning</w:t>
      </w:r>
      <w:r>
        <w:rPr>
          <w:rFonts w:ascii="宋体" w:hAnsi="宋体" w:eastAsia="宋体" w:cs="宋体"/>
          <w:color w:val="auto"/>
          <w:spacing w:val="10"/>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10"/>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pacing w:val="10"/>
          <w:sz w:val="20"/>
          <w:szCs w:val="20"/>
          <w:highlight w:val="none"/>
        </w:rPr>
        <w:t>/</w:t>
      </w:r>
      <w:r>
        <w:rPr>
          <w:rFonts w:ascii="宋体" w:hAnsi="宋体" w:eastAsia="宋体" w:cs="宋体"/>
          <w:color w:val="auto"/>
          <w:spacing w:val="10"/>
          <w:sz w:val="20"/>
          <w:szCs w:val="20"/>
          <w:highlight w:val="none"/>
        </w:rPr>
        <w:fldChar w:fldCharType="end"/>
      </w:r>
      <w:r>
        <w:rPr>
          <w:rFonts w:ascii="宋体" w:hAnsi="宋体" w:eastAsia="宋体" w:cs="宋体"/>
          <w:color w:val="auto"/>
          <w:spacing w:val="10"/>
          <w:sz w:val="20"/>
          <w:szCs w:val="20"/>
          <w:highlight w:val="none"/>
        </w:rPr>
        <w:t>（南宁市财政局</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官网）-业务专题-政府采购监督管理-资料下载-“广西政采云西部</w:t>
      </w:r>
      <w:r>
        <w:rPr>
          <w:rFonts w:ascii="宋体" w:hAnsi="宋体" w:eastAsia="宋体" w:cs="宋体"/>
          <w:color w:val="auto"/>
          <w:spacing w:val="-32"/>
          <w:sz w:val="20"/>
          <w:szCs w:val="20"/>
          <w:highlight w:val="none"/>
        </w:rPr>
        <w:t xml:space="preserve"> </w:t>
      </w:r>
      <w:r>
        <w:rPr>
          <w:rFonts w:ascii="宋体" w:hAnsi="宋体" w:eastAsia="宋体" w:cs="宋体"/>
          <w:color w:val="auto"/>
          <w:sz w:val="20"/>
          <w:szCs w:val="20"/>
          <w:highlight w:val="none"/>
        </w:rPr>
        <w:t>CA</w:t>
      </w:r>
      <w:r>
        <w:rPr>
          <w:rFonts w:ascii="宋体" w:hAnsi="宋体" w:eastAsia="宋体" w:cs="宋体"/>
          <w:color w:val="auto"/>
          <w:spacing w:val="-33"/>
          <w:sz w:val="20"/>
          <w:szCs w:val="20"/>
          <w:highlight w:val="none"/>
        </w:rPr>
        <w:t xml:space="preserve"> </w:t>
      </w:r>
      <w:r>
        <w:rPr>
          <w:rFonts w:ascii="宋体" w:hAnsi="宋体" w:eastAsia="宋体" w:cs="宋体"/>
          <w:color w:val="auto"/>
          <w:spacing w:val="8"/>
          <w:sz w:val="20"/>
          <w:szCs w:val="20"/>
          <w:highlight w:val="none"/>
        </w:rPr>
        <w:t>办理方式</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”或“南宁市政采</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云</w:t>
      </w:r>
      <w:r>
        <w:rPr>
          <w:rFonts w:ascii="宋体" w:hAnsi="宋体" w:eastAsia="宋体" w:cs="宋体"/>
          <w:color w:val="auto"/>
          <w:spacing w:val="-39"/>
          <w:sz w:val="20"/>
          <w:szCs w:val="20"/>
          <w:highlight w:val="none"/>
        </w:rPr>
        <w:t xml:space="preserve"> </w:t>
      </w:r>
      <w:r>
        <w:rPr>
          <w:rFonts w:ascii="宋体" w:hAnsi="宋体" w:eastAsia="宋体" w:cs="宋体"/>
          <w:color w:val="auto"/>
          <w:sz w:val="20"/>
          <w:szCs w:val="20"/>
          <w:highlight w:val="none"/>
        </w:rPr>
        <w:t>CA</w:t>
      </w:r>
      <w:r>
        <w:rPr>
          <w:rFonts w:ascii="宋体" w:hAnsi="宋体" w:eastAsia="宋体" w:cs="宋体"/>
          <w:color w:val="auto"/>
          <w:spacing w:val="-38"/>
          <w:sz w:val="20"/>
          <w:szCs w:val="20"/>
          <w:highlight w:val="none"/>
        </w:rPr>
        <w:t xml:space="preserve"> </w:t>
      </w:r>
      <w:r>
        <w:rPr>
          <w:rFonts w:ascii="宋体" w:hAnsi="宋体" w:eastAsia="宋体" w:cs="宋体"/>
          <w:color w:val="auto"/>
          <w:spacing w:val="7"/>
          <w:sz w:val="20"/>
          <w:szCs w:val="20"/>
          <w:highlight w:val="none"/>
        </w:rPr>
        <w:t>证书办理操作指南</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w:t>
      </w:r>
    </w:p>
    <w:p w14:paraId="7C8C0513">
      <w:pPr>
        <w:spacing w:before="20" w:line="401" w:lineRule="auto"/>
        <w:ind w:left="6" w:firstLine="423"/>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2.电子投标文件制作与投送教程（在此网址下载：</w:t>
      </w:r>
      <w:r>
        <w:rPr>
          <w:color w:val="auto"/>
          <w:highlight w:val="none"/>
        </w:rPr>
        <w:fldChar w:fldCharType="begin"/>
      </w:r>
      <w:r>
        <w:rPr>
          <w:color w:val="auto"/>
          <w:highlight w:val="none"/>
        </w:rPr>
        <w:instrText xml:space="preserve"> HYPERLINK "http://nncz.nanning.gov.cn/" </w:instrText>
      </w:r>
      <w:r>
        <w:rPr>
          <w:color w:val="auto"/>
          <w:highlight w:val="none"/>
        </w:rPr>
        <w:fldChar w:fldCharType="separate"/>
      </w:r>
      <w:r>
        <w:rPr>
          <w:rFonts w:ascii="宋体" w:hAnsi="宋体" w:eastAsia="宋体" w:cs="宋体"/>
          <w:color w:val="auto"/>
          <w:sz w:val="20"/>
          <w:szCs w:val="20"/>
          <w:highlight w:val="none"/>
        </w:rPr>
        <w:t>http</w:t>
      </w:r>
      <w:r>
        <w:rPr>
          <w:rFonts w:ascii="宋体" w:hAnsi="宋体" w:eastAsia="宋体" w:cs="宋体"/>
          <w:color w:val="auto"/>
          <w:spacing w:val="12"/>
          <w:sz w:val="20"/>
          <w:szCs w:val="20"/>
          <w:highlight w:val="none"/>
        </w:rPr>
        <w:t>://</w:t>
      </w:r>
      <w:r>
        <w:rPr>
          <w:rFonts w:ascii="宋体" w:hAnsi="宋体" w:eastAsia="宋体" w:cs="宋体"/>
          <w:color w:val="auto"/>
          <w:sz w:val="20"/>
          <w:szCs w:val="20"/>
          <w:highlight w:val="none"/>
        </w:rPr>
        <w:t>nncz</w:t>
      </w:r>
      <w:r>
        <w:rPr>
          <w:rFonts w:ascii="宋体" w:hAnsi="宋体" w:eastAsia="宋体" w:cs="宋体"/>
          <w:color w:val="auto"/>
          <w:spacing w:val="12"/>
          <w:sz w:val="20"/>
          <w:szCs w:val="20"/>
          <w:highlight w:val="none"/>
        </w:rPr>
        <w:t>.</w:t>
      </w:r>
      <w:r>
        <w:rPr>
          <w:rFonts w:ascii="宋体" w:hAnsi="宋体" w:eastAsia="宋体" w:cs="宋体"/>
          <w:color w:val="auto"/>
          <w:sz w:val="20"/>
          <w:szCs w:val="20"/>
          <w:highlight w:val="none"/>
        </w:rPr>
        <w:t>nanning</w:t>
      </w:r>
      <w:r>
        <w:rPr>
          <w:rFonts w:ascii="宋体" w:hAnsi="宋体" w:eastAsia="宋体" w:cs="宋体"/>
          <w:color w:val="auto"/>
          <w:spacing w:val="12"/>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12"/>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pacing w:val="12"/>
          <w:sz w:val="20"/>
          <w:szCs w:val="20"/>
          <w:highlight w:val="none"/>
        </w:rPr>
        <w:t>/</w:t>
      </w:r>
      <w:r>
        <w:rPr>
          <w:rFonts w:ascii="宋体" w:hAnsi="宋体" w:eastAsia="宋体" w:cs="宋体"/>
          <w:color w:val="auto"/>
          <w:spacing w:val="12"/>
          <w:sz w:val="20"/>
          <w:szCs w:val="20"/>
          <w:highlight w:val="none"/>
        </w:rPr>
        <w:fldChar w:fldCharType="end"/>
      </w:r>
      <w:r>
        <w:rPr>
          <w:rFonts w:ascii="宋体" w:hAnsi="宋体" w:eastAsia="宋体" w:cs="宋体"/>
          <w:color w:val="auto"/>
          <w:spacing w:val="12"/>
          <w:sz w:val="20"/>
          <w:szCs w:val="20"/>
          <w:highlight w:val="none"/>
        </w:rPr>
        <w:t>（南宁市财</w:t>
      </w:r>
      <w:r>
        <w:rPr>
          <w:rFonts w:ascii="宋体" w:hAnsi="宋体" w:eastAsia="宋体" w:cs="宋体"/>
          <w:color w:val="auto"/>
          <w:spacing w:val="5"/>
          <w:sz w:val="20"/>
          <w:szCs w:val="20"/>
          <w:highlight w:val="none"/>
        </w:rPr>
        <w:t xml:space="preserve"> </w:t>
      </w:r>
      <w:r>
        <w:rPr>
          <w:rFonts w:ascii="宋体" w:hAnsi="宋体" w:eastAsia="宋体" w:cs="宋体"/>
          <w:color w:val="auto"/>
          <w:spacing w:val="8"/>
          <w:sz w:val="20"/>
          <w:szCs w:val="20"/>
          <w:highlight w:val="none"/>
        </w:rPr>
        <w:t>政局官网）-业务专题-政府采购监督管理-资料下载-南宁市政府采</w:t>
      </w:r>
      <w:r>
        <w:rPr>
          <w:rFonts w:ascii="宋体" w:hAnsi="宋体" w:eastAsia="宋体" w:cs="宋体"/>
          <w:color w:val="auto"/>
          <w:spacing w:val="7"/>
          <w:sz w:val="20"/>
          <w:szCs w:val="20"/>
          <w:highlight w:val="none"/>
        </w:rPr>
        <w:t>购项目全流程电子化交易操作指</w:t>
      </w:r>
      <w:r>
        <w:rPr>
          <w:rFonts w:ascii="宋体" w:hAnsi="宋体" w:eastAsia="宋体" w:cs="宋体"/>
          <w:color w:val="auto"/>
          <w:sz w:val="20"/>
          <w:szCs w:val="20"/>
          <w:highlight w:val="none"/>
        </w:rPr>
        <w:t xml:space="preserve"> 南）</w:t>
      </w:r>
    </w:p>
    <w:p w14:paraId="0E6F8B15">
      <w:pPr>
        <w:spacing w:before="158" w:line="227" w:lineRule="auto"/>
        <w:ind w:right="2"/>
        <w:jc w:val="right"/>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广西拓正工程造价咨询有限公司</w:t>
      </w:r>
    </w:p>
    <w:p w14:paraId="389A6D1B">
      <w:pPr>
        <w:spacing w:before="158" w:line="227" w:lineRule="auto"/>
        <w:ind w:right="2"/>
        <w:jc w:val="right"/>
        <w:rPr>
          <w:rFonts w:ascii="宋体" w:hAnsi="宋体" w:eastAsia="宋体" w:cs="宋体"/>
          <w:color w:val="auto"/>
          <w:spacing w:val="9"/>
          <w:sz w:val="20"/>
          <w:szCs w:val="20"/>
          <w:highlight w:val="none"/>
        </w:rPr>
      </w:pPr>
      <w:r>
        <w:rPr>
          <w:rFonts w:hint="eastAsia" w:ascii="宋体" w:hAnsi="宋体" w:eastAsia="宋体" w:cs="宋体"/>
          <w:color w:val="auto"/>
          <w:spacing w:val="9"/>
          <w:sz w:val="20"/>
          <w:szCs w:val="20"/>
          <w:highlight w:val="none"/>
          <w:lang w:val="en-US" w:eastAsia="zh-CN"/>
        </w:rPr>
        <w:t xml:space="preserve">                                             </w:t>
      </w:r>
      <w:r>
        <w:rPr>
          <w:rFonts w:ascii="宋体" w:hAnsi="宋体" w:eastAsia="宋体" w:cs="宋体"/>
          <w:color w:val="auto"/>
          <w:spacing w:val="9"/>
          <w:sz w:val="20"/>
          <w:szCs w:val="20"/>
          <w:highlight w:val="none"/>
        </w:rPr>
        <w:t>202</w:t>
      </w:r>
      <w:r>
        <w:rPr>
          <w:rFonts w:hint="eastAsia" w:ascii="宋体" w:hAnsi="宋体" w:eastAsia="宋体" w:cs="宋体"/>
          <w:color w:val="auto"/>
          <w:spacing w:val="9"/>
          <w:sz w:val="20"/>
          <w:szCs w:val="20"/>
          <w:highlight w:val="none"/>
          <w:lang w:val="en-US" w:eastAsia="zh-CN"/>
        </w:rPr>
        <w:t>6</w:t>
      </w:r>
      <w:r>
        <w:rPr>
          <w:rFonts w:ascii="宋体" w:hAnsi="宋体" w:eastAsia="宋体" w:cs="宋体"/>
          <w:color w:val="auto"/>
          <w:spacing w:val="9"/>
          <w:sz w:val="20"/>
          <w:szCs w:val="20"/>
          <w:highlight w:val="none"/>
        </w:rPr>
        <w:t>年</w:t>
      </w:r>
      <w:r>
        <w:rPr>
          <w:rFonts w:hint="eastAsia" w:ascii="宋体" w:hAnsi="宋体" w:eastAsia="宋体" w:cs="宋体"/>
          <w:color w:val="auto"/>
          <w:spacing w:val="9"/>
          <w:sz w:val="20"/>
          <w:szCs w:val="20"/>
          <w:highlight w:val="none"/>
          <w:lang w:val="en-US" w:eastAsia="zh-CN"/>
        </w:rPr>
        <w:t>06</w:t>
      </w:r>
      <w:r>
        <w:rPr>
          <w:rFonts w:ascii="宋体" w:hAnsi="宋体" w:eastAsia="宋体" w:cs="宋体"/>
          <w:color w:val="auto"/>
          <w:spacing w:val="9"/>
          <w:sz w:val="20"/>
          <w:szCs w:val="20"/>
          <w:highlight w:val="none"/>
        </w:rPr>
        <w:t>月</w:t>
      </w:r>
      <w:r>
        <w:rPr>
          <w:rFonts w:hint="eastAsia" w:ascii="宋体" w:hAnsi="宋体" w:eastAsia="宋体" w:cs="宋体"/>
          <w:color w:val="auto"/>
          <w:spacing w:val="9"/>
          <w:sz w:val="20"/>
          <w:szCs w:val="20"/>
          <w:highlight w:val="none"/>
          <w:lang w:val="en-US" w:eastAsia="zh-CN"/>
        </w:rPr>
        <w:t>18</w:t>
      </w:r>
      <w:r>
        <w:rPr>
          <w:rFonts w:ascii="宋体" w:hAnsi="宋体" w:eastAsia="宋体" w:cs="宋体"/>
          <w:color w:val="auto"/>
          <w:spacing w:val="9"/>
          <w:sz w:val="20"/>
          <w:szCs w:val="20"/>
          <w:highlight w:val="none"/>
        </w:rPr>
        <w:t>日</w:t>
      </w:r>
    </w:p>
    <w:p w14:paraId="7379C690">
      <w:pPr>
        <w:spacing w:before="140" w:line="223" w:lineRule="auto"/>
        <w:ind w:left="2289"/>
        <w:outlineLvl w:val="0"/>
        <w:rPr>
          <w:rFonts w:ascii="宋体" w:hAnsi="宋体" w:eastAsia="宋体" w:cs="宋体"/>
          <w:color w:val="auto"/>
          <w:sz w:val="43"/>
          <w:szCs w:val="43"/>
          <w:highlight w:val="none"/>
        </w:rPr>
      </w:pPr>
    </w:p>
    <w:p w14:paraId="646ACD6F">
      <w:pPr>
        <w:spacing w:before="59"/>
        <w:rPr>
          <w:color w:val="auto"/>
          <w:highlight w:val="none"/>
        </w:rPr>
      </w:pPr>
    </w:p>
    <w:p w14:paraId="16141940">
      <w:pPr>
        <w:spacing w:before="58"/>
        <w:rPr>
          <w:color w:val="auto"/>
          <w:highlight w:val="none"/>
        </w:rPr>
      </w:pPr>
    </w:p>
    <w:p w14:paraId="01F39926">
      <w:pPr>
        <w:spacing w:before="158" w:line="227" w:lineRule="auto"/>
        <w:ind w:right="2"/>
        <w:jc w:val="right"/>
        <w:rPr>
          <w:rFonts w:ascii="宋体" w:hAnsi="宋体" w:eastAsia="宋体" w:cs="宋体"/>
          <w:color w:val="auto"/>
          <w:spacing w:val="9"/>
          <w:sz w:val="20"/>
          <w:szCs w:val="20"/>
          <w:highlight w:val="none"/>
        </w:rPr>
        <w:sectPr>
          <w:headerReference r:id="rId7" w:type="default"/>
          <w:footerReference r:id="rId8" w:type="default"/>
          <w:pgSz w:w="11905" w:h="16839"/>
          <w:pgMar w:top="960" w:right="1474" w:bottom="1055" w:left="1473" w:header="945" w:footer="819" w:gutter="0"/>
          <w:pgNumType w:fmt="decimal" w:start="1"/>
          <w:cols w:space="720" w:num="1"/>
        </w:sectPr>
      </w:pPr>
    </w:p>
    <w:p w14:paraId="0C33D758">
      <w:pPr>
        <w:spacing w:before="286" w:line="223" w:lineRule="auto"/>
        <w:ind w:left="3316"/>
        <w:outlineLvl w:val="0"/>
        <w:rPr>
          <w:rFonts w:ascii="宋体" w:hAnsi="宋体" w:eastAsia="宋体" w:cs="宋体"/>
          <w:b/>
          <w:bCs/>
          <w:strike w:val="0"/>
          <w:dstrike w:val="0"/>
          <w:color w:val="auto"/>
          <w:spacing w:val="4"/>
          <w:sz w:val="43"/>
          <w:szCs w:val="43"/>
          <w:highlight w:val="none"/>
        </w:rPr>
      </w:pPr>
    </w:p>
    <w:p w14:paraId="7798CDF6">
      <w:pPr>
        <w:spacing w:before="286" w:line="223" w:lineRule="auto"/>
        <w:ind w:left="3316"/>
        <w:outlineLvl w:val="0"/>
        <w:rPr>
          <w:rFonts w:ascii="宋体" w:hAnsi="宋体" w:eastAsia="宋体" w:cs="宋体"/>
          <w:strike w:val="0"/>
          <w:dstrike w:val="0"/>
          <w:color w:val="auto"/>
          <w:sz w:val="43"/>
          <w:szCs w:val="43"/>
          <w:highlight w:val="none"/>
        </w:rPr>
      </w:pPr>
      <w:bookmarkStart w:id="2" w:name="_Toc25993"/>
      <w:r>
        <w:rPr>
          <w:rFonts w:ascii="宋体" w:hAnsi="宋体" w:eastAsia="宋体" w:cs="宋体"/>
          <w:b/>
          <w:bCs/>
          <w:strike w:val="0"/>
          <w:dstrike w:val="0"/>
          <w:color w:val="auto"/>
          <w:spacing w:val="4"/>
          <w:sz w:val="43"/>
          <w:szCs w:val="43"/>
          <w:highlight w:val="none"/>
        </w:rPr>
        <w:t>第二章</w:t>
      </w:r>
      <w:r>
        <w:rPr>
          <w:rFonts w:ascii="宋体" w:hAnsi="宋体" w:eastAsia="宋体" w:cs="宋体"/>
          <w:strike w:val="0"/>
          <w:dstrike w:val="0"/>
          <w:color w:val="auto"/>
          <w:spacing w:val="4"/>
          <w:sz w:val="43"/>
          <w:szCs w:val="43"/>
          <w:highlight w:val="none"/>
        </w:rPr>
        <w:t xml:space="preserve"> </w:t>
      </w:r>
      <w:r>
        <w:rPr>
          <w:rFonts w:ascii="宋体" w:hAnsi="宋体" w:eastAsia="宋体" w:cs="宋体"/>
          <w:b/>
          <w:bCs/>
          <w:strike w:val="0"/>
          <w:dstrike w:val="0"/>
          <w:color w:val="auto"/>
          <w:spacing w:val="4"/>
          <w:sz w:val="43"/>
          <w:szCs w:val="43"/>
          <w:highlight w:val="none"/>
        </w:rPr>
        <w:t>采购需求</w:t>
      </w:r>
      <w:bookmarkEnd w:id="2"/>
    </w:p>
    <w:p w14:paraId="5BED0113">
      <w:pPr>
        <w:spacing w:before="172" w:line="228" w:lineRule="auto"/>
        <w:ind w:left="488"/>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说明：</w:t>
      </w:r>
    </w:p>
    <w:p w14:paraId="18C79067">
      <w:pPr>
        <w:spacing w:before="249" w:line="228" w:lineRule="auto"/>
        <w:ind w:left="921"/>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1.为落实政府采购政策需满足的要求</w:t>
      </w:r>
    </w:p>
    <w:p w14:paraId="098730CC">
      <w:pPr>
        <w:spacing w:before="251" w:line="457" w:lineRule="auto"/>
        <w:ind w:left="486" w:right="512" w:firstLine="429"/>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（1）本竞争性磋商文件所称中小企业必须符合《政府采购促进中小企业发展管理办法》（财</w:t>
      </w:r>
      <w:r>
        <w:rPr>
          <w:rFonts w:ascii="宋体" w:hAnsi="宋体" w:eastAsia="宋体" w:cs="宋体"/>
          <w:color w:val="auto"/>
          <w:spacing w:val="14"/>
          <w:sz w:val="20"/>
          <w:szCs w:val="20"/>
          <w:highlight w:val="none"/>
        </w:rPr>
        <w:t xml:space="preserve"> </w:t>
      </w:r>
      <w:r>
        <w:rPr>
          <w:rFonts w:ascii="宋体" w:hAnsi="宋体" w:eastAsia="宋体" w:cs="宋体"/>
          <w:color w:val="auto"/>
          <w:spacing w:val="5"/>
          <w:sz w:val="20"/>
          <w:szCs w:val="20"/>
          <w:highlight w:val="none"/>
        </w:rPr>
        <w:t>库〔2020〕46</w:t>
      </w:r>
      <w:r>
        <w:rPr>
          <w:rFonts w:ascii="宋体" w:hAnsi="宋体" w:eastAsia="宋体" w:cs="宋体"/>
          <w:color w:val="auto"/>
          <w:spacing w:val="-24"/>
          <w:sz w:val="20"/>
          <w:szCs w:val="20"/>
          <w:highlight w:val="none"/>
        </w:rPr>
        <w:t xml:space="preserve"> </w:t>
      </w:r>
      <w:r>
        <w:rPr>
          <w:rFonts w:ascii="宋体" w:hAnsi="宋体" w:eastAsia="宋体" w:cs="宋体"/>
          <w:color w:val="auto"/>
          <w:spacing w:val="5"/>
          <w:sz w:val="20"/>
          <w:szCs w:val="20"/>
          <w:highlight w:val="none"/>
        </w:rPr>
        <w:t>号）的规定。</w:t>
      </w:r>
    </w:p>
    <w:p w14:paraId="26A41811">
      <w:pPr>
        <w:spacing w:line="322" w:lineRule="auto"/>
        <w:ind w:left="484" w:right="480" w:firstLine="416"/>
        <w:rPr>
          <w:rFonts w:ascii="宋体" w:hAnsi="宋体" w:eastAsia="宋体" w:cs="宋体"/>
          <w:color w:val="auto"/>
          <w:sz w:val="20"/>
          <w:szCs w:val="20"/>
          <w:highlight w:val="none"/>
        </w:rPr>
      </w:pPr>
      <w:r>
        <w:rPr>
          <w:rFonts w:ascii="宋体" w:hAnsi="宋体" w:eastAsia="宋体" w:cs="宋体"/>
          <w:b/>
          <w:bCs/>
          <w:color w:val="auto"/>
          <w:spacing w:val="4"/>
          <w:sz w:val="20"/>
          <w:szCs w:val="20"/>
          <w:highlight w:val="none"/>
        </w:rPr>
        <w:t>2.“实质性要求</w:t>
      </w:r>
      <w:r>
        <w:rPr>
          <w:rFonts w:ascii="宋体" w:hAnsi="宋体" w:eastAsia="宋体" w:cs="宋体"/>
          <w:color w:val="auto"/>
          <w:spacing w:val="-57"/>
          <w:sz w:val="20"/>
          <w:szCs w:val="20"/>
          <w:highlight w:val="none"/>
        </w:rPr>
        <w:t xml:space="preserve"> </w:t>
      </w:r>
      <w:r>
        <w:rPr>
          <w:rFonts w:ascii="宋体" w:hAnsi="宋体" w:eastAsia="宋体" w:cs="宋体"/>
          <w:b/>
          <w:bCs/>
          <w:color w:val="auto"/>
          <w:spacing w:val="4"/>
          <w:sz w:val="20"/>
          <w:szCs w:val="20"/>
          <w:highlight w:val="none"/>
        </w:rPr>
        <w:t>”是指采购需求中带“▲</w:t>
      </w:r>
      <w:r>
        <w:rPr>
          <w:rFonts w:ascii="宋体" w:hAnsi="宋体" w:eastAsia="宋体" w:cs="宋体"/>
          <w:color w:val="auto"/>
          <w:spacing w:val="-70"/>
          <w:sz w:val="20"/>
          <w:szCs w:val="20"/>
          <w:highlight w:val="none"/>
        </w:rPr>
        <w:t xml:space="preserve"> </w:t>
      </w:r>
      <w:r>
        <w:rPr>
          <w:rFonts w:ascii="宋体" w:hAnsi="宋体" w:eastAsia="宋体" w:cs="宋体"/>
          <w:b/>
          <w:bCs/>
          <w:color w:val="auto"/>
          <w:spacing w:val="4"/>
          <w:sz w:val="20"/>
          <w:szCs w:val="20"/>
          <w:highlight w:val="none"/>
        </w:rPr>
        <w:t>”的条款或者不能负偏离的条款或者已经指明不满足</w:t>
      </w:r>
      <w:r>
        <w:rPr>
          <w:rFonts w:ascii="宋体" w:hAnsi="宋体" w:eastAsia="宋体" w:cs="宋体"/>
          <w:color w:val="auto"/>
          <w:sz w:val="20"/>
          <w:szCs w:val="20"/>
          <w:highlight w:val="none"/>
        </w:rPr>
        <w:t xml:space="preserve"> </w:t>
      </w:r>
      <w:r>
        <w:rPr>
          <w:rFonts w:ascii="宋体" w:hAnsi="宋体" w:eastAsia="宋体" w:cs="宋体"/>
          <w:b/>
          <w:bCs/>
          <w:color w:val="auto"/>
          <w:spacing w:val="10"/>
          <w:sz w:val="20"/>
          <w:szCs w:val="20"/>
          <w:highlight w:val="none"/>
        </w:rPr>
        <w:t>按响应文件作无效处理的条款。本项目凡标注“▲</w:t>
      </w:r>
      <w:r>
        <w:rPr>
          <w:rFonts w:ascii="宋体" w:hAnsi="宋体" w:eastAsia="宋体" w:cs="宋体"/>
          <w:color w:val="auto"/>
          <w:spacing w:val="-63"/>
          <w:sz w:val="20"/>
          <w:szCs w:val="20"/>
          <w:highlight w:val="none"/>
        </w:rPr>
        <w:t xml:space="preserve"> </w:t>
      </w:r>
      <w:r>
        <w:rPr>
          <w:rFonts w:ascii="宋体" w:hAnsi="宋体" w:eastAsia="宋体" w:cs="宋体"/>
          <w:b/>
          <w:bCs/>
          <w:color w:val="auto"/>
          <w:spacing w:val="10"/>
          <w:sz w:val="20"/>
          <w:szCs w:val="20"/>
          <w:highlight w:val="none"/>
        </w:rPr>
        <w:t>”的条款或要求不响应或不满足的，其响应文</w:t>
      </w:r>
      <w:r>
        <w:rPr>
          <w:rFonts w:ascii="宋体" w:hAnsi="宋体" w:eastAsia="宋体" w:cs="宋体"/>
          <w:color w:val="auto"/>
          <w:sz w:val="20"/>
          <w:szCs w:val="20"/>
          <w:highlight w:val="none"/>
        </w:rPr>
        <w:t xml:space="preserve"> </w:t>
      </w:r>
      <w:r>
        <w:rPr>
          <w:rFonts w:ascii="宋体" w:hAnsi="宋体" w:eastAsia="宋体" w:cs="宋体"/>
          <w:b/>
          <w:bCs/>
          <w:color w:val="auto"/>
          <w:spacing w:val="6"/>
          <w:sz w:val="20"/>
          <w:szCs w:val="20"/>
          <w:highlight w:val="none"/>
        </w:rPr>
        <w:t>件即作无效竞标处理。</w:t>
      </w:r>
    </w:p>
    <w:p w14:paraId="738142E9">
      <w:pPr>
        <w:spacing w:before="155" w:line="228" w:lineRule="auto"/>
        <w:ind w:left="909"/>
        <w:rPr>
          <w:rFonts w:ascii="宋体" w:hAnsi="宋体" w:eastAsia="宋体" w:cs="宋体"/>
          <w:color w:val="auto"/>
          <w:spacing w:val="9"/>
          <w:sz w:val="20"/>
          <w:szCs w:val="20"/>
          <w:highlight w:val="none"/>
        </w:rPr>
      </w:pPr>
      <w:r>
        <w:rPr>
          <w:rFonts w:ascii="宋体" w:hAnsi="宋体" w:eastAsia="宋体" w:cs="宋体"/>
          <w:color w:val="auto"/>
          <w:spacing w:val="9"/>
          <w:sz w:val="20"/>
          <w:szCs w:val="20"/>
          <w:highlight w:val="none"/>
        </w:rPr>
        <w:t>3.供应商必须自行为其磋商产品侵犯他人的知识产权或者专利成果的行为承担相应法律责任。</w:t>
      </w:r>
    </w:p>
    <w:p w14:paraId="3234A4D4">
      <w:pPr>
        <w:spacing w:before="155" w:line="228" w:lineRule="auto"/>
        <w:ind w:left="909"/>
        <w:rPr>
          <w:rFonts w:ascii="宋体" w:hAnsi="宋体" w:eastAsia="宋体" w:cs="宋体"/>
          <w:color w:val="auto"/>
          <w:spacing w:val="9"/>
          <w:sz w:val="20"/>
          <w:szCs w:val="20"/>
          <w:highlight w:val="none"/>
        </w:rPr>
      </w:pPr>
    </w:p>
    <w:p w14:paraId="16FDBF31">
      <w:pPr>
        <w:spacing w:before="155" w:line="228" w:lineRule="auto"/>
        <w:ind w:left="909"/>
        <w:rPr>
          <w:rFonts w:ascii="宋体" w:hAnsi="宋体" w:eastAsia="宋体" w:cs="宋体"/>
          <w:color w:val="auto"/>
          <w:spacing w:val="9"/>
          <w:sz w:val="20"/>
          <w:szCs w:val="20"/>
          <w:highlight w:val="none"/>
        </w:rPr>
      </w:pPr>
    </w:p>
    <w:p w14:paraId="3D32EB00">
      <w:pPr>
        <w:spacing w:before="155" w:line="228" w:lineRule="auto"/>
        <w:ind w:left="909"/>
        <w:rPr>
          <w:rFonts w:ascii="宋体" w:hAnsi="宋体" w:eastAsia="宋体" w:cs="宋体"/>
          <w:color w:val="auto"/>
          <w:spacing w:val="9"/>
          <w:sz w:val="20"/>
          <w:szCs w:val="20"/>
          <w:highlight w:val="none"/>
        </w:rPr>
      </w:pPr>
    </w:p>
    <w:p w14:paraId="1E2E998A">
      <w:pPr>
        <w:spacing w:before="155" w:line="228" w:lineRule="auto"/>
        <w:ind w:left="909"/>
        <w:rPr>
          <w:rFonts w:ascii="宋体" w:hAnsi="宋体" w:eastAsia="宋体" w:cs="宋体"/>
          <w:color w:val="auto"/>
          <w:spacing w:val="9"/>
          <w:sz w:val="20"/>
          <w:szCs w:val="20"/>
          <w:highlight w:val="none"/>
        </w:rPr>
      </w:pPr>
    </w:p>
    <w:p w14:paraId="34D7EEE8">
      <w:pPr>
        <w:spacing w:before="155" w:line="228" w:lineRule="auto"/>
        <w:ind w:left="909"/>
        <w:rPr>
          <w:rFonts w:ascii="宋体" w:hAnsi="宋体" w:eastAsia="宋体" w:cs="宋体"/>
          <w:color w:val="auto"/>
          <w:spacing w:val="9"/>
          <w:sz w:val="20"/>
          <w:szCs w:val="20"/>
          <w:highlight w:val="none"/>
        </w:rPr>
      </w:pPr>
    </w:p>
    <w:p w14:paraId="46201105">
      <w:pPr>
        <w:spacing w:before="155" w:line="228" w:lineRule="auto"/>
        <w:ind w:left="909"/>
        <w:rPr>
          <w:rFonts w:ascii="宋体" w:hAnsi="宋体" w:eastAsia="宋体" w:cs="宋体"/>
          <w:color w:val="auto"/>
          <w:spacing w:val="9"/>
          <w:sz w:val="20"/>
          <w:szCs w:val="20"/>
          <w:highlight w:val="none"/>
        </w:rPr>
      </w:pPr>
    </w:p>
    <w:p w14:paraId="5C7BC9C4">
      <w:pPr>
        <w:spacing w:before="155" w:line="228" w:lineRule="auto"/>
        <w:ind w:left="909"/>
        <w:rPr>
          <w:rFonts w:ascii="宋体" w:hAnsi="宋体" w:eastAsia="宋体" w:cs="宋体"/>
          <w:color w:val="auto"/>
          <w:spacing w:val="9"/>
          <w:sz w:val="20"/>
          <w:szCs w:val="20"/>
          <w:highlight w:val="none"/>
        </w:rPr>
      </w:pPr>
    </w:p>
    <w:p w14:paraId="6D2DF97B">
      <w:pPr>
        <w:spacing w:before="155" w:line="228" w:lineRule="auto"/>
        <w:ind w:left="909"/>
        <w:rPr>
          <w:rFonts w:ascii="宋体" w:hAnsi="宋体" w:eastAsia="宋体" w:cs="宋体"/>
          <w:color w:val="auto"/>
          <w:spacing w:val="9"/>
          <w:sz w:val="20"/>
          <w:szCs w:val="20"/>
          <w:highlight w:val="none"/>
        </w:rPr>
      </w:pPr>
    </w:p>
    <w:p w14:paraId="3396573C">
      <w:pPr>
        <w:spacing w:before="155" w:line="228" w:lineRule="auto"/>
        <w:ind w:left="909"/>
        <w:rPr>
          <w:rFonts w:ascii="宋体" w:hAnsi="宋体" w:eastAsia="宋体" w:cs="宋体"/>
          <w:color w:val="auto"/>
          <w:spacing w:val="9"/>
          <w:sz w:val="20"/>
          <w:szCs w:val="20"/>
          <w:highlight w:val="none"/>
        </w:rPr>
      </w:pPr>
    </w:p>
    <w:p w14:paraId="41B95EA6">
      <w:pPr>
        <w:spacing w:before="155" w:line="228" w:lineRule="auto"/>
        <w:ind w:left="909"/>
        <w:rPr>
          <w:rFonts w:ascii="宋体" w:hAnsi="宋体" w:eastAsia="宋体" w:cs="宋体"/>
          <w:color w:val="auto"/>
          <w:spacing w:val="9"/>
          <w:sz w:val="20"/>
          <w:szCs w:val="20"/>
          <w:highlight w:val="none"/>
        </w:rPr>
      </w:pPr>
    </w:p>
    <w:p w14:paraId="4F81806C">
      <w:pPr>
        <w:spacing w:before="155" w:line="228" w:lineRule="auto"/>
        <w:ind w:left="909"/>
        <w:rPr>
          <w:rFonts w:ascii="宋体" w:hAnsi="宋体" w:eastAsia="宋体" w:cs="宋体"/>
          <w:color w:val="auto"/>
          <w:spacing w:val="9"/>
          <w:sz w:val="20"/>
          <w:szCs w:val="20"/>
          <w:highlight w:val="none"/>
        </w:rPr>
      </w:pPr>
    </w:p>
    <w:p w14:paraId="14119263">
      <w:pPr>
        <w:spacing w:before="155" w:line="228" w:lineRule="auto"/>
        <w:ind w:left="909"/>
        <w:rPr>
          <w:rFonts w:ascii="宋体" w:hAnsi="宋体" w:eastAsia="宋体" w:cs="宋体"/>
          <w:color w:val="auto"/>
          <w:spacing w:val="9"/>
          <w:sz w:val="20"/>
          <w:szCs w:val="20"/>
          <w:highlight w:val="none"/>
        </w:rPr>
      </w:pPr>
    </w:p>
    <w:p w14:paraId="62EB62CC">
      <w:pPr>
        <w:spacing w:before="155" w:line="228" w:lineRule="auto"/>
        <w:ind w:left="909"/>
        <w:rPr>
          <w:rFonts w:ascii="宋体" w:hAnsi="宋体" w:eastAsia="宋体" w:cs="宋体"/>
          <w:color w:val="auto"/>
          <w:spacing w:val="9"/>
          <w:sz w:val="20"/>
          <w:szCs w:val="20"/>
          <w:highlight w:val="none"/>
        </w:rPr>
      </w:pPr>
    </w:p>
    <w:p w14:paraId="7EB60BDD">
      <w:pPr>
        <w:spacing w:before="155" w:line="228" w:lineRule="auto"/>
        <w:ind w:left="909"/>
        <w:rPr>
          <w:rFonts w:ascii="宋体" w:hAnsi="宋体" w:eastAsia="宋体" w:cs="宋体"/>
          <w:color w:val="auto"/>
          <w:spacing w:val="9"/>
          <w:sz w:val="20"/>
          <w:szCs w:val="20"/>
          <w:highlight w:val="none"/>
        </w:rPr>
      </w:pPr>
    </w:p>
    <w:p w14:paraId="2FE906A8">
      <w:pPr>
        <w:spacing w:before="155" w:line="228" w:lineRule="auto"/>
        <w:ind w:left="909"/>
        <w:rPr>
          <w:rFonts w:ascii="宋体" w:hAnsi="宋体" w:eastAsia="宋体" w:cs="宋体"/>
          <w:color w:val="auto"/>
          <w:spacing w:val="9"/>
          <w:sz w:val="20"/>
          <w:szCs w:val="20"/>
          <w:highlight w:val="none"/>
        </w:rPr>
      </w:pPr>
    </w:p>
    <w:p w14:paraId="3210DF03">
      <w:pPr>
        <w:spacing w:before="155" w:line="228" w:lineRule="auto"/>
        <w:ind w:left="909"/>
        <w:rPr>
          <w:rFonts w:ascii="宋体" w:hAnsi="宋体" w:eastAsia="宋体" w:cs="宋体"/>
          <w:color w:val="auto"/>
          <w:spacing w:val="9"/>
          <w:sz w:val="20"/>
          <w:szCs w:val="20"/>
          <w:highlight w:val="none"/>
        </w:rPr>
      </w:pPr>
    </w:p>
    <w:p w14:paraId="2BD0822D">
      <w:pPr>
        <w:spacing w:before="155" w:line="228" w:lineRule="auto"/>
        <w:ind w:left="909"/>
        <w:rPr>
          <w:rFonts w:ascii="宋体" w:hAnsi="宋体" w:eastAsia="宋体" w:cs="宋体"/>
          <w:color w:val="auto"/>
          <w:spacing w:val="9"/>
          <w:sz w:val="20"/>
          <w:szCs w:val="20"/>
          <w:highlight w:val="none"/>
        </w:rPr>
      </w:pPr>
    </w:p>
    <w:p w14:paraId="7BC3FB20">
      <w:pPr>
        <w:spacing w:before="155" w:line="228" w:lineRule="auto"/>
        <w:ind w:left="909"/>
        <w:rPr>
          <w:rFonts w:ascii="宋体" w:hAnsi="宋体" w:eastAsia="宋体" w:cs="宋体"/>
          <w:color w:val="auto"/>
          <w:spacing w:val="9"/>
          <w:sz w:val="20"/>
          <w:szCs w:val="20"/>
          <w:highlight w:val="none"/>
        </w:rPr>
      </w:pPr>
    </w:p>
    <w:p w14:paraId="5D54B55A">
      <w:pPr>
        <w:spacing w:before="155" w:line="228" w:lineRule="auto"/>
        <w:ind w:left="909"/>
        <w:rPr>
          <w:rFonts w:ascii="宋体" w:hAnsi="宋体" w:eastAsia="宋体" w:cs="宋体"/>
          <w:color w:val="auto"/>
          <w:spacing w:val="9"/>
          <w:sz w:val="20"/>
          <w:szCs w:val="20"/>
          <w:highlight w:val="none"/>
        </w:rPr>
      </w:pPr>
    </w:p>
    <w:p w14:paraId="6853BEF7">
      <w:pPr>
        <w:spacing w:before="155" w:line="228" w:lineRule="auto"/>
        <w:ind w:left="909"/>
        <w:rPr>
          <w:rFonts w:ascii="宋体" w:hAnsi="宋体" w:eastAsia="宋体" w:cs="宋体"/>
          <w:color w:val="auto"/>
          <w:spacing w:val="9"/>
          <w:sz w:val="20"/>
          <w:szCs w:val="20"/>
          <w:highlight w:val="none"/>
        </w:rPr>
      </w:pPr>
    </w:p>
    <w:p w14:paraId="488C376A">
      <w:pPr>
        <w:spacing w:before="155" w:line="228" w:lineRule="auto"/>
        <w:ind w:left="909"/>
        <w:rPr>
          <w:rFonts w:ascii="宋体" w:hAnsi="宋体" w:eastAsia="宋体" w:cs="宋体"/>
          <w:color w:val="auto"/>
          <w:spacing w:val="9"/>
          <w:sz w:val="20"/>
          <w:szCs w:val="20"/>
          <w:highlight w:val="none"/>
        </w:rPr>
      </w:pPr>
    </w:p>
    <w:p w14:paraId="344AE0BD">
      <w:pPr>
        <w:spacing w:before="155" w:line="228" w:lineRule="auto"/>
        <w:ind w:left="909"/>
        <w:rPr>
          <w:rFonts w:ascii="宋体" w:hAnsi="宋体" w:eastAsia="宋体" w:cs="宋体"/>
          <w:color w:val="auto"/>
          <w:spacing w:val="9"/>
          <w:sz w:val="20"/>
          <w:szCs w:val="20"/>
          <w:highlight w:val="none"/>
        </w:rPr>
      </w:pPr>
    </w:p>
    <w:p w14:paraId="30F7928F">
      <w:pPr>
        <w:spacing w:before="155" w:line="228" w:lineRule="auto"/>
        <w:ind w:left="909"/>
        <w:rPr>
          <w:rFonts w:ascii="宋体" w:hAnsi="宋体" w:eastAsia="宋体" w:cs="宋体"/>
          <w:color w:val="auto"/>
          <w:spacing w:val="9"/>
          <w:sz w:val="20"/>
          <w:szCs w:val="20"/>
          <w:highlight w:val="none"/>
        </w:rPr>
      </w:pPr>
    </w:p>
    <w:p w14:paraId="7001916B">
      <w:pPr>
        <w:spacing w:before="155" w:line="228" w:lineRule="auto"/>
        <w:ind w:left="909"/>
        <w:rPr>
          <w:rFonts w:ascii="宋体" w:hAnsi="宋体" w:eastAsia="宋体" w:cs="宋体"/>
          <w:color w:val="auto"/>
          <w:spacing w:val="9"/>
          <w:sz w:val="20"/>
          <w:szCs w:val="20"/>
          <w:highlight w:val="none"/>
        </w:rPr>
      </w:pPr>
    </w:p>
    <w:tbl>
      <w:tblPr>
        <w:tblStyle w:val="19"/>
        <w:tblpPr w:leftFromText="180" w:rightFromText="180" w:vertAnchor="text" w:horzAnchor="page" w:tblpX="772" w:tblpY="53"/>
        <w:tblOverlap w:val="never"/>
        <w:tblW w:w="1019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1278"/>
        <w:gridCol w:w="615"/>
        <w:gridCol w:w="676"/>
        <w:gridCol w:w="4227"/>
        <w:gridCol w:w="1273"/>
        <w:gridCol w:w="1623"/>
      </w:tblGrid>
      <w:tr w14:paraId="158FC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jc w:val="center"/>
        </w:trPr>
        <w:tc>
          <w:tcPr>
            <w:tcW w:w="10196" w:type="dxa"/>
            <w:gridSpan w:val="7"/>
            <w:vAlign w:val="top"/>
          </w:tcPr>
          <w:p w14:paraId="012DE719">
            <w:pPr>
              <w:pStyle w:val="20"/>
              <w:spacing w:before="114" w:line="214" w:lineRule="auto"/>
              <w:ind w:left="3976"/>
              <w:rPr>
                <w:color w:val="auto"/>
                <w:sz w:val="28"/>
                <w:szCs w:val="28"/>
                <w:highlight w:val="none"/>
              </w:rPr>
            </w:pPr>
            <w:r>
              <w:rPr>
                <w:b/>
                <w:bCs/>
                <w:color w:val="auto"/>
                <w:spacing w:val="-4"/>
                <w:sz w:val="28"/>
                <w:szCs w:val="28"/>
                <w:highlight w:val="none"/>
              </w:rPr>
              <w:t>采购需求一览表</w:t>
            </w:r>
          </w:p>
        </w:tc>
      </w:tr>
      <w:tr w14:paraId="5F6CC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1782" w:type="dxa"/>
            <w:gridSpan w:val="2"/>
            <w:vAlign w:val="top"/>
          </w:tcPr>
          <w:p w14:paraId="34A8B5FD">
            <w:pPr>
              <w:pStyle w:val="20"/>
              <w:spacing w:before="111" w:line="213" w:lineRule="auto"/>
              <w:ind w:left="621"/>
              <w:rPr>
                <w:color w:val="auto"/>
                <w:sz w:val="28"/>
                <w:szCs w:val="28"/>
                <w:highlight w:val="none"/>
              </w:rPr>
            </w:pPr>
            <w:r>
              <w:rPr>
                <w:b/>
                <w:bCs/>
                <w:color w:val="auto"/>
                <w:spacing w:val="-10"/>
                <w:sz w:val="28"/>
                <w:szCs w:val="28"/>
                <w:highlight w:val="none"/>
              </w:rPr>
              <w:t>分标</w:t>
            </w:r>
          </w:p>
        </w:tc>
        <w:tc>
          <w:tcPr>
            <w:tcW w:w="8414" w:type="dxa"/>
            <w:gridSpan w:val="5"/>
            <w:vAlign w:val="top"/>
          </w:tcPr>
          <w:p w14:paraId="70897753">
            <w:pPr>
              <w:pStyle w:val="20"/>
              <w:spacing w:before="111" w:line="213" w:lineRule="auto"/>
              <w:ind w:left="117"/>
              <w:rPr>
                <w:color w:val="auto"/>
                <w:sz w:val="28"/>
                <w:szCs w:val="28"/>
                <w:highlight w:val="none"/>
              </w:rPr>
            </w:pPr>
            <w:r>
              <w:rPr>
                <w:b/>
                <w:bCs/>
                <w:color w:val="auto"/>
                <w:spacing w:val="-7"/>
                <w:sz w:val="28"/>
                <w:szCs w:val="28"/>
                <w:highlight w:val="none"/>
              </w:rPr>
              <w:t>无分标</w:t>
            </w:r>
          </w:p>
        </w:tc>
      </w:tr>
      <w:tr w14:paraId="61D8F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jc w:val="center"/>
        </w:trPr>
        <w:tc>
          <w:tcPr>
            <w:tcW w:w="504" w:type="dxa"/>
            <w:vAlign w:val="center"/>
          </w:tcPr>
          <w:p w14:paraId="56B31E13">
            <w:pPr>
              <w:pStyle w:val="20"/>
              <w:spacing w:before="44" w:line="218" w:lineRule="auto"/>
              <w:jc w:val="center"/>
              <w:rPr>
                <w:rFonts w:hint="eastAsia" w:eastAsia="宋体"/>
                <w:b/>
                <w:bCs/>
                <w:color w:val="auto"/>
                <w:highlight w:val="none"/>
                <w:lang w:val="en-US" w:eastAsia="zh-CN"/>
              </w:rPr>
            </w:pPr>
            <w:r>
              <w:rPr>
                <w:rFonts w:hint="eastAsia"/>
                <w:b/>
                <w:bCs/>
                <w:color w:val="auto"/>
                <w:highlight w:val="none"/>
                <w:lang w:val="en-US" w:eastAsia="zh-CN"/>
              </w:rPr>
              <w:t>序号</w:t>
            </w:r>
          </w:p>
        </w:tc>
        <w:tc>
          <w:tcPr>
            <w:tcW w:w="1278" w:type="dxa"/>
            <w:vAlign w:val="center"/>
          </w:tcPr>
          <w:p w14:paraId="6B2ACC14">
            <w:pPr>
              <w:pStyle w:val="20"/>
              <w:spacing w:before="65" w:line="229" w:lineRule="auto"/>
              <w:jc w:val="center"/>
              <w:rPr>
                <w:b/>
                <w:bCs/>
                <w:color w:val="auto"/>
                <w:highlight w:val="none"/>
              </w:rPr>
            </w:pPr>
            <w:r>
              <w:rPr>
                <w:b/>
                <w:bCs/>
                <w:color w:val="auto"/>
                <w:spacing w:val="6"/>
                <w:highlight w:val="none"/>
              </w:rPr>
              <w:t>标的名称</w:t>
            </w:r>
          </w:p>
        </w:tc>
        <w:tc>
          <w:tcPr>
            <w:tcW w:w="615" w:type="dxa"/>
            <w:vAlign w:val="center"/>
          </w:tcPr>
          <w:p w14:paraId="1C76A2CE">
            <w:pPr>
              <w:pStyle w:val="20"/>
              <w:spacing w:before="65" w:line="228" w:lineRule="auto"/>
              <w:jc w:val="center"/>
              <w:rPr>
                <w:rFonts w:hint="eastAsia" w:eastAsia="宋体"/>
                <w:b/>
                <w:bCs/>
                <w:color w:val="auto"/>
                <w:highlight w:val="none"/>
                <w:lang w:val="en-US" w:eastAsia="zh-CN"/>
              </w:rPr>
            </w:pPr>
            <w:r>
              <w:rPr>
                <w:rFonts w:hint="eastAsia"/>
                <w:b/>
                <w:bCs/>
                <w:color w:val="auto"/>
                <w:highlight w:val="none"/>
                <w:lang w:val="en-US" w:eastAsia="zh-CN"/>
              </w:rPr>
              <w:t>数量</w:t>
            </w:r>
          </w:p>
        </w:tc>
        <w:tc>
          <w:tcPr>
            <w:tcW w:w="676" w:type="dxa"/>
            <w:vAlign w:val="center"/>
          </w:tcPr>
          <w:p w14:paraId="2F74FDB4">
            <w:pPr>
              <w:pStyle w:val="20"/>
              <w:spacing w:before="65" w:line="228" w:lineRule="auto"/>
              <w:ind w:firstLine="207" w:firstLineChars="100"/>
              <w:jc w:val="center"/>
              <w:rPr>
                <w:rFonts w:hint="eastAsia" w:eastAsia="宋体"/>
                <w:b/>
                <w:bCs/>
                <w:color w:val="auto"/>
                <w:highlight w:val="none"/>
                <w:lang w:eastAsia="zh-CN"/>
              </w:rPr>
            </w:pPr>
            <w:r>
              <w:rPr>
                <w:rFonts w:hint="eastAsia"/>
                <w:b/>
                <w:bCs/>
                <w:color w:val="auto"/>
                <w:spacing w:val="3"/>
                <w:highlight w:val="none"/>
                <w:lang w:val="en-US" w:eastAsia="zh-CN"/>
              </w:rPr>
              <w:t>单位</w:t>
            </w:r>
          </w:p>
        </w:tc>
        <w:tc>
          <w:tcPr>
            <w:tcW w:w="4227" w:type="dxa"/>
            <w:vAlign w:val="center"/>
          </w:tcPr>
          <w:p w14:paraId="3936024F">
            <w:pPr>
              <w:pStyle w:val="20"/>
              <w:spacing w:before="65" w:line="228" w:lineRule="auto"/>
              <w:ind w:firstLine="1702" w:firstLineChars="800"/>
              <w:jc w:val="both"/>
              <w:rPr>
                <w:b/>
                <w:bCs/>
                <w:color w:val="auto"/>
                <w:highlight w:val="none"/>
              </w:rPr>
            </w:pPr>
            <w:r>
              <w:rPr>
                <w:b/>
                <w:bCs/>
                <w:color w:val="auto"/>
                <w:spacing w:val="6"/>
                <w:highlight w:val="none"/>
              </w:rPr>
              <w:t>技术需求</w:t>
            </w:r>
          </w:p>
        </w:tc>
        <w:tc>
          <w:tcPr>
            <w:tcW w:w="1273" w:type="dxa"/>
            <w:vAlign w:val="center"/>
          </w:tcPr>
          <w:p w14:paraId="37517DBD">
            <w:pPr>
              <w:pStyle w:val="20"/>
              <w:spacing w:before="65" w:line="407" w:lineRule="auto"/>
              <w:ind w:right="143"/>
              <w:jc w:val="center"/>
              <w:rPr>
                <w:b/>
                <w:bCs/>
                <w:color w:val="auto"/>
                <w:highlight w:val="none"/>
              </w:rPr>
            </w:pPr>
            <w:r>
              <w:rPr>
                <w:b/>
                <w:bCs/>
                <w:color w:val="auto"/>
                <w:spacing w:val="6"/>
                <w:highlight w:val="none"/>
              </w:rPr>
              <w:t>分项预算合</w:t>
            </w:r>
            <w:r>
              <w:rPr>
                <w:b/>
                <w:bCs/>
                <w:color w:val="auto"/>
                <w:highlight w:val="none"/>
              </w:rPr>
              <w:t xml:space="preserve"> </w:t>
            </w:r>
            <w:r>
              <w:rPr>
                <w:b/>
                <w:bCs/>
                <w:color w:val="auto"/>
                <w:spacing w:val="3"/>
                <w:highlight w:val="none"/>
              </w:rPr>
              <w:t>计（元）</w:t>
            </w:r>
          </w:p>
        </w:tc>
        <w:tc>
          <w:tcPr>
            <w:tcW w:w="1623" w:type="dxa"/>
            <w:vAlign w:val="center"/>
          </w:tcPr>
          <w:p w14:paraId="489B5162">
            <w:pPr>
              <w:pStyle w:val="20"/>
              <w:spacing w:before="172" w:line="229" w:lineRule="auto"/>
              <w:jc w:val="center"/>
              <w:rPr>
                <w:b/>
                <w:bCs/>
                <w:color w:val="auto"/>
                <w:highlight w:val="none"/>
              </w:rPr>
            </w:pPr>
            <w:r>
              <w:rPr>
                <w:b/>
                <w:bCs/>
                <w:color w:val="auto"/>
                <w:spacing w:val="1"/>
                <w:highlight w:val="none"/>
              </w:rPr>
              <w:t>中小企业</w:t>
            </w:r>
            <w:r>
              <w:rPr>
                <w:b/>
                <w:bCs/>
                <w:color w:val="auto"/>
                <w:spacing w:val="6"/>
                <w:highlight w:val="none"/>
              </w:rPr>
              <w:t>划分标准所属行业</w:t>
            </w:r>
            <w:r>
              <w:rPr>
                <w:b/>
                <w:bCs/>
                <w:color w:val="auto"/>
                <w:spacing w:val="3"/>
                <w:highlight w:val="none"/>
              </w:rPr>
              <w:t>名称（行业</w:t>
            </w:r>
            <w:r>
              <w:rPr>
                <w:b/>
                <w:bCs/>
                <w:color w:val="auto"/>
                <w:spacing w:val="5"/>
                <w:highlight w:val="none"/>
              </w:rPr>
              <w:t>名称及划分见本章</w:t>
            </w:r>
            <w:r>
              <w:rPr>
                <w:b/>
                <w:bCs/>
                <w:color w:val="auto"/>
                <w:spacing w:val="-5"/>
                <w:highlight w:val="none"/>
              </w:rPr>
              <w:t>附件</w:t>
            </w:r>
            <w:r>
              <w:rPr>
                <w:b/>
                <w:bCs/>
                <w:color w:val="auto"/>
                <w:spacing w:val="-37"/>
                <w:highlight w:val="none"/>
              </w:rPr>
              <w:t xml:space="preserve"> </w:t>
            </w:r>
            <w:r>
              <w:rPr>
                <w:b/>
                <w:bCs/>
                <w:color w:val="auto"/>
                <w:spacing w:val="-5"/>
                <w:highlight w:val="none"/>
              </w:rPr>
              <w:t>2）</w:t>
            </w:r>
          </w:p>
        </w:tc>
      </w:tr>
      <w:tr w14:paraId="65316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1" w:hRule="atLeast"/>
          <w:jc w:val="center"/>
        </w:trPr>
        <w:tc>
          <w:tcPr>
            <w:tcW w:w="504" w:type="dxa"/>
            <w:vAlign w:val="top"/>
          </w:tcPr>
          <w:p w14:paraId="40274B21">
            <w:pPr>
              <w:spacing w:line="248" w:lineRule="auto"/>
              <w:rPr>
                <w:rFonts w:ascii="Arial"/>
                <w:color w:val="auto"/>
                <w:sz w:val="21"/>
                <w:highlight w:val="none"/>
              </w:rPr>
            </w:pPr>
          </w:p>
          <w:p w14:paraId="66105080">
            <w:pPr>
              <w:spacing w:line="249" w:lineRule="auto"/>
              <w:rPr>
                <w:rFonts w:ascii="Arial"/>
                <w:color w:val="auto"/>
                <w:sz w:val="21"/>
                <w:highlight w:val="none"/>
              </w:rPr>
            </w:pPr>
          </w:p>
          <w:p w14:paraId="2F1CCE59">
            <w:pPr>
              <w:spacing w:line="249" w:lineRule="auto"/>
              <w:rPr>
                <w:rFonts w:ascii="Arial"/>
                <w:color w:val="auto"/>
                <w:sz w:val="21"/>
                <w:highlight w:val="none"/>
              </w:rPr>
            </w:pPr>
          </w:p>
          <w:p w14:paraId="2F63C942">
            <w:pPr>
              <w:spacing w:line="249" w:lineRule="auto"/>
              <w:rPr>
                <w:rFonts w:ascii="Arial"/>
                <w:color w:val="auto"/>
                <w:sz w:val="21"/>
                <w:highlight w:val="none"/>
              </w:rPr>
            </w:pPr>
          </w:p>
          <w:p w14:paraId="4059813D">
            <w:pPr>
              <w:pStyle w:val="20"/>
              <w:spacing w:before="65" w:line="271" w:lineRule="exact"/>
              <w:ind w:left="150"/>
              <w:rPr>
                <w:color w:val="auto"/>
                <w:highlight w:val="none"/>
              </w:rPr>
            </w:pPr>
            <w:r>
              <w:rPr>
                <w:color w:val="auto"/>
                <w:position w:val="1"/>
                <w:highlight w:val="none"/>
              </w:rPr>
              <w:t>1</w:t>
            </w:r>
          </w:p>
        </w:tc>
        <w:tc>
          <w:tcPr>
            <w:tcW w:w="1278" w:type="dxa"/>
            <w:vAlign w:val="top"/>
          </w:tcPr>
          <w:p w14:paraId="7FAA8C9E">
            <w:pPr>
              <w:spacing w:line="259" w:lineRule="auto"/>
              <w:rPr>
                <w:rFonts w:ascii="Arial"/>
                <w:color w:val="auto"/>
                <w:sz w:val="21"/>
                <w:highlight w:val="none"/>
              </w:rPr>
            </w:pPr>
          </w:p>
          <w:p w14:paraId="1CD7BDDF">
            <w:pPr>
              <w:spacing w:line="259" w:lineRule="auto"/>
              <w:rPr>
                <w:rFonts w:ascii="Arial"/>
                <w:color w:val="auto"/>
                <w:sz w:val="21"/>
                <w:highlight w:val="none"/>
              </w:rPr>
            </w:pPr>
          </w:p>
          <w:p w14:paraId="71D87510">
            <w:pPr>
              <w:spacing w:line="260" w:lineRule="auto"/>
              <w:rPr>
                <w:rFonts w:ascii="Arial"/>
                <w:color w:val="auto"/>
                <w:sz w:val="21"/>
                <w:highlight w:val="none"/>
              </w:rPr>
            </w:pPr>
          </w:p>
          <w:p w14:paraId="11E67B23">
            <w:pPr>
              <w:pStyle w:val="20"/>
              <w:spacing w:before="192" w:line="228" w:lineRule="auto"/>
              <w:ind w:left="295"/>
              <w:rPr>
                <w:rFonts w:hint="eastAsia" w:eastAsia="宋体"/>
                <w:color w:val="auto"/>
                <w:highlight w:val="none"/>
                <w:lang w:eastAsia="zh-CN"/>
              </w:rPr>
            </w:pPr>
            <w:r>
              <w:rPr>
                <w:rFonts w:hint="eastAsia"/>
                <w:color w:val="auto"/>
                <w:highlight w:val="none"/>
                <w:lang w:eastAsia="zh-CN"/>
              </w:rPr>
              <w:t>横州市石塘镇芦村村委小学运动场地提升项目</w:t>
            </w:r>
          </w:p>
        </w:tc>
        <w:tc>
          <w:tcPr>
            <w:tcW w:w="615" w:type="dxa"/>
            <w:vAlign w:val="top"/>
          </w:tcPr>
          <w:p w14:paraId="41BD986B">
            <w:pPr>
              <w:spacing w:line="248" w:lineRule="auto"/>
              <w:rPr>
                <w:rFonts w:ascii="Arial"/>
                <w:color w:val="auto"/>
                <w:sz w:val="21"/>
                <w:highlight w:val="none"/>
              </w:rPr>
            </w:pPr>
          </w:p>
          <w:p w14:paraId="69E6776F">
            <w:pPr>
              <w:spacing w:line="248" w:lineRule="auto"/>
              <w:rPr>
                <w:rFonts w:ascii="Arial"/>
                <w:color w:val="auto"/>
                <w:sz w:val="21"/>
                <w:highlight w:val="none"/>
              </w:rPr>
            </w:pPr>
          </w:p>
          <w:p w14:paraId="599A4202">
            <w:pPr>
              <w:spacing w:line="248" w:lineRule="auto"/>
              <w:rPr>
                <w:rFonts w:ascii="Arial"/>
                <w:color w:val="auto"/>
                <w:sz w:val="21"/>
                <w:highlight w:val="none"/>
              </w:rPr>
            </w:pPr>
          </w:p>
          <w:p w14:paraId="1084A12B">
            <w:pPr>
              <w:spacing w:line="249" w:lineRule="auto"/>
              <w:rPr>
                <w:rFonts w:ascii="Arial"/>
                <w:color w:val="auto"/>
                <w:sz w:val="21"/>
                <w:highlight w:val="none"/>
              </w:rPr>
            </w:pPr>
          </w:p>
          <w:p w14:paraId="3F7254D0">
            <w:pPr>
              <w:pStyle w:val="20"/>
              <w:spacing w:before="65" w:line="271" w:lineRule="exact"/>
              <w:ind w:left="276"/>
              <w:rPr>
                <w:color w:val="auto"/>
                <w:highlight w:val="none"/>
              </w:rPr>
            </w:pPr>
            <w:r>
              <w:rPr>
                <w:color w:val="auto"/>
                <w:position w:val="1"/>
                <w:highlight w:val="none"/>
              </w:rPr>
              <w:t>1</w:t>
            </w:r>
          </w:p>
        </w:tc>
        <w:tc>
          <w:tcPr>
            <w:tcW w:w="676" w:type="dxa"/>
            <w:vAlign w:val="top"/>
          </w:tcPr>
          <w:p w14:paraId="1A3B1213">
            <w:pPr>
              <w:spacing w:line="248" w:lineRule="auto"/>
              <w:rPr>
                <w:rFonts w:ascii="Arial"/>
                <w:color w:val="auto"/>
                <w:sz w:val="21"/>
                <w:highlight w:val="none"/>
              </w:rPr>
            </w:pPr>
          </w:p>
          <w:p w14:paraId="1B985E3F">
            <w:pPr>
              <w:spacing w:line="248" w:lineRule="auto"/>
              <w:rPr>
                <w:rFonts w:ascii="Arial"/>
                <w:color w:val="auto"/>
                <w:sz w:val="21"/>
                <w:highlight w:val="none"/>
              </w:rPr>
            </w:pPr>
          </w:p>
          <w:p w14:paraId="7DB09E51">
            <w:pPr>
              <w:spacing w:line="248" w:lineRule="auto"/>
              <w:rPr>
                <w:rFonts w:ascii="Arial"/>
                <w:color w:val="auto"/>
                <w:sz w:val="21"/>
                <w:highlight w:val="none"/>
              </w:rPr>
            </w:pPr>
          </w:p>
          <w:p w14:paraId="625FE887">
            <w:pPr>
              <w:spacing w:line="249" w:lineRule="auto"/>
              <w:rPr>
                <w:rFonts w:ascii="Arial"/>
                <w:color w:val="auto"/>
                <w:sz w:val="21"/>
                <w:highlight w:val="none"/>
              </w:rPr>
            </w:pPr>
          </w:p>
          <w:p w14:paraId="65ECADE0">
            <w:pPr>
              <w:pStyle w:val="20"/>
              <w:spacing w:before="65" w:line="229" w:lineRule="auto"/>
              <w:ind w:left="242"/>
              <w:rPr>
                <w:color w:val="auto"/>
                <w:highlight w:val="none"/>
              </w:rPr>
            </w:pPr>
            <w:r>
              <w:rPr>
                <w:color w:val="auto"/>
                <w:highlight w:val="none"/>
              </w:rPr>
              <w:t>项</w:t>
            </w:r>
          </w:p>
        </w:tc>
        <w:tc>
          <w:tcPr>
            <w:tcW w:w="4227" w:type="dxa"/>
            <w:vAlign w:val="top"/>
          </w:tcPr>
          <w:p w14:paraId="5344D30F">
            <w:pPr>
              <w:pStyle w:val="20"/>
              <w:shd w:val="clear"/>
              <w:spacing w:before="196" w:line="388" w:lineRule="auto"/>
              <w:ind w:right="34"/>
              <w:rPr>
                <w:rFonts w:hint="eastAsia" w:ascii="宋体" w:hAnsi="宋体" w:eastAsia="宋体" w:cs="宋体"/>
                <w:color w:val="auto"/>
                <w:highlight w:val="none"/>
              </w:rPr>
            </w:pPr>
            <w:r>
              <w:rPr>
                <w:rFonts w:hint="eastAsia" w:ascii="宋体" w:hAnsi="宋体" w:eastAsia="宋体" w:cs="宋体"/>
                <w:color w:val="auto"/>
                <w:highlight w:val="none"/>
              </w:rPr>
              <w:t xml:space="preserve">1.工程名称： </w:t>
            </w:r>
            <w:r>
              <w:rPr>
                <w:rFonts w:hint="eastAsia" w:cs="宋体"/>
                <w:color w:val="auto"/>
                <w:highlight w:val="none"/>
                <w:lang w:val="en-US" w:eastAsia="zh-CN"/>
              </w:rPr>
              <w:t>横州市石塘镇芦村村委小学运动场地提升项目</w:t>
            </w:r>
            <w:r>
              <w:rPr>
                <w:rFonts w:hint="eastAsia" w:ascii="宋体" w:hAnsi="宋体" w:eastAsia="宋体" w:cs="宋体"/>
                <w:color w:val="auto"/>
                <w:highlight w:val="none"/>
                <w:lang w:val="en-US" w:eastAsia="zh-CN"/>
              </w:rPr>
              <w:t>，</w:t>
            </w:r>
          </w:p>
          <w:p w14:paraId="0F16AD1C">
            <w:pPr>
              <w:pStyle w:val="20"/>
              <w:shd w:val="clear"/>
              <w:spacing w:before="196" w:line="388" w:lineRule="auto"/>
              <w:ind w:right="34"/>
              <w:rPr>
                <w:rFonts w:hint="eastAsia" w:cs="宋体"/>
                <w:color w:val="auto"/>
                <w:highlight w:val="none"/>
                <w:lang w:val="en-US" w:eastAsia="zh-CN"/>
              </w:rPr>
            </w:pPr>
            <w:r>
              <w:rPr>
                <w:rFonts w:hint="eastAsia" w:ascii="宋体" w:hAnsi="宋体" w:eastAsia="宋体" w:cs="宋体"/>
                <w:color w:val="auto"/>
                <w:highlight w:val="none"/>
                <w:lang w:val="en-US" w:eastAsia="zh-CN"/>
              </w:rPr>
              <w:t>▲2.建设地点：</w:t>
            </w:r>
            <w:r>
              <w:rPr>
                <w:rFonts w:hint="eastAsia" w:cs="宋体"/>
                <w:color w:val="auto"/>
                <w:highlight w:val="none"/>
                <w:lang w:val="en-US" w:eastAsia="zh-CN"/>
              </w:rPr>
              <w:t>横州市石塘镇芦村村委小学</w:t>
            </w:r>
          </w:p>
          <w:p w14:paraId="0CCD04AE">
            <w:pPr>
              <w:pStyle w:val="20"/>
              <w:shd w:val="clear"/>
              <w:spacing w:before="196" w:line="388" w:lineRule="auto"/>
              <w:ind w:right="34"/>
              <w:rPr>
                <w:rFonts w:hint="eastAsia" w:eastAsia="宋体"/>
                <w:color w:val="auto"/>
                <w:highlight w:val="none"/>
                <w:lang w:eastAsia="zh-CN"/>
              </w:rPr>
            </w:pPr>
            <w:r>
              <w:rPr>
                <w:rFonts w:hint="eastAsia" w:ascii="宋体" w:hAnsi="宋体" w:eastAsia="宋体" w:cs="宋体"/>
                <w:color w:val="auto"/>
                <w:highlight w:val="none"/>
              </w:rPr>
              <w:t>▲3.</w:t>
            </w:r>
            <w:r>
              <w:rPr>
                <w:rFonts w:hint="eastAsia" w:cs="宋体"/>
                <w:color w:val="auto"/>
                <w:highlight w:val="none"/>
                <w:lang w:eastAsia="zh-CN"/>
              </w:rPr>
              <w:t>建设主要内容：</w:t>
            </w:r>
            <w:r>
              <w:rPr>
                <w:rFonts w:hint="eastAsia" w:eastAsia="宋体"/>
                <w:color w:val="auto"/>
                <w:highlight w:val="none"/>
                <w:lang w:eastAsia="zh-CN"/>
              </w:rPr>
              <w:t>主要包含土方工程、场地平整及拆除、运动场塑胶跑道、足球场铺设、8m硅PU地面(篮球场、羽毛球场)、砖砌排水沟、排水管网、看台设计、白改黑沥青道路、安砌平立缘石等，具体详见施工图纸及工程量清单。</w:t>
            </w:r>
          </w:p>
        </w:tc>
        <w:tc>
          <w:tcPr>
            <w:tcW w:w="1273" w:type="dxa"/>
            <w:vAlign w:val="top"/>
          </w:tcPr>
          <w:p w14:paraId="3AD65260">
            <w:pPr>
              <w:spacing w:line="248" w:lineRule="auto"/>
              <w:rPr>
                <w:rFonts w:ascii="Arial"/>
                <w:color w:val="auto"/>
                <w:sz w:val="21"/>
                <w:highlight w:val="none"/>
              </w:rPr>
            </w:pPr>
          </w:p>
          <w:p w14:paraId="1A6F016F">
            <w:pPr>
              <w:spacing w:line="249" w:lineRule="auto"/>
              <w:rPr>
                <w:rFonts w:ascii="Arial"/>
                <w:color w:val="auto"/>
                <w:sz w:val="21"/>
                <w:highlight w:val="none"/>
              </w:rPr>
            </w:pPr>
          </w:p>
          <w:p w14:paraId="10BC7068">
            <w:pPr>
              <w:spacing w:line="249" w:lineRule="auto"/>
              <w:rPr>
                <w:rFonts w:ascii="Arial"/>
                <w:color w:val="auto"/>
                <w:sz w:val="21"/>
                <w:highlight w:val="none"/>
              </w:rPr>
            </w:pPr>
          </w:p>
          <w:p w14:paraId="1463309B">
            <w:pPr>
              <w:spacing w:line="249" w:lineRule="auto"/>
              <w:rPr>
                <w:rFonts w:ascii="Arial"/>
                <w:color w:val="auto"/>
                <w:sz w:val="21"/>
                <w:highlight w:val="none"/>
              </w:rPr>
            </w:pPr>
          </w:p>
          <w:p w14:paraId="62C50AE1">
            <w:pPr>
              <w:pStyle w:val="20"/>
              <w:spacing w:before="65" w:line="269" w:lineRule="exact"/>
              <w:rPr>
                <w:rFonts w:hint="eastAsia" w:eastAsia="宋体"/>
                <w:color w:val="auto"/>
                <w:highlight w:val="none"/>
                <w:lang w:eastAsia="zh-CN"/>
              </w:rPr>
            </w:pPr>
            <w:r>
              <w:rPr>
                <w:rFonts w:hint="eastAsia" w:ascii="宋体" w:hAnsi="宋体" w:eastAsia="宋体" w:cs="宋体"/>
                <w:color w:val="auto"/>
                <w:spacing w:val="5"/>
                <w:sz w:val="20"/>
                <w:szCs w:val="20"/>
                <w:highlight w:val="none"/>
                <w:lang w:val="en-US" w:eastAsia="zh-CN"/>
              </w:rPr>
              <w:t>2475916.54</w:t>
            </w:r>
            <w:r>
              <w:rPr>
                <w:rFonts w:ascii="宋体" w:hAnsi="宋体" w:eastAsia="宋体" w:cs="宋体"/>
                <w:color w:val="auto"/>
                <w:spacing w:val="5"/>
                <w:sz w:val="20"/>
                <w:szCs w:val="20"/>
                <w:highlight w:val="none"/>
              </w:rPr>
              <w:t>元</w:t>
            </w:r>
          </w:p>
        </w:tc>
        <w:tc>
          <w:tcPr>
            <w:tcW w:w="1623" w:type="dxa"/>
            <w:vAlign w:val="top"/>
          </w:tcPr>
          <w:p w14:paraId="103CF243">
            <w:pPr>
              <w:spacing w:line="248" w:lineRule="auto"/>
              <w:rPr>
                <w:rFonts w:ascii="Arial"/>
                <w:color w:val="auto"/>
                <w:sz w:val="21"/>
                <w:highlight w:val="none"/>
              </w:rPr>
            </w:pPr>
          </w:p>
          <w:p w14:paraId="4D04862C">
            <w:pPr>
              <w:spacing w:line="249" w:lineRule="auto"/>
              <w:rPr>
                <w:rFonts w:ascii="Arial"/>
                <w:color w:val="auto"/>
                <w:sz w:val="21"/>
                <w:highlight w:val="none"/>
              </w:rPr>
            </w:pPr>
          </w:p>
          <w:p w14:paraId="685D1235">
            <w:pPr>
              <w:spacing w:line="249" w:lineRule="auto"/>
              <w:rPr>
                <w:rFonts w:ascii="Arial"/>
                <w:color w:val="auto"/>
                <w:sz w:val="21"/>
                <w:highlight w:val="none"/>
              </w:rPr>
            </w:pPr>
          </w:p>
          <w:p w14:paraId="52E88CEB">
            <w:pPr>
              <w:spacing w:line="249" w:lineRule="auto"/>
              <w:rPr>
                <w:rFonts w:ascii="Arial"/>
                <w:color w:val="auto"/>
                <w:sz w:val="21"/>
                <w:highlight w:val="none"/>
              </w:rPr>
            </w:pPr>
          </w:p>
          <w:p w14:paraId="68A86E5E">
            <w:pPr>
              <w:pStyle w:val="20"/>
              <w:spacing w:before="65" w:line="229" w:lineRule="auto"/>
              <w:ind w:left="322"/>
              <w:rPr>
                <w:color w:val="auto"/>
                <w:highlight w:val="none"/>
              </w:rPr>
            </w:pPr>
            <w:r>
              <w:rPr>
                <w:color w:val="auto"/>
                <w:spacing w:val="6"/>
                <w:highlight w:val="none"/>
              </w:rPr>
              <w:t>建筑业</w:t>
            </w:r>
          </w:p>
        </w:tc>
      </w:tr>
      <w:tr w14:paraId="4AD2E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4" w:hRule="atLeast"/>
          <w:jc w:val="center"/>
        </w:trPr>
        <w:tc>
          <w:tcPr>
            <w:tcW w:w="504" w:type="dxa"/>
            <w:vAlign w:val="top"/>
          </w:tcPr>
          <w:p w14:paraId="230EC886">
            <w:pPr>
              <w:pStyle w:val="20"/>
              <w:spacing w:before="65" w:line="271" w:lineRule="exact"/>
              <w:ind w:left="150"/>
              <w:rPr>
                <w:color w:val="auto"/>
                <w:position w:val="1"/>
                <w:highlight w:val="none"/>
              </w:rPr>
            </w:pPr>
            <w:r>
              <w:rPr>
                <w:b/>
                <w:bCs/>
                <w:color w:val="auto"/>
                <w:spacing w:val="7"/>
                <w:highlight w:val="none"/>
              </w:rPr>
              <w:t>▲</w:t>
            </w:r>
            <w:r>
              <w:rPr>
                <w:color w:val="auto"/>
                <w:spacing w:val="15"/>
                <w:highlight w:val="none"/>
              </w:rPr>
              <w:t xml:space="preserve">  </w:t>
            </w:r>
            <w:r>
              <w:rPr>
                <w:b/>
                <w:bCs/>
                <w:color w:val="auto"/>
                <w:spacing w:val="7"/>
                <w:highlight w:val="none"/>
              </w:rPr>
              <w:t>商</w:t>
            </w:r>
            <w:r>
              <w:rPr>
                <w:color w:val="auto"/>
                <w:spacing w:val="15"/>
                <w:highlight w:val="none"/>
              </w:rPr>
              <w:t xml:space="preserve">  </w:t>
            </w:r>
            <w:r>
              <w:rPr>
                <w:b/>
                <w:bCs/>
                <w:color w:val="auto"/>
                <w:spacing w:val="7"/>
                <w:highlight w:val="none"/>
              </w:rPr>
              <w:t>务</w:t>
            </w:r>
            <w:r>
              <w:rPr>
                <w:color w:val="auto"/>
                <w:spacing w:val="16"/>
                <w:highlight w:val="none"/>
              </w:rPr>
              <w:t xml:space="preserve">  </w:t>
            </w:r>
            <w:r>
              <w:rPr>
                <w:b/>
                <w:bCs/>
                <w:color w:val="auto"/>
                <w:spacing w:val="7"/>
                <w:highlight w:val="none"/>
              </w:rPr>
              <w:t>条</w:t>
            </w:r>
            <w:r>
              <w:rPr>
                <w:color w:val="auto"/>
                <w:spacing w:val="15"/>
                <w:highlight w:val="none"/>
              </w:rPr>
              <w:t xml:space="preserve">  </w:t>
            </w:r>
            <w:r>
              <w:rPr>
                <w:b/>
                <w:bCs/>
                <w:color w:val="auto"/>
                <w:spacing w:val="7"/>
                <w:highlight w:val="none"/>
              </w:rPr>
              <w:t>款</w:t>
            </w:r>
          </w:p>
        </w:tc>
        <w:tc>
          <w:tcPr>
            <w:tcW w:w="9692" w:type="dxa"/>
            <w:gridSpan w:val="6"/>
            <w:vAlign w:val="top"/>
          </w:tcPr>
          <w:p w14:paraId="321EEA15">
            <w:pPr>
              <w:pStyle w:val="20"/>
              <w:keepNext w:val="0"/>
              <w:keepLines w:val="0"/>
              <w:pageBreakBefore w:val="0"/>
              <w:widowControl/>
              <w:kinsoku w:val="0"/>
              <w:wordWrap/>
              <w:overflowPunct/>
              <w:topLinePunct w:val="0"/>
              <w:autoSpaceDE w:val="0"/>
              <w:autoSpaceDN w:val="0"/>
              <w:bidi w:val="0"/>
              <w:adjustRightInd w:val="0"/>
              <w:snapToGrid w:val="0"/>
              <w:spacing w:before="174" w:line="240" w:lineRule="exact"/>
              <w:ind w:left="115"/>
              <w:textAlignment w:val="baseline"/>
              <w:rPr>
                <w:color w:val="auto"/>
                <w:highlight w:val="none"/>
              </w:rPr>
            </w:pPr>
            <w:r>
              <w:rPr>
                <w:b/>
                <w:bCs/>
                <w:color w:val="auto"/>
                <w:spacing w:val="5"/>
                <w:highlight w:val="none"/>
              </w:rPr>
              <w:t>一、合同签订期：</w:t>
            </w:r>
            <w:r>
              <w:rPr>
                <w:color w:val="auto"/>
                <w:spacing w:val="-31"/>
                <w:highlight w:val="none"/>
              </w:rPr>
              <w:t xml:space="preserve"> </w:t>
            </w:r>
            <w:r>
              <w:rPr>
                <w:color w:val="auto"/>
                <w:spacing w:val="5"/>
                <w:highlight w:val="none"/>
              </w:rPr>
              <w:t>自成交通知书发出之日起</w:t>
            </w:r>
            <w:r>
              <w:rPr>
                <w:color w:val="auto"/>
                <w:spacing w:val="-34"/>
                <w:highlight w:val="none"/>
              </w:rPr>
              <w:t xml:space="preserve"> </w:t>
            </w:r>
            <w:r>
              <w:rPr>
                <w:color w:val="auto"/>
                <w:spacing w:val="5"/>
                <w:highlight w:val="none"/>
              </w:rPr>
              <w:t>25</w:t>
            </w:r>
            <w:r>
              <w:rPr>
                <w:color w:val="auto"/>
                <w:spacing w:val="-40"/>
                <w:highlight w:val="none"/>
              </w:rPr>
              <w:t xml:space="preserve"> </w:t>
            </w:r>
            <w:r>
              <w:rPr>
                <w:color w:val="auto"/>
                <w:spacing w:val="5"/>
                <w:highlight w:val="none"/>
              </w:rPr>
              <w:t>个日历日内。</w:t>
            </w:r>
          </w:p>
          <w:p w14:paraId="1608BA8A">
            <w:pPr>
              <w:pStyle w:val="20"/>
              <w:keepNext w:val="0"/>
              <w:keepLines w:val="0"/>
              <w:pageBreakBefore w:val="0"/>
              <w:widowControl/>
              <w:kinsoku w:val="0"/>
              <w:wordWrap/>
              <w:overflowPunct/>
              <w:topLinePunct w:val="0"/>
              <w:autoSpaceDE w:val="0"/>
              <w:autoSpaceDN w:val="0"/>
              <w:bidi w:val="0"/>
              <w:adjustRightInd w:val="0"/>
              <w:snapToGrid w:val="0"/>
              <w:spacing w:before="192" w:line="240" w:lineRule="exact"/>
              <w:ind w:left="115"/>
              <w:textAlignment w:val="baseline"/>
              <w:rPr>
                <w:color w:val="auto"/>
                <w:highlight w:val="none"/>
              </w:rPr>
            </w:pPr>
            <w:r>
              <w:rPr>
                <w:b/>
                <w:bCs/>
                <w:color w:val="auto"/>
                <w:spacing w:val="1"/>
                <w:highlight w:val="none"/>
              </w:rPr>
              <w:t>二、工期：</w:t>
            </w:r>
            <w:r>
              <w:rPr>
                <w:rFonts w:hint="eastAsia"/>
                <w:b/>
                <w:bCs/>
                <w:color w:val="auto"/>
                <w:spacing w:val="1"/>
                <w:highlight w:val="none"/>
                <w:lang w:val="en-US" w:eastAsia="zh-CN"/>
              </w:rPr>
              <w:t>90</w:t>
            </w:r>
            <w:r>
              <w:rPr>
                <w:color w:val="auto"/>
                <w:spacing w:val="1"/>
                <w:highlight w:val="none"/>
              </w:rPr>
              <w:t xml:space="preserve"> 日历天。</w:t>
            </w:r>
          </w:p>
          <w:p w14:paraId="25DD661B">
            <w:pPr>
              <w:pStyle w:val="20"/>
              <w:keepNext w:val="0"/>
              <w:keepLines w:val="0"/>
              <w:pageBreakBefore w:val="0"/>
              <w:widowControl/>
              <w:kinsoku w:val="0"/>
              <w:wordWrap/>
              <w:overflowPunct/>
              <w:topLinePunct w:val="0"/>
              <w:autoSpaceDE w:val="0"/>
              <w:autoSpaceDN w:val="0"/>
              <w:bidi w:val="0"/>
              <w:adjustRightInd w:val="0"/>
              <w:snapToGrid w:val="0"/>
              <w:spacing w:before="193" w:line="240" w:lineRule="exact"/>
              <w:ind w:left="112"/>
              <w:textAlignment w:val="baseline"/>
              <w:rPr>
                <w:rFonts w:ascii="宋体" w:hAnsi="宋体" w:eastAsia="宋体" w:cs="宋体"/>
                <w:color w:val="auto"/>
                <w:spacing w:val="9"/>
                <w:highlight w:val="none"/>
              </w:rPr>
            </w:pPr>
            <w:r>
              <w:rPr>
                <w:b/>
                <w:bCs/>
                <w:color w:val="auto"/>
                <w:spacing w:val="6"/>
                <w:highlight w:val="none"/>
              </w:rPr>
              <w:t>三、项目建设地点:</w:t>
            </w:r>
            <w:r>
              <w:rPr>
                <w:rFonts w:hint="eastAsia" w:cs="宋体"/>
                <w:color w:val="auto"/>
                <w:spacing w:val="5"/>
                <w:highlight w:val="none"/>
                <w:lang w:eastAsia="zh-CN"/>
              </w:rPr>
              <w:t>横州市石塘镇芦村村委小学</w:t>
            </w:r>
            <w:r>
              <w:rPr>
                <w:rFonts w:hint="eastAsia" w:ascii="宋体" w:hAnsi="宋体" w:eastAsia="宋体" w:cs="宋体"/>
                <w:color w:val="auto"/>
                <w:spacing w:val="5"/>
                <w:highlight w:val="none"/>
                <w:lang w:eastAsia="zh-CN"/>
              </w:rPr>
              <w:t>。</w:t>
            </w:r>
          </w:p>
          <w:p w14:paraId="54FCCA1D">
            <w:pPr>
              <w:pStyle w:val="20"/>
              <w:keepNext w:val="0"/>
              <w:keepLines w:val="0"/>
              <w:pageBreakBefore w:val="0"/>
              <w:widowControl/>
              <w:kinsoku w:val="0"/>
              <w:wordWrap/>
              <w:overflowPunct/>
              <w:topLinePunct w:val="0"/>
              <w:autoSpaceDE w:val="0"/>
              <w:autoSpaceDN w:val="0"/>
              <w:bidi w:val="0"/>
              <w:adjustRightInd w:val="0"/>
              <w:snapToGrid w:val="0"/>
              <w:spacing w:before="196" w:line="240" w:lineRule="exact"/>
              <w:ind w:left="131"/>
              <w:textAlignment w:val="baseline"/>
              <w:rPr>
                <w:color w:val="auto"/>
                <w:highlight w:val="none"/>
              </w:rPr>
            </w:pPr>
            <w:r>
              <w:rPr>
                <w:b/>
                <w:bCs/>
                <w:color w:val="auto"/>
                <w:spacing w:val="4"/>
                <w:highlight w:val="none"/>
              </w:rPr>
              <w:t>四、验收标准、规范：</w:t>
            </w:r>
          </w:p>
          <w:p w14:paraId="4E12EE0D">
            <w:pPr>
              <w:pStyle w:val="20"/>
              <w:keepNext w:val="0"/>
              <w:keepLines w:val="0"/>
              <w:pageBreakBefore w:val="0"/>
              <w:widowControl/>
              <w:kinsoku w:val="0"/>
              <w:wordWrap/>
              <w:overflowPunct/>
              <w:topLinePunct w:val="0"/>
              <w:autoSpaceDE w:val="0"/>
              <w:autoSpaceDN w:val="0"/>
              <w:bidi w:val="0"/>
              <w:adjustRightInd w:val="0"/>
              <w:snapToGrid w:val="0"/>
              <w:spacing w:before="191" w:line="240" w:lineRule="exact"/>
              <w:ind w:left="113" w:right="110" w:firstLine="13"/>
              <w:textAlignment w:val="baseline"/>
              <w:rPr>
                <w:color w:val="auto"/>
                <w:highlight w:val="none"/>
              </w:rPr>
            </w:pPr>
            <w:r>
              <w:rPr>
                <w:color w:val="auto"/>
                <w:spacing w:val="9"/>
                <w:highlight w:val="none"/>
              </w:rPr>
              <w:t>1、根据采购单位的要求和国家现行的有关的工程建设标准、技术规范及强制性标准</w:t>
            </w:r>
            <w:r>
              <w:rPr>
                <w:color w:val="auto"/>
                <w:spacing w:val="8"/>
                <w:highlight w:val="none"/>
              </w:rPr>
              <w:t>条文等有关规范标</w:t>
            </w:r>
            <w:r>
              <w:rPr>
                <w:color w:val="auto"/>
                <w:highlight w:val="none"/>
              </w:rPr>
              <w:t xml:space="preserve"> </w:t>
            </w:r>
            <w:r>
              <w:rPr>
                <w:color w:val="auto"/>
                <w:spacing w:val="-1"/>
                <w:highlight w:val="none"/>
              </w:rPr>
              <w:t>准。</w:t>
            </w:r>
          </w:p>
          <w:p w14:paraId="17C2F573">
            <w:pPr>
              <w:pStyle w:val="20"/>
              <w:keepNext w:val="0"/>
              <w:keepLines w:val="0"/>
              <w:pageBreakBefore w:val="0"/>
              <w:widowControl/>
              <w:kinsoku w:val="0"/>
              <w:wordWrap/>
              <w:overflowPunct/>
              <w:topLinePunct w:val="0"/>
              <w:autoSpaceDE w:val="0"/>
              <w:autoSpaceDN w:val="0"/>
              <w:bidi w:val="0"/>
              <w:adjustRightInd w:val="0"/>
              <w:snapToGrid w:val="0"/>
              <w:spacing w:before="192" w:line="240" w:lineRule="exact"/>
              <w:ind w:left="116"/>
              <w:textAlignment w:val="baseline"/>
              <w:rPr>
                <w:color w:val="auto"/>
                <w:highlight w:val="none"/>
              </w:rPr>
            </w:pPr>
            <w:r>
              <w:rPr>
                <w:rFonts w:hint="eastAsia"/>
                <w:color w:val="auto"/>
                <w:spacing w:val="9"/>
                <w:highlight w:val="none"/>
                <w:lang w:val="en-US" w:eastAsia="zh-CN"/>
              </w:rPr>
              <w:t>2</w:t>
            </w:r>
            <w:r>
              <w:rPr>
                <w:color w:val="auto"/>
                <w:spacing w:val="9"/>
                <w:highlight w:val="none"/>
              </w:rPr>
              <w:t>、验收过程中所产生的一切费用均由成交人承担。报价时应考虑相关费用。</w:t>
            </w:r>
          </w:p>
          <w:p w14:paraId="199B368C">
            <w:pPr>
              <w:pStyle w:val="20"/>
              <w:keepNext w:val="0"/>
              <w:keepLines w:val="0"/>
              <w:pageBreakBefore w:val="0"/>
              <w:widowControl/>
              <w:kinsoku w:val="0"/>
              <w:wordWrap/>
              <w:overflowPunct/>
              <w:topLinePunct w:val="0"/>
              <w:autoSpaceDE w:val="0"/>
              <w:autoSpaceDN w:val="0"/>
              <w:bidi w:val="0"/>
              <w:adjustRightInd w:val="0"/>
              <w:snapToGrid w:val="0"/>
              <w:spacing w:before="196" w:line="240" w:lineRule="exact"/>
              <w:ind w:left="115"/>
              <w:textAlignment w:val="baseline"/>
              <w:rPr>
                <w:color w:val="auto"/>
                <w:highlight w:val="none"/>
              </w:rPr>
            </w:pPr>
            <w:r>
              <w:rPr>
                <w:b/>
                <w:bCs/>
                <w:color w:val="auto"/>
                <w:spacing w:val="7"/>
                <w:highlight w:val="none"/>
              </w:rPr>
              <w:t>五、售后服务要求</w:t>
            </w:r>
          </w:p>
          <w:p w14:paraId="2923E963">
            <w:pPr>
              <w:pStyle w:val="20"/>
              <w:keepNext w:val="0"/>
              <w:keepLines w:val="0"/>
              <w:pageBreakBefore w:val="0"/>
              <w:widowControl/>
              <w:kinsoku w:val="0"/>
              <w:wordWrap/>
              <w:overflowPunct/>
              <w:topLinePunct w:val="0"/>
              <w:autoSpaceDE w:val="0"/>
              <w:autoSpaceDN w:val="0"/>
              <w:bidi w:val="0"/>
              <w:adjustRightInd w:val="0"/>
              <w:snapToGrid w:val="0"/>
              <w:spacing w:before="191" w:line="240" w:lineRule="exact"/>
              <w:ind w:left="112" w:right="107" w:firstLine="14"/>
              <w:textAlignment w:val="baseline"/>
              <w:rPr>
                <w:color w:val="auto"/>
                <w:highlight w:val="none"/>
              </w:rPr>
            </w:pPr>
            <w:r>
              <w:rPr>
                <w:color w:val="auto"/>
                <w:spacing w:val="9"/>
                <w:highlight w:val="none"/>
              </w:rPr>
              <w:t>1、工程质量保修要求：质量保修期从工程实际竣工验收通过之日算起，使用年限应符合</w:t>
            </w:r>
            <w:r>
              <w:rPr>
                <w:color w:val="auto"/>
                <w:spacing w:val="8"/>
                <w:highlight w:val="none"/>
              </w:rPr>
              <w:t>国家建设相关</w:t>
            </w:r>
            <w:r>
              <w:rPr>
                <w:color w:val="auto"/>
                <w:highlight w:val="none"/>
              </w:rPr>
              <w:t xml:space="preserve"> </w:t>
            </w:r>
            <w:r>
              <w:rPr>
                <w:color w:val="auto"/>
                <w:spacing w:val="2"/>
                <w:highlight w:val="none"/>
              </w:rPr>
              <w:t>要求。</w:t>
            </w:r>
          </w:p>
          <w:p w14:paraId="44EDE256">
            <w:pPr>
              <w:pStyle w:val="20"/>
              <w:keepNext w:val="0"/>
              <w:keepLines w:val="0"/>
              <w:pageBreakBefore w:val="0"/>
              <w:widowControl/>
              <w:kinsoku w:val="0"/>
              <w:wordWrap/>
              <w:overflowPunct/>
              <w:topLinePunct w:val="0"/>
              <w:autoSpaceDE w:val="0"/>
              <w:autoSpaceDN w:val="0"/>
              <w:bidi w:val="0"/>
              <w:adjustRightInd w:val="0"/>
              <w:snapToGrid w:val="0"/>
              <w:spacing w:before="193" w:line="240" w:lineRule="exact"/>
              <w:ind w:left="114"/>
              <w:textAlignment w:val="baseline"/>
              <w:rPr>
                <w:color w:val="auto"/>
                <w:highlight w:val="none"/>
              </w:rPr>
            </w:pPr>
            <w:r>
              <w:rPr>
                <w:color w:val="auto"/>
                <w:spacing w:val="9"/>
                <w:highlight w:val="none"/>
              </w:rPr>
              <w:t>2、双方根据国家有关规定，结合具体工程质量保修期要求如下：</w:t>
            </w:r>
          </w:p>
          <w:p w14:paraId="7FAECF7B">
            <w:pPr>
              <w:keepNext w:val="0"/>
              <w:keepLines w:val="0"/>
              <w:pageBreakBefore w:val="0"/>
              <w:widowControl/>
              <w:kinsoku w:val="0"/>
              <w:wordWrap/>
              <w:overflowPunct/>
              <w:topLinePunct w:val="0"/>
              <w:autoSpaceDE w:val="0"/>
              <w:autoSpaceDN w:val="0"/>
              <w:bidi w:val="0"/>
              <w:adjustRightInd w:val="0"/>
              <w:snapToGrid w:val="0"/>
              <w:spacing w:before="221" w:line="240" w:lineRule="exact"/>
              <w:ind w:left="428"/>
              <w:textAlignment w:val="baseline"/>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根据《建设工程质量管理条例》及有关规定，工程的质量保修期如下：</w:t>
            </w:r>
          </w:p>
          <w:p w14:paraId="547E00BC">
            <w:pPr>
              <w:keepNext w:val="0"/>
              <w:keepLines w:val="0"/>
              <w:pageBreakBefore w:val="0"/>
              <w:widowControl/>
              <w:kinsoku w:val="0"/>
              <w:wordWrap/>
              <w:overflowPunct/>
              <w:topLinePunct w:val="0"/>
              <w:autoSpaceDE w:val="0"/>
              <w:autoSpaceDN w:val="0"/>
              <w:bidi w:val="0"/>
              <w:adjustRightInd w:val="0"/>
              <w:snapToGrid w:val="0"/>
              <w:spacing w:before="221" w:line="240" w:lineRule="exact"/>
              <w:ind w:left="443"/>
              <w:textAlignment w:val="baseline"/>
              <w:rPr>
                <w:rFonts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lang w:val="en-US" w:eastAsia="zh-CN"/>
              </w:rPr>
              <w:t>2.</w:t>
            </w:r>
            <w:r>
              <w:rPr>
                <w:rFonts w:ascii="宋体" w:hAnsi="宋体" w:eastAsia="宋体" w:cs="宋体"/>
                <w:color w:val="auto"/>
                <w:spacing w:val="9"/>
                <w:sz w:val="20"/>
                <w:szCs w:val="20"/>
                <w:highlight w:val="none"/>
              </w:rPr>
              <w:t>1地基基础工程和主体结构工程为设计文件规定</w:t>
            </w:r>
            <w:r>
              <w:rPr>
                <w:rFonts w:ascii="宋体" w:hAnsi="宋体" w:eastAsia="宋体" w:cs="宋体"/>
                <w:color w:val="auto"/>
                <w:spacing w:val="8"/>
                <w:sz w:val="20"/>
                <w:szCs w:val="20"/>
                <w:highlight w:val="none"/>
              </w:rPr>
              <w:t>的工程合理使用年限；</w:t>
            </w:r>
          </w:p>
          <w:p w14:paraId="1FF06A46">
            <w:pPr>
              <w:keepNext w:val="0"/>
              <w:keepLines w:val="0"/>
              <w:pageBreakBefore w:val="0"/>
              <w:widowControl/>
              <w:kinsoku w:val="0"/>
              <w:wordWrap/>
              <w:overflowPunct/>
              <w:topLinePunct w:val="0"/>
              <w:autoSpaceDE w:val="0"/>
              <w:autoSpaceDN w:val="0"/>
              <w:bidi w:val="0"/>
              <w:adjustRightInd w:val="0"/>
              <w:snapToGrid w:val="0"/>
              <w:spacing w:before="221" w:line="240" w:lineRule="exact"/>
              <w:ind w:left="430"/>
              <w:textAlignment w:val="baseline"/>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2</w:t>
            </w:r>
            <w:r>
              <w:rPr>
                <w:rFonts w:hint="eastAsia" w:ascii="宋体" w:hAnsi="宋体" w:eastAsia="宋体" w:cs="宋体"/>
                <w:color w:val="auto"/>
                <w:spacing w:val="9"/>
                <w:sz w:val="20"/>
                <w:szCs w:val="20"/>
                <w:highlight w:val="none"/>
                <w:lang w:val="en-US" w:eastAsia="zh-CN"/>
              </w:rPr>
              <w:t>.2</w:t>
            </w:r>
            <w:r>
              <w:rPr>
                <w:rFonts w:ascii="宋体" w:hAnsi="宋体" w:eastAsia="宋体" w:cs="宋体"/>
                <w:color w:val="auto"/>
                <w:spacing w:val="9"/>
                <w:sz w:val="20"/>
                <w:szCs w:val="20"/>
                <w:highlight w:val="none"/>
              </w:rPr>
              <w:t>屋面防水工程、有防水要求的卫生间、房间和外墙面</w:t>
            </w:r>
            <w:r>
              <w:rPr>
                <w:rFonts w:ascii="宋体" w:hAnsi="宋体" w:eastAsia="宋体" w:cs="宋体"/>
                <w:color w:val="auto"/>
                <w:spacing w:val="8"/>
                <w:sz w:val="20"/>
                <w:szCs w:val="20"/>
                <w:highlight w:val="none"/>
              </w:rPr>
              <w:t>的防渗为</w:t>
            </w:r>
            <w:r>
              <w:rPr>
                <w:rFonts w:ascii="宋体" w:hAnsi="宋体" w:eastAsia="宋体" w:cs="宋体"/>
                <w:color w:val="auto"/>
                <w:spacing w:val="8"/>
                <w:sz w:val="20"/>
                <w:szCs w:val="20"/>
                <w:highlight w:val="none"/>
                <w:u w:val="single" w:color="auto"/>
              </w:rPr>
              <w:t xml:space="preserve"> 5 </w:t>
            </w:r>
            <w:r>
              <w:rPr>
                <w:rFonts w:ascii="宋体" w:hAnsi="宋体" w:eastAsia="宋体" w:cs="宋体"/>
                <w:color w:val="auto"/>
                <w:spacing w:val="8"/>
                <w:sz w:val="20"/>
                <w:szCs w:val="20"/>
                <w:highlight w:val="none"/>
              </w:rPr>
              <w:t>年；</w:t>
            </w:r>
          </w:p>
          <w:p w14:paraId="2C3A0497">
            <w:pPr>
              <w:keepNext w:val="0"/>
              <w:keepLines w:val="0"/>
              <w:pageBreakBefore w:val="0"/>
              <w:widowControl/>
              <w:kinsoku w:val="0"/>
              <w:wordWrap/>
              <w:overflowPunct/>
              <w:topLinePunct w:val="0"/>
              <w:autoSpaceDE w:val="0"/>
              <w:autoSpaceDN w:val="0"/>
              <w:bidi w:val="0"/>
              <w:adjustRightInd w:val="0"/>
              <w:snapToGrid w:val="0"/>
              <w:spacing w:before="221" w:line="240" w:lineRule="exact"/>
              <w:ind w:left="432"/>
              <w:textAlignment w:val="baseline"/>
              <w:rPr>
                <w:rFonts w:ascii="宋体" w:hAnsi="宋体" w:eastAsia="宋体" w:cs="宋体"/>
                <w:color w:val="auto"/>
                <w:sz w:val="20"/>
                <w:szCs w:val="20"/>
                <w:highlight w:val="none"/>
              </w:rPr>
            </w:pPr>
            <w:r>
              <w:rPr>
                <w:rFonts w:hint="eastAsia" w:ascii="宋体" w:hAnsi="宋体" w:eastAsia="宋体" w:cs="宋体"/>
                <w:color w:val="auto"/>
                <w:spacing w:val="5"/>
                <w:sz w:val="20"/>
                <w:szCs w:val="20"/>
                <w:highlight w:val="none"/>
                <w:lang w:val="en-US" w:eastAsia="zh-CN"/>
              </w:rPr>
              <w:t>2.3</w:t>
            </w:r>
            <w:r>
              <w:rPr>
                <w:rFonts w:ascii="宋体" w:hAnsi="宋体" w:eastAsia="宋体" w:cs="宋体"/>
                <w:color w:val="auto"/>
                <w:spacing w:val="5"/>
                <w:sz w:val="20"/>
                <w:szCs w:val="20"/>
                <w:highlight w:val="none"/>
              </w:rPr>
              <w:t>装修工程为</w:t>
            </w:r>
            <w:r>
              <w:rPr>
                <w:rFonts w:ascii="宋体" w:hAnsi="宋体" w:eastAsia="宋体" w:cs="宋体"/>
                <w:color w:val="auto"/>
                <w:spacing w:val="5"/>
                <w:sz w:val="20"/>
                <w:szCs w:val="20"/>
                <w:highlight w:val="none"/>
                <w:u w:val="single" w:color="auto"/>
              </w:rPr>
              <w:t xml:space="preserve"> 2</w:t>
            </w:r>
            <w:r>
              <w:rPr>
                <w:rFonts w:ascii="宋体" w:hAnsi="宋体" w:eastAsia="宋体" w:cs="宋体"/>
                <w:color w:val="auto"/>
                <w:spacing w:val="20"/>
                <w:sz w:val="20"/>
                <w:szCs w:val="20"/>
                <w:highlight w:val="none"/>
                <w:u w:val="single" w:color="auto"/>
              </w:rPr>
              <w:t xml:space="preserve"> </w:t>
            </w:r>
            <w:r>
              <w:rPr>
                <w:rFonts w:ascii="宋体" w:hAnsi="宋体" w:eastAsia="宋体" w:cs="宋体"/>
                <w:color w:val="auto"/>
                <w:spacing w:val="5"/>
                <w:sz w:val="20"/>
                <w:szCs w:val="20"/>
                <w:highlight w:val="none"/>
              </w:rPr>
              <w:t>年；</w:t>
            </w:r>
          </w:p>
          <w:p w14:paraId="67616248">
            <w:pPr>
              <w:keepNext w:val="0"/>
              <w:keepLines w:val="0"/>
              <w:pageBreakBefore w:val="0"/>
              <w:widowControl/>
              <w:kinsoku w:val="0"/>
              <w:wordWrap/>
              <w:overflowPunct/>
              <w:topLinePunct w:val="0"/>
              <w:autoSpaceDE w:val="0"/>
              <w:autoSpaceDN w:val="0"/>
              <w:bidi w:val="0"/>
              <w:adjustRightInd w:val="0"/>
              <w:snapToGrid w:val="0"/>
              <w:spacing w:before="221" w:line="240" w:lineRule="exact"/>
              <w:ind w:left="427"/>
              <w:textAlignment w:val="baseline"/>
              <w:rPr>
                <w:rFonts w:ascii="宋体" w:hAnsi="宋体" w:eastAsia="宋体" w:cs="宋体"/>
                <w:color w:val="auto"/>
                <w:sz w:val="20"/>
                <w:szCs w:val="20"/>
                <w:highlight w:val="none"/>
              </w:rPr>
            </w:pPr>
            <w:r>
              <w:rPr>
                <w:rFonts w:hint="eastAsia" w:ascii="宋体" w:hAnsi="宋体" w:eastAsia="宋体" w:cs="宋体"/>
                <w:color w:val="auto"/>
                <w:spacing w:val="6"/>
                <w:sz w:val="20"/>
                <w:szCs w:val="20"/>
                <w:highlight w:val="none"/>
                <w:lang w:val="en-US" w:eastAsia="zh-CN"/>
              </w:rPr>
              <w:t>2.4</w:t>
            </w:r>
            <w:r>
              <w:rPr>
                <w:rFonts w:ascii="宋体" w:hAnsi="宋体" w:eastAsia="宋体" w:cs="宋体"/>
                <w:color w:val="auto"/>
                <w:spacing w:val="-41"/>
                <w:sz w:val="20"/>
                <w:szCs w:val="20"/>
                <w:highlight w:val="none"/>
              </w:rPr>
              <w:t xml:space="preserve"> </w:t>
            </w:r>
            <w:r>
              <w:rPr>
                <w:rFonts w:ascii="宋体" w:hAnsi="宋体" w:eastAsia="宋体" w:cs="宋体"/>
                <w:color w:val="auto"/>
                <w:spacing w:val="6"/>
                <w:sz w:val="20"/>
                <w:szCs w:val="20"/>
                <w:highlight w:val="none"/>
              </w:rPr>
              <w:t>电气管线、给排水管道、设备安装工程为</w:t>
            </w:r>
            <w:r>
              <w:rPr>
                <w:rFonts w:ascii="宋体" w:hAnsi="宋体" w:eastAsia="宋体" w:cs="宋体"/>
                <w:color w:val="auto"/>
                <w:spacing w:val="6"/>
                <w:sz w:val="20"/>
                <w:szCs w:val="20"/>
                <w:highlight w:val="none"/>
                <w:u w:val="single" w:color="auto"/>
              </w:rPr>
              <w:t xml:space="preserve"> 2 </w:t>
            </w:r>
            <w:r>
              <w:rPr>
                <w:rFonts w:ascii="宋体" w:hAnsi="宋体" w:eastAsia="宋体" w:cs="宋体"/>
                <w:color w:val="auto"/>
                <w:spacing w:val="6"/>
                <w:sz w:val="20"/>
                <w:szCs w:val="20"/>
                <w:highlight w:val="none"/>
              </w:rPr>
              <w:t>年；</w:t>
            </w:r>
          </w:p>
          <w:p w14:paraId="12699B0B">
            <w:pPr>
              <w:keepNext w:val="0"/>
              <w:keepLines w:val="0"/>
              <w:pageBreakBefore w:val="0"/>
              <w:widowControl/>
              <w:kinsoku w:val="0"/>
              <w:wordWrap/>
              <w:overflowPunct/>
              <w:topLinePunct w:val="0"/>
              <w:autoSpaceDE w:val="0"/>
              <w:autoSpaceDN w:val="0"/>
              <w:bidi w:val="0"/>
              <w:adjustRightInd w:val="0"/>
              <w:snapToGrid w:val="0"/>
              <w:spacing w:before="221" w:line="240" w:lineRule="exact"/>
              <w:ind w:left="428"/>
              <w:textAlignment w:val="baseline"/>
              <w:rPr>
                <w:rFonts w:ascii="宋体" w:hAnsi="宋体" w:eastAsia="宋体" w:cs="宋体"/>
                <w:color w:val="auto"/>
                <w:spacing w:val="9"/>
                <w:sz w:val="20"/>
                <w:szCs w:val="20"/>
                <w:highlight w:val="none"/>
              </w:rPr>
            </w:pPr>
            <w:r>
              <w:rPr>
                <w:rFonts w:hint="eastAsia" w:ascii="宋体" w:hAnsi="宋体" w:eastAsia="宋体" w:cs="宋体"/>
                <w:color w:val="auto"/>
                <w:spacing w:val="8"/>
                <w:sz w:val="20"/>
                <w:szCs w:val="20"/>
                <w:highlight w:val="none"/>
                <w:lang w:val="en-US" w:eastAsia="zh-CN"/>
              </w:rPr>
              <w:t>2.5</w:t>
            </w:r>
            <w:r>
              <w:rPr>
                <w:rFonts w:ascii="宋体" w:hAnsi="宋体" w:eastAsia="宋体" w:cs="宋体"/>
                <w:color w:val="auto"/>
                <w:spacing w:val="8"/>
                <w:sz w:val="20"/>
                <w:szCs w:val="20"/>
                <w:highlight w:val="none"/>
              </w:rPr>
              <w:t>供热与供冷系统为</w:t>
            </w:r>
            <w:r>
              <w:rPr>
                <w:rFonts w:ascii="宋体" w:hAnsi="宋体" w:eastAsia="宋体" w:cs="宋体"/>
                <w:color w:val="auto"/>
                <w:spacing w:val="8"/>
                <w:sz w:val="20"/>
                <w:szCs w:val="20"/>
                <w:highlight w:val="none"/>
                <w:u w:val="single" w:color="auto"/>
              </w:rPr>
              <w:t xml:space="preserve"> 2 </w:t>
            </w:r>
            <w:r>
              <w:rPr>
                <w:rFonts w:ascii="宋体" w:hAnsi="宋体" w:eastAsia="宋体" w:cs="宋体"/>
                <w:color w:val="auto"/>
                <w:spacing w:val="8"/>
                <w:sz w:val="20"/>
                <w:szCs w:val="20"/>
                <w:highlight w:val="none"/>
              </w:rPr>
              <w:t>个采暖期、</w:t>
            </w:r>
            <w:r>
              <w:rPr>
                <w:rFonts w:ascii="宋体" w:hAnsi="宋体" w:eastAsia="宋体" w:cs="宋体"/>
                <w:color w:val="auto"/>
                <w:spacing w:val="9"/>
                <w:sz w:val="20"/>
                <w:szCs w:val="20"/>
                <w:highlight w:val="none"/>
              </w:rPr>
              <w:t>供冷期；</w:t>
            </w:r>
          </w:p>
          <w:p w14:paraId="52456508">
            <w:pPr>
              <w:keepNext w:val="0"/>
              <w:keepLines w:val="0"/>
              <w:pageBreakBefore w:val="0"/>
              <w:widowControl/>
              <w:kinsoku w:val="0"/>
              <w:wordWrap/>
              <w:overflowPunct/>
              <w:topLinePunct w:val="0"/>
              <w:autoSpaceDE w:val="0"/>
              <w:autoSpaceDN w:val="0"/>
              <w:bidi w:val="0"/>
              <w:adjustRightInd w:val="0"/>
              <w:snapToGrid w:val="0"/>
              <w:spacing w:before="221" w:line="240" w:lineRule="exact"/>
              <w:ind w:left="428"/>
              <w:textAlignment w:val="baseline"/>
              <w:rPr>
                <w:rFonts w:ascii="宋体" w:hAnsi="宋体" w:eastAsia="宋体" w:cs="宋体"/>
                <w:color w:val="auto"/>
                <w:spacing w:val="9"/>
                <w:sz w:val="20"/>
                <w:szCs w:val="20"/>
                <w:highlight w:val="none"/>
              </w:rPr>
            </w:pPr>
            <w:r>
              <w:rPr>
                <w:rFonts w:hint="eastAsia" w:ascii="宋体" w:hAnsi="宋体" w:eastAsia="宋体" w:cs="宋体"/>
                <w:color w:val="auto"/>
                <w:spacing w:val="9"/>
                <w:sz w:val="20"/>
                <w:szCs w:val="20"/>
                <w:highlight w:val="none"/>
                <w:lang w:val="en-US" w:eastAsia="zh-CN"/>
              </w:rPr>
              <w:t>2.6</w:t>
            </w:r>
            <w:r>
              <w:rPr>
                <w:rFonts w:ascii="宋体" w:hAnsi="宋体" w:eastAsia="宋体" w:cs="宋体"/>
                <w:color w:val="auto"/>
                <w:spacing w:val="9"/>
                <w:sz w:val="20"/>
                <w:szCs w:val="20"/>
                <w:highlight w:val="none"/>
              </w:rPr>
              <w:t>住宅小区内的给排水设施、道路等配套工程为 2 年；</w:t>
            </w:r>
          </w:p>
          <w:p w14:paraId="7B25665C">
            <w:pPr>
              <w:keepNext w:val="0"/>
              <w:keepLines w:val="0"/>
              <w:pageBreakBefore w:val="0"/>
              <w:widowControl/>
              <w:kinsoku w:val="0"/>
              <w:wordWrap/>
              <w:overflowPunct/>
              <w:topLinePunct w:val="0"/>
              <w:autoSpaceDE w:val="0"/>
              <w:autoSpaceDN w:val="0"/>
              <w:bidi w:val="0"/>
              <w:adjustRightInd w:val="0"/>
              <w:snapToGrid w:val="0"/>
              <w:spacing w:before="221" w:line="240" w:lineRule="exact"/>
              <w:ind w:left="428"/>
              <w:textAlignment w:val="baseline"/>
              <w:rPr>
                <w:rFonts w:ascii="宋体" w:hAnsi="宋体" w:eastAsia="宋体" w:cs="宋体"/>
                <w:color w:val="auto"/>
                <w:spacing w:val="8"/>
                <w:sz w:val="20"/>
                <w:szCs w:val="20"/>
                <w:highlight w:val="none"/>
              </w:rPr>
            </w:pPr>
            <w:r>
              <w:rPr>
                <w:rFonts w:hint="eastAsia" w:ascii="宋体" w:hAnsi="宋体" w:eastAsia="宋体" w:cs="宋体"/>
                <w:color w:val="auto"/>
                <w:spacing w:val="9"/>
                <w:sz w:val="20"/>
                <w:szCs w:val="20"/>
                <w:highlight w:val="none"/>
                <w:lang w:val="en-US" w:eastAsia="zh-CN"/>
              </w:rPr>
              <w:t>2.</w:t>
            </w:r>
            <w:r>
              <w:rPr>
                <w:rFonts w:ascii="宋体" w:hAnsi="宋体" w:eastAsia="宋体" w:cs="宋体"/>
                <w:color w:val="auto"/>
                <w:spacing w:val="9"/>
                <w:sz w:val="20"/>
                <w:szCs w:val="20"/>
                <w:highlight w:val="none"/>
              </w:rPr>
              <w:t>7其他项目保修期限约定如下：无。</w:t>
            </w:r>
          </w:p>
          <w:p w14:paraId="2BD6F53D">
            <w:pPr>
              <w:pStyle w:val="20"/>
              <w:keepNext w:val="0"/>
              <w:keepLines w:val="0"/>
              <w:pageBreakBefore w:val="0"/>
              <w:widowControl/>
              <w:kinsoku w:val="0"/>
              <w:wordWrap/>
              <w:overflowPunct/>
              <w:topLinePunct w:val="0"/>
              <w:autoSpaceDE w:val="0"/>
              <w:autoSpaceDN w:val="0"/>
              <w:bidi w:val="0"/>
              <w:adjustRightInd w:val="0"/>
              <w:snapToGrid w:val="0"/>
              <w:spacing w:before="193" w:line="240" w:lineRule="exact"/>
              <w:ind w:left="114"/>
              <w:textAlignment w:val="baseline"/>
              <w:rPr>
                <w:color w:val="auto"/>
                <w:spacing w:val="9"/>
                <w:highlight w:val="none"/>
              </w:rPr>
            </w:pPr>
            <w:r>
              <w:rPr>
                <w:rFonts w:ascii="宋体" w:hAnsi="宋体" w:eastAsia="宋体" w:cs="宋体"/>
                <w:color w:val="auto"/>
                <w:spacing w:val="8"/>
                <w:sz w:val="20"/>
                <w:szCs w:val="20"/>
                <w:highlight w:val="none"/>
              </w:rPr>
              <w:t>质量保修期自工程竣工验收合格之日起计算</w:t>
            </w:r>
            <w:r>
              <w:rPr>
                <w:color w:val="auto"/>
                <w:spacing w:val="9"/>
                <w:highlight w:val="none"/>
              </w:rPr>
              <w:t>。</w:t>
            </w:r>
          </w:p>
          <w:p w14:paraId="122225F5">
            <w:pPr>
              <w:pStyle w:val="20"/>
              <w:keepNext w:val="0"/>
              <w:keepLines w:val="0"/>
              <w:pageBreakBefore w:val="0"/>
              <w:widowControl/>
              <w:kinsoku w:val="0"/>
              <w:wordWrap/>
              <w:overflowPunct/>
              <w:topLinePunct w:val="0"/>
              <w:autoSpaceDE w:val="0"/>
              <w:autoSpaceDN w:val="0"/>
              <w:bidi w:val="0"/>
              <w:adjustRightInd w:val="0"/>
              <w:snapToGrid w:val="0"/>
              <w:spacing w:before="191" w:line="240" w:lineRule="exact"/>
              <w:ind w:left="112" w:right="107" w:firstLine="14"/>
              <w:textAlignment w:val="baseline"/>
              <w:rPr>
                <w:color w:val="auto"/>
                <w:spacing w:val="9"/>
                <w:highlight w:val="none"/>
              </w:rPr>
            </w:pPr>
            <w:r>
              <w:rPr>
                <w:color w:val="auto"/>
                <w:spacing w:val="9"/>
                <w:highlight w:val="none"/>
              </w:rPr>
              <w:t>3、响应时间：接到采购人处理问题通知后 4 小时内到达采购人指定现场，8 小时内提出解决方案。在 工程质量保修期期限内发生质量问题，必须在收到质保通知后的 3 个日历天内整改完毕。</w:t>
            </w:r>
          </w:p>
          <w:p w14:paraId="7BAC76EB">
            <w:pPr>
              <w:pStyle w:val="20"/>
              <w:keepNext w:val="0"/>
              <w:keepLines w:val="0"/>
              <w:pageBreakBefore w:val="0"/>
              <w:widowControl/>
              <w:kinsoku w:val="0"/>
              <w:wordWrap/>
              <w:overflowPunct/>
              <w:topLinePunct w:val="0"/>
              <w:autoSpaceDE w:val="0"/>
              <w:autoSpaceDN w:val="0"/>
              <w:bidi w:val="0"/>
              <w:adjustRightInd w:val="0"/>
              <w:snapToGrid w:val="0"/>
              <w:spacing w:before="192" w:line="240" w:lineRule="exact"/>
              <w:ind w:left="111"/>
              <w:textAlignment w:val="baseline"/>
              <w:rPr>
                <w:color w:val="auto"/>
                <w:highlight w:val="none"/>
              </w:rPr>
            </w:pPr>
            <w:r>
              <w:rPr>
                <w:color w:val="auto"/>
                <w:spacing w:val="8"/>
                <w:highlight w:val="none"/>
              </w:rPr>
              <w:t>4、其余部分按合同相关条款执行。</w:t>
            </w:r>
          </w:p>
          <w:p w14:paraId="5CE2D797">
            <w:pPr>
              <w:pStyle w:val="20"/>
              <w:keepNext w:val="0"/>
              <w:keepLines w:val="0"/>
              <w:pageBreakBefore w:val="0"/>
              <w:widowControl/>
              <w:kinsoku w:val="0"/>
              <w:wordWrap/>
              <w:overflowPunct/>
              <w:topLinePunct w:val="0"/>
              <w:autoSpaceDE w:val="0"/>
              <w:autoSpaceDN w:val="0"/>
              <w:bidi w:val="0"/>
              <w:adjustRightInd w:val="0"/>
              <w:snapToGrid w:val="0"/>
              <w:spacing w:before="196" w:line="240" w:lineRule="exact"/>
              <w:ind w:left="113"/>
              <w:textAlignment w:val="baseline"/>
              <w:rPr>
                <w:color w:val="auto"/>
                <w:highlight w:val="none"/>
              </w:rPr>
            </w:pPr>
            <w:r>
              <w:rPr>
                <w:b/>
                <w:bCs/>
                <w:color w:val="auto"/>
                <w:spacing w:val="7"/>
                <w:highlight w:val="none"/>
              </w:rPr>
              <w:t>六、付款方式：详见专用合同条款。</w:t>
            </w:r>
          </w:p>
          <w:p w14:paraId="28655CAE">
            <w:pPr>
              <w:pStyle w:val="20"/>
              <w:keepNext w:val="0"/>
              <w:keepLines w:val="0"/>
              <w:pageBreakBefore w:val="0"/>
              <w:widowControl/>
              <w:kinsoku w:val="0"/>
              <w:wordWrap/>
              <w:overflowPunct/>
              <w:topLinePunct w:val="0"/>
              <w:autoSpaceDE w:val="0"/>
              <w:autoSpaceDN w:val="0"/>
              <w:bidi w:val="0"/>
              <w:adjustRightInd w:val="0"/>
              <w:snapToGrid w:val="0"/>
              <w:spacing w:before="160" w:line="240" w:lineRule="exact"/>
              <w:ind w:left="111"/>
              <w:textAlignment w:val="baseline"/>
              <w:rPr>
                <w:color w:val="auto"/>
                <w:highlight w:val="none"/>
              </w:rPr>
            </w:pPr>
            <w:r>
              <w:rPr>
                <w:b/>
                <w:bCs/>
                <w:color w:val="auto"/>
                <w:spacing w:val="7"/>
                <w:highlight w:val="none"/>
              </w:rPr>
              <w:t>七、发包方式：</w:t>
            </w:r>
            <w:r>
              <w:rPr>
                <w:color w:val="auto"/>
                <w:spacing w:val="7"/>
                <w:highlight w:val="none"/>
              </w:rPr>
              <w:t>固定单价。</w:t>
            </w:r>
          </w:p>
          <w:p w14:paraId="4195C891">
            <w:pPr>
              <w:pStyle w:val="20"/>
              <w:keepNext w:val="0"/>
              <w:keepLines w:val="0"/>
              <w:pageBreakBefore w:val="0"/>
              <w:widowControl/>
              <w:kinsoku w:val="0"/>
              <w:wordWrap/>
              <w:overflowPunct/>
              <w:topLinePunct w:val="0"/>
              <w:autoSpaceDE w:val="0"/>
              <w:autoSpaceDN w:val="0"/>
              <w:bidi w:val="0"/>
              <w:adjustRightInd w:val="0"/>
              <w:snapToGrid w:val="0"/>
              <w:spacing w:before="186" w:line="240" w:lineRule="exact"/>
              <w:ind w:left="115"/>
              <w:textAlignment w:val="baseline"/>
              <w:rPr>
                <w:color w:val="auto"/>
                <w:highlight w:val="none"/>
              </w:rPr>
            </w:pPr>
            <w:r>
              <w:rPr>
                <w:b/>
                <w:bCs/>
                <w:color w:val="auto"/>
                <w:spacing w:val="5"/>
                <w:highlight w:val="none"/>
              </w:rPr>
              <w:t>八、报价方式：</w:t>
            </w:r>
          </w:p>
          <w:p w14:paraId="0FA13A8A">
            <w:pPr>
              <w:pStyle w:val="20"/>
              <w:keepNext w:val="0"/>
              <w:keepLines w:val="0"/>
              <w:pageBreakBefore w:val="0"/>
              <w:widowControl/>
              <w:kinsoku w:val="0"/>
              <w:wordWrap/>
              <w:overflowPunct/>
              <w:topLinePunct w:val="0"/>
              <w:autoSpaceDE w:val="0"/>
              <w:autoSpaceDN w:val="0"/>
              <w:bidi w:val="0"/>
              <w:adjustRightInd w:val="0"/>
              <w:snapToGrid w:val="0"/>
              <w:spacing w:before="193" w:line="240" w:lineRule="exact"/>
              <w:ind w:left="112" w:right="39" w:firstLine="434"/>
              <w:textAlignment w:val="baseline"/>
              <w:rPr>
                <w:color w:val="auto"/>
                <w:highlight w:val="none"/>
              </w:rPr>
            </w:pPr>
            <w:r>
              <w:rPr>
                <w:b/>
                <w:bCs/>
                <w:color w:val="auto"/>
                <w:spacing w:val="6"/>
                <w:highlight w:val="none"/>
              </w:rPr>
              <w:t>1.采用工程量清单报价方式，供应商已标价工程量清单（包含首次报价、最后</w:t>
            </w:r>
            <w:r>
              <w:rPr>
                <w:b/>
                <w:bCs/>
                <w:color w:val="auto"/>
                <w:spacing w:val="5"/>
                <w:highlight w:val="none"/>
              </w:rPr>
              <w:t>报价）的项目编码、</w:t>
            </w:r>
            <w:r>
              <w:rPr>
                <w:color w:val="auto"/>
                <w:highlight w:val="none"/>
              </w:rPr>
              <w:t xml:space="preserve"> </w:t>
            </w:r>
            <w:r>
              <w:rPr>
                <w:b/>
                <w:bCs/>
                <w:color w:val="auto"/>
                <w:spacing w:val="10"/>
                <w:highlight w:val="none"/>
              </w:rPr>
              <w:t>项目名称及项目特征描述、计量单位、工程量须与招</w:t>
            </w:r>
            <w:r>
              <w:rPr>
                <w:b/>
                <w:bCs/>
                <w:color w:val="auto"/>
                <w:spacing w:val="9"/>
                <w:highlight w:val="none"/>
              </w:rPr>
              <w:t>标工程量清单一致的，否则竞标无效；竞标报价</w:t>
            </w:r>
            <w:r>
              <w:rPr>
                <w:color w:val="auto"/>
                <w:highlight w:val="none"/>
              </w:rPr>
              <w:t xml:space="preserve">  </w:t>
            </w:r>
            <w:r>
              <w:rPr>
                <w:b/>
                <w:bCs/>
                <w:color w:val="auto"/>
                <w:spacing w:val="10"/>
                <w:highlight w:val="none"/>
              </w:rPr>
              <w:t>不得高于最高限价。本项目采用二次报价方式，竞标人的</w:t>
            </w:r>
            <w:r>
              <w:rPr>
                <w:b/>
                <w:bCs/>
                <w:color w:val="auto"/>
                <w:spacing w:val="9"/>
                <w:highlight w:val="none"/>
              </w:rPr>
              <w:t>最终报价如有变动，则必须以工程量清单报</w:t>
            </w:r>
            <w:r>
              <w:rPr>
                <w:color w:val="auto"/>
                <w:highlight w:val="none"/>
              </w:rPr>
              <w:t xml:space="preserve">  </w:t>
            </w:r>
            <w:r>
              <w:rPr>
                <w:b/>
                <w:bCs/>
                <w:color w:val="auto"/>
                <w:spacing w:val="8"/>
                <w:highlight w:val="none"/>
              </w:rPr>
              <w:t>价表的格式编制提交，竞标人须提前做好相关准备并按时递交最终报价文件，否则报价无效。</w:t>
            </w:r>
          </w:p>
          <w:p w14:paraId="262AD611">
            <w:pPr>
              <w:pStyle w:val="20"/>
              <w:keepNext w:val="0"/>
              <w:keepLines w:val="0"/>
              <w:pageBreakBefore w:val="0"/>
              <w:widowControl/>
              <w:kinsoku w:val="0"/>
              <w:wordWrap/>
              <w:overflowPunct/>
              <w:topLinePunct w:val="0"/>
              <w:autoSpaceDE w:val="0"/>
              <w:autoSpaceDN w:val="0"/>
              <w:bidi w:val="0"/>
              <w:adjustRightInd w:val="0"/>
              <w:snapToGrid w:val="0"/>
              <w:spacing w:before="193" w:line="240" w:lineRule="exact"/>
              <w:ind w:left="534"/>
              <w:textAlignment w:val="baseline"/>
              <w:rPr>
                <w:color w:val="auto"/>
                <w:highlight w:val="none"/>
              </w:rPr>
            </w:pPr>
            <w:r>
              <w:rPr>
                <w:color w:val="auto"/>
                <w:spacing w:val="7"/>
                <w:highlight w:val="none"/>
              </w:rPr>
              <w:t>2.报价必须包含以下部分，包括：</w:t>
            </w:r>
          </w:p>
          <w:p w14:paraId="4C1EF976">
            <w:pPr>
              <w:pStyle w:val="20"/>
              <w:keepNext w:val="0"/>
              <w:keepLines w:val="0"/>
              <w:pageBreakBefore w:val="0"/>
              <w:widowControl/>
              <w:kinsoku w:val="0"/>
              <w:wordWrap/>
              <w:overflowPunct/>
              <w:topLinePunct w:val="0"/>
              <w:autoSpaceDE w:val="0"/>
              <w:autoSpaceDN w:val="0"/>
              <w:bidi w:val="0"/>
              <w:adjustRightInd w:val="0"/>
              <w:snapToGrid w:val="0"/>
              <w:spacing w:before="195" w:line="240" w:lineRule="exact"/>
              <w:ind w:left="113" w:right="37" w:firstLine="417"/>
              <w:textAlignment w:val="baseline"/>
              <w:rPr>
                <w:color w:val="auto"/>
                <w:highlight w:val="none"/>
              </w:rPr>
            </w:pPr>
            <w:r>
              <w:rPr>
                <w:color w:val="auto"/>
                <w:spacing w:val="4"/>
                <w:highlight w:val="none"/>
              </w:rPr>
              <w:t>①满足本项目全部采购需求，包含投标服务、货物、工程的成本、运输（含保</w:t>
            </w:r>
            <w:r>
              <w:rPr>
                <w:color w:val="auto"/>
                <w:spacing w:val="3"/>
                <w:highlight w:val="none"/>
              </w:rPr>
              <w:t>险）、安装（如有）、</w:t>
            </w:r>
            <w:r>
              <w:rPr>
                <w:color w:val="auto"/>
                <w:highlight w:val="none"/>
              </w:rPr>
              <w:t xml:space="preserve"> </w:t>
            </w:r>
            <w:r>
              <w:rPr>
                <w:color w:val="auto"/>
                <w:spacing w:val="8"/>
                <w:highlight w:val="none"/>
              </w:rPr>
              <w:t>调试、检验、技术服务、培训等所有费用。</w:t>
            </w:r>
          </w:p>
          <w:p w14:paraId="7ADABA93">
            <w:pPr>
              <w:pStyle w:val="20"/>
              <w:spacing w:before="65" w:line="229" w:lineRule="auto"/>
              <w:ind w:left="322"/>
              <w:rPr>
                <w:color w:val="auto"/>
                <w:spacing w:val="6"/>
                <w:highlight w:val="none"/>
              </w:rPr>
            </w:pPr>
            <w:r>
              <w:rPr>
                <w:color w:val="auto"/>
                <w:spacing w:val="9"/>
                <w:highlight w:val="none"/>
              </w:rPr>
              <w:t>②必要的保险费和各项税金（成交供应商需为该工程购买工程一切险）。</w:t>
            </w:r>
          </w:p>
        </w:tc>
      </w:tr>
      <w:tr w14:paraId="27B7D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4" w:hRule="atLeast"/>
          <w:jc w:val="center"/>
        </w:trPr>
        <w:tc>
          <w:tcPr>
            <w:tcW w:w="504" w:type="dxa"/>
            <w:vAlign w:val="top"/>
          </w:tcPr>
          <w:p w14:paraId="4670D6CA">
            <w:pPr>
              <w:pStyle w:val="20"/>
              <w:spacing w:before="65" w:line="271" w:lineRule="exact"/>
              <w:ind w:left="150"/>
              <w:rPr>
                <w:b/>
                <w:bCs/>
                <w:color w:val="auto"/>
                <w:spacing w:val="7"/>
                <w:highlight w:val="none"/>
              </w:rPr>
            </w:pPr>
            <w:r>
              <w:rPr>
                <w:color w:val="auto"/>
                <w:spacing w:val="9"/>
                <w:highlight w:val="none"/>
              </w:rPr>
              <w:t>其</w:t>
            </w:r>
            <w:r>
              <w:rPr>
                <w:color w:val="auto"/>
                <w:spacing w:val="15"/>
                <w:highlight w:val="none"/>
              </w:rPr>
              <w:t xml:space="preserve">  </w:t>
            </w:r>
            <w:r>
              <w:rPr>
                <w:color w:val="auto"/>
                <w:spacing w:val="9"/>
                <w:highlight w:val="none"/>
              </w:rPr>
              <w:t>他</w:t>
            </w:r>
            <w:r>
              <w:rPr>
                <w:color w:val="auto"/>
                <w:spacing w:val="14"/>
                <w:highlight w:val="none"/>
              </w:rPr>
              <w:t xml:space="preserve">  </w:t>
            </w:r>
            <w:r>
              <w:rPr>
                <w:color w:val="auto"/>
                <w:spacing w:val="9"/>
                <w:highlight w:val="none"/>
              </w:rPr>
              <w:t>说</w:t>
            </w:r>
            <w:r>
              <w:rPr>
                <w:color w:val="auto"/>
                <w:spacing w:val="16"/>
                <w:highlight w:val="none"/>
              </w:rPr>
              <w:t xml:space="preserve">  </w:t>
            </w:r>
            <w:r>
              <w:rPr>
                <w:color w:val="auto"/>
                <w:spacing w:val="9"/>
                <w:highlight w:val="none"/>
              </w:rPr>
              <w:t>明</w:t>
            </w:r>
          </w:p>
        </w:tc>
        <w:tc>
          <w:tcPr>
            <w:tcW w:w="9692" w:type="dxa"/>
            <w:gridSpan w:val="6"/>
            <w:vAlign w:val="top"/>
          </w:tcPr>
          <w:p w14:paraId="034831EC">
            <w:pPr>
              <w:pStyle w:val="20"/>
              <w:spacing w:before="176" w:line="228" w:lineRule="auto"/>
              <w:ind w:left="115"/>
              <w:rPr>
                <w:color w:val="auto"/>
                <w:highlight w:val="none"/>
              </w:rPr>
            </w:pPr>
            <w:r>
              <w:rPr>
                <w:b/>
                <w:bCs/>
                <w:color w:val="auto"/>
                <w:spacing w:val="7"/>
                <w:highlight w:val="none"/>
              </w:rPr>
              <w:t>一、进口产品说明</w:t>
            </w:r>
          </w:p>
          <w:p w14:paraId="7920CB3C">
            <w:pPr>
              <w:pStyle w:val="20"/>
              <w:spacing w:before="191" w:line="228" w:lineRule="auto"/>
              <w:ind w:left="112"/>
              <w:rPr>
                <w:color w:val="auto"/>
                <w:highlight w:val="none"/>
              </w:rPr>
            </w:pPr>
            <w:r>
              <w:rPr>
                <w:color w:val="auto"/>
                <w:spacing w:val="8"/>
                <w:highlight w:val="none"/>
              </w:rPr>
              <w:t>本项目不涉及进口产品。</w:t>
            </w:r>
          </w:p>
          <w:p w14:paraId="5DCDF7A8">
            <w:pPr>
              <w:pStyle w:val="20"/>
              <w:spacing w:before="194" w:line="228" w:lineRule="auto"/>
              <w:ind w:left="115"/>
              <w:rPr>
                <w:color w:val="auto"/>
                <w:highlight w:val="none"/>
              </w:rPr>
            </w:pPr>
            <w:r>
              <w:rPr>
                <w:b/>
                <w:bCs/>
                <w:color w:val="auto"/>
                <w:spacing w:val="8"/>
                <w:highlight w:val="none"/>
              </w:rPr>
              <w:t>二、与本项目有关的图纸、工程量清单及其获取方式</w:t>
            </w:r>
          </w:p>
          <w:p w14:paraId="4172F35F">
            <w:pPr>
              <w:pStyle w:val="20"/>
              <w:spacing w:before="192" w:line="229" w:lineRule="auto"/>
              <w:ind w:left="121"/>
              <w:rPr>
                <w:color w:val="auto"/>
                <w:highlight w:val="none"/>
              </w:rPr>
            </w:pPr>
            <w:r>
              <w:rPr>
                <w:b/>
                <w:bCs/>
                <w:color w:val="auto"/>
                <w:spacing w:val="6"/>
                <w:highlight w:val="none"/>
              </w:rPr>
              <w:t>资料名称：1、工程量清单；2、图纸。</w:t>
            </w:r>
          </w:p>
          <w:p w14:paraId="7D305FE5">
            <w:pPr>
              <w:pStyle w:val="20"/>
              <w:spacing w:before="190" w:line="406" w:lineRule="auto"/>
              <w:ind w:left="113" w:right="56" w:firstLine="1"/>
              <w:jc w:val="both"/>
              <w:rPr>
                <w:color w:val="auto"/>
                <w:highlight w:val="none"/>
              </w:rPr>
            </w:pPr>
            <w:r>
              <w:rPr>
                <w:b/>
                <w:bCs/>
                <w:color w:val="auto"/>
                <w:spacing w:val="9"/>
                <w:highlight w:val="none"/>
              </w:rPr>
              <w:t>获取方式：网上下载。供应商可自行在广西政府采购云平台（</w:t>
            </w:r>
            <w:r>
              <w:rPr>
                <w:color w:val="auto"/>
                <w:highlight w:val="none"/>
              </w:rPr>
              <w:fldChar w:fldCharType="begin"/>
            </w:r>
            <w:r>
              <w:rPr>
                <w:color w:val="auto"/>
                <w:highlight w:val="none"/>
              </w:rPr>
              <w:instrText xml:space="preserve"> HYPERLINK "https://www.gcy.zfcg.gxzf.gov.cn/" </w:instrText>
            </w:r>
            <w:r>
              <w:rPr>
                <w:color w:val="auto"/>
                <w:highlight w:val="none"/>
              </w:rPr>
              <w:fldChar w:fldCharType="separate"/>
            </w:r>
            <w:r>
              <w:rPr>
                <w:b/>
                <w:bCs/>
                <w:color w:val="auto"/>
                <w:highlight w:val="none"/>
              </w:rPr>
              <w:t>https</w:t>
            </w:r>
            <w:r>
              <w:rPr>
                <w:b/>
                <w:bCs/>
                <w:color w:val="auto"/>
                <w:spacing w:val="9"/>
                <w:highlight w:val="none"/>
              </w:rPr>
              <w:t>://</w:t>
            </w:r>
            <w:r>
              <w:rPr>
                <w:b/>
                <w:bCs/>
                <w:color w:val="auto"/>
                <w:highlight w:val="none"/>
              </w:rPr>
              <w:t>www</w:t>
            </w:r>
            <w:r>
              <w:rPr>
                <w:b/>
                <w:bCs/>
                <w:color w:val="auto"/>
                <w:spacing w:val="9"/>
                <w:highlight w:val="none"/>
              </w:rPr>
              <w:t>.</w:t>
            </w:r>
            <w:r>
              <w:rPr>
                <w:b/>
                <w:bCs/>
                <w:color w:val="auto"/>
                <w:highlight w:val="none"/>
              </w:rPr>
              <w:t>gcy</w:t>
            </w:r>
            <w:r>
              <w:rPr>
                <w:b/>
                <w:bCs/>
                <w:color w:val="auto"/>
                <w:spacing w:val="9"/>
                <w:highlight w:val="none"/>
              </w:rPr>
              <w:t>.</w:t>
            </w:r>
            <w:r>
              <w:rPr>
                <w:b/>
                <w:bCs/>
                <w:color w:val="auto"/>
                <w:highlight w:val="none"/>
              </w:rPr>
              <w:t>zfcg</w:t>
            </w:r>
            <w:r>
              <w:rPr>
                <w:b/>
                <w:bCs/>
                <w:color w:val="auto"/>
                <w:spacing w:val="9"/>
                <w:highlight w:val="none"/>
              </w:rPr>
              <w:t>.</w:t>
            </w:r>
            <w:r>
              <w:rPr>
                <w:b/>
                <w:bCs/>
                <w:color w:val="auto"/>
                <w:highlight w:val="none"/>
              </w:rPr>
              <w:t>gxzf</w:t>
            </w:r>
            <w:r>
              <w:rPr>
                <w:b/>
                <w:bCs/>
                <w:color w:val="auto"/>
                <w:spacing w:val="9"/>
                <w:highlight w:val="none"/>
              </w:rPr>
              <w:t>.</w:t>
            </w:r>
            <w:r>
              <w:rPr>
                <w:b/>
                <w:bCs/>
                <w:color w:val="auto"/>
                <w:highlight w:val="none"/>
              </w:rPr>
              <w:t>gov</w:t>
            </w:r>
            <w:r>
              <w:rPr>
                <w:b/>
                <w:bCs/>
                <w:color w:val="auto"/>
                <w:spacing w:val="9"/>
                <w:highlight w:val="none"/>
              </w:rPr>
              <w:t>.</w:t>
            </w:r>
            <w:r>
              <w:rPr>
                <w:b/>
                <w:bCs/>
                <w:color w:val="auto"/>
                <w:highlight w:val="none"/>
              </w:rPr>
              <w:t>cn</w:t>
            </w:r>
            <w:r>
              <w:rPr>
                <w:b/>
                <w:bCs/>
                <w:color w:val="auto"/>
                <w:spacing w:val="9"/>
                <w:highlight w:val="none"/>
              </w:rPr>
              <w:t>/</w:t>
            </w:r>
            <w:r>
              <w:rPr>
                <w:b/>
                <w:bCs/>
                <w:color w:val="auto"/>
                <w:spacing w:val="9"/>
                <w:highlight w:val="none"/>
              </w:rPr>
              <w:fldChar w:fldCharType="end"/>
            </w:r>
            <w:r>
              <w:rPr>
                <w:b/>
                <w:bCs/>
                <w:color w:val="auto"/>
                <w:spacing w:val="9"/>
                <w:highlight w:val="none"/>
              </w:rPr>
              <w:t>）</w:t>
            </w:r>
            <w:r>
              <w:rPr>
                <w:color w:val="auto"/>
                <w:highlight w:val="none"/>
              </w:rPr>
              <w:t xml:space="preserve">  </w:t>
            </w:r>
            <w:r>
              <w:rPr>
                <w:b/>
                <w:bCs/>
                <w:color w:val="auto"/>
                <w:spacing w:val="8"/>
                <w:highlight w:val="none"/>
              </w:rPr>
              <w:t>下载相关资料，方式同采购文件获取方式（操作路径：登录广西政府采购云平台-项目采购-获取采购</w:t>
            </w:r>
            <w:r>
              <w:rPr>
                <w:color w:val="auto"/>
                <w:spacing w:val="5"/>
                <w:highlight w:val="none"/>
              </w:rPr>
              <w:t xml:space="preserve">  </w:t>
            </w:r>
            <w:r>
              <w:rPr>
                <w:b/>
                <w:bCs/>
                <w:color w:val="auto"/>
                <w:spacing w:val="5"/>
                <w:highlight w:val="none"/>
              </w:rPr>
              <w:t>文件-找到本项目-点击“</w:t>
            </w:r>
            <w:r>
              <w:rPr>
                <w:color w:val="auto"/>
                <w:spacing w:val="-65"/>
                <w:highlight w:val="none"/>
              </w:rPr>
              <w:t xml:space="preserve"> </w:t>
            </w:r>
            <w:r>
              <w:rPr>
                <w:b/>
                <w:bCs/>
                <w:color w:val="auto"/>
                <w:spacing w:val="5"/>
                <w:highlight w:val="none"/>
              </w:rPr>
              <w:t>申请获取工程量清单、</w:t>
            </w:r>
            <w:r>
              <w:rPr>
                <w:b/>
                <w:bCs/>
                <w:color w:val="auto"/>
                <w:spacing w:val="4"/>
                <w:highlight w:val="none"/>
              </w:rPr>
              <w:t>图纸</w:t>
            </w:r>
            <w:r>
              <w:rPr>
                <w:color w:val="auto"/>
                <w:spacing w:val="-70"/>
                <w:highlight w:val="none"/>
              </w:rPr>
              <w:t xml:space="preserve"> </w:t>
            </w:r>
            <w:r>
              <w:rPr>
                <w:b/>
                <w:bCs/>
                <w:color w:val="auto"/>
                <w:spacing w:val="4"/>
                <w:highlight w:val="none"/>
              </w:rPr>
              <w:t>”）。</w:t>
            </w:r>
          </w:p>
          <w:p w14:paraId="57773BD4">
            <w:pPr>
              <w:pStyle w:val="20"/>
              <w:spacing w:before="65" w:line="229" w:lineRule="auto"/>
              <w:ind w:left="322"/>
              <w:rPr>
                <w:color w:val="auto"/>
                <w:spacing w:val="9"/>
                <w:highlight w:val="none"/>
              </w:rPr>
            </w:pPr>
            <w:r>
              <w:rPr>
                <w:color w:val="auto"/>
                <w:spacing w:val="8"/>
                <w:highlight w:val="none"/>
              </w:rPr>
              <w:t>三、现场踏勘：不组织。</w:t>
            </w:r>
          </w:p>
        </w:tc>
      </w:tr>
    </w:tbl>
    <w:p w14:paraId="0DEC2E38">
      <w:pPr>
        <w:spacing w:before="3"/>
        <w:rPr>
          <w:color w:val="auto"/>
          <w:highlight w:val="none"/>
        </w:rPr>
      </w:pPr>
    </w:p>
    <w:p w14:paraId="75AFBAC0">
      <w:pPr>
        <w:spacing w:before="3"/>
        <w:rPr>
          <w:color w:val="auto"/>
          <w:highlight w:val="none"/>
        </w:rPr>
      </w:pPr>
    </w:p>
    <w:p w14:paraId="396F46FD">
      <w:pPr>
        <w:spacing w:before="3"/>
        <w:rPr>
          <w:color w:val="auto"/>
          <w:highlight w:val="none"/>
        </w:rPr>
      </w:pPr>
    </w:p>
    <w:p w14:paraId="1FF2D611">
      <w:pPr>
        <w:pStyle w:val="6"/>
        <w:spacing w:line="90" w:lineRule="exact"/>
        <w:rPr>
          <w:color w:val="auto"/>
          <w:sz w:val="7"/>
          <w:highlight w:val="none"/>
        </w:rPr>
      </w:pPr>
    </w:p>
    <w:p w14:paraId="6A1B514E">
      <w:pPr>
        <w:spacing w:line="90" w:lineRule="exact"/>
        <w:rPr>
          <w:color w:val="auto"/>
          <w:sz w:val="7"/>
          <w:szCs w:val="7"/>
          <w:highlight w:val="none"/>
        </w:rPr>
        <w:sectPr>
          <w:headerReference r:id="rId9" w:type="default"/>
          <w:footerReference r:id="rId10" w:type="default"/>
          <w:pgSz w:w="11905" w:h="16839"/>
          <w:pgMar w:top="400" w:right="996" w:bottom="1055" w:left="996" w:header="0" w:footer="819" w:gutter="0"/>
          <w:pgNumType w:fmt="decimal"/>
          <w:cols w:space="720" w:num="1"/>
        </w:sectPr>
      </w:pPr>
    </w:p>
    <w:p w14:paraId="2D0DDD0A">
      <w:pPr>
        <w:pStyle w:val="6"/>
        <w:rPr>
          <w:color w:val="auto"/>
          <w:highlight w:val="none"/>
        </w:rPr>
      </w:pPr>
    </w:p>
    <w:p w14:paraId="1D5E0DF6">
      <w:pPr>
        <w:spacing w:before="242" w:line="225" w:lineRule="auto"/>
        <w:ind w:left="181"/>
        <w:rPr>
          <w:rFonts w:ascii="宋体" w:hAnsi="宋体" w:eastAsia="宋体" w:cs="宋体"/>
          <w:color w:val="auto"/>
          <w:sz w:val="31"/>
          <w:szCs w:val="31"/>
          <w:highlight w:val="none"/>
        </w:rPr>
      </w:pPr>
      <w:r>
        <w:rPr>
          <w:rFonts w:ascii="宋体" w:hAnsi="宋体" w:eastAsia="宋体" w:cs="宋体"/>
          <w:color w:val="auto"/>
          <w:spacing w:val="-13"/>
          <w:sz w:val="31"/>
          <w:szCs w:val="31"/>
          <w:highlight w:val="none"/>
        </w:rPr>
        <w:t>附件</w:t>
      </w:r>
      <w:r>
        <w:rPr>
          <w:rFonts w:ascii="宋体" w:hAnsi="宋体" w:eastAsia="宋体" w:cs="宋体"/>
          <w:color w:val="auto"/>
          <w:spacing w:val="-37"/>
          <w:sz w:val="31"/>
          <w:szCs w:val="31"/>
          <w:highlight w:val="none"/>
        </w:rPr>
        <w:t xml:space="preserve"> </w:t>
      </w:r>
      <w:r>
        <w:rPr>
          <w:rFonts w:ascii="宋体" w:hAnsi="宋体" w:eastAsia="宋体" w:cs="宋体"/>
          <w:color w:val="auto"/>
          <w:spacing w:val="-13"/>
          <w:sz w:val="31"/>
          <w:szCs w:val="31"/>
          <w:highlight w:val="none"/>
        </w:rPr>
        <w:t>1：</w:t>
      </w:r>
    </w:p>
    <w:p w14:paraId="3B988D6E">
      <w:pPr>
        <w:pStyle w:val="6"/>
        <w:spacing w:line="265" w:lineRule="auto"/>
        <w:rPr>
          <w:color w:val="auto"/>
          <w:highlight w:val="none"/>
        </w:rPr>
      </w:pPr>
    </w:p>
    <w:p w14:paraId="7D4B471A">
      <w:pPr>
        <w:spacing w:before="130" w:line="208" w:lineRule="auto"/>
        <w:ind w:left="2005"/>
        <w:rPr>
          <w:rFonts w:ascii="宋体" w:hAnsi="宋体" w:eastAsia="宋体" w:cs="宋体"/>
          <w:color w:val="auto"/>
          <w:sz w:val="40"/>
          <w:szCs w:val="40"/>
          <w:highlight w:val="none"/>
        </w:rPr>
      </w:pPr>
      <w:r>
        <w:rPr>
          <w:rFonts w:ascii="宋体" w:hAnsi="宋体" w:eastAsia="宋体" w:cs="宋体"/>
          <w:color w:val="auto"/>
          <w:spacing w:val="-2"/>
          <w:sz w:val="40"/>
          <w:szCs w:val="40"/>
          <w:highlight w:val="none"/>
        </w:rPr>
        <w:t>节能产品政府采购品目清单</w:t>
      </w:r>
    </w:p>
    <w:tbl>
      <w:tblPr>
        <w:tblStyle w:val="19"/>
        <w:tblW w:w="92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0"/>
        <w:gridCol w:w="1114"/>
        <w:gridCol w:w="1513"/>
        <w:gridCol w:w="1609"/>
        <w:gridCol w:w="4338"/>
      </w:tblGrid>
      <w:tr w14:paraId="26560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7" w:hRule="atLeast"/>
          <w:jc w:val="center"/>
        </w:trPr>
        <w:tc>
          <w:tcPr>
            <w:tcW w:w="650" w:type="dxa"/>
            <w:textDirection w:val="tbRlV"/>
            <w:vAlign w:val="top"/>
          </w:tcPr>
          <w:p w14:paraId="0BE449DA">
            <w:pPr>
              <w:pStyle w:val="20"/>
              <w:spacing w:before="210" w:line="203" w:lineRule="auto"/>
              <w:ind w:left="60"/>
              <w:rPr>
                <w:color w:val="auto"/>
                <w:sz w:val="22"/>
                <w:szCs w:val="22"/>
                <w:highlight w:val="none"/>
              </w:rPr>
            </w:pPr>
            <w:r>
              <w:rPr>
                <w:b/>
                <w:bCs/>
                <w:color w:val="auto"/>
                <w:spacing w:val="-1"/>
                <w:sz w:val="22"/>
                <w:szCs w:val="22"/>
                <w:highlight w:val="none"/>
              </w:rPr>
              <w:t>品</w:t>
            </w:r>
            <w:r>
              <w:rPr>
                <w:color w:val="auto"/>
                <w:spacing w:val="-1"/>
                <w:sz w:val="22"/>
                <w:szCs w:val="22"/>
                <w:highlight w:val="none"/>
              </w:rPr>
              <w:t xml:space="preserve"> </w:t>
            </w:r>
            <w:r>
              <w:rPr>
                <w:b/>
                <w:bCs/>
                <w:color w:val="auto"/>
                <w:spacing w:val="-1"/>
                <w:position w:val="1"/>
                <w:sz w:val="22"/>
                <w:szCs w:val="22"/>
                <w:highlight w:val="none"/>
              </w:rPr>
              <w:t>目</w:t>
            </w:r>
            <w:r>
              <w:rPr>
                <w:color w:val="auto"/>
                <w:spacing w:val="-1"/>
                <w:position w:val="1"/>
                <w:sz w:val="22"/>
                <w:szCs w:val="22"/>
                <w:highlight w:val="none"/>
              </w:rPr>
              <w:t xml:space="preserve"> </w:t>
            </w:r>
            <w:r>
              <w:rPr>
                <w:b/>
                <w:bCs/>
                <w:color w:val="auto"/>
                <w:spacing w:val="-1"/>
                <w:sz w:val="22"/>
                <w:szCs w:val="22"/>
                <w:highlight w:val="none"/>
              </w:rPr>
              <w:t>序</w:t>
            </w:r>
            <w:r>
              <w:rPr>
                <w:color w:val="auto"/>
                <w:spacing w:val="-1"/>
                <w:sz w:val="22"/>
                <w:szCs w:val="22"/>
                <w:highlight w:val="none"/>
              </w:rPr>
              <w:t xml:space="preserve"> </w:t>
            </w:r>
            <w:r>
              <w:rPr>
                <w:b/>
                <w:bCs/>
                <w:color w:val="auto"/>
                <w:spacing w:val="-1"/>
                <w:sz w:val="22"/>
                <w:szCs w:val="22"/>
                <w:highlight w:val="none"/>
              </w:rPr>
              <w:t>号</w:t>
            </w:r>
          </w:p>
        </w:tc>
        <w:tc>
          <w:tcPr>
            <w:tcW w:w="4236" w:type="dxa"/>
            <w:gridSpan w:val="3"/>
            <w:vAlign w:val="top"/>
          </w:tcPr>
          <w:p w14:paraId="33F946C5">
            <w:pPr>
              <w:rPr>
                <w:rFonts w:ascii="Arial"/>
                <w:color w:val="auto"/>
                <w:sz w:val="21"/>
                <w:highlight w:val="none"/>
              </w:rPr>
            </w:pPr>
          </w:p>
          <w:p w14:paraId="6BEE11E6">
            <w:pPr>
              <w:rPr>
                <w:rFonts w:ascii="Arial"/>
                <w:color w:val="auto"/>
                <w:sz w:val="21"/>
                <w:highlight w:val="none"/>
              </w:rPr>
            </w:pPr>
          </w:p>
          <w:p w14:paraId="376B62CA">
            <w:pPr>
              <w:pStyle w:val="20"/>
              <w:spacing w:before="72" w:line="223" w:lineRule="auto"/>
              <w:ind w:left="1897"/>
              <w:rPr>
                <w:color w:val="auto"/>
                <w:sz w:val="22"/>
                <w:szCs w:val="22"/>
                <w:highlight w:val="none"/>
              </w:rPr>
            </w:pPr>
            <w:r>
              <w:rPr>
                <w:b/>
                <w:bCs/>
                <w:color w:val="auto"/>
                <w:spacing w:val="-8"/>
                <w:sz w:val="22"/>
                <w:szCs w:val="22"/>
                <w:highlight w:val="none"/>
              </w:rPr>
              <w:t>名称</w:t>
            </w:r>
          </w:p>
        </w:tc>
        <w:tc>
          <w:tcPr>
            <w:tcW w:w="4338" w:type="dxa"/>
            <w:vAlign w:val="top"/>
          </w:tcPr>
          <w:p w14:paraId="2C5025B7">
            <w:pPr>
              <w:rPr>
                <w:rFonts w:ascii="Arial"/>
                <w:color w:val="auto"/>
                <w:sz w:val="21"/>
                <w:highlight w:val="none"/>
              </w:rPr>
            </w:pPr>
          </w:p>
          <w:p w14:paraId="0B0FFF92">
            <w:pPr>
              <w:spacing w:line="241" w:lineRule="auto"/>
              <w:rPr>
                <w:rFonts w:ascii="Arial"/>
                <w:color w:val="auto"/>
                <w:sz w:val="21"/>
                <w:highlight w:val="none"/>
              </w:rPr>
            </w:pPr>
          </w:p>
          <w:p w14:paraId="6FD8BC47">
            <w:pPr>
              <w:pStyle w:val="20"/>
              <w:spacing w:before="71" w:line="220" w:lineRule="auto"/>
              <w:ind w:left="1618"/>
              <w:rPr>
                <w:color w:val="auto"/>
                <w:sz w:val="22"/>
                <w:szCs w:val="22"/>
                <w:highlight w:val="none"/>
              </w:rPr>
            </w:pPr>
            <w:r>
              <w:rPr>
                <w:b/>
                <w:bCs/>
                <w:color w:val="auto"/>
                <w:spacing w:val="-4"/>
                <w:sz w:val="22"/>
                <w:szCs w:val="22"/>
                <w:highlight w:val="none"/>
              </w:rPr>
              <w:t>依据的标准</w:t>
            </w:r>
          </w:p>
        </w:tc>
      </w:tr>
      <w:tr w14:paraId="44574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jc w:val="center"/>
        </w:trPr>
        <w:tc>
          <w:tcPr>
            <w:tcW w:w="650" w:type="dxa"/>
            <w:vMerge w:val="restart"/>
            <w:tcBorders>
              <w:bottom w:val="nil"/>
            </w:tcBorders>
            <w:vAlign w:val="top"/>
          </w:tcPr>
          <w:p w14:paraId="42EED745">
            <w:pPr>
              <w:spacing w:line="252" w:lineRule="auto"/>
              <w:rPr>
                <w:rFonts w:ascii="Arial"/>
                <w:color w:val="auto"/>
                <w:sz w:val="21"/>
                <w:highlight w:val="none"/>
              </w:rPr>
            </w:pPr>
          </w:p>
          <w:p w14:paraId="09E0FF60">
            <w:pPr>
              <w:spacing w:line="252" w:lineRule="auto"/>
              <w:rPr>
                <w:rFonts w:ascii="Arial"/>
                <w:color w:val="auto"/>
                <w:sz w:val="21"/>
                <w:highlight w:val="none"/>
              </w:rPr>
            </w:pPr>
          </w:p>
          <w:p w14:paraId="0AFB0A3E">
            <w:pPr>
              <w:spacing w:line="252" w:lineRule="auto"/>
              <w:rPr>
                <w:rFonts w:ascii="Arial"/>
                <w:color w:val="auto"/>
                <w:sz w:val="21"/>
                <w:highlight w:val="none"/>
              </w:rPr>
            </w:pPr>
          </w:p>
          <w:p w14:paraId="45D93090">
            <w:pPr>
              <w:spacing w:line="253" w:lineRule="auto"/>
              <w:rPr>
                <w:rFonts w:ascii="Arial"/>
                <w:color w:val="auto"/>
                <w:sz w:val="21"/>
                <w:highlight w:val="none"/>
              </w:rPr>
            </w:pPr>
          </w:p>
          <w:p w14:paraId="12387AD0">
            <w:pPr>
              <w:pStyle w:val="20"/>
              <w:spacing w:before="62" w:line="258" w:lineRule="exact"/>
              <w:ind w:left="285"/>
              <w:rPr>
                <w:color w:val="auto"/>
                <w:sz w:val="19"/>
                <w:szCs w:val="19"/>
                <w:highlight w:val="none"/>
              </w:rPr>
            </w:pPr>
            <w:r>
              <w:rPr>
                <w:color w:val="auto"/>
                <w:position w:val="1"/>
                <w:sz w:val="19"/>
                <w:szCs w:val="19"/>
                <w:highlight w:val="none"/>
              </w:rPr>
              <w:t>1</w:t>
            </w:r>
          </w:p>
        </w:tc>
        <w:tc>
          <w:tcPr>
            <w:tcW w:w="1114" w:type="dxa"/>
            <w:vMerge w:val="restart"/>
            <w:tcBorders>
              <w:bottom w:val="nil"/>
            </w:tcBorders>
            <w:vAlign w:val="top"/>
          </w:tcPr>
          <w:p w14:paraId="66B159A2">
            <w:pPr>
              <w:spacing w:line="340" w:lineRule="auto"/>
              <w:rPr>
                <w:rFonts w:ascii="Arial"/>
                <w:color w:val="auto"/>
                <w:sz w:val="21"/>
                <w:highlight w:val="none"/>
              </w:rPr>
            </w:pPr>
          </w:p>
          <w:p w14:paraId="61F64F01">
            <w:pPr>
              <w:spacing w:line="340" w:lineRule="auto"/>
              <w:rPr>
                <w:rFonts w:ascii="Arial"/>
                <w:color w:val="auto"/>
                <w:sz w:val="21"/>
                <w:highlight w:val="none"/>
              </w:rPr>
            </w:pPr>
          </w:p>
          <w:p w14:paraId="30245065">
            <w:pPr>
              <w:pStyle w:val="20"/>
              <w:spacing w:before="62" w:line="256" w:lineRule="exact"/>
              <w:ind w:left="195"/>
              <w:rPr>
                <w:color w:val="auto"/>
                <w:sz w:val="19"/>
                <w:szCs w:val="19"/>
                <w:highlight w:val="none"/>
              </w:rPr>
            </w:pPr>
            <w:r>
              <w:rPr>
                <w:color w:val="auto"/>
                <w:spacing w:val="4"/>
                <w:position w:val="1"/>
                <w:sz w:val="19"/>
                <w:szCs w:val="19"/>
                <w:highlight w:val="none"/>
              </w:rPr>
              <w:t>A020101</w:t>
            </w:r>
          </w:p>
          <w:p w14:paraId="0B0FFC08">
            <w:pPr>
              <w:pStyle w:val="20"/>
              <w:spacing w:before="75" w:line="228" w:lineRule="auto"/>
              <w:ind w:left="151"/>
              <w:rPr>
                <w:color w:val="auto"/>
                <w:sz w:val="19"/>
                <w:szCs w:val="19"/>
                <w:highlight w:val="none"/>
              </w:rPr>
            </w:pPr>
            <w:r>
              <w:rPr>
                <w:color w:val="auto"/>
                <w:spacing w:val="7"/>
                <w:sz w:val="19"/>
                <w:szCs w:val="19"/>
                <w:highlight w:val="none"/>
              </w:rPr>
              <w:t>计算机设</w:t>
            </w:r>
          </w:p>
          <w:p w14:paraId="11AF8B19">
            <w:pPr>
              <w:pStyle w:val="20"/>
              <w:spacing w:before="96" w:line="230" w:lineRule="auto"/>
              <w:ind w:left="453"/>
              <w:rPr>
                <w:color w:val="auto"/>
                <w:sz w:val="19"/>
                <w:szCs w:val="19"/>
                <w:highlight w:val="none"/>
              </w:rPr>
            </w:pPr>
            <w:r>
              <w:rPr>
                <w:color w:val="auto"/>
                <w:sz w:val="19"/>
                <w:szCs w:val="19"/>
                <w:highlight w:val="none"/>
              </w:rPr>
              <w:t>备</w:t>
            </w:r>
          </w:p>
        </w:tc>
        <w:tc>
          <w:tcPr>
            <w:tcW w:w="1513" w:type="dxa"/>
            <w:vAlign w:val="top"/>
          </w:tcPr>
          <w:p w14:paraId="6A90C034">
            <w:pPr>
              <w:pStyle w:val="20"/>
              <w:spacing w:before="65" w:line="287" w:lineRule="auto"/>
              <w:ind w:left="269" w:right="203" w:hanging="62"/>
              <w:rPr>
                <w:color w:val="auto"/>
                <w:sz w:val="19"/>
                <w:szCs w:val="19"/>
                <w:highlight w:val="none"/>
              </w:rPr>
            </w:pPr>
            <w:r>
              <w:rPr>
                <w:color w:val="auto"/>
                <w:spacing w:val="4"/>
                <w:sz w:val="19"/>
                <w:szCs w:val="19"/>
                <w:highlight w:val="none"/>
              </w:rPr>
              <w:t>★A02010104</w:t>
            </w:r>
            <w:r>
              <w:rPr>
                <w:color w:val="auto"/>
                <w:sz w:val="19"/>
                <w:szCs w:val="19"/>
                <w:highlight w:val="none"/>
              </w:rPr>
              <w:t xml:space="preserve"> </w:t>
            </w:r>
            <w:r>
              <w:rPr>
                <w:color w:val="auto"/>
                <w:spacing w:val="4"/>
                <w:sz w:val="19"/>
                <w:szCs w:val="19"/>
                <w:highlight w:val="none"/>
              </w:rPr>
              <w:t>台式计算机</w:t>
            </w:r>
          </w:p>
        </w:tc>
        <w:tc>
          <w:tcPr>
            <w:tcW w:w="1609" w:type="dxa"/>
            <w:vAlign w:val="top"/>
          </w:tcPr>
          <w:p w14:paraId="5CE628A3">
            <w:pPr>
              <w:rPr>
                <w:rFonts w:ascii="Arial"/>
                <w:color w:val="auto"/>
                <w:sz w:val="21"/>
                <w:highlight w:val="none"/>
              </w:rPr>
            </w:pPr>
          </w:p>
        </w:tc>
        <w:tc>
          <w:tcPr>
            <w:tcW w:w="4338" w:type="dxa"/>
            <w:vAlign w:val="top"/>
          </w:tcPr>
          <w:p w14:paraId="08DF4663">
            <w:pPr>
              <w:pStyle w:val="20"/>
              <w:spacing w:before="65" w:line="287" w:lineRule="auto"/>
              <w:ind w:left="117" w:right="836" w:hanging="4"/>
              <w:rPr>
                <w:color w:val="auto"/>
                <w:sz w:val="19"/>
                <w:szCs w:val="19"/>
                <w:highlight w:val="none"/>
              </w:rPr>
            </w:pPr>
            <w:r>
              <w:rPr>
                <w:color w:val="auto"/>
                <w:spacing w:val="8"/>
                <w:sz w:val="19"/>
                <w:szCs w:val="19"/>
                <w:highlight w:val="none"/>
              </w:rPr>
              <w:t>《微型计算机能效限定值及能效等级》</w:t>
            </w:r>
            <w:r>
              <w:rPr>
                <w:color w:val="auto"/>
                <w:spacing w:val="5"/>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28380）</w:t>
            </w:r>
          </w:p>
        </w:tc>
      </w:tr>
      <w:tr w14:paraId="17C5B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jc w:val="center"/>
        </w:trPr>
        <w:tc>
          <w:tcPr>
            <w:tcW w:w="650" w:type="dxa"/>
            <w:vMerge w:val="continue"/>
            <w:tcBorders>
              <w:top w:val="nil"/>
              <w:bottom w:val="nil"/>
            </w:tcBorders>
            <w:vAlign w:val="top"/>
          </w:tcPr>
          <w:p w14:paraId="06E51A66">
            <w:pPr>
              <w:rPr>
                <w:rFonts w:ascii="Arial"/>
                <w:color w:val="auto"/>
                <w:sz w:val="21"/>
                <w:highlight w:val="none"/>
              </w:rPr>
            </w:pPr>
          </w:p>
        </w:tc>
        <w:tc>
          <w:tcPr>
            <w:tcW w:w="1114" w:type="dxa"/>
            <w:vMerge w:val="continue"/>
            <w:tcBorders>
              <w:top w:val="nil"/>
              <w:bottom w:val="nil"/>
            </w:tcBorders>
            <w:vAlign w:val="top"/>
          </w:tcPr>
          <w:p w14:paraId="19453BBC">
            <w:pPr>
              <w:rPr>
                <w:rFonts w:ascii="Arial"/>
                <w:color w:val="auto"/>
                <w:sz w:val="21"/>
                <w:highlight w:val="none"/>
              </w:rPr>
            </w:pPr>
          </w:p>
        </w:tc>
        <w:tc>
          <w:tcPr>
            <w:tcW w:w="1513" w:type="dxa"/>
            <w:vAlign w:val="top"/>
          </w:tcPr>
          <w:p w14:paraId="2F1CD380">
            <w:pPr>
              <w:pStyle w:val="20"/>
              <w:spacing w:before="65" w:line="287" w:lineRule="auto"/>
              <w:ind w:left="154" w:right="152" w:firstLine="52"/>
              <w:rPr>
                <w:color w:val="auto"/>
                <w:sz w:val="19"/>
                <w:szCs w:val="19"/>
                <w:highlight w:val="none"/>
              </w:rPr>
            </w:pPr>
            <w:r>
              <w:rPr>
                <w:color w:val="auto"/>
                <w:spacing w:val="4"/>
                <w:sz w:val="19"/>
                <w:szCs w:val="19"/>
                <w:highlight w:val="none"/>
              </w:rPr>
              <w:t>★A02010105</w:t>
            </w:r>
            <w:r>
              <w:rPr>
                <w:color w:val="auto"/>
                <w:sz w:val="19"/>
                <w:szCs w:val="19"/>
                <w:highlight w:val="none"/>
              </w:rPr>
              <w:t xml:space="preserve"> </w:t>
            </w:r>
            <w:r>
              <w:rPr>
                <w:color w:val="auto"/>
                <w:spacing w:val="8"/>
                <w:sz w:val="19"/>
                <w:szCs w:val="19"/>
                <w:highlight w:val="none"/>
              </w:rPr>
              <w:t>便携式计算机</w:t>
            </w:r>
          </w:p>
        </w:tc>
        <w:tc>
          <w:tcPr>
            <w:tcW w:w="1609" w:type="dxa"/>
            <w:vAlign w:val="top"/>
          </w:tcPr>
          <w:p w14:paraId="525D0F53">
            <w:pPr>
              <w:rPr>
                <w:rFonts w:ascii="Arial"/>
                <w:color w:val="auto"/>
                <w:sz w:val="21"/>
                <w:highlight w:val="none"/>
              </w:rPr>
            </w:pPr>
          </w:p>
        </w:tc>
        <w:tc>
          <w:tcPr>
            <w:tcW w:w="4338" w:type="dxa"/>
            <w:vAlign w:val="top"/>
          </w:tcPr>
          <w:p w14:paraId="1C93471F">
            <w:pPr>
              <w:pStyle w:val="20"/>
              <w:spacing w:before="65" w:line="287" w:lineRule="auto"/>
              <w:ind w:left="117" w:right="836" w:hanging="4"/>
              <w:rPr>
                <w:color w:val="auto"/>
                <w:sz w:val="19"/>
                <w:szCs w:val="19"/>
                <w:highlight w:val="none"/>
              </w:rPr>
            </w:pPr>
            <w:r>
              <w:rPr>
                <w:color w:val="auto"/>
                <w:spacing w:val="8"/>
                <w:sz w:val="19"/>
                <w:szCs w:val="19"/>
                <w:highlight w:val="none"/>
              </w:rPr>
              <w:t>《微型计算机能效限定值及能效等级》</w:t>
            </w:r>
            <w:r>
              <w:rPr>
                <w:color w:val="auto"/>
                <w:spacing w:val="5"/>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28380）</w:t>
            </w:r>
          </w:p>
        </w:tc>
      </w:tr>
      <w:tr w14:paraId="1A95F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7" w:hRule="atLeast"/>
          <w:jc w:val="center"/>
        </w:trPr>
        <w:tc>
          <w:tcPr>
            <w:tcW w:w="650" w:type="dxa"/>
            <w:vMerge w:val="continue"/>
            <w:tcBorders>
              <w:top w:val="nil"/>
            </w:tcBorders>
            <w:vAlign w:val="top"/>
          </w:tcPr>
          <w:p w14:paraId="5BB407F5">
            <w:pPr>
              <w:rPr>
                <w:rFonts w:ascii="Arial"/>
                <w:color w:val="auto"/>
                <w:sz w:val="21"/>
                <w:highlight w:val="none"/>
              </w:rPr>
            </w:pPr>
          </w:p>
        </w:tc>
        <w:tc>
          <w:tcPr>
            <w:tcW w:w="1114" w:type="dxa"/>
            <w:vMerge w:val="continue"/>
            <w:tcBorders>
              <w:top w:val="nil"/>
            </w:tcBorders>
            <w:vAlign w:val="top"/>
          </w:tcPr>
          <w:p w14:paraId="3C9F6BDE">
            <w:pPr>
              <w:rPr>
                <w:rFonts w:ascii="Arial"/>
                <w:color w:val="auto"/>
                <w:sz w:val="21"/>
                <w:highlight w:val="none"/>
              </w:rPr>
            </w:pPr>
          </w:p>
        </w:tc>
        <w:tc>
          <w:tcPr>
            <w:tcW w:w="1513" w:type="dxa"/>
            <w:vAlign w:val="top"/>
          </w:tcPr>
          <w:p w14:paraId="48AB7C50">
            <w:pPr>
              <w:pStyle w:val="20"/>
              <w:spacing w:before="65" w:line="322" w:lineRule="auto"/>
              <w:ind w:left="152" w:right="152" w:firstLine="54"/>
              <w:rPr>
                <w:color w:val="auto"/>
                <w:sz w:val="19"/>
                <w:szCs w:val="19"/>
                <w:highlight w:val="none"/>
              </w:rPr>
            </w:pPr>
            <w:r>
              <w:rPr>
                <w:color w:val="auto"/>
                <w:spacing w:val="4"/>
                <w:sz w:val="19"/>
                <w:szCs w:val="19"/>
                <w:highlight w:val="none"/>
              </w:rPr>
              <w:t>★A02010107</w:t>
            </w:r>
            <w:r>
              <w:rPr>
                <w:color w:val="auto"/>
                <w:sz w:val="19"/>
                <w:szCs w:val="19"/>
                <w:highlight w:val="none"/>
              </w:rPr>
              <w:t xml:space="preserve"> </w:t>
            </w:r>
            <w:r>
              <w:rPr>
                <w:color w:val="auto"/>
                <w:spacing w:val="8"/>
                <w:sz w:val="19"/>
                <w:szCs w:val="19"/>
                <w:highlight w:val="none"/>
              </w:rPr>
              <w:t>平板式微型计</w:t>
            </w:r>
          </w:p>
          <w:p w14:paraId="3FFAA72D">
            <w:pPr>
              <w:pStyle w:val="20"/>
              <w:spacing w:line="228" w:lineRule="auto"/>
              <w:ind w:left="555"/>
              <w:rPr>
                <w:color w:val="auto"/>
                <w:sz w:val="19"/>
                <w:szCs w:val="19"/>
                <w:highlight w:val="none"/>
              </w:rPr>
            </w:pPr>
            <w:r>
              <w:rPr>
                <w:color w:val="auto"/>
                <w:spacing w:val="4"/>
                <w:sz w:val="19"/>
                <w:szCs w:val="19"/>
                <w:highlight w:val="none"/>
              </w:rPr>
              <w:t>算机</w:t>
            </w:r>
          </w:p>
        </w:tc>
        <w:tc>
          <w:tcPr>
            <w:tcW w:w="1609" w:type="dxa"/>
            <w:vAlign w:val="top"/>
          </w:tcPr>
          <w:p w14:paraId="686E2BCA">
            <w:pPr>
              <w:rPr>
                <w:rFonts w:ascii="Arial"/>
                <w:color w:val="auto"/>
                <w:sz w:val="21"/>
                <w:highlight w:val="none"/>
              </w:rPr>
            </w:pPr>
          </w:p>
        </w:tc>
        <w:tc>
          <w:tcPr>
            <w:tcW w:w="4338" w:type="dxa"/>
            <w:vAlign w:val="top"/>
          </w:tcPr>
          <w:p w14:paraId="5A7CD7CF">
            <w:pPr>
              <w:pStyle w:val="20"/>
              <w:spacing w:before="231" w:line="329" w:lineRule="auto"/>
              <w:ind w:left="117" w:right="836" w:hanging="4"/>
              <w:rPr>
                <w:color w:val="auto"/>
                <w:sz w:val="19"/>
                <w:szCs w:val="19"/>
                <w:highlight w:val="none"/>
              </w:rPr>
            </w:pPr>
            <w:r>
              <w:rPr>
                <w:color w:val="auto"/>
                <w:spacing w:val="8"/>
                <w:sz w:val="19"/>
                <w:szCs w:val="19"/>
                <w:highlight w:val="none"/>
              </w:rPr>
              <w:t>《微型计算机能效限定值及能效等级》</w:t>
            </w:r>
            <w:r>
              <w:rPr>
                <w:color w:val="auto"/>
                <w:spacing w:val="5"/>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28380）</w:t>
            </w:r>
          </w:p>
        </w:tc>
      </w:tr>
      <w:tr w14:paraId="6B318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jc w:val="center"/>
        </w:trPr>
        <w:tc>
          <w:tcPr>
            <w:tcW w:w="650" w:type="dxa"/>
            <w:vMerge w:val="restart"/>
            <w:tcBorders>
              <w:bottom w:val="nil"/>
            </w:tcBorders>
            <w:vAlign w:val="top"/>
          </w:tcPr>
          <w:p w14:paraId="26209054">
            <w:pPr>
              <w:spacing w:line="264" w:lineRule="auto"/>
              <w:rPr>
                <w:rFonts w:ascii="Arial"/>
                <w:color w:val="auto"/>
                <w:sz w:val="21"/>
                <w:highlight w:val="none"/>
              </w:rPr>
            </w:pPr>
          </w:p>
          <w:p w14:paraId="71CA8A23">
            <w:pPr>
              <w:spacing w:line="264" w:lineRule="auto"/>
              <w:rPr>
                <w:rFonts w:ascii="Arial"/>
                <w:color w:val="auto"/>
                <w:sz w:val="21"/>
                <w:highlight w:val="none"/>
              </w:rPr>
            </w:pPr>
          </w:p>
          <w:p w14:paraId="67FF08E2">
            <w:pPr>
              <w:spacing w:line="265" w:lineRule="auto"/>
              <w:rPr>
                <w:rFonts w:ascii="Arial"/>
                <w:color w:val="auto"/>
                <w:sz w:val="21"/>
                <w:highlight w:val="none"/>
              </w:rPr>
            </w:pPr>
          </w:p>
          <w:p w14:paraId="1D40157D">
            <w:pPr>
              <w:spacing w:line="265" w:lineRule="auto"/>
              <w:rPr>
                <w:rFonts w:ascii="Arial"/>
                <w:color w:val="auto"/>
                <w:sz w:val="21"/>
                <w:highlight w:val="none"/>
              </w:rPr>
            </w:pPr>
          </w:p>
          <w:p w14:paraId="3CCC0A16">
            <w:pPr>
              <w:spacing w:line="265" w:lineRule="auto"/>
              <w:rPr>
                <w:rFonts w:ascii="Arial"/>
                <w:color w:val="auto"/>
                <w:sz w:val="21"/>
                <w:highlight w:val="none"/>
              </w:rPr>
            </w:pPr>
          </w:p>
          <w:p w14:paraId="27638D45">
            <w:pPr>
              <w:spacing w:line="265" w:lineRule="auto"/>
              <w:rPr>
                <w:rFonts w:ascii="Arial"/>
                <w:color w:val="auto"/>
                <w:sz w:val="21"/>
                <w:highlight w:val="none"/>
              </w:rPr>
            </w:pPr>
          </w:p>
          <w:p w14:paraId="1DB91494">
            <w:pPr>
              <w:spacing w:line="265" w:lineRule="auto"/>
              <w:rPr>
                <w:rFonts w:ascii="Arial"/>
                <w:color w:val="auto"/>
                <w:sz w:val="21"/>
                <w:highlight w:val="none"/>
              </w:rPr>
            </w:pPr>
          </w:p>
          <w:p w14:paraId="1B390078">
            <w:pPr>
              <w:pStyle w:val="20"/>
              <w:spacing w:before="62" w:line="258" w:lineRule="exact"/>
              <w:ind w:left="273"/>
              <w:rPr>
                <w:color w:val="auto"/>
                <w:sz w:val="19"/>
                <w:szCs w:val="19"/>
                <w:highlight w:val="none"/>
              </w:rPr>
            </w:pPr>
            <w:r>
              <w:rPr>
                <w:color w:val="auto"/>
                <w:position w:val="1"/>
                <w:sz w:val="19"/>
                <w:szCs w:val="19"/>
                <w:highlight w:val="none"/>
              </w:rPr>
              <w:t>2</w:t>
            </w:r>
          </w:p>
        </w:tc>
        <w:tc>
          <w:tcPr>
            <w:tcW w:w="1114" w:type="dxa"/>
            <w:vMerge w:val="restart"/>
            <w:tcBorders>
              <w:bottom w:val="nil"/>
            </w:tcBorders>
            <w:vAlign w:val="top"/>
          </w:tcPr>
          <w:p w14:paraId="404FBA0D">
            <w:pPr>
              <w:spacing w:line="253" w:lineRule="auto"/>
              <w:rPr>
                <w:rFonts w:ascii="Arial"/>
                <w:color w:val="auto"/>
                <w:sz w:val="21"/>
                <w:highlight w:val="none"/>
              </w:rPr>
            </w:pPr>
          </w:p>
          <w:p w14:paraId="3438EA43">
            <w:pPr>
              <w:spacing w:line="254" w:lineRule="auto"/>
              <w:rPr>
                <w:rFonts w:ascii="Arial"/>
                <w:color w:val="auto"/>
                <w:sz w:val="21"/>
                <w:highlight w:val="none"/>
              </w:rPr>
            </w:pPr>
          </w:p>
          <w:p w14:paraId="37443205">
            <w:pPr>
              <w:spacing w:line="254" w:lineRule="auto"/>
              <w:rPr>
                <w:rFonts w:ascii="Arial"/>
                <w:color w:val="auto"/>
                <w:sz w:val="21"/>
                <w:highlight w:val="none"/>
              </w:rPr>
            </w:pPr>
          </w:p>
          <w:p w14:paraId="090C47A5">
            <w:pPr>
              <w:spacing w:line="254" w:lineRule="auto"/>
              <w:rPr>
                <w:rFonts w:ascii="Arial"/>
                <w:color w:val="auto"/>
                <w:sz w:val="21"/>
                <w:highlight w:val="none"/>
              </w:rPr>
            </w:pPr>
          </w:p>
          <w:p w14:paraId="0C17D77D">
            <w:pPr>
              <w:spacing w:line="254" w:lineRule="auto"/>
              <w:rPr>
                <w:rFonts w:ascii="Arial"/>
                <w:color w:val="auto"/>
                <w:sz w:val="21"/>
                <w:highlight w:val="none"/>
              </w:rPr>
            </w:pPr>
          </w:p>
          <w:p w14:paraId="46C648E0">
            <w:pPr>
              <w:spacing w:line="254" w:lineRule="auto"/>
              <w:rPr>
                <w:rFonts w:ascii="Arial"/>
                <w:color w:val="auto"/>
                <w:sz w:val="21"/>
                <w:highlight w:val="none"/>
              </w:rPr>
            </w:pPr>
          </w:p>
          <w:p w14:paraId="26DD194B">
            <w:pPr>
              <w:pStyle w:val="20"/>
              <w:spacing w:before="62" w:line="322" w:lineRule="auto"/>
              <w:ind w:left="150" w:right="156" w:firstLine="45"/>
              <w:rPr>
                <w:color w:val="auto"/>
                <w:sz w:val="19"/>
                <w:szCs w:val="19"/>
                <w:highlight w:val="none"/>
              </w:rPr>
            </w:pPr>
            <w:r>
              <w:rPr>
                <w:color w:val="auto"/>
                <w:spacing w:val="4"/>
                <w:sz w:val="19"/>
                <w:szCs w:val="19"/>
                <w:highlight w:val="none"/>
              </w:rPr>
              <w:t>A020106</w:t>
            </w:r>
            <w:r>
              <w:rPr>
                <w:color w:val="auto"/>
                <w:spacing w:val="3"/>
                <w:sz w:val="19"/>
                <w:szCs w:val="19"/>
                <w:highlight w:val="none"/>
              </w:rPr>
              <w:t xml:space="preserve"> </w:t>
            </w:r>
            <w:r>
              <w:rPr>
                <w:color w:val="auto"/>
                <w:spacing w:val="8"/>
                <w:sz w:val="19"/>
                <w:szCs w:val="19"/>
                <w:highlight w:val="none"/>
              </w:rPr>
              <w:t>输入输出</w:t>
            </w:r>
          </w:p>
          <w:p w14:paraId="555AC10E">
            <w:pPr>
              <w:pStyle w:val="20"/>
              <w:spacing w:line="230" w:lineRule="auto"/>
              <w:ind w:left="353"/>
              <w:rPr>
                <w:color w:val="auto"/>
                <w:sz w:val="19"/>
                <w:szCs w:val="19"/>
                <w:highlight w:val="none"/>
              </w:rPr>
            </w:pPr>
            <w:r>
              <w:rPr>
                <w:color w:val="auto"/>
                <w:spacing w:val="3"/>
                <w:sz w:val="19"/>
                <w:szCs w:val="19"/>
                <w:highlight w:val="none"/>
              </w:rPr>
              <w:t>设备</w:t>
            </w:r>
          </w:p>
        </w:tc>
        <w:tc>
          <w:tcPr>
            <w:tcW w:w="1513" w:type="dxa"/>
            <w:vMerge w:val="restart"/>
            <w:tcBorders>
              <w:bottom w:val="nil"/>
            </w:tcBorders>
            <w:vAlign w:val="top"/>
          </w:tcPr>
          <w:p w14:paraId="05A6E198">
            <w:pPr>
              <w:spacing w:line="340" w:lineRule="auto"/>
              <w:rPr>
                <w:rFonts w:ascii="Arial"/>
                <w:color w:val="auto"/>
                <w:sz w:val="21"/>
                <w:highlight w:val="none"/>
              </w:rPr>
            </w:pPr>
          </w:p>
          <w:p w14:paraId="17A432A5">
            <w:pPr>
              <w:spacing w:line="341" w:lineRule="auto"/>
              <w:rPr>
                <w:rFonts w:ascii="Arial"/>
                <w:color w:val="auto"/>
                <w:sz w:val="21"/>
                <w:highlight w:val="none"/>
              </w:rPr>
            </w:pPr>
          </w:p>
          <w:p w14:paraId="4BEBD855">
            <w:pPr>
              <w:pStyle w:val="20"/>
              <w:spacing w:before="62" w:line="230" w:lineRule="auto"/>
              <w:ind w:left="171"/>
              <w:rPr>
                <w:color w:val="auto"/>
                <w:sz w:val="19"/>
                <w:szCs w:val="19"/>
                <w:highlight w:val="none"/>
              </w:rPr>
            </w:pPr>
            <w:r>
              <w:rPr>
                <w:color w:val="auto"/>
                <w:spacing w:val="4"/>
                <w:sz w:val="19"/>
                <w:szCs w:val="19"/>
                <w:highlight w:val="none"/>
              </w:rPr>
              <w:t>A02010601</w:t>
            </w:r>
            <w:r>
              <w:rPr>
                <w:color w:val="auto"/>
                <w:spacing w:val="-32"/>
                <w:sz w:val="19"/>
                <w:szCs w:val="19"/>
                <w:highlight w:val="none"/>
              </w:rPr>
              <w:t xml:space="preserve"> </w:t>
            </w:r>
            <w:r>
              <w:rPr>
                <w:color w:val="auto"/>
                <w:spacing w:val="4"/>
                <w:sz w:val="19"/>
                <w:szCs w:val="19"/>
                <w:highlight w:val="none"/>
              </w:rPr>
              <w:t>打</w:t>
            </w:r>
          </w:p>
          <w:p w14:paraId="5C8C2F61">
            <w:pPr>
              <w:pStyle w:val="20"/>
              <w:spacing w:before="94" w:line="229" w:lineRule="auto"/>
              <w:ind w:left="469"/>
              <w:rPr>
                <w:color w:val="auto"/>
                <w:sz w:val="19"/>
                <w:szCs w:val="19"/>
                <w:highlight w:val="none"/>
              </w:rPr>
            </w:pPr>
            <w:r>
              <w:rPr>
                <w:color w:val="auto"/>
                <w:spacing w:val="2"/>
                <w:sz w:val="19"/>
                <w:szCs w:val="19"/>
                <w:highlight w:val="none"/>
              </w:rPr>
              <w:t>印设备</w:t>
            </w:r>
          </w:p>
        </w:tc>
        <w:tc>
          <w:tcPr>
            <w:tcW w:w="1609" w:type="dxa"/>
            <w:vAlign w:val="top"/>
          </w:tcPr>
          <w:p w14:paraId="3DE3306E">
            <w:pPr>
              <w:pStyle w:val="20"/>
              <w:spacing w:before="66" w:line="230" w:lineRule="auto"/>
              <w:ind w:left="122"/>
              <w:rPr>
                <w:color w:val="auto"/>
                <w:sz w:val="19"/>
                <w:szCs w:val="19"/>
                <w:highlight w:val="none"/>
              </w:rPr>
            </w:pPr>
            <w:r>
              <w:rPr>
                <w:color w:val="auto"/>
                <w:spacing w:val="4"/>
                <w:sz w:val="19"/>
                <w:szCs w:val="19"/>
                <w:highlight w:val="none"/>
              </w:rPr>
              <w:t>A0201060101</w:t>
            </w:r>
            <w:r>
              <w:rPr>
                <w:color w:val="auto"/>
                <w:spacing w:val="-26"/>
                <w:sz w:val="19"/>
                <w:szCs w:val="19"/>
                <w:highlight w:val="none"/>
              </w:rPr>
              <w:t xml:space="preserve"> </w:t>
            </w:r>
            <w:r>
              <w:rPr>
                <w:color w:val="auto"/>
                <w:spacing w:val="4"/>
                <w:sz w:val="19"/>
                <w:szCs w:val="19"/>
                <w:highlight w:val="none"/>
              </w:rPr>
              <w:t>喷</w:t>
            </w:r>
          </w:p>
          <w:p w14:paraId="4914C3D5">
            <w:pPr>
              <w:pStyle w:val="20"/>
              <w:spacing w:before="95" w:line="228" w:lineRule="auto"/>
              <w:ind w:left="409"/>
              <w:rPr>
                <w:color w:val="auto"/>
                <w:sz w:val="19"/>
                <w:szCs w:val="19"/>
                <w:highlight w:val="none"/>
              </w:rPr>
            </w:pPr>
            <w:r>
              <w:rPr>
                <w:color w:val="auto"/>
                <w:spacing w:val="6"/>
                <w:sz w:val="19"/>
                <w:szCs w:val="19"/>
                <w:highlight w:val="none"/>
              </w:rPr>
              <w:t>墨打印机</w:t>
            </w:r>
          </w:p>
        </w:tc>
        <w:tc>
          <w:tcPr>
            <w:tcW w:w="4338" w:type="dxa"/>
            <w:vAlign w:val="top"/>
          </w:tcPr>
          <w:p w14:paraId="4E247C6B">
            <w:pPr>
              <w:pStyle w:val="20"/>
              <w:spacing w:before="67" w:line="286" w:lineRule="auto"/>
              <w:ind w:left="111" w:right="104" w:firstLine="2"/>
              <w:rPr>
                <w:color w:val="auto"/>
                <w:sz w:val="19"/>
                <w:szCs w:val="19"/>
                <w:highlight w:val="none"/>
              </w:rPr>
            </w:pPr>
            <w:r>
              <w:rPr>
                <w:color w:val="auto"/>
                <w:spacing w:val="5"/>
                <w:sz w:val="19"/>
                <w:szCs w:val="19"/>
                <w:highlight w:val="none"/>
              </w:rPr>
              <w:t>《复印机、打印机和传真机能效限定值及能效等</w:t>
            </w:r>
            <w:r>
              <w:rPr>
                <w:color w:val="auto"/>
                <w:spacing w:val="8"/>
                <w:sz w:val="19"/>
                <w:szCs w:val="19"/>
                <w:highlight w:val="none"/>
              </w:rPr>
              <w:t xml:space="preserve"> </w:t>
            </w:r>
            <w:r>
              <w:rPr>
                <w:color w:val="auto"/>
                <w:spacing w:val="5"/>
                <w:sz w:val="19"/>
                <w:szCs w:val="19"/>
                <w:highlight w:val="none"/>
              </w:rPr>
              <w:t>级》（</w:t>
            </w:r>
            <w:r>
              <w:rPr>
                <w:color w:val="auto"/>
                <w:sz w:val="19"/>
                <w:szCs w:val="19"/>
                <w:highlight w:val="none"/>
              </w:rPr>
              <w:t>GB</w:t>
            </w:r>
            <w:r>
              <w:rPr>
                <w:color w:val="auto"/>
                <w:spacing w:val="5"/>
                <w:sz w:val="19"/>
                <w:szCs w:val="19"/>
                <w:highlight w:val="none"/>
              </w:rPr>
              <w:t>21521）</w:t>
            </w:r>
          </w:p>
        </w:tc>
      </w:tr>
      <w:tr w14:paraId="51309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jc w:val="center"/>
        </w:trPr>
        <w:tc>
          <w:tcPr>
            <w:tcW w:w="650" w:type="dxa"/>
            <w:vMerge w:val="continue"/>
            <w:tcBorders>
              <w:top w:val="nil"/>
              <w:bottom w:val="nil"/>
            </w:tcBorders>
            <w:vAlign w:val="top"/>
          </w:tcPr>
          <w:p w14:paraId="71ADD8FF">
            <w:pPr>
              <w:rPr>
                <w:rFonts w:ascii="Arial"/>
                <w:color w:val="auto"/>
                <w:sz w:val="21"/>
                <w:highlight w:val="none"/>
              </w:rPr>
            </w:pPr>
          </w:p>
        </w:tc>
        <w:tc>
          <w:tcPr>
            <w:tcW w:w="1114" w:type="dxa"/>
            <w:vMerge w:val="continue"/>
            <w:tcBorders>
              <w:top w:val="nil"/>
              <w:bottom w:val="nil"/>
            </w:tcBorders>
            <w:vAlign w:val="top"/>
          </w:tcPr>
          <w:p w14:paraId="37C25FAD">
            <w:pPr>
              <w:rPr>
                <w:rFonts w:ascii="Arial"/>
                <w:color w:val="auto"/>
                <w:sz w:val="21"/>
                <w:highlight w:val="none"/>
              </w:rPr>
            </w:pPr>
          </w:p>
        </w:tc>
        <w:tc>
          <w:tcPr>
            <w:tcW w:w="1513" w:type="dxa"/>
            <w:vMerge w:val="continue"/>
            <w:tcBorders>
              <w:top w:val="nil"/>
              <w:bottom w:val="nil"/>
            </w:tcBorders>
            <w:vAlign w:val="top"/>
          </w:tcPr>
          <w:p w14:paraId="7463DB06">
            <w:pPr>
              <w:rPr>
                <w:rFonts w:ascii="Arial"/>
                <w:color w:val="auto"/>
                <w:sz w:val="21"/>
                <w:highlight w:val="none"/>
              </w:rPr>
            </w:pPr>
          </w:p>
        </w:tc>
        <w:tc>
          <w:tcPr>
            <w:tcW w:w="1609" w:type="dxa"/>
            <w:vAlign w:val="top"/>
          </w:tcPr>
          <w:p w14:paraId="0D61F803">
            <w:pPr>
              <w:pStyle w:val="20"/>
              <w:spacing w:before="67" w:line="286" w:lineRule="auto"/>
              <w:ind w:left="302" w:right="147" w:hanging="144"/>
              <w:rPr>
                <w:color w:val="auto"/>
                <w:sz w:val="19"/>
                <w:szCs w:val="19"/>
                <w:highlight w:val="none"/>
              </w:rPr>
            </w:pPr>
            <w:r>
              <w:rPr>
                <w:color w:val="auto"/>
                <w:spacing w:val="4"/>
                <w:sz w:val="19"/>
                <w:szCs w:val="19"/>
                <w:highlight w:val="none"/>
              </w:rPr>
              <w:t xml:space="preserve">★A0201060102 </w:t>
            </w:r>
            <w:r>
              <w:rPr>
                <w:color w:val="auto"/>
                <w:spacing w:val="8"/>
                <w:sz w:val="19"/>
                <w:szCs w:val="19"/>
                <w:highlight w:val="none"/>
              </w:rPr>
              <w:t>激光打印机</w:t>
            </w:r>
          </w:p>
        </w:tc>
        <w:tc>
          <w:tcPr>
            <w:tcW w:w="4338" w:type="dxa"/>
            <w:vAlign w:val="top"/>
          </w:tcPr>
          <w:p w14:paraId="11326EDB">
            <w:pPr>
              <w:pStyle w:val="20"/>
              <w:spacing w:before="67" w:line="286" w:lineRule="auto"/>
              <w:ind w:left="111" w:right="104" w:firstLine="2"/>
              <w:rPr>
                <w:color w:val="auto"/>
                <w:sz w:val="19"/>
                <w:szCs w:val="19"/>
                <w:highlight w:val="none"/>
              </w:rPr>
            </w:pPr>
            <w:r>
              <w:rPr>
                <w:color w:val="auto"/>
                <w:spacing w:val="5"/>
                <w:sz w:val="19"/>
                <w:szCs w:val="19"/>
                <w:highlight w:val="none"/>
              </w:rPr>
              <w:t>《复印机、打印机和传真机能效限定值及能效等</w:t>
            </w:r>
            <w:r>
              <w:rPr>
                <w:color w:val="auto"/>
                <w:spacing w:val="8"/>
                <w:sz w:val="19"/>
                <w:szCs w:val="19"/>
                <w:highlight w:val="none"/>
              </w:rPr>
              <w:t xml:space="preserve"> </w:t>
            </w:r>
            <w:r>
              <w:rPr>
                <w:color w:val="auto"/>
                <w:spacing w:val="5"/>
                <w:sz w:val="19"/>
                <w:szCs w:val="19"/>
                <w:highlight w:val="none"/>
              </w:rPr>
              <w:t>级》（</w:t>
            </w:r>
            <w:r>
              <w:rPr>
                <w:color w:val="auto"/>
                <w:sz w:val="19"/>
                <w:szCs w:val="19"/>
                <w:highlight w:val="none"/>
              </w:rPr>
              <w:t>GB</w:t>
            </w:r>
            <w:r>
              <w:rPr>
                <w:color w:val="auto"/>
                <w:spacing w:val="5"/>
                <w:sz w:val="19"/>
                <w:szCs w:val="19"/>
                <w:highlight w:val="none"/>
              </w:rPr>
              <w:t>21521）</w:t>
            </w:r>
          </w:p>
        </w:tc>
      </w:tr>
      <w:tr w14:paraId="3020B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jc w:val="center"/>
        </w:trPr>
        <w:tc>
          <w:tcPr>
            <w:tcW w:w="650" w:type="dxa"/>
            <w:vMerge w:val="continue"/>
            <w:tcBorders>
              <w:top w:val="nil"/>
              <w:bottom w:val="nil"/>
            </w:tcBorders>
            <w:vAlign w:val="top"/>
          </w:tcPr>
          <w:p w14:paraId="7C835BEA">
            <w:pPr>
              <w:rPr>
                <w:rFonts w:ascii="Arial"/>
                <w:color w:val="auto"/>
                <w:sz w:val="21"/>
                <w:highlight w:val="none"/>
              </w:rPr>
            </w:pPr>
          </w:p>
        </w:tc>
        <w:tc>
          <w:tcPr>
            <w:tcW w:w="1114" w:type="dxa"/>
            <w:vMerge w:val="continue"/>
            <w:tcBorders>
              <w:top w:val="nil"/>
              <w:bottom w:val="nil"/>
            </w:tcBorders>
            <w:vAlign w:val="top"/>
          </w:tcPr>
          <w:p w14:paraId="6F59C742">
            <w:pPr>
              <w:rPr>
                <w:rFonts w:ascii="Arial"/>
                <w:color w:val="auto"/>
                <w:sz w:val="21"/>
                <w:highlight w:val="none"/>
              </w:rPr>
            </w:pPr>
          </w:p>
        </w:tc>
        <w:tc>
          <w:tcPr>
            <w:tcW w:w="1513" w:type="dxa"/>
            <w:vMerge w:val="continue"/>
            <w:tcBorders>
              <w:top w:val="nil"/>
            </w:tcBorders>
            <w:vAlign w:val="top"/>
          </w:tcPr>
          <w:p w14:paraId="6CFEB7BA">
            <w:pPr>
              <w:rPr>
                <w:rFonts w:ascii="Arial"/>
                <w:color w:val="auto"/>
                <w:sz w:val="21"/>
                <w:highlight w:val="none"/>
              </w:rPr>
            </w:pPr>
          </w:p>
        </w:tc>
        <w:tc>
          <w:tcPr>
            <w:tcW w:w="1609" w:type="dxa"/>
            <w:vAlign w:val="top"/>
          </w:tcPr>
          <w:p w14:paraId="00B6C1DF">
            <w:pPr>
              <w:pStyle w:val="20"/>
              <w:spacing w:before="67" w:line="286" w:lineRule="auto"/>
              <w:ind w:left="303" w:right="147" w:hanging="145"/>
              <w:rPr>
                <w:color w:val="auto"/>
                <w:sz w:val="19"/>
                <w:szCs w:val="19"/>
                <w:highlight w:val="none"/>
              </w:rPr>
            </w:pPr>
            <w:r>
              <w:rPr>
                <w:color w:val="auto"/>
                <w:spacing w:val="4"/>
                <w:sz w:val="19"/>
                <w:szCs w:val="19"/>
                <w:highlight w:val="none"/>
              </w:rPr>
              <w:t xml:space="preserve">★A0201060104 </w:t>
            </w:r>
            <w:r>
              <w:rPr>
                <w:color w:val="auto"/>
                <w:spacing w:val="8"/>
                <w:sz w:val="19"/>
                <w:szCs w:val="19"/>
                <w:highlight w:val="none"/>
              </w:rPr>
              <w:t>针式打印机</w:t>
            </w:r>
          </w:p>
        </w:tc>
        <w:tc>
          <w:tcPr>
            <w:tcW w:w="4338" w:type="dxa"/>
            <w:vAlign w:val="top"/>
          </w:tcPr>
          <w:p w14:paraId="14C96396">
            <w:pPr>
              <w:pStyle w:val="20"/>
              <w:spacing w:before="67" w:line="286" w:lineRule="auto"/>
              <w:ind w:left="111" w:right="104" w:firstLine="2"/>
              <w:rPr>
                <w:color w:val="auto"/>
                <w:sz w:val="19"/>
                <w:szCs w:val="19"/>
                <w:highlight w:val="none"/>
              </w:rPr>
            </w:pPr>
            <w:r>
              <w:rPr>
                <w:color w:val="auto"/>
                <w:spacing w:val="5"/>
                <w:sz w:val="19"/>
                <w:szCs w:val="19"/>
                <w:highlight w:val="none"/>
              </w:rPr>
              <w:t>《复印机、打印机和传真机能效限定值及能效等</w:t>
            </w:r>
            <w:r>
              <w:rPr>
                <w:color w:val="auto"/>
                <w:spacing w:val="8"/>
                <w:sz w:val="19"/>
                <w:szCs w:val="19"/>
                <w:highlight w:val="none"/>
              </w:rPr>
              <w:t xml:space="preserve"> </w:t>
            </w:r>
            <w:r>
              <w:rPr>
                <w:color w:val="auto"/>
                <w:spacing w:val="5"/>
                <w:sz w:val="19"/>
                <w:szCs w:val="19"/>
                <w:highlight w:val="none"/>
              </w:rPr>
              <w:t>级》（</w:t>
            </w:r>
            <w:r>
              <w:rPr>
                <w:color w:val="auto"/>
                <w:sz w:val="19"/>
                <w:szCs w:val="19"/>
                <w:highlight w:val="none"/>
              </w:rPr>
              <w:t>GB</w:t>
            </w:r>
            <w:r>
              <w:rPr>
                <w:color w:val="auto"/>
                <w:spacing w:val="5"/>
                <w:sz w:val="19"/>
                <w:szCs w:val="19"/>
                <w:highlight w:val="none"/>
              </w:rPr>
              <w:t>21521）</w:t>
            </w:r>
          </w:p>
        </w:tc>
      </w:tr>
      <w:tr w14:paraId="5C3DC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jc w:val="center"/>
        </w:trPr>
        <w:tc>
          <w:tcPr>
            <w:tcW w:w="650" w:type="dxa"/>
            <w:vMerge w:val="continue"/>
            <w:tcBorders>
              <w:top w:val="nil"/>
              <w:bottom w:val="nil"/>
            </w:tcBorders>
            <w:vAlign w:val="top"/>
          </w:tcPr>
          <w:p w14:paraId="5CEECA7E">
            <w:pPr>
              <w:rPr>
                <w:rFonts w:ascii="Arial"/>
                <w:color w:val="auto"/>
                <w:sz w:val="21"/>
                <w:highlight w:val="none"/>
              </w:rPr>
            </w:pPr>
          </w:p>
        </w:tc>
        <w:tc>
          <w:tcPr>
            <w:tcW w:w="1114" w:type="dxa"/>
            <w:vMerge w:val="continue"/>
            <w:tcBorders>
              <w:top w:val="nil"/>
              <w:bottom w:val="nil"/>
            </w:tcBorders>
            <w:vAlign w:val="top"/>
          </w:tcPr>
          <w:p w14:paraId="44B5B87B">
            <w:pPr>
              <w:rPr>
                <w:rFonts w:ascii="Arial"/>
                <w:color w:val="auto"/>
                <w:sz w:val="21"/>
                <w:highlight w:val="none"/>
              </w:rPr>
            </w:pPr>
          </w:p>
        </w:tc>
        <w:tc>
          <w:tcPr>
            <w:tcW w:w="1513" w:type="dxa"/>
            <w:vAlign w:val="top"/>
          </w:tcPr>
          <w:p w14:paraId="6179F065">
            <w:pPr>
              <w:pStyle w:val="20"/>
              <w:spacing w:before="70" w:line="250" w:lineRule="exact"/>
              <w:ind w:left="171"/>
              <w:rPr>
                <w:color w:val="auto"/>
                <w:sz w:val="19"/>
                <w:szCs w:val="19"/>
                <w:highlight w:val="none"/>
              </w:rPr>
            </w:pPr>
            <w:r>
              <w:rPr>
                <w:color w:val="auto"/>
                <w:spacing w:val="4"/>
                <w:sz w:val="19"/>
                <w:szCs w:val="19"/>
                <w:highlight w:val="none"/>
              </w:rPr>
              <w:t>A02010604</w:t>
            </w:r>
            <w:r>
              <w:rPr>
                <w:color w:val="auto"/>
                <w:spacing w:val="-30"/>
                <w:sz w:val="19"/>
                <w:szCs w:val="19"/>
                <w:highlight w:val="none"/>
              </w:rPr>
              <w:t xml:space="preserve"> </w:t>
            </w:r>
            <w:r>
              <w:rPr>
                <w:color w:val="auto"/>
                <w:spacing w:val="4"/>
                <w:sz w:val="19"/>
                <w:szCs w:val="19"/>
                <w:highlight w:val="none"/>
              </w:rPr>
              <w:t>显</w:t>
            </w:r>
          </w:p>
          <w:p w14:paraId="1FF312BA">
            <w:pPr>
              <w:pStyle w:val="20"/>
              <w:spacing w:before="81" w:line="230" w:lineRule="auto"/>
              <w:ind w:left="454"/>
              <w:rPr>
                <w:color w:val="auto"/>
                <w:sz w:val="19"/>
                <w:szCs w:val="19"/>
                <w:highlight w:val="none"/>
              </w:rPr>
            </w:pPr>
            <w:r>
              <w:rPr>
                <w:color w:val="auto"/>
                <w:spacing w:val="7"/>
                <w:sz w:val="19"/>
                <w:szCs w:val="19"/>
                <w:highlight w:val="none"/>
              </w:rPr>
              <w:t>示设备</w:t>
            </w:r>
          </w:p>
        </w:tc>
        <w:tc>
          <w:tcPr>
            <w:tcW w:w="1609" w:type="dxa"/>
            <w:vAlign w:val="top"/>
          </w:tcPr>
          <w:p w14:paraId="51FF9F3E">
            <w:pPr>
              <w:pStyle w:val="20"/>
              <w:spacing w:before="71" w:line="284" w:lineRule="auto"/>
              <w:ind w:left="305" w:right="147" w:hanging="147"/>
              <w:rPr>
                <w:color w:val="auto"/>
                <w:sz w:val="19"/>
                <w:szCs w:val="19"/>
                <w:highlight w:val="none"/>
              </w:rPr>
            </w:pPr>
            <w:r>
              <w:rPr>
                <w:color w:val="auto"/>
                <w:spacing w:val="4"/>
                <w:sz w:val="19"/>
                <w:szCs w:val="19"/>
                <w:highlight w:val="none"/>
              </w:rPr>
              <w:t xml:space="preserve">★A0201060401 </w:t>
            </w:r>
            <w:r>
              <w:rPr>
                <w:color w:val="auto"/>
                <w:spacing w:val="7"/>
                <w:sz w:val="19"/>
                <w:szCs w:val="19"/>
                <w:highlight w:val="none"/>
              </w:rPr>
              <w:t>液晶显示器</w:t>
            </w:r>
          </w:p>
        </w:tc>
        <w:tc>
          <w:tcPr>
            <w:tcW w:w="4338" w:type="dxa"/>
            <w:vAlign w:val="top"/>
          </w:tcPr>
          <w:p w14:paraId="7560144B">
            <w:pPr>
              <w:pStyle w:val="20"/>
              <w:spacing w:before="71" w:line="284" w:lineRule="auto"/>
              <w:ind w:left="117" w:right="635" w:hanging="4"/>
              <w:rPr>
                <w:color w:val="auto"/>
                <w:sz w:val="19"/>
                <w:szCs w:val="19"/>
                <w:highlight w:val="none"/>
              </w:rPr>
            </w:pPr>
            <w:r>
              <w:rPr>
                <w:color w:val="auto"/>
                <w:spacing w:val="8"/>
                <w:sz w:val="19"/>
                <w:szCs w:val="19"/>
                <w:highlight w:val="none"/>
              </w:rPr>
              <w:t>《计算机显示器能效限定值及能效等级》</w:t>
            </w:r>
            <w:r>
              <w:rPr>
                <w:color w:val="auto"/>
                <w:spacing w:val="9"/>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21520）</w:t>
            </w:r>
          </w:p>
        </w:tc>
      </w:tr>
      <w:tr w14:paraId="5E13B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8" w:hRule="atLeast"/>
          <w:jc w:val="center"/>
        </w:trPr>
        <w:tc>
          <w:tcPr>
            <w:tcW w:w="650" w:type="dxa"/>
            <w:vMerge w:val="continue"/>
            <w:tcBorders>
              <w:top w:val="nil"/>
            </w:tcBorders>
            <w:vAlign w:val="top"/>
          </w:tcPr>
          <w:p w14:paraId="09A5132B">
            <w:pPr>
              <w:rPr>
                <w:rFonts w:ascii="Arial"/>
                <w:color w:val="auto"/>
                <w:sz w:val="21"/>
                <w:highlight w:val="none"/>
              </w:rPr>
            </w:pPr>
          </w:p>
        </w:tc>
        <w:tc>
          <w:tcPr>
            <w:tcW w:w="1114" w:type="dxa"/>
            <w:vMerge w:val="continue"/>
            <w:tcBorders>
              <w:top w:val="nil"/>
            </w:tcBorders>
            <w:vAlign w:val="top"/>
          </w:tcPr>
          <w:p w14:paraId="477EA475">
            <w:pPr>
              <w:rPr>
                <w:rFonts w:ascii="Arial"/>
                <w:color w:val="auto"/>
                <w:sz w:val="21"/>
                <w:highlight w:val="none"/>
              </w:rPr>
            </w:pPr>
          </w:p>
        </w:tc>
        <w:tc>
          <w:tcPr>
            <w:tcW w:w="1513" w:type="dxa"/>
            <w:vAlign w:val="top"/>
          </w:tcPr>
          <w:p w14:paraId="53B0D0A1">
            <w:pPr>
              <w:pStyle w:val="20"/>
              <w:spacing w:before="236" w:line="321" w:lineRule="auto"/>
              <w:ind w:left="155" w:right="152" w:firstLine="15"/>
              <w:rPr>
                <w:color w:val="auto"/>
                <w:sz w:val="19"/>
                <w:szCs w:val="19"/>
                <w:highlight w:val="none"/>
              </w:rPr>
            </w:pPr>
            <w:r>
              <w:rPr>
                <w:color w:val="auto"/>
                <w:spacing w:val="2"/>
                <w:sz w:val="19"/>
                <w:szCs w:val="19"/>
                <w:highlight w:val="none"/>
              </w:rPr>
              <w:t>A02010609</w:t>
            </w:r>
            <w:r>
              <w:rPr>
                <w:color w:val="auto"/>
                <w:spacing w:val="-14"/>
                <w:sz w:val="19"/>
                <w:szCs w:val="19"/>
                <w:highlight w:val="none"/>
              </w:rPr>
              <w:t xml:space="preserve"> </w:t>
            </w:r>
            <w:r>
              <w:rPr>
                <w:color w:val="auto"/>
                <w:spacing w:val="2"/>
                <w:sz w:val="19"/>
                <w:szCs w:val="19"/>
                <w:highlight w:val="none"/>
              </w:rPr>
              <w:t>图</w:t>
            </w:r>
            <w:r>
              <w:rPr>
                <w:color w:val="auto"/>
                <w:sz w:val="19"/>
                <w:szCs w:val="19"/>
                <w:highlight w:val="none"/>
              </w:rPr>
              <w:t xml:space="preserve"> </w:t>
            </w:r>
            <w:r>
              <w:rPr>
                <w:color w:val="auto"/>
                <w:spacing w:val="8"/>
                <w:sz w:val="19"/>
                <w:szCs w:val="19"/>
                <w:highlight w:val="none"/>
              </w:rPr>
              <w:t>形图像输入设</w:t>
            </w:r>
          </w:p>
          <w:p w14:paraId="7A2A9CA3">
            <w:pPr>
              <w:pStyle w:val="20"/>
              <w:spacing w:line="230" w:lineRule="auto"/>
              <w:ind w:left="655"/>
              <w:rPr>
                <w:color w:val="auto"/>
                <w:sz w:val="19"/>
                <w:szCs w:val="19"/>
                <w:highlight w:val="none"/>
              </w:rPr>
            </w:pPr>
            <w:r>
              <w:rPr>
                <w:color w:val="auto"/>
                <w:sz w:val="19"/>
                <w:szCs w:val="19"/>
                <w:highlight w:val="none"/>
              </w:rPr>
              <w:t>备</w:t>
            </w:r>
          </w:p>
        </w:tc>
        <w:tc>
          <w:tcPr>
            <w:tcW w:w="1609" w:type="dxa"/>
            <w:vAlign w:val="top"/>
          </w:tcPr>
          <w:p w14:paraId="5065DD94">
            <w:pPr>
              <w:spacing w:line="339" w:lineRule="auto"/>
              <w:rPr>
                <w:rFonts w:ascii="Arial"/>
                <w:color w:val="auto"/>
                <w:sz w:val="21"/>
                <w:highlight w:val="none"/>
              </w:rPr>
            </w:pPr>
          </w:p>
          <w:p w14:paraId="2FD92115">
            <w:pPr>
              <w:pStyle w:val="20"/>
              <w:spacing w:before="61" w:line="230" w:lineRule="auto"/>
              <w:ind w:left="122"/>
              <w:rPr>
                <w:color w:val="auto"/>
                <w:sz w:val="19"/>
                <w:szCs w:val="19"/>
                <w:highlight w:val="none"/>
              </w:rPr>
            </w:pPr>
            <w:r>
              <w:rPr>
                <w:color w:val="auto"/>
                <w:spacing w:val="4"/>
                <w:sz w:val="19"/>
                <w:szCs w:val="19"/>
                <w:highlight w:val="none"/>
              </w:rPr>
              <w:t>A0201060901</w:t>
            </w:r>
            <w:r>
              <w:rPr>
                <w:color w:val="auto"/>
                <w:spacing w:val="-31"/>
                <w:sz w:val="19"/>
                <w:szCs w:val="19"/>
                <w:highlight w:val="none"/>
              </w:rPr>
              <w:t xml:space="preserve"> </w:t>
            </w:r>
            <w:r>
              <w:rPr>
                <w:color w:val="auto"/>
                <w:spacing w:val="4"/>
                <w:sz w:val="19"/>
                <w:szCs w:val="19"/>
                <w:highlight w:val="none"/>
              </w:rPr>
              <w:t>扫</w:t>
            </w:r>
          </w:p>
          <w:p w14:paraId="5092BB08">
            <w:pPr>
              <w:pStyle w:val="20"/>
              <w:spacing w:before="94" w:line="229" w:lineRule="auto"/>
              <w:ind w:left="605"/>
              <w:rPr>
                <w:color w:val="auto"/>
                <w:sz w:val="19"/>
                <w:szCs w:val="19"/>
                <w:highlight w:val="none"/>
              </w:rPr>
            </w:pPr>
            <w:r>
              <w:rPr>
                <w:color w:val="auto"/>
                <w:spacing w:val="4"/>
                <w:sz w:val="19"/>
                <w:szCs w:val="19"/>
                <w:highlight w:val="none"/>
              </w:rPr>
              <w:t>描仪</w:t>
            </w:r>
          </w:p>
        </w:tc>
        <w:tc>
          <w:tcPr>
            <w:tcW w:w="4338" w:type="dxa"/>
            <w:vAlign w:val="top"/>
          </w:tcPr>
          <w:p w14:paraId="056D6790">
            <w:pPr>
              <w:pStyle w:val="20"/>
              <w:spacing w:before="70" w:line="303" w:lineRule="auto"/>
              <w:ind w:left="111" w:right="101" w:hanging="2"/>
              <w:rPr>
                <w:color w:val="auto"/>
                <w:sz w:val="19"/>
                <w:szCs w:val="19"/>
                <w:highlight w:val="none"/>
              </w:rPr>
            </w:pPr>
            <w:r>
              <w:rPr>
                <w:color w:val="auto"/>
                <w:spacing w:val="5"/>
                <w:sz w:val="19"/>
                <w:szCs w:val="19"/>
                <w:highlight w:val="none"/>
              </w:rPr>
              <w:t>参照《复印机、打印机和传真机能效限定值及能</w:t>
            </w:r>
            <w:r>
              <w:rPr>
                <w:color w:val="auto"/>
                <w:spacing w:val="12"/>
                <w:sz w:val="19"/>
                <w:szCs w:val="19"/>
                <w:highlight w:val="none"/>
              </w:rPr>
              <w:t xml:space="preserve"> </w:t>
            </w:r>
            <w:r>
              <w:rPr>
                <w:color w:val="auto"/>
                <w:spacing w:val="4"/>
                <w:sz w:val="19"/>
                <w:szCs w:val="19"/>
                <w:highlight w:val="none"/>
              </w:rPr>
              <w:t>效等级》（</w:t>
            </w:r>
            <w:r>
              <w:rPr>
                <w:color w:val="auto"/>
                <w:sz w:val="19"/>
                <w:szCs w:val="19"/>
                <w:highlight w:val="none"/>
              </w:rPr>
              <w:t>GB</w:t>
            </w:r>
            <w:r>
              <w:rPr>
                <w:color w:val="auto"/>
                <w:spacing w:val="4"/>
                <w:sz w:val="19"/>
                <w:szCs w:val="19"/>
                <w:highlight w:val="none"/>
              </w:rPr>
              <w:t>21521</w:t>
            </w:r>
            <w:r>
              <w:rPr>
                <w:color w:val="auto"/>
                <w:spacing w:val="-15"/>
                <w:sz w:val="19"/>
                <w:szCs w:val="19"/>
                <w:highlight w:val="none"/>
              </w:rPr>
              <w:t xml:space="preserve"> </w:t>
            </w:r>
            <w:r>
              <w:rPr>
                <w:color w:val="auto"/>
                <w:spacing w:val="4"/>
                <w:sz w:val="19"/>
                <w:szCs w:val="19"/>
                <w:highlight w:val="none"/>
              </w:rPr>
              <w:t>中打印速度为</w:t>
            </w:r>
            <w:r>
              <w:rPr>
                <w:color w:val="auto"/>
                <w:spacing w:val="-24"/>
                <w:sz w:val="19"/>
                <w:szCs w:val="19"/>
                <w:highlight w:val="none"/>
              </w:rPr>
              <w:t xml:space="preserve"> </w:t>
            </w:r>
            <w:r>
              <w:rPr>
                <w:color w:val="auto"/>
                <w:spacing w:val="4"/>
                <w:sz w:val="19"/>
                <w:szCs w:val="19"/>
                <w:highlight w:val="none"/>
              </w:rPr>
              <w:t>15</w:t>
            </w:r>
            <w:r>
              <w:rPr>
                <w:color w:val="auto"/>
                <w:spacing w:val="-31"/>
                <w:sz w:val="19"/>
                <w:szCs w:val="19"/>
                <w:highlight w:val="none"/>
              </w:rPr>
              <w:t xml:space="preserve"> </w:t>
            </w:r>
            <w:r>
              <w:rPr>
                <w:color w:val="auto"/>
                <w:spacing w:val="4"/>
                <w:sz w:val="19"/>
                <w:szCs w:val="19"/>
                <w:highlight w:val="none"/>
              </w:rPr>
              <w:t>页/分的针</w:t>
            </w:r>
            <w:r>
              <w:rPr>
                <w:color w:val="auto"/>
                <w:sz w:val="19"/>
                <w:szCs w:val="19"/>
                <w:highlight w:val="none"/>
              </w:rPr>
              <w:t xml:space="preserve"> </w:t>
            </w:r>
            <w:r>
              <w:rPr>
                <w:color w:val="auto"/>
                <w:spacing w:val="7"/>
                <w:sz w:val="19"/>
                <w:szCs w:val="19"/>
                <w:highlight w:val="none"/>
              </w:rPr>
              <w:t>式打印机相关要求中打印速度为</w:t>
            </w:r>
            <w:r>
              <w:rPr>
                <w:color w:val="auto"/>
                <w:spacing w:val="-20"/>
                <w:sz w:val="19"/>
                <w:szCs w:val="19"/>
                <w:highlight w:val="none"/>
              </w:rPr>
              <w:t xml:space="preserve"> </w:t>
            </w:r>
            <w:r>
              <w:rPr>
                <w:color w:val="auto"/>
                <w:spacing w:val="7"/>
                <w:sz w:val="19"/>
                <w:szCs w:val="19"/>
                <w:highlight w:val="none"/>
              </w:rPr>
              <w:t>15</w:t>
            </w:r>
            <w:r>
              <w:rPr>
                <w:color w:val="auto"/>
                <w:spacing w:val="-33"/>
                <w:sz w:val="19"/>
                <w:szCs w:val="19"/>
                <w:highlight w:val="none"/>
              </w:rPr>
              <w:t xml:space="preserve"> </w:t>
            </w:r>
            <w:r>
              <w:rPr>
                <w:color w:val="auto"/>
                <w:spacing w:val="7"/>
                <w:sz w:val="19"/>
                <w:szCs w:val="19"/>
                <w:highlight w:val="none"/>
              </w:rPr>
              <w:t>页/分</w:t>
            </w:r>
            <w:r>
              <w:rPr>
                <w:color w:val="auto"/>
                <w:spacing w:val="6"/>
                <w:sz w:val="19"/>
                <w:szCs w:val="19"/>
                <w:highlight w:val="none"/>
              </w:rPr>
              <w:t>的针</w:t>
            </w:r>
            <w:r>
              <w:rPr>
                <w:color w:val="auto"/>
                <w:sz w:val="19"/>
                <w:szCs w:val="19"/>
                <w:highlight w:val="none"/>
              </w:rPr>
              <w:t xml:space="preserve">  </w:t>
            </w:r>
            <w:r>
              <w:rPr>
                <w:color w:val="auto"/>
                <w:spacing w:val="8"/>
                <w:sz w:val="19"/>
                <w:szCs w:val="19"/>
                <w:highlight w:val="none"/>
              </w:rPr>
              <w:t>式打印机相关要求</w:t>
            </w:r>
          </w:p>
        </w:tc>
      </w:tr>
      <w:tr w14:paraId="5BB0A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jc w:val="center"/>
        </w:trPr>
        <w:tc>
          <w:tcPr>
            <w:tcW w:w="650" w:type="dxa"/>
            <w:vAlign w:val="top"/>
          </w:tcPr>
          <w:p w14:paraId="25C600BD">
            <w:pPr>
              <w:pStyle w:val="20"/>
              <w:spacing w:before="238" w:line="256" w:lineRule="exact"/>
              <w:ind w:left="275"/>
              <w:rPr>
                <w:color w:val="auto"/>
                <w:sz w:val="19"/>
                <w:szCs w:val="19"/>
                <w:highlight w:val="none"/>
              </w:rPr>
            </w:pPr>
            <w:r>
              <w:rPr>
                <w:color w:val="auto"/>
                <w:position w:val="1"/>
                <w:sz w:val="19"/>
                <w:szCs w:val="19"/>
                <w:highlight w:val="none"/>
              </w:rPr>
              <w:t>3</w:t>
            </w:r>
          </w:p>
        </w:tc>
        <w:tc>
          <w:tcPr>
            <w:tcW w:w="1114" w:type="dxa"/>
            <w:vAlign w:val="top"/>
          </w:tcPr>
          <w:p w14:paraId="4D655F22">
            <w:pPr>
              <w:pStyle w:val="20"/>
              <w:spacing w:before="71" w:line="284" w:lineRule="auto"/>
              <w:ind w:left="253" w:right="205" w:hanging="58"/>
              <w:rPr>
                <w:color w:val="auto"/>
                <w:sz w:val="19"/>
                <w:szCs w:val="19"/>
                <w:highlight w:val="none"/>
              </w:rPr>
            </w:pPr>
            <w:r>
              <w:rPr>
                <w:color w:val="auto"/>
                <w:spacing w:val="4"/>
                <w:sz w:val="19"/>
                <w:szCs w:val="19"/>
                <w:highlight w:val="none"/>
              </w:rPr>
              <w:t>A020202</w:t>
            </w:r>
            <w:r>
              <w:rPr>
                <w:color w:val="auto"/>
                <w:spacing w:val="3"/>
                <w:sz w:val="19"/>
                <w:szCs w:val="19"/>
                <w:highlight w:val="none"/>
              </w:rPr>
              <w:t xml:space="preserve"> </w:t>
            </w:r>
            <w:r>
              <w:rPr>
                <w:color w:val="auto"/>
                <w:spacing w:val="6"/>
                <w:sz w:val="19"/>
                <w:szCs w:val="19"/>
                <w:highlight w:val="none"/>
              </w:rPr>
              <w:t>投影仪</w:t>
            </w:r>
          </w:p>
        </w:tc>
        <w:tc>
          <w:tcPr>
            <w:tcW w:w="1513" w:type="dxa"/>
            <w:vAlign w:val="top"/>
          </w:tcPr>
          <w:p w14:paraId="022BD8E4">
            <w:pPr>
              <w:rPr>
                <w:rFonts w:ascii="Arial"/>
                <w:color w:val="auto"/>
                <w:sz w:val="21"/>
                <w:highlight w:val="none"/>
              </w:rPr>
            </w:pPr>
          </w:p>
        </w:tc>
        <w:tc>
          <w:tcPr>
            <w:tcW w:w="1609" w:type="dxa"/>
            <w:vAlign w:val="top"/>
          </w:tcPr>
          <w:p w14:paraId="760EB468">
            <w:pPr>
              <w:rPr>
                <w:rFonts w:ascii="Arial"/>
                <w:color w:val="auto"/>
                <w:sz w:val="21"/>
                <w:highlight w:val="none"/>
              </w:rPr>
            </w:pPr>
          </w:p>
        </w:tc>
        <w:tc>
          <w:tcPr>
            <w:tcW w:w="4338" w:type="dxa"/>
            <w:vAlign w:val="top"/>
          </w:tcPr>
          <w:p w14:paraId="7411DDC3">
            <w:pPr>
              <w:pStyle w:val="20"/>
              <w:spacing w:before="238" w:line="228" w:lineRule="auto"/>
              <w:ind w:left="113"/>
              <w:rPr>
                <w:color w:val="auto"/>
                <w:sz w:val="19"/>
                <w:szCs w:val="19"/>
                <w:highlight w:val="none"/>
              </w:rPr>
            </w:pPr>
            <w:r>
              <w:rPr>
                <w:color w:val="auto"/>
                <w:spacing w:val="8"/>
                <w:sz w:val="19"/>
                <w:szCs w:val="19"/>
                <w:highlight w:val="none"/>
              </w:rPr>
              <w:t>《投影机能效限定值及能效等级》（</w:t>
            </w:r>
            <w:r>
              <w:rPr>
                <w:color w:val="auto"/>
                <w:sz w:val="19"/>
                <w:szCs w:val="19"/>
                <w:highlight w:val="none"/>
              </w:rPr>
              <w:t>GB</w:t>
            </w:r>
            <w:r>
              <w:rPr>
                <w:color w:val="auto"/>
                <w:spacing w:val="8"/>
                <w:sz w:val="19"/>
                <w:szCs w:val="19"/>
                <w:highlight w:val="none"/>
              </w:rPr>
              <w:t>32028）</w:t>
            </w:r>
          </w:p>
        </w:tc>
      </w:tr>
      <w:tr w14:paraId="4CC72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7" w:hRule="atLeast"/>
          <w:jc w:val="center"/>
        </w:trPr>
        <w:tc>
          <w:tcPr>
            <w:tcW w:w="650" w:type="dxa"/>
            <w:vAlign w:val="top"/>
          </w:tcPr>
          <w:p w14:paraId="6E667114">
            <w:pPr>
              <w:spacing w:line="340" w:lineRule="auto"/>
              <w:rPr>
                <w:rFonts w:ascii="Arial"/>
                <w:color w:val="auto"/>
                <w:sz w:val="21"/>
                <w:highlight w:val="none"/>
              </w:rPr>
            </w:pPr>
          </w:p>
          <w:p w14:paraId="19EBC821">
            <w:pPr>
              <w:pStyle w:val="20"/>
              <w:spacing w:before="62" w:line="257" w:lineRule="exact"/>
              <w:ind w:left="270"/>
              <w:rPr>
                <w:color w:val="auto"/>
                <w:sz w:val="19"/>
                <w:szCs w:val="19"/>
                <w:highlight w:val="none"/>
              </w:rPr>
            </w:pPr>
            <w:r>
              <w:rPr>
                <w:color w:val="auto"/>
                <w:position w:val="1"/>
                <w:sz w:val="19"/>
                <w:szCs w:val="19"/>
                <w:highlight w:val="none"/>
              </w:rPr>
              <w:t>4</w:t>
            </w:r>
          </w:p>
        </w:tc>
        <w:tc>
          <w:tcPr>
            <w:tcW w:w="1114" w:type="dxa"/>
            <w:vAlign w:val="top"/>
          </w:tcPr>
          <w:p w14:paraId="22F681B1">
            <w:pPr>
              <w:pStyle w:val="20"/>
              <w:spacing w:before="73" w:line="256" w:lineRule="exact"/>
              <w:ind w:left="195"/>
              <w:rPr>
                <w:color w:val="auto"/>
                <w:sz w:val="19"/>
                <w:szCs w:val="19"/>
                <w:highlight w:val="none"/>
              </w:rPr>
            </w:pPr>
            <w:r>
              <w:rPr>
                <w:color w:val="auto"/>
                <w:spacing w:val="4"/>
                <w:position w:val="1"/>
                <w:sz w:val="19"/>
                <w:szCs w:val="19"/>
                <w:highlight w:val="none"/>
              </w:rPr>
              <w:t>A020204</w:t>
            </w:r>
          </w:p>
          <w:p w14:paraId="78B2B3D1">
            <w:pPr>
              <w:pStyle w:val="20"/>
              <w:spacing w:before="75" w:line="230" w:lineRule="auto"/>
              <w:ind w:left="160"/>
              <w:rPr>
                <w:color w:val="auto"/>
                <w:sz w:val="19"/>
                <w:szCs w:val="19"/>
                <w:highlight w:val="none"/>
              </w:rPr>
            </w:pPr>
            <w:r>
              <w:rPr>
                <w:color w:val="auto"/>
                <w:spacing w:val="5"/>
                <w:sz w:val="19"/>
                <w:szCs w:val="19"/>
                <w:highlight w:val="none"/>
              </w:rPr>
              <w:t>多功能一</w:t>
            </w:r>
          </w:p>
          <w:p w14:paraId="4C5E9B59">
            <w:pPr>
              <w:pStyle w:val="20"/>
              <w:spacing w:before="94" w:line="228" w:lineRule="auto"/>
              <w:ind w:left="350"/>
              <w:rPr>
                <w:color w:val="auto"/>
                <w:sz w:val="19"/>
                <w:szCs w:val="19"/>
                <w:highlight w:val="none"/>
              </w:rPr>
            </w:pPr>
            <w:r>
              <w:rPr>
                <w:color w:val="auto"/>
                <w:spacing w:val="5"/>
                <w:sz w:val="19"/>
                <w:szCs w:val="19"/>
                <w:highlight w:val="none"/>
              </w:rPr>
              <w:t>体机</w:t>
            </w:r>
          </w:p>
        </w:tc>
        <w:tc>
          <w:tcPr>
            <w:tcW w:w="1513" w:type="dxa"/>
            <w:vAlign w:val="top"/>
          </w:tcPr>
          <w:p w14:paraId="243CC7FA">
            <w:pPr>
              <w:rPr>
                <w:rFonts w:ascii="Arial"/>
                <w:color w:val="auto"/>
                <w:sz w:val="21"/>
                <w:highlight w:val="none"/>
              </w:rPr>
            </w:pPr>
          </w:p>
        </w:tc>
        <w:tc>
          <w:tcPr>
            <w:tcW w:w="1609" w:type="dxa"/>
            <w:vAlign w:val="top"/>
          </w:tcPr>
          <w:p w14:paraId="39622283">
            <w:pPr>
              <w:rPr>
                <w:rFonts w:ascii="Arial"/>
                <w:color w:val="auto"/>
                <w:sz w:val="21"/>
                <w:highlight w:val="none"/>
              </w:rPr>
            </w:pPr>
          </w:p>
        </w:tc>
        <w:tc>
          <w:tcPr>
            <w:tcW w:w="4338" w:type="dxa"/>
            <w:vAlign w:val="top"/>
          </w:tcPr>
          <w:p w14:paraId="5E8BCBAA">
            <w:pPr>
              <w:pStyle w:val="20"/>
              <w:spacing w:before="239" w:line="324" w:lineRule="auto"/>
              <w:ind w:left="111" w:right="104" w:firstLine="2"/>
              <w:rPr>
                <w:color w:val="auto"/>
                <w:sz w:val="19"/>
                <w:szCs w:val="19"/>
                <w:highlight w:val="none"/>
              </w:rPr>
            </w:pPr>
            <w:r>
              <w:rPr>
                <w:color w:val="auto"/>
                <w:spacing w:val="5"/>
                <w:sz w:val="19"/>
                <w:szCs w:val="19"/>
                <w:highlight w:val="none"/>
              </w:rPr>
              <w:t>《复印机、打印机和传真机能效限定值及能效等</w:t>
            </w:r>
            <w:r>
              <w:rPr>
                <w:color w:val="auto"/>
                <w:spacing w:val="8"/>
                <w:sz w:val="19"/>
                <w:szCs w:val="19"/>
                <w:highlight w:val="none"/>
              </w:rPr>
              <w:t xml:space="preserve"> </w:t>
            </w:r>
            <w:r>
              <w:rPr>
                <w:color w:val="auto"/>
                <w:spacing w:val="5"/>
                <w:sz w:val="19"/>
                <w:szCs w:val="19"/>
                <w:highlight w:val="none"/>
              </w:rPr>
              <w:t>级》（</w:t>
            </w:r>
            <w:r>
              <w:rPr>
                <w:color w:val="auto"/>
                <w:sz w:val="19"/>
                <w:szCs w:val="19"/>
                <w:highlight w:val="none"/>
              </w:rPr>
              <w:t>GB</w:t>
            </w:r>
            <w:r>
              <w:rPr>
                <w:color w:val="auto"/>
                <w:spacing w:val="5"/>
                <w:sz w:val="19"/>
                <w:szCs w:val="19"/>
                <w:highlight w:val="none"/>
              </w:rPr>
              <w:t>21521）</w:t>
            </w:r>
          </w:p>
        </w:tc>
      </w:tr>
      <w:tr w14:paraId="02B88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jc w:val="center"/>
        </w:trPr>
        <w:tc>
          <w:tcPr>
            <w:tcW w:w="650" w:type="dxa"/>
            <w:vAlign w:val="top"/>
          </w:tcPr>
          <w:p w14:paraId="6C184096">
            <w:pPr>
              <w:pStyle w:val="20"/>
              <w:spacing w:before="239" w:line="256" w:lineRule="exact"/>
              <w:ind w:left="275"/>
              <w:rPr>
                <w:color w:val="auto"/>
                <w:sz w:val="19"/>
                <w:szCs w:val="19"/>
                <w:highlight w:val="none"/>
              </w:rPr>
            </w:pPr>
            <w:r>
              <w:rPr>
                <w:color w:val="auto"/>
                <w:position w:val="1"/>
                <w:sz w:val="19"/>
                <w:szCs w:val="19"/>
                <w:highlight w:val="none"/>
              </w:rPr>
              <w:t>5</w:t>
            </w:r>
          </w:p>
        </w:tc>
        <w:tc>
          <w:tcPr>
            <w:tcW w:w="1114" w:type="dxa"/>
            <w:vAlign w:val="top"/>
          </w:tcPr>
          <w:p w14:paraId="79B16D77">
            <w:pPr>
              <w:pStyle w:val="20"/>
              <w:spacing w:before="73" w:line="257" w:lineRule="exact"/>
              <w:ind w:left="195"/>
              <w:rPr>
                <w:color w:val="auto"/>
                <w:sz w:val="19"/>
                <w:szCs w:val="19"/>
                <w:highlight w:val="none"/>
              </w:rPr>
            </w:pPr>
            <w:r>
              <w:rPr>
                <w:color w:val="auto"/>
                <w:spacing w:val="4"/>
                <w:position w:val="1"/>
                <w:sz w:val="19"/>
                <w:szCs w:val="19"/>
                <w:highlight w:val="none"/>
              </w:rPr>
              <w:t>A020519</w:t>
            </w:r>
          </w:p>
          <w:p w14:paraId="6F95B0B0">
            <w:pPr>
              <w:pStyle w:val="20"/>
              <w:spacing w:before="74" w:line="229" w:lineRule="auto"/>
              <w:ind w:left="452"/>
              <w:rPr>
                <w:color w:val="auto"/>
                <w:sz w:val="19"/>
                <w:szCs w:val="19"/>
                <w:highlight w:val="none"/>
              </w:rPr>
            </w:pPr>
            <w:r>
              <w:rPr>
                <w:color w:val="auto"/>
                <w:sz w:val="19"/>
                <w:szCs w:val="19"/>
                <w:highlight w:val="none"/>
              </w:rPr>
              <w:t>泵</w:t>
            </w:r>
          </w:p>
        </w:tc>
        <w:tc>
          <w:tcPr>
            <w:tcW w:w="1513" w:type="dxa"/>
            <w:vAlign w:val="top"/>
          </w:tcPr>
          <w:p w14:paraId="5EAF32E2">
            <w:pPr>
              <w:pStyle w:val="20"/>
              <w:spacing w:before="73" w:line="230" w:lineRule="auto"/>
              <w:ind w:left="171"/>
              <w:rPr>
                <w:color w:val="auto"/>
                <w:sz w:val="19"/>
                <w:szCs w:val="19"/>
                <w:highlight w:val="none"/>
              </w:rPr>
            </w:pPr>
            <w:r>
              <w:rPr>
                <w:color w:val="auto"/>
                <w:spacing w:val="4"/>
                <w:sz w:val="19"/>
                <w:szCs w:val="19"/>
                <w:highlight w:val="none"/>
              </w:rPr>
              <w:t>A02051901</w:t>
            </w:r>
            <w:r>
              <w:rPr>
                <w:color w:val="auto"/>
                <w:spacing w:val="-32"/>
                <w:sz w:val="19"/>
                <w:szCs w:val="19"/>
                <w:highlight w:val="none"/>
              </w:rPr>
              <w:t xml:space="preserve"> </w:t>
            </w:r>
            <w:r>
              <w:rPr>
                <w:color w:val="auto"/>
                <w:spacing w:val="4"/>
                <w:sz w:val="19"/>
                <w:szCs w:val="19"/>
                <w:highlight w:val="none"/>
              </w:rPr>
              <w:t>离</w:t>
            </w:r>
          </w:p>
          <w:p w14:paraId="6C86D783">
            <w:pPr>
              <w:pStyle w:val="20"/>
              <w:spacing w:before="94" w:line="229" w:lineRule="auto"/>
              <w:ind w:left="557"/>
              <w:rPr>
                <w:color w:val="auto"/>
                <w:sz w:val="19"/>
                <w:szCs w:val="19"/>
                <w:highlight w:val="none"/>
              </w:rPr>
            </w:pPr>
            <w:r>
              <w:rPr>
                <w:color w:val="auto"/>
                <w:spacing w:val="3"/>
                <w:sz w:val="19"/>
                <w:szCs w:val="19"/>
                <w:highlight w:val="none"/>
              </w:rPr>
              <w:t>心泵</w:t>
            </w:r>
          </w:p>
        </w:tc>
        <w:tc>
          <w:tcPr>
            <w:tcW w:w="1609" w:type="dxa"/>
            <w:vAlign w:val="top"/>
          </w:tcPr>
          <w:p w14:paraId="6BF64E9E">
            <w:pPr>
              <w:rPr>
                <w:rFonts w:ascii="Arial"/>
                <w:color w:val="auto"/>
                <w:sz w:val="21"/>
                <w:highlight w:val="none"/>
              </w:rPr>
            </w:pPr>
          </w:p>
        </w:tc>
        <w:tc>
          <w:tcPr>
            <w:tcW w:w="4338" w:type="dxa"/>
            <w:vAlign w:val="top"/>
          </w:tcPr>
          <w:p w14:paraId="57DFE5FF">
            <w:pPr>
              <w:pStyle w:val="20"/>
              <w:spacing w:before="73" w:line="283" w:lineRule="auto"/>
              <w:ind w:left="117" w:right="635" w:hanging="4"/>
              <w:rPr>
                <w:color w:val="auto"/>
                <w:sz w:val="19"/>
                <w:szCs w:val="19"/>
                <w:highlight w:val="none"/>
              </w:rPr>
            </w:pPr>
            <w:r>
              <w:rPr>
                <w:color w:val="auto"/>
                <w:spacing w:val="8"/>
                <w:sz w:val="19"/>
                <w:szCs w:val="19"/>
                <w:highlight w:val="none"/>
              </w:rPr>
              <w:t>《清水离心泵能效限定值及节能评价值》</w:t>
            </w:r>
            <w:r>
              <w:rPr>
                <w:color w:val="auto"/>
                <w:spacing w:val="9"/>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19762）</w:t>
            </w:r>
          </w:p>
        </w:tc>
      </w:tr>
      <w:tr w14:paraId="1A90B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7" w:hRule="atLeast"/>
          <w:jc w:val="center"/>
        </w:trPr>
        <w:tc>
          <w:tcPr>
            <w:tcW w:w="650" w:type="dxa"/>
            <w:vMerge w:val="restart"/>
            <w:tcBorders>
              <w:bottom w:val="nil"/>
            </w:tcBorders>
            <w:vAlign w:val="top"/>
          </w:tcPr>
          <w:p w14:paraId="3864FF29">
            <w:pPr>
              <w:spacing w:line="254" w:lineRule="auto"/>
              <w:rPr>
                <w:rFonts w:ascii="Arial"/>
                <w:color w:val="auto"/>
                <w:sz w:val="21"/>
                <w:highlight w:val="none"/>
              </w:rPr>
            </w:pPr>
          </w:p>
          <w:p w14:paraId="013E5890">
            <w:pPr>
              <w:spacing w:line="255" w:lineRule="auto"/>
              <w:rPr>
                <w:rFonts w:ascii="Arial"/>
                <w:color w:val="auto"/>
                <w:sz w:val="21"/>
                <w:highlight w:val="none"/>
              </w:rPr>
            </w:pPr>
          </w:p>
          <w:p w14:paraId="75569653">
            <w:pPr>
              <w:spacing w:line="255" w:lineRule="auto"/>
              <w:rPr>
                <w:rFonts w:ascii="Arial"/>
                <w:color w:val="auto"/>
                <w:sz w:val="21"/>
                <w:highlight w:val="none"/>
              </w:rPr>
            </w:pPr>
          </w:p>
          <w:p w14:paraId="7260B080">
            <w:pPr>
              <w:spacing w:line="255" w:lineRule="auto"/>
              <w:rPr>
                <w:rFonts w:ascii="Arial"/>
                <w:color w:val="auto"/>
                <w:sz w:val="21"/>
                <w:highlight w:val="none"/>
              </w:rPr>
            </w:pPr>
          </w:p>
          <w:p w14:paraId="1FC65438">
            <w:pPr>
              <w:pStyle w:val="20"/>
              <w:spacing w:before="61" w:line="257" w:lineRule="exact"/>
              <w:ind w:left="272"/>
              <w:rPr>
                <w:color w:val="auto"/>
                <w:sz w:val="19"/>
                <w:szCs w:val="19"/>
                <w:highlight w:val="none"/>
              </w:rPr>
            </w:pPr>
            <w:r>
              <w:rPr>
                <w:color w:val="auto"/>
                <w:position w:val="1"/>
                <w:sz w:val="19"/>
                <w:szCs w:val="19"/>
                <w:highlight w:val="none"/>
              </w:rPr>
              <w:t>6</w:t>
            </w:r>
          </w:p>
        </w:tc>
        <w:tc>
          <w:tcPr>
            <w:tcW w:w="1114" w:type="dxa"/>
            <w:vMerge w:val="restart"/>
            <w:tcBorders>
              <w:bottom w:val="nil"/>
            </w:tcBorders>
            <w:vAlign w:val="top"/>
          </w:tcPr>
          <w:p w14:paraId="0B9C8114">
            <w:pPr>
              <w:spacing w:line="344" w:lineRule="auto"/>
              <w:rPr>
                <w:rFonts w:ascii="Arial"/>
                <w:color w:val="auto"/>
                <w:sz w:val="21"/>
                <w:highlight w:val="none"/>
              </w:rPr>
            </w:pPr>
          </w:p>
          <w:p w14:paraId="32DEB4D8">
            <w:pPr>
              <w:spacing w:line="345" w:lineRule="auto"/>
              <w:rPr>
                <w:rFonts w:ascii="Arial"/>
                <w:color w:val="auto"/>
                <w:sz w:val="21"/>
                <w:highlight w:val="none"/>
              </w:rPr>
            </w:pPr>
          </w:p>
          <w:p w14:paraId="7CF7407C">
            <w:pPr>
              <w:pStyle w:val="20"/>
              <w:spacing w:before="62" w:line="322" w:lineRule="auto"/>
              <w:ind w:left="152" w:right="156" w:firstLine="43"/>
              <w:rPr>
                <w:color w:val="auto"/>
                <w:sz w:val="19"/>
                <w:szCs w:val="19"/>
                <w:highlight w:val="none"/>
              </w:rPr>
            </w:pPr>
            <w:r>
              <w:rPr>
                <w:color w:val="auto"/>
                <w:spacing w:val="4"/>
                <w:sz w:val="19"/>
                <w:szCs w:val="19"/>
                <w:highlight w:val="none"/>
              </w:rPr>
              <w:t>A020523</w:t>
            </w:r>
            <w:r>
              <w:rPr>
                <w:color w:val="auto"/>
                <w:spacing w:val="3"/>
                <w:sz w:val="19"/>
                <w:szCs w:val="19"/>
                <w:highlight w:val="none"/>
              </w:rPr>
              <w:t xml:space="preserve"> </w:t>
            </w:r>
            <w:r>
              <w:rPr>
                <w:color w:val="auto"/>
                <w:spacing w:val="7"/>
                <w:sz w:val="19"/>
                <w:szCs w:val="19"/>
                <w:highlight w:val="none"/>
              </w:rPr>
              <w:t>制冷空调</w:t>
            </w:r>
          </w:p>
          <w:p w14:paraId="3318150B">
            <w:pPr>
              <w:pStyle w:val="20"/>
              <w:spacing w:line="230" w:lineRule="auto"/>
              <w:ind w:left="353"/>
              <w:rPr>
                <w:color w:val="auto"/>
                <w:sz w:val="19"/>
                <w:szCs w:val="19"/>
                <w:highlight w:val="none"/>
              </w:rPr>
            </w:pPr>
            <w:r>
              <w:rPr>
                <w:color w:val="auto"/>
                <w:spacing w:val="3"/>
                <w:sz w:val="19"/>
                <w:szCs w:val="19"/>
                <w:highlight w:val="none"/>
              </w:rPr>
              <w:t>设备</w:t>
            </w:r>
          </w:p>
        </w:tc>
        <w:tc>
          <w:tcPr>
            <w:tcW w:w="1513" w:type="dxa"/>
            <w:vMerge w:val="restart"/>
            <w:tcBorders>
              <w:bottom w:val="nil"/>
            </w:tcBorders>
            <w:vAlign w:val="top"/>
          </w:tcPr>
          <w:p w14:paraId="4BE653E8">
            <w:pPr>
              <w:spacing w:line="284" w:lineRule="auto"/>
              <w:rPr>
                <w:rFonts w:ascii="Arial"/>
                <w:color w:val="auto"/>
                <w:sz w:val="21"/>
                <w:highlight w:val="none"/>
              </w:rPr>
            </w:pPr>
          </w:p>
          <w:p w14:paraId="1FA74126">
            <w:pPr>
              <w:spacing w:line="285" w:lineRule="auto"/>
              <w:rPr>
                <w:rFonts w:ascii="Arial"/>
                <w:color w:val="auto"/>
                <w:sz w:val="21"/>
                <w:highlight w:val="none"/>
              </w:rPr>
            </w:pPr>
          </w:p>
          <w:p w14:paraId="7AC08C73">
            <w:pPr>
              <w:spacing w:line="285" w:lineRule="auto"/>
              <w:rPr>
                <w:rFonts w:ascii="Arial"/>
                <w:color w:val="auto"/>
                <w:sz w:val="21"/>
                <w:highlight w:val="none"/>
              </w:rPr>
            </w:pPr>
          </w:p>
          <w:p w14:paraId="13508B98">
            <w:pPr>
              <w:pStyle w:val="20"/>
              <w:spacing w:before="61" w:line="323" w:lineRule="auto"/>
              <w:ind w:left="255" w:right="203" w:hanging="48"/>
              <w:rPr>
                <w:color w:val="auto"/>
                <w:sz w:val="19"/>
                <w:szCs w:val="19"/>
                <w:highlight w:val="none"/>
              </w:rPr>
            </w:pPr>
            <w:r>
              <w:rPr>
                <w:color w:val="auto"/>
                <w:spacing w:val="4"/>
                <w:sz w:val="19"/>
                <w:szCs w:val="19"/>
                <w:highlight w:val="none"/>
              </w:rPr>
              <w:t>★A02052301</w:t>
            </w:r>
            <w:r>
              <w:rPr>
                <w:color w:val="auto"/>
                <w:sz w:val="19"/>
                <w:szCs w:val="19"/>
                <w:highlight w:val="none"/>
              </w:rPr>
              <w:t xml:space="preserve"> </w:t>
            </w:r>
            <w:r>
              <w:rPr>
                <w:color w:val="auto"/>
                <w:spacing w:val="7"/>
                <w:sz w:val="19"/>
                <w:szCs w:val="19"/>
                <w:highlight w:val="none"/>
              </w:rPr>
              <w:t>制冷压缩机</w:t>
            </w:r>
          </w:p>
        </w:tc>
        <w:tc>
          <w:tcPr>
            <w:tcW w:w="1609" w:type="dxa"/>
            <w:vAlign w:val="top"/>
          </w:tcPr>
          <w:p w14:paraId="7FCA93AB">
            <w:pPr>
              <w:spacing w:line="341" w:lineRule="auto"/>
              <w:rPr>
                <w:rFonts w:ascii="Arial"/>
                <w:color w:val="auto"/>
                <w:sz w:val="21"/>
                <w:highlight w:val="none"/>
              </w:rPr>
            </w:pPr>
          </w:p>
          <w:p w14:paraId="1B3C5B54">
            <w:pPr>
              <w:pStyle w:val="20"/>
              <w:spacing w:before="62" w:line="228" w:lineRule="auto"/>
              <w:ind w:left="406"/>
              <w:rPr>
                <w:color w:val="auto"/>
                <w:sz w:val="19"/>
                <w:szCs w:val="19"/>
                <w:highlight w:val="none"/>
              </w:rPr>
            </w:pPr>
            <w:r>
              <w:rPr>
                <w:color w:val="auto"/>
                <w:spacing w:val="7"/>
                <w:sz w:val="19"/>
                <w:szCs w:val="19"/>
                <w:highlight w:val="none"/>
              </w:rPr>
              <w:t>冷水机组</w:t>
            </w:r>
          </w:p>
        </w:tc>
        <w:tc>
          <w:tcPr>
            <w:tcW w:w="4338" w:type="dxa"/>
            <w:vAlign w:val="top"/>
          </w:tcPr>
          <w:p w14:paraId="181E1F64">
            <w:pPr>
              <w:pStyle w:val="20"/>
              <w:spacing w:before="73" w:line="296" w:lineRule="auto"/>
              <w:ind w:left="108" w:right="50" w:firstLine="5"/>
              <w:jc w:val="both"/>
              <w:rPr>
                <w:color w:val="auto"/>
                <w:sz w:val="19"/>
                <w:szCs w:val="19"/>
                <w:highlight w:val="none"/>
              </w:rPr>
            </w:pPr>
            <w:r>
              <w:rPr>
                <w:color w:val="auto"/>
                <w:sz w:val="19"/>
                <w:szCs w:val="19"/>
                <w:highlight w:val="none"/>
              </w:rPr>
              <w:t>《冷水机组能效限定值及能效等级》（GB19577</w:t>
            </w:r>
            <w:r>
              <w:rPr>
                <w:color w:val="auto"/>
                <w:spacing w:val="-46"/>
                <w:w w:val="93"/>
                <w:sz w:val="19"/>
                <w:szCs w:val="19"/>
                <w:highlight w:val="none"/>
              </w:rPr>
              <w:t>），</w:t>
            </w:r>
            <w:r>
              <w:rPr>
                <w:color w:val="auto"/>
                <w:spacing w:val="1"/>
                <w:sz w:val="19"/>
                <w:szCs w:val="19"/>
                <w:highlight w:val="none"/>
              </w:rPr>
              <w:t xml:space="preserve"> </w:t>
            </w:r>
            <w:r>
              <w:rPr>
                <w:color w:val="auto"/>
                <w:spacing w:val="5"/>
                <w:sz w:val="19"/>
                <w:szCs w:val="19"/>
                <w:highlight w:val="none"/>
              </w:rPr>
              <w:t>《低环境温度空气源热泵（冷水）机组能效限定</w:t>
            </w:r>
            <w:r>
              <w:rPr>
                <w:color w:val="auto"/>
                <w:spacing w:val="16"/>
                <w:sz w:val="19"/>
                <w:szCs w:val="19"/>
                <w:highlight w:val="none"/>
              </w:rPr>
              <w:t xml:space="preserve"> </w:t>
            </w:r>
            <w:r>
              <w:rPr>
                <w:color w:val="auto"/>
                <w:spacing w:val="7"/>
                <w:sz w:val="19"/>
                <w:szCs w:val="19"/>
                <w:highlight w:val="none"/>
              </w:rPr>
              <w:t>值及能效等级》（</w:t>
            </w:r>
            <w:r>
              <w:rPr>
                <w:color w:val="auto"/>
                <w:sz w:val="19"/>
                <w:szCs w:val="19"/>
                <w:highlight w:val="none"/>
              </w:rPr>
              <w:t>GB</w:t>
            </w:r>
            <w:r>
              <w:rPr>
                <w:color w:val="auto"/>
                <w:spacing w:val="7"/>
                <w:sz w:val="19"/>
                <w:szCs w:val="19"/>
                <w:highlight w:val="none"/>
              </w:rPr>
              <w:t>37480）</w:t>
            </w:r>
          </w:p>
        </w:tc>
      </w:tr>
      <w:tr w14:paraId="7ED6E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jc w:val="center"/>
        </w:trPr>
        <w:tc>
          <w:tcPr>
            <w:tcW w:w="650" w:type="dxa"/>
            <w:vMerge w:val="continue"/>
            <w:tcBorders>
              <w:top w:val="nil"/>
              <w:bottom w:val="nil"/>
            </w:tcBorders>
            <w:vAlign w:val="top"/>
          </w:tcPr>
          <w:p w14:paraId="21D03FAD">
            <w:pPr>
              <w:rPr>
                <w:rFonts w:ascii="Arial"/>
                <w:color w:val="auto"/>
                <w:sz w:val="21"/>
                <w:highlight w:val="none"/>
              </w:rPr>
            </w:pPr>
          </w:p>
        </w:tc>
        <w:tc>
          <w:tcPr>
            <w:tcW w:w="1114" w:type="dxa"/>
            <w:vMerge w:val="continue"/>
            <w:tcBorders>
              <w:top w:val="nil"/>
              <w:bottom w:val="nil"/>
            </w:tcBorders>
            <w:vAlign w:val="top"/>
          </w:tcPr>
          <w:p w14:paraId="5378A542">
            <w:pPr>
              <w:rPr>
                <w:rFonts w:ascii="Arial"/>
                <w:color w:val="auto"/>
                <w:sz w:val="21"/>
                <w:highlight w:val="none"/>
              </w:rPr>
            </w:pPr>
          </w:p>
        </w:tc>
        <w:tc>
          <w:tcPr>
            <w:tcW w:w="1513" w:type="dxa"/>
            <w:vMerge w:val="continue"/>
            <w:tcBorders>
              <w:top w:val="nil"/>
              <w:bottom w:val="nil"/>
            </w:tcBorders>
            <w:vAlign w:val="top"/>
          </w:tcPr>
          <w:p w14:paraId="6BCF51DE">
            <w:pPr>
              <w:rPr>
                <w:rFonts w:ascii="Arial"/>
                <w:color w:val="auto"/>
                <w:sz w:val="21"/>
                <w:highlight w:val="none"/>
              </w:rPr>
            </w:pPr>
          </w:p>
        </w:tc>
        <w:tc>
          <w:tcPr>
            <w:tcW w:w="1609" w:type="dxa"/>
            <w:vAlign w:val="top"/>
          </w:tcPr>
          <w:p w14:paraId="7EAA3CAB">
            <w:pPr>
              <w:pStyle w:val="20"/>
              <w:spacing w:before="240" w:line="228" w:lineRule="auto"/>
              <w:ind w:left="207"/>
              <w:rPr>
                <w:color w:val="auto"/>
                <w:sz w:val="19"/>
                <w:szCs w:val="19"/>
                <w:highlight w:val="none"/>
              </w:rPr>
            </w:pPr>
            <w:r>
              <w:rPr>
                <w:color w:val="auto"/>
                <w:spacing w:val="8"/>
                <w:sz w:val="19"/>
                <w:szCs w:val="19"/>
                <w:highlight w:val="none"/>
              </w:rPr>
              <w:t>水源热泵机组</w:t>
            </w:r>
          </w:p>
        </w:tc>
        <w:tc>
          <w:tcPr>
            <w:tcW w:w="4338" w:type="dxa"/>
            <w:vAlign w:val="top"/>
          </w:tcPr>
          <w:p w14:paraId="08B816B0">
            <w:pPr>
              <w:pStyle w:val="20"/>
              <w:spacing w:before="75" w:line="282" w:lineRule="auto"/>
              <w:ind w:left="117" w:right="34" w:hanging="4"/>
              <w:rPr>
                <w:color w:val="auto"/>
                <w:sz w:val="19"/>
                <w:szCs w:val="19"/>
                <w:highlight w:val="none"/>
              </w:rPr>
            </w:pPr>
            <w:r>
              <w:rPr>
                <w:color w:val="auto"/>
                <w:spacing w:val="8"/>
                <w:sz w:val="19"/>
                <w:szCs w:val="19"/>
                <w:highlight w:val="none"/>
              </w:rPr>
              <w:t>《水（地）源热泵机组能效限定值及能效等级》</w:t>
            </w:r>
            <w:r>
              <w:rPr>
                <w:color w:val="auto"/>
                <w:spacing w:val="15"/>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30721）</w:t>
            </w:r>
          </w:p>
        </w:tc>
      </w:tr>
      <w:tr w14:paraId="7FD2C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jc w:val="center"/>
        </w:trPr>
        <w:tc>
          <w:tcPr>
            <w:tcW w:w="650" w:type="dxa"/>
            <w:vMerge w:val="continue"/>
            <w:tcBorders>
              <w:top w:val="nil"/>
            </w:tcBorders>
            <w:vAlign w:val="top"/>
          </w:tcPr>
          <w:p w14:paraId="2382BE29">
            <w:pPr>
              <w:rPr>
                <w:rFonts w:ascii="Arial"/>
                <w:color w:val="auto"/>
                <w:sz w:val="21"/>
                <w:highlight w:val="none"/>
              </w:rPr>
            </w:pPr>
          </w:p>
        </w:tc>
        <w:tc>
          <w:tcPr>
            <w:tcW w:w="1114" w:type="dxa"/>
            <w:vMerge w:val="continue"/>
            <w:tcBorders>
              <w:top w:val="nil"/>
            </w:tcBorders>
            <w:vAlign w:val="top"/>
          </w:tcPr>
          <w:p w14:paraId="69D80463">
            <w:pPr>
              <w:rPr>
                <w:rFonts w:ascii="Arial"/>
                <w:color w:val="auto"/>
                <w:sz w:val="21"/>
                <w:highlight w:val="none"/>
              </w:rPr>
            </w:pPr>
          </w:p>
        </w:tc>
        <w:tc>
          <w:tcPr>
            <w:tcW w:w="1513" w:type="dxa"/>
            <w:vMerge w:val="continue"/>
            <w:tcBorders>
              <w:top w:val="nil"/>
            </w:tcBorders>
            <w:vAlign w:val="top"/>
          </w:tcPr>
          <w:p w14:paraId="5B3C3252">
            <w:pPr>
              <w:rPr>
                <w:rFonts w:ascii="Arial"/>
                <w:color w:val="auto"/>
                <w:sz w:val="21"/>
                <w:highlight w:val="none"/>
              </w:rPr>
            </w:pPr>
          </w:p>
        </w:tc>
        <w:tc>
          <w:tcPr>
            <w:tcW w:w="1609" w:type="dxa"/>
            <w:vAlign w:val="top"/>
          </w:tcPr>
          <w:p w14:paraId="068D6A6A">
            <w:pPr>
              <w:pStyle w:val="20"/>
              <w:spacing w:before="75" w:line="229" w:lineRule="auto"/>
              <w:ind w:left="209"/>
              <w:rPr>
                <w:color w:val="auto"/>
                <w:sz w:val="19"/>
                <w:szCs w:val="19"/>
                <w:highlight w:val="none"/>
              </w:rPr>
            </w:pPr>
            <w:r>
              <w:rPr>
                <w:color w:val="auto"/>
                <w:spacing w:val="8"/>
                <w:sz w:val="19"/>
                <w:szCs w:val="19"/>
                <w:highlight w:val="none"/>
              </w:rPr>
              <w:t>溴化锂吸收式</w:t>
            </w:r>
          </w:p>
          <w:p w14:paraId="0C610EA2">
            <w:pPr>
              <w:pStyle w:val="20"/>
              <w:spacing w:before="95" w:line="228" w:lineRule="auto"/>
              <w:ind w:left="406"/>
              <w:rPr>
                <w:color w:val="auto"/>
                <w:sz w:val="19"/>
                <w:szCs w:val="19"/>
                <w:highlight w:val="none"/>
              </w:rPr>
            </w:pPr>
            <w:r>
              <w:rPr>
                <w:color w:val="auto"/>
                <w:spacing w:val="7"/>
                <w:sz w:val="19"/>
                <w:szCs w:val="19"/>
                <w:highlight w:val="none"/>
              </w:rPr>
              <w:t>冷水机组</w:t>
            </w:r>
          </w:p>
        </w:tc>
        <w:tc>
          <w:tcPr>
            <w:tcW w:w="4338" w:type="dxa"/>
            <w:vAlign w:val="top"/>
          </w:tcPr>
          <w:p w14:paraId="1E944568">
            <w:pPr>
              <w:pStyle w:val="20"/>
              <w:spacing w:before="75" w:line="286" w:lineRule="auto"/>
              <w:ind w:left="111" w:right="224" w:firstLine="2"/>
              <w:rPr>
                <w:color w:val="auto"/>
                <w:sz w:val="19"/>
                <w:szCs w:val="19"/>
                <w:highlight w:val="none"/>
              </w:rPr>
            </w:pPr>
            <w:r>
              <w:rPr>
                <w:color w:val="auto"/>
                <w:spacing w:val="9"/>
                <w:sz w:val="19"/>
                <w:szCs w:val="19"/>
                <w:highlight w:val="none"/>
              </w:rPr>
              <w:t>《溴化锂吸收式冷水机组能效限定值及能效等</w:t>
            </w:r>
            <w:r>
              <w:rPr>
                <w:color w:val="auto"/>
                <w:spacing w:val="3"/>
                <w:sz w:val="19"/>
                <w:szCs w:val="19"/>
                <w:highlight w:val="none"/>
              </w:rPr>
              <w:t xml:space="preserve"> </w:t>
            </w:r>
            <w:r>
              <w:rPr>
                <w:color w:val="auto"/>
                <w:spacing w:val="5"/>
                <w:sz w:val="19"/>
                <w:szCs w:val="19"/>
                <w:highlight w:val="none"/>
              </w:rPr>
              <w:t>级》（</w:t>
            </w:r>
            <w:r>
              <w:rPr>
                <w:color w:val="auto"/>
                <w:sz w:val="19"/>
                <w:szCs w:val="19"/>
                <w:highlight w:val="none"/>
              </w:rPr>
              <w:t>GB</w:t>
            </w:r>
            <w:r>
              <w:rPr>
                <w:color w:val="auto"/>
                <w:spacing w:val="5"/>
                <w:sz w:val="19"/>
                <w:szCs w:val="19"/>
                <w:highlight w:val="none"/>
              </w:rPr>
              <w:t>29540）</w:t>
            </w:r>
          </w:p>
        </w:tc>
      </w:tr>
    </w:tbl>
    <w:p w14:paraId="041A08F9">
      <w:pPr>
        <w:pStyle w:val="6"/>
        <w:rPr>
          <w:color w:val="auto"/>
          <w:highlight w:val="none"/>
        </w:rPr>
      </w:pPr>
    </w:p>
    <w:p w14:paraId="7A9857B8">
      <w:pPr>
        <w:rPr>
          <w:color w:val="auto"/>
          <w:highlight w:val="none"/>
        </w:rPr>
        <w:sectPr>
          <w:headerReference r:id="rId11" w:type="default"/>
          <w:footerReference r:id="rId12" w:type="default"/>
          <w:pgSz w:w="11905" w:h="16839"/>
          <w:pgMar w:top="960" w:right="1103" w:bottom="1055" w:left="1562" w:header="945" w:footer="819" w:gutter="0"/>
          <w:pgNumType w:fmt="decimal"/>
          <w:cols w:space="720" w:num="1"/>
        </w:sectPr>
      </w:pPr>
    </w:p>
    <w:p w14:paraId="3E4C418E">
      <w:pPr>
        <w:spacing w:line="173" w:lineRule="exact"/>
        <w:rPr>
          <w:color w:val="auto"/>
          <w:highlight w:val="none"/>
        </w:rPr>
      </w:pPr>
    </w:p>
    <w:tbl>
      <w:tblPr>
        <w:tblStyle w:val="19"/>
        <w:tblW w:w="922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0"/>
        <w:gridCol w:w="1114"/>
        <w:gridCol w:w="1513"/>
        <w:gridCol w:w="1609"/>
        <w:gridCol w:w="4338"/>
      </w:tblGrid>
      <w:tr w14:paraId="194CE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2" w:hRule="atLeast"/>
        </w:trPr>
        <w:tc>
          <w:tcPr>
            <w:tcW w:w="650" w:type="dxa"/>
            <w:vMerge w:val="restart"/>
            <w:tcBorders>
              <w:top w:val="nil"/>
              <w:bottom w:val="nil"/>
            </w:tcBorders>
            <w:vAlign w:val="top"/>
          </w:tcPr>
          <w:p w14:paraId="37A2E14E">
            <w:pPr>
              <w:rPr>
                <w:rFonts w:ascii="Arial"/>
                <w:color w:val="auto"/>
                <w:sz w:val="21"/>
                <w:highlight w:val="none"/>
              </w:rPr>
            </w:pPr>
          </w:p>
        </w:tc>
        <w:tc>
          <w:tcPr>
            <w:tcW w:w="1114" w:type="dxa"/>
            <w:vMerge w:val="restart"/>
            <w:tcBorders>
              <w:top w:val="nil"/>
              <w:bottom w:val="nil"/>
            </w:tcBorders>
            <w:vAlign w:val="top"/>
          </w:tcPr>
          <w:p w14:paraId="75AC1FCD">
            <w:pPr>
              <w:rPr>
                <w:rFonts w:ascii="Arial"/>
                <w:color w:val="auto"/>
                <w:sz w:val="21"/>
                <w:highlight w:val="none"/>
              </w:rPr>
            </w:pPr>
          </w:p>
        </w:tc>
        <w:tc>
          <w:tcPr>
            <w:tcW w:w="1513" w:type="dxa"/>
            <w:vMerge w:val="restart"/>
            <w:tcBorders>
              <w:top w:val="nil"/>
              <w:bottom w:val="nil"/>
            </w:tcBorders>
            <w:vAlign w:val="top"/>
          </w:tcPr>
          <w:p w14:paraId="42AC1C7D">
            <w:pPr>
              <w:spacing w:line="347" w:lineRule="auto"/>
              <w:rPr>
                <w:rFonts w:ascii="Arial"/>
                <w:color w:val="auto"/>
                <w:sz w:val="21"/>
                <w:highlight w:val="none"/>
              </w:rPr>
            </w:pPr>
          </w:p>
          <w:p w14:paraId="177E73AE">
            <w:pPr>
              <w:spacing w:line="347" w:lineRule="auto"/>
              <w:rPr>
                <w:rFonts w:ascii="Arial"/>
                <w:color w:val="auto"/>
                <w:sz w:val="21"/>
                <w:highlight w:val="none"/>
              </w:rPr>
            </w:pPr>
          </w:p>
          <w:p w14:paraId="044997D9">
            <w:pPr>
              <w:pStyle w:val="20"/>
              <w:spacing w:before="61" w:line="236" w:lineRule="auto"/>
              <w:ind w:left="207"/>
              <w:rPr>
                <w:color w:val="auto"/>
                <w:sz w:val="19"/>
                <w:szCs w:val="19"/>
                <w:highlight w:val="none"/>
              </w:rPr>
            </w:pPr>
            <w:r>
              <w:rPr>
                <w:color w:val="auto"/>
                <w:spacing w:val="4"/>
                <w:sz w:val="19"/>
                <w:szCs w:val="19"/>
                <w:highlight w:val="none"/>
              </w:rPr>
              <w:t>★A02052305</w:t>
            </w:r>
          </w:p>
          <w:p w14:paraId="7B2BF18C">
            <w:pPr>
              <w:pStyle w:val="20"/>
              <w:spacing w:before="85" w:line="228" w:lineRule="auto"/>
              <w:ind w:left="358"/>
              <w:rPr>
                <w:color w:val="auto"/>
                <w:sz w:val="19"/>
                <w:szCs w:val="19"/>
                <w:highlight w:val="none"/>
              </w:rPr>
            </w:pPr>
            <w:r>
              <w:rPr>
                <w:color w:val="auto"/>
                <w:spacing w:val="6"/>
                <w:sz w:val="19"/>
                <w:szCs w:val="19"/>
                <w:highlight w:val="none"/>
              </w:rPr>
              <w:t>空调机组</w:t>
            </w:r>
          </w:p>
        </w:tc>
        <w:tc>
          <w:tcPr>
            <w:tcW w:w="1609" w:type="dxa"/>
            <w:tcBorders>
              <w:top w:val="nil"/>
            </w:tcBorders>
            <w:vAlign w:val="top"/>
          </w:tcPr>
          <w:p w14:paraId="59133BE0">
            <w:pPr>
              <w:pStyle w:val="20"/>
              <w:spacing w:before="88" w:line="230" w:lineRule="auto"/>
              <w:ind w:left="116"/>
              <w:rPr>
                <w:color w:val="auto"/>
                <w:sz w:val="19"/>
                <w:szCs w:val="19"/>
                <w:highlight w:val="none"/>
              </w:rPr>
            </w:pPr>
            <w:r>
              <w:rPr>
                <w:color w:val="auto"/>
                <w:spacing w:val="6"/>
                <w:sz w:val="19"/>
                <w:szCs w:val="19"/>
                <w:highlight w:val="none"/>
              </w:rPr>
              <w:t>多联式空调（热</w:t>
            </w:r>
          </w:p>
          <w:p w14:paraId="349140FB">
            <w:pPr>
              <w:pStyle w:val="20"/>
              <w:spacing w:before="92" w:line="289" w:lineRule="auto"/>
              <w:ind w:left="303" w:right="148" w:hanging="148"/>
              <w:rPr>
                <w:color w:val="auto"/>
                <w:sz w:val="19"/>
                <w:szCs w:val="19"/>
                <w:highlight w:val="none"/>
              </w:rPr>
            </w:pPr>
            <w:r>
              <w:rPr>
                <w:color w:val="auto"/>
                <w:spacing w:val="7"/>
                <w:sz w:val="19"/>
                <w:szCs w:val="19"/>
                <w:highlight w:val="none"/>
              </w:rPr>
              <w:t>泵）机组(制冷</w:t>
            </w:r>
            <w:r>
              <w:rPr>
                <w:color w:val="auto"/>
                <w:spacing w:val="4"/>
                <w:sz w:val="19"/>
                <w:szCs w:val="19"/>
                <w:highlight w:val="none"/>
              </w:rPr>
              <w:t xml:space="preserve"> 量&gt;14000W)</w:t>
            </w:r>
          </w:p>
        </w:tc>
        <w:tc>
          <w:tcPr>
            <w:tcW w:w="4338" w:type="dxa"/>
            <w:tcBorders>
              <w:top w:val="nil"/>
            </w:tcBorders>
            <w:vAlign w:val="top"/>
          </w:tcPr>
          <w:p w14:paraId="3AA200D7">
            <w:pPr>
              <w:pStyle w:val="20"/>
              <w:spacing w:before="251" w:line="323" w:lineRule="auto"/>
              <w:ind w:left="109" w:right="104" w:firstLine="3"/>
              <w:rPr>
                <w:color w:val="auto"/>
                <w:sz w:val="19"/>
                <w:szCs w:val="19"/>
                <w:highlight w:val="none"/>
              </w:rPr>
            </w:pPr>
            <w:r>
              <w:rPr>
                <w:color w:val="auto"/>
                <w:spacing w:val="5"/>
                <w:sz w:val="19"/>
                <w:szCs w:val="19"/>
                <w:highlight w:val="none"/>
              </w:rPr>
              <w:t>《多联式空调（热泵）机组能效限定值及能源效</w:t>
            </w:r>
            <w:r>
              <w:rPr>
                <w:color w:val="auto"/>
                <w:spacing w:val="9"/>
                <w:sz w:val="19"/>
                <w:szCs w:val="19"/>
                <w:highlight w:val="none"/>
              </w:rPr>
              <w:t xml:space="preserve"> </w:t>
            </w:r>
            <w:r>
              <w:rPr>
                <w:color w:val="auto"/>
                <w:spacing w:val="6"/>
                <w:sz w:val="19"/>
                <w:szCs w:val="19"/>
                <w:highlight w:val="none"/>
              </w:rPr>
              <w:t>率等级》（</w:t>
            </w:r>
            <w:r>
              <w:rPr>
                <w:color w:val="auto"/>
                <w:sz w:val="19"/>
                <w:szCs w:val="19"/>
                <w:highlight w:val="none"/>
              </w:rPr>
              <w:t>GB</w:t>
            </w:r>
            <w:r>
              <w:rPr>
                <w:color w:val="auto"/>
                <w:spacing w:val="6"/>
                <w:sz w:val="19"/>
                <w:szCs w:val="19"/>
                <w:highlight w:val="none"/>
              </w:rPr>
              <w:t>21454）</w:t>
            </w:r>
          </w:p>
        </w:tc>
      </w:tr>
      <w:tr w14:paraId="3E4FD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7" w:hRule="atLeast"/>
        </w:trPr>
        <w:tc>
          <w:tcPr>
            <w:tcW w:w="650" w:type="dxa"/>
            <w:vMerge w:val="continue"/>
            <w:tcBorders>
              <w:top w:val="nil"/>
              <w:bottom w:val="nil"/>
            </w:tcBorders>
            <w:vAlign w:val="top"/>
          </w:tcPr>
          <w:p w14:paraId="37ED8C55">
            <w:pPr>
              <w:rPr>
                <w:rFonts w:ascii="Arial"/>
                <w:color w:val="auto"/>
                <w:sz w:val="21"/>
                <w:highlight w:val="none"/>
              </w:rPr>
            </w:pPr>
          </w:p>
        </w:tc>
        <w:tc>
          <w:tcPr>
            <w:tcW w:w="1114" w:type="dxa"/>
            <w:vMerge w:val="continue"/>
            <w:tcBorders>
              <w:top w:val="nil"/>
              <w:bottom w:val="nil"/>
            </w:tcBorders>
            <w:vAlign w:val="top"/>
          </w:tcPr>
          <w:p w14:paraId="122D67F3">
            <w:pPr>
              <w:rPr>
                <w:rFonts w:ascii="Arial"/>
                <w:color w:val="auto"/>
                <w:sz w:val="21"/>
                <w:highlight w:val="none"/>
              </w:rPr>
            </w:pPr>
          </w:p>
        </w:tc>
        <w:tc>
          <w:tcPr>
            <w:tcW w:w="1513" w:type="dxa"/>
            <w:vMerge w:val="continue"/>
            <w:tcBorders>
              <w:top w:val="nil"/>
            </w:tcBorders>
            <w:vAlign w:val="top"/>
          </w:tcPr>
          <w:p w14:paraId="3E23CED6">
            <w:pPr>
              <w:rPr>
                <w:rFonts w:ascii="Arial"/>
                <w:color w:val="auto"/>
                <w:sz w:val="21"/>
                <w:highlight w:val="none"/>
              </w:rPr>
            </w:pPr>
          </w:p>
        </w:tc>
        <w:tc>
          <w:tcPr>
            <w:tcW w:w="1609" w:type="dxa"/>
            <w:vAlign w:val="top"/>
          </w:tcPr>
          <w:p w14:paraId="4A154938">
            <w:pPr>
              <w:pStyle w:val="20"/>
              <w:spacing w:before="63" w:line="299" w:lineRule="auto"/>
              <w:ind w:left="353" w:right="196" w:hanging="147"/>
              <w:rPr>
                <w:color w:val="auto"/>
                <w:sz w:val="19"/>
                <w:szCs w:val="19"/>
                <w:highlight w:val="none"/>
              </w:rPr>
            </w:pPr>
            <w:r>
              <w:rPr>
                <w:color w:val="auto"/>
                <w:spacing w:val="8"/>
                <w:sz w:val="19"/>
                <w:szCs w:val="19"/>
                <w:highlight w:val="none"/>
              </w:rPr>
              <w:t>单元式空气调</w:t>
            </w:r>
            <w:r>
              <w:rPr>
                <w:color w:val="auto"/>
                <w:spacing w:val="1"/>
                <w:sz w:val="19"/>
                <w:szCs w:val="19"/>
                <w:highlight w:val="none"/>
              </w:rPr>
              <w:t xml:space="preserve"> </w:t>
            </w:r>
            <w:r>
              <w:rPr>
                <w:color w:val="auto"/>
                <w:spacing w:val="6"/>
                <w:sz w:val="19"/>
                <w:szCs w:val="19"/>
                <w:highlight w:val="none"/>
              </w:rPr>
              <w:t>节机(制冷</w:t>
            </w:r>
            <w:r>
              <w:rPr>
                <w:color w:val="auto"/>
                <w:spacing w:val="1"/>
                <w:sz w:val="19"/>
                <w:szCs w:val="19"/>
                <w:highlight w:val="none"/>
              </w:rPr>
              <w:t xml:space="preserve">  </w:t>
            </w:r>
            <w:r>
              <w:rPr>
                <w:color w:val="auto"/>
                <w:spacing w:val="4"/>
                <w:sz w:val="19"/>
                <w:szCs w:val="19"/>
                <w:highlight w:val="none"/>
              </w:rPr>
              <w:t>量&gt;14000W</w:t>
            </w:r>
          </w:p>
        </w:tc>
        <w:tc>
          <w:tcPr>
            <w:tcW w:w="4338" w:type="dxa"/>
            <w:vAlign w:val="top"/>
          </w:tcPr>
          <w:p w14:paraId="24895C07">
            <w:pPr>
              <w:pStyle w:val="20"/>
              <w:spacing w:before="63" w:line="228" w:lineRule="auto"/>
              <w:ind w:left="113"/>
              <w:rPr>
                <w:color w:val="auto"/>
                <w:sz w:val="19"/>
                <w:szCs w:val="19"/>
                <w:highlight w:val="none"/>
              </w:rPr>
            </w:pPr>
            <w:r>
              <w:rPr>
                <w:color w:val="auto"/>
                <w:spacing w:val="8"/>
                <w:sz w:val="19"/>
                <w:szCs w:val="19"/>
                <w:highlight w:val="none"/>
              </w:rPr>
              <w:t>《单元式空气调节机能效限定值及能效等级》</w:t>
            </w:r>
          </w:p>
          <w:p w14:paraId="0AF54283">
            <w:pPr>
              <w:pStyle w:val="20"/>
              <w:spacing w:before="95" w:line="288" w:lineRule="auto"/>
              <w:ind w:left="107" w:right="123" w:firstLine="10"/>
              <w:jc w:val="both"/>
              <w:rPr>
                <w:color w:val="auto"/>
                <w:sz w:val="19"/>
                <w:szCs w:val="19"/>
                <w:highlight w:val="none"/>
              </w:rPr>
            </w:pPr>
            <w:r>
              <w:rPr>
                <w:color w:val="auto"/>
                <w:spacing w:val="8"/>
                <w:sz w:val="19"/>
                <w:szCs w:val="19"/>
                <w:highlight w:val="none"/>
              </w:rPr>
              <w:t>（</w:t>
            </w:r>
            <w:r>
              <w:rPr>
                <w:color w:val="auto"/>
                <w:sz w:val="19"/>
                <w:szCs w:val="19"/>
                <w:highlight w:val="none"/>
              </w:rPr>
              <w:t>GB</w:t>
            </w:r>
            <w:r>
              <w:rPr>
                <w:color w:val="auto"/>
                <w:spacing w:val="8"/>
                <w:sz w:val="19"/>
                <w:szCs w:val="19"/>
                <w:highlight w:val="none"/>
              </w:rPr>
              <w:t>19576）《风管送风式空调机组能效限定值</w:t>
            </w:r>
            <w:r>
              <w:rPr>
                <w:color w:val="auto"/>
                <w:spacing w:val="9"/>
                <w:sz w:val="19"/>
                <w:szCs w:val="19"/>
                <w:highlight w:val="none"/>
              </w:rPr>
              <w:t xml:space="preserve"> </w:t>
            </w:r>
            <w:r>
              <w:rPr>
                <w:color w:val="auto"/>
                <w:spacing w:val="7"/>
                <w:sz w:val="19"/>
                <w:szCs w:val="19"/>
                <w:highlight w:val="none"/>
              </w:rPr>
              <w:t>及能效等级》（</w:t>
            </w:r>
            <w:r>
              <w:rPr>
                <w:color w:val="auto"/>
                <w:sz w:val="19"/>
                <w:szCs w:val="19"/>
                <w:highlight w:val="none"/>
              </w:rPr>
              <w:t>GB</w:t>
            </w:r>
            <w:r>
              <w:rPr>
                <w:color w:val="auto"/>
                <w:spacing w:val="7"/>
                <w:sz w:val="19"/>
                <w:szCs w:val="19"/>
                <w:highlight w:val="none"/>
              </w:rPr>
              <w:t>37479）</w:t>
            </w:r>
          </w:p>
        </w:tc>
      </w:tr>
      <w:tr w14:paraId="63B8E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7" w:hRule="atLeast"/>
        </w:trPr>
        <w:tc>
          <w:tcPr>
            <w:tcW w:w="650" w:type="dxa"/>
            <w:vMerge w:val="continue"/>
            <w:tcBorders>
              <w:top w:val="nil"/>
              <w:bottom w:val="nil"/>
            </w:tcBorders>
            <w:vAlign w:val="top"/>
          </w:tcPr>
          <w:p w14:paraId="28083BBB">
            <w:pPr>
              <w:rPr>
                <w:rFonts w:ascii="Arial"/>
                <w:color w:val="auto"/>
                <w:sz w:val="21"/>
                <w:highlight w:val="none"/>
              </w:rPr>
            </w:pPr>
          </w:p>
        </w:tc>
        <w:tc>
          <w:tcPr>
            <w:tcW w:w="1114" w:type="dxa"/>
            <w:vMerge w:val="continue"/>
            <w:tcBorders>
              <w:top w:val="nil"/>
              <w:bottom w:val="nil"/>
            </w:tcBorders>
            <w:vAlign w:val="top"/>
          </w:tcPr>
          <w:p w14:paraId="36556099">
            <w:pPr>
              <w:rPr>
                <w:rFonts w:ascii="Arial"/>
                <w:color w:val="auto"/>
                <w:sz w:val="21"/>
                <w:highlight w:val="none"/>
              </w:rPr>
            </w:pPr>
          </w:p>
        </w:tc>
        <w:tc>
          <w:tcPr>
            <w:tcW w:w="1513" w:type="dxa"/>
            <w:vAlign w:val="top"/>
          </w:tcPr>
          <w:p w14:paraId="3A1DC7AB">
            <w:pPr>
              <w:pStyle w:val="20"/>
              <w:spacing w:before="64" w:line="322" w:lineRule="auto"/>
              <w:ind w:left="103" w:right="104" w:firstLine="103"/>
              <w:rPr>
                <w:color w:val="auto"/>
                <w:sz w:val="19"/>
                <w:szCs w:val="19"/>
                <w:highlight w:val="none"/>
              </w:rPr>
            </w:pPr>
            <w:r>
              <w:rPr>
                <w:color w:val="auto"/>
                <w:spacing w:val="4"/>
                <w:sz w:val="19"/>
                <w:szCs w:val="19"/>
                <w:highlight w:val="none"/>
              </w:rPr>
              <w:t>★A02052309</w:t>
            </w:r>
            <w:r>
              <w:rPr>
                <w:color w:val="auto"/>
                <w:sz w:val="19"/>
                <w:szCs w:val="19"/>
                <w:highlight w:val="none"/>
              </w:rPr>
              <w:t xml:space="preserve">  </w:t>
            </w:r>
            <w:r>
              <w:rPr>
                <w:color w:val="auto"/>
                <w:spacing w:val="-6"/>
                <w:sz w:val="19"/>
                <w:szCs w:val="19"/>
                <w:highlight w:val="none"/>
              </w:rPr>
              <w:t>专用制冷、空调</w:t>
            </w:r>
          </w:p>
          <w:p w14:paraId="51BA1D8A">
            <w:pPr>
              <w:pStyle w:val="20"/>
              <w:spacing w:line="230" w:lineRule="auto"/>
              <w:ind w:left="557"/>
              <w:rPr>
                <w:color w:val="auto"/>
                <w:sz w:val="19"/>
                <w:szCs w:val="19"/>
                <w:highlight w:val="none"/>
              </w:rPr>
            </w:pPr>
            <w:r>
              <w:rPr>
                <w:color w:val="auto"/>
                <w:spacing w:val="3"/>
                <w:sz w:val="19"/>
                <w:szCs w:val="19"/>
                <w:highlight w:val="none"/>
              </w:rPr>
              <w:t>设备</w:t>
            </w:r>
          </w:p>
        </w:tc>
        <w:tc>
          <w:tcPr>
            <w:tcW w:w="1609" w:type="dxa"/>
            <w:vAlign w:val="top"/>
          </w:tcPr>
          <w:p w14:paraId="0007C094">
            <w:pPr>
              <w:spacing w:line="332" w:lineRule="auto"/>
              <w:rPr>
                <w:rFonts w:ascii="Arial"/>
                <w:color w:val="auto"/>
                <w:sz w:val="21"/>
                <w:highlight w:val="none"/>
              </w:rPr>
            </w:pPr>
          </w:p>
          <w:p w14:paraId="1F4C2A7B">
            <w:pPr>
              <w:pStyle w:val="20"/>
              <w:spacing w:before="61" w:line="228" w:lineRule="auto"/>
              <w:ind w:left="403"/>
              <w:rPr>
                <w:color w:val="auto"/>
                <w:sz w:val="19"/>
                <w:szCs w:val="19"/>
                <w:highlight w:val="none"/>
              </w:rPr>
            </w:pPr>
            <w:r>
              <w:rPr>
                <w:color w:val="auto"/>
                <w:spacing w:val="8"/>
                <w:sz w:val="19"/>
                <w:szCs w:val="19"/>
                <w:highlight w:val="none"/>
              </w:rPr>
              <w:t>机房空调</w:t>
            </w:r>
          </w:p>
        </w:tc>
        <w:tc>
          <w:tcPr>
            <w:tcW w:w="4338" w:type="dxa"/>
            <w:vAlign w:val="top"/>
          </w:tcPr>
          <w:p w14:paraId="10B0468B">
            <w:pPr>
              <w:pStyle w:val="20"/>
              <w:spacing w:before="228" w:line="329" w:lineRule="auto"/>
              <w:ind w:left="117" w:right="236" w:hanging="4"/>
              <w:rPr>
                <w:color w:val="auto"/>
                <w:sz w:val="19"/>
                <w:szCs w:val="19"/>
                <w:highlight w:val="none"/>
              </w:rPr>
            </w:pPr>
            <w:r>
              <w:rPr>
                <w:color w:val="auto"/>
                <w:spacing w:val="8"/>
                <w:sz w:val="19"/>
                <w:szCs w:val="19"/>
                <w:highlight w:val="none"/>
              </w:rPr>
              <w:t>《单元式空气调节机能效限定值及能效等级》</w:t>
            </w:r>
            <w:r>
              <w:rPr>
                <w:color w:val="auto"/>
                <w:spacing w:val="11"/>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19576）</w:t>
            </w:r>
          </w:p>
        </w:tc>
      </w:tr>
      <w:tr w14:paraId="34033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7" w:hRule="atLeast"/>
        </w:trPr>
        <w:tc>
          <w:tcPr>
            <w:tcW w:w="650" w:type="dxa"/>
            <w:vMerge w:val="continue"/>
            <w:tcBorders>
              <w:top w:val="nil"/>
            </w:tcBorders>
            <w:vAlign w:val="top"/>
          </w:tcPr>
          <w:p w14:paraId="10A847A6">
            <w:pPr>
              <w:rPr>
                <w:rFonts w:ascii="Arial"/>
                <w:color w:val="auto"/>
                <w:sz w:val="21"/>
                <w:highlight w:val="none"/>
              </w:rPr>
            </w:pPr>
          </w:p>
        </w:tc>
        <w:tc>
          <w:tcPr>
            <w:tcW w:w="1114" w:type="dxa"/>
            <w:vMerge w:val="continue"/>
            <w:tcBorders>
              <w:top w:val="nil"/>
            </w:tcBorders>
            <w:vAlign w:val="top"/>
          </w:tcPr>
          <w:p w14:paraId="359D47CB">
            <w:pPr>
              <w:rPr>
                <w:rFonts w:ascii="Arial"/>
                <w:color w:val="auto"/>
                <w:sz w:val="21"/>
                <w:highlight w:val="none"/>
              </w:rPr>
            </w:pPr>
          </w:p>
        </w:tc>
        <w:tc>
          <w:tcPr>
            <w:tcW w:w="1513" w:type="dxa"/>
            <w:vAlign w:val="top"/>
          </w:tcPr>
          <w:p w14:paraId="757C1C12">
            <w:pPr>
              <w:pStyle w:val="20"/>
              <w:spacing w:before="65" w:line="322" w:lineRule="auto"/>
              <w:ind w:left="153" w:right="152" w:firstLine="17"/>
              <w:rPr>
                <w:color w:val="auto"/>
                <w:sz w:val="19"/>
                <w:szCs w:val="19"/>
                <w:highlight w:val="none"/>
              </w:rPr>
            </w:pPr>
            <w:r>
              <w:rPr>
                <w:color w:val="auto"/>
                <w:spacing w:val="4"/>
                <w:sz w:val="19"/>
                <w:szCs w:val="19"/>
                <w:highlight w:val="none"/>
              </w:rPr>
              <w:t>A02052399</w:t>
            </w:r>
            <w:r>
              <w:rPr>
                <w:color w:val="auto"/>
                <w:spacing w:val="-34"/>
                <w:sz w:val="19"/>
                <w:szCs w:val="19"/>
                <w:highlight w:val="none"/>
              </w:rPr>
              <w:t xml:space="preserve"> </w:t>
            </w:r>
            <w:r>
              <w:rPr>
                <w:color w:val="auto"/>
                <w:spacing w:val="4"/>
                <w:sz w:val="19"/>
                <w:szCs w:val="19"/>
                <w:highlight w:val="none"/>
              </w:rPr>
              <w:t>其</w:t>
            </w:r>
            <w:r>
              <w:rPr>
                <w:color w:val="auto"/>
                <w:sz w:val="19"/>
                <w:szCs w:val="19"/>
                <w:highlight w:val="none"/>
              </w:rPr>
              <w:t xml:space="preserve"> </w:t>
            </w:r>
            <w:r>
              <w:rPr>
                <w:color w:val="auto"/>
                <w:spacing w:val="8"/>
                <w:sz w:val="19"/>
                <w:szCs w:val="19"/>
                <w:highlight w:val="none"/>
              </w:rPr>
              <w:t>他制冷空调设</w:t>
            </w:r>
          </w:p>
          <w:p w14:paraId="037AF051">
            <w:pPr>
              <w:pStyle w:val="20"/>
              <w:spacing w:line="230" w:lineRule="auto"/>
              <w:ind w:left="655"/>
              <w:rPr>
                <w:color w:val="auto"/>
                <w:sz w:val="19"/>
                <w:szCs w:val="19"/>
                <w:highlight w:val="none"/>
              </w:rPr>
            </w:pPr>
            <w:r>
              <w:rPr>
                <w:color w:val="auto"/>
                <w:sz w:val="19"/>
                <w:szCs w:val="19"/>
                <w:highlight w:val="none"/>
              </w:rPr>
              <w:t>备</w:t>
            </w:r>
          </w:p>
        </w:tc>
        <w:tc>
          <w:tcPr>
            <w:tcW w:w="1609" w:type="dxa"/>
            <w:vAlign w:val="top"/>
          </w:tcPr>
          <w:p w14:paraId="7184C43E">
            <w:pPr>
              <w:spacing w:line="332" w:lineRule="auto"/>
              <w:rPr>
                <w:rFonts w:ascii="Arial"/>
                <w:color w:val="auto"/>
                <w:sz w:val="21"/>
                <w:highlight w:val="none"/>
              </w:rPr>
            </w:pPr>
          </w:p>
          <w:p w14:paraId="0B687880">
            <w:pPr>
              <w:pStyle w:val="20"/>
              <w:spacing w:before="62" w:line="231" w:lineRule="auto"/>
              <w:ind w:left="506"/>
              <w:rPr>
                <w:color w:val="auto"/>
                <w:sz w:val="19"/>
                <w:szCs w:val="19"/>
                <w:highlight w:val="none"/>
              </w:rPr>
            </w:pPr>
            <w:r>
              <w:rPr>
                <w:color w:val="auto"/>
                <w:spacing w:val="6"/>
                <w:sz w:val="19"/>
                <w:szCs w:val="19"/>
                <w:highlight w:val="none"/>
              </w:rPr>
              <w:t>冷却塔</w:t>
            </w:r>
          </w:p>
        </w:tc>
        <w:tc>
          <w:tcPr>
            <w:tcW w:w="4338" w:type="dxa"/>
            <w:vAlign w:val="top"/>
          </w:tcPr>
          <w:p w14:paraId="6A625357">
            <w:pPr>
              <w:pStyle w:val="20"/>
              <w:spacing w:before="66" w:line="298" w:lineRule="auto"/>
              <w:ind w:left="108" w:right="221" w:firstLine="5"/>
              <w:jc w:val="both"/>
              <w:rPr>
                <w:color w:val="auto"/>
                <w:sz w:val="19"/>
                <w:szCs w:val="19"/>
                <w:highlight w:val="none"/>
              </w:rPr>
            </w:pPr>
            <w:r>
              <w:rPr>
                <w:color w:val="auto"/>
                <w:spacing w:val="5"/>
                <w:sz w:val="19"/>
                <w:szCs w:val="19"/>
                <w:highlight w:val="none"/>
              </w:rPr>
              <w:t>《机械通风冷却塔第</w:t>
            </w:r>
            <w:r>
              <w:rPr>
                <w:color w:val="auto"/>
                <w:spacing w:val="-14"/>
                <w:sz w:val="19"/>
                <w:szCs w:val="19"/>
                <w:highlight w:val="none"/>
              </w:rPr>
              <w:t xml:space="preserve"> </w:t>
            </w:r>
            <w:r>
              <w:rPr>
                <w:color w:val="auto"/>
                <w:spacing w:val="5"/>
                <w:sz w:val="19"/>
                <w:szCs w:val="19"/>
                <w:highlight w:val="none"/>
              </w:rPr>
              <w:t>1</w:t>
            </w:r>
            <w:r>
              <w:rPr>
                <w:color w:val="auto"/>
                <w:spacing w:val="-33"/>
                <w:sz w:val="19"/>
                <w:szCs w:val="19"/>
                <w:highlight w:val="none"/>
              </w:rPr>
              <w:t xml:space="preserve"> </w:t>
            </w:r>
            <w:r>
              <w:rPr>
                <w:color w:val="auto"/>
                <w:spacing w:val="5"/>
                <w:sz w:val="19"/>
                <w:szCs w:val="19"/>
                <w:highlight w:val="none"/>
              </w:rPr>
              <w:t>部分：</w:t>
            </w:r>
            <w:r>
              <w:rPr>
                <w:color w:val="auto"/>
                <w:spacing w:val="-57"/>
                <w:sz w:val="19"/>
                <w:szCs w:val="19"/>
                <w:highlight w:val="none"/>
              </w:rPr>
              <w:t xml:space="preserve"> </w:t>
            </w:r>
            <w:r>
              <w:rPr>
                <w:color w:val="auto"/>
                <w:spacing w:val="5"/>
                <w:sz w:val="19"/>
                <w:szCs w:val="19"/>
                <w:highlight w:val="none"/>
              </w:rPr>
              <w:t>中小型开式冷却</w:t>
            </w:r>
            <w:r>
              <w:rPr>
                <w:color w:val="auto"/>
                <w:sz w:val="19"/>
                <w:szCs w:val="19"/>
                <w:highlight w:val="none"/>
              </w:rPr>
              <w:t xml:space="preserve"> </w:t>
            </w:r>
            <w:r>
              <w:rPr>
                <w:color w:val="auto"/>
                <w:spacing w:val="7"/>
                <w:sz w:val="19"/>
                <w:szCs w:val="19"/>
                <w:highlight w:val="none"/>
              </w:rPr>
              <w:t>塔》（</w:t>
            </w:r>
            <w:r>
              <w:rPr>
                <w:color w:val="auto"/>
                <w:sz w:val="19"/>
                <w:szCs w:val="19"/>
                <w:highlight w:val="none"/>
              </w:rPr>
              <w:t>GB</w:t>
            </w:r>
            <w:r>
              <w:rPr>
                <w:color w:val="auto"/>
                <w:spacing w:val="7"/>
                <w:sz w:val="19"/>
                <w:szCs w:val="19"/>
                <w:highlight w:val="none"/>
              </w:rPr>
              <w:t>/T7190.1</w:t>
            </w:r>
            <w:r>
              <w:rPr>
                <w:color w:val="auto"/>
                <w:spacing w:val="13"/>
                <w:sz w:val="19"/>
                <w:szCs w:val="19"/>
                <w:highlight w:val="none"/>
              </w:rPr>
              <w:t>）；</w:t>
            </w:r>
            <w:r>
              <w:rPr>
                <w:color w:val="auto"/>
                <w:spacing w:val="7"/>
                <w:sz w:val="19"/>
                <w:szCs w:val="19"/>
                <w:highlight w:val="none"/>
              </w:rPr>
              <w:t>《机械通风冷却塔第</w:t>
            </w:r>
            <w:r>
              <w:rPr>
                <w:color w:val="auto"/>
                <w:spacing w:val="-31"/>
                <w:sz w:val="19"/>
                <w:szCs w:val="19"/>
                <w:highlight w:val="none"/>
              </w:rPr>
              <w:t xml:space="preserve"> </w:t>
            </w:r>
            <w:r>
              <w:rPr>
                <w:color w:val="auto"/>
                <w:spacing w:val="7"/>
                <w:sz w:val="19"/>
                <w:szCs w:val="19"/>
                <w:highlight w:val="none"/>
              </w:rPr>
              <w:t>2</w:t>
            </w:r>
            <w:r>
              <w:rPr>
                <w:color w:val="auto"/>
                <w:sz w:val="19"/>
                <w:szCs w:val="19"/>
                <w:highlight w:val="none"/>
              </w:rPr>
              <w:t xml:space="preserve"> </w:t>
            </w:r>
            <w:r>
              <w:rPr>
                <w:color w:val="auto"/>
                <w:spacing w:val="7"/>
                <w:sz w:val="19"/>
                <w:szCs w:val="19"/>
                <w:highlight w:val="none"/>
              </w:rPr>
              <w:t>部分：大型开式冷却塔》（</w:t>
            </w:r>
            <w:r>
              <w:rPr>
                <w:color w:val="auto"/>
                <w:sz w:val="19"/>
                <w:szCs w:val="19"/>
                <w:highlight w:val="none"/>
              </w:rPr>
              <w:t>GB</w:t>
            </w:r>
            <w:r>
              <w:rPr>
                <w:color w:val="auto"/>
                <w:spacing w:val="7"/>
                <w:sz w:val="19"/>
                <w:szCs w:val="19"/>
                <w:highlight w:val="none"/>
              </w:rPr>
              <w:t>/T7190.2）</w:t>
            </w:r>
          </w:p>
        </w:tc>
      </w:tr>
      <w:tr w14:paraId="59631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650" w:type="dxa"/>
            <w:vAlign w:val="top"/>
          </w:tcPr>
          <w:p w14:paraId="512B97F9">
            <w:pPr>
              <w:pStyle w:val="20"/>
              <w:spacing w:before="231" w:line="257" w:lineRule="exact"/>
              <w:ind w:left="275"/>
              <w:rPr>
                <w:color w:val="auto"/>
                <w:sz w:val="19"/>
                <w:szCs w:val="19"/>
                <w:highlight w:val="none"/>
              </w:rPr>
            </w:pPr>
            <w:r>
              <w:rPr>
                <w:color w:val="auto"/>
                <w:position w:val="1"/>
                <w:sz w:val="19"/>
                <w:szCs w:val="19"/>
                <w:highlight w:val="none"/>
              </w:rPr>
              <w:t>7</w:t>
            </w:r>
          </w:p>
        </w:tc>
        <w:tc>
          <w:tcPr>
            <w:tcW w:w="1114" w:type="dxa"/>
            <w:vAlign w:val="top"/>
          </w:tcPr>
          <w:p w14:paraId="37D94CA0">
            <w:pPr>
              <w:pStyle w:val="20"/>
              <w:spacing w:before="65" w:line="287" w:lineRule="auto"/>
              <w:ind w:left="373" w:right="205" w:hanging="178"/>
              <w:rPr>
                <w:color w:val="auto"/>
                <w:sz w:val="19"/>
                <w:szCs w:val="19"/>
                <w:highlight w:val="none"/>
              </w:rPr>
            </w:pPr>
            <w:r>
              <w:rPr>
                <w:color w:val="auto"/>
                <w:spacing w:val="4"/>
                <w:sz w:val="19"/>
                <w:szCs w:val="19"/>
                <w:highlight w:val="none"/>
              </w:rPr>
              <w:t>A020601</w:t>
            </w:r>
            <w:r>
              <w:rPr>
                <w:color w:val="auto"/>
                <w:spacing w:val="3"/>
                <w:sz w:val="19"/>
                <w:szCs w:val="19"/>
                <w:highlight w:val="none"/>
              </w:rPr>
              <w:t xml:space="preserve"> </w:t>
            </w:r>
            <w:r>
              <w:rPr>
                <w:color w:val="auto"/>
                <w:spacing w:val="-7"/>
                <w:sz w:val="19"/>
                <w:szCs w:val="19"/>
                <w:highlight w:val="none"/>
              </w:rPr>
              <w:t>电机</w:t>
            </w:r>
          </w:p>
        </w:tc>
        <w:tc>
          <w:tcPr>
            <w:tcW w:w="1513" w:type="dxa"/>
            <w:vAlign w:val="top"/>
          </w:tcPr>
          <w:p w14:paraId="76FB49A4">
            <w:pPr>
              <w:rPr>
                <w:rFonts w:ascii="Arial"/>
                <w:color w:val="auto"/>
                <w:sz w:val="21"/>
                <w:highlight w:val="none"/>
              </w:rPr>
            </w:pPr>
          </w:p>
        </w:tc>
        <w:tc>
          <w:tcPr>
            <w:tcW w:w="1609" w:type="dxa"/>
            <w:vAlign w:val="top"/>
          </w:tcPr>
          <w:p w14:paraId="508F8168">
            <w:pPr>
              <w:rPr>
                <w:rFonts w:ascii="Arial"/>
                <w:color w:val="auto"/>
                <w:sz w:val="21"/>
                <w:highlight w:val="none"/>
              </w:rPr>
            </w:pPr>
          </w:p>
        </w:tc>
        <w:tc>
          <w:tcPr>
            <w:tcW w:w="4338" w:type="dxa"/>
            <w:vAlign w:val="top"/>
          </w:tcPr>
          <w:p w14:paraId="42E288EF">
            <w:pPr>
              <w:pStyle w:val="20"/>
              <w:spacing w:before="65" w:line="287" w:lineRule="auto"/>
              <w:ind w:left="111" w:right="224" w:firstLine="2"/>
              <w:rPr>
                <w:color w:val="auto"/>
                <w:sz w:val="19"/>
                <w:szCs w:val="19"/>
                <w:highlight w:val="none"/>
              </w:rPr>
            </w:pPr>
            <w:r>
              <w:rPr>
                <w:color w:val="auto"/>
                <w:spacing w:val="9"/>
                <w:sz w:val="19"/>
                <w:szCs w:val="19"/>
                <w:highlight w:val="none"/>
              </w:rPr>
              <w:t>《中小型三相异步电动机能效限定值及能效等</w:t>
            </w:r>
            <w:r>
              <w:rPr>
                <w:color w:val="auto"/>
                <w:spacing w:val="3"/>
                <w:sz w:val="19"/>
                <w:szCs w:val="19"/>
                <w:highlight w:val="none"/>
              </w:rPr>
              <w:t xml:space="preserve"> </w:t>
            </w:r>
            <w:r>
              <w:rPr>
                <w:color w:val="auto"/>
                <w:spacing w:val="5"/>
                <w:sz w:val="19"/>
                <w:szCs w:val="19"/>
                <w:highlight w:val="none"/>
              </w:rPr>
              <w:t>级》（</w:t>
            </w:r>
            <w:r>
              <w:rPr>
                <w:color w:val="auto"/>
                <w:sz w:val="19"/>
                <w:szCs w:val="19"/>
                <w:highlight w:val="none"/>
              </w:rPr>
              <w:t>GB</w:t>
            </w:r>
            <w:r>
              <w:rPr>
                <w:color w:val="auto"/>
                <w:spacing w:val="5"/>
                <w:sz w:val="19"/>
                <w:szCs w:val="19"/>
                <w:highlight w:val="none"/>
              </w:rPr>
              <w:t>18613）</w:t>
            </w:r>
          </w:p>
        </w:tc>
      </w:tr>
      <w:tr w14:paraId="366E6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650" w:type="dxa"/>
            <w:vAlign w:val="top"/>
          </w:tcPr>
          <w:p w14:paraId="001B3103">
            <w:pPr>
              <w:pStyle w:val="20"/>
              <w:spacing w:before="232" w:line="256" w:lineRule="exact"/>
              <w:ind w:left="271"/>
              <w:rPr>
                <w:color w:val="auto"/>
                <w:sz w:val="19"/>
                <w:szCs w:val="19"/>
                <w:highlight w:val="none"/>
              </w:rPr>
            </w:pPr>
            <w:r>
              <w:rPr>
                <w:color w:val="auto"/>
                <w:position w:val="1"/>
                <w:sz w:val="19"/>
                <w:szCs w:val="19"/>
                <w:highlight w:val="none"/>
              </w:rPr>
              <w:t>8</w:t>
            </w:r>
          </w:p>
        </w:tc>
        <w:tc>
          <w:tcPr>
            <w:tcW w:w="1114" w:type="dxa"/>
            <w:vAlign w:val="top"/>
          </w:tcPr>
          <w:p w14:paraId="2C20CE7D">
            <w:pPr>
              <w:pStyle w:val="20"/>
              <w:spacing w:before="67" w:line="286" w:lineRule="auto"/>
              <w:ind w:left="251" w:right="205" w:hanging="56"/>
              <w:rPr>
                <w:color w:val="auto"/>
                <w:sz w:val="19"/>
                <w:szCs w:val="19"/>
                <w:highlight w:val="none"/>
              </w:rPr>
            </w:pPr>
            <w:r>
              <w:rPr>
                <w:color w:val="auto"/>
                <w:spacing w:val="4"/>
                <w:sz w:val="19"/>
                <w:szCs w:val="19"/>
                <w:highlight w:val="none"/>
              </w:rPr>
              <w:t>A020602</w:t>
            </w:r>
            <w:r>
              <w:rPr>
                <w:color w:val="auto"/>
                <w:spacing w:val="3"/>
                <w:sz w:val="19"/>
                <w:szCs w:val="19"/>
                <w:highlight w:val="none"/>
              </w:rPr>
              <w:t xml:space="preserve"> </w:t>
            </w:r>
            <w:r>
              <w:rPr>
                <w:color w:val="auto"/>
                <w:spacing w:val="7"/>
                <w:sz w:val="19"/>
                <w:szCs w:val="19"/>
                <w:highlight w:val="none"/>
              </w:rPr>
              <w:t>变压器</w:t>
            </w:r>
          </w:p>
        </w:tc>
        <w:tc>
          <w:tcPr>
            <w:tcW w:w="1513" w:type="dxa"/>
            <w:vAlign w:val="top"/>
          </w:tcPr>
          <w:p w14:paraId="6C948301">
            <w:pPr>
              <w:pStyle w:val="20"/>
              <w:spacing w:before="232" w:line="230" w:lineRule="auto"/>
              <w:ind w:left="254"/>
              <w:rPr>
                <w:color w:val="auto"/>
                <w:sz w:val="19"/>
                <w:szCs w:val="19"/>
                <w:highlight w:val="none"/>
              </w:rPr>
            </w:pPr>
            <w:r>
              <w:rPr>
                <w:color w:val="auto"/>
                <w:spacing w:val="8"/>
                <w:sz w:val="19"/>
                <w:szCs w:val="19"/>
                <w:highlight w:val="none"/>
              </w:rPr>
              <w:t>配电变压器</w:t>
            </w:r>
          </w:p>
        </w:tc>
        <w:tc>
          <w:tcPr>
            <w:tcW w:w="1609" w:type="dxa"/>
            <w:vAlign w:val="top"/>
          </w:tcPr>
          <w:p w14:paraId="49903472">
            <w:pPr>
              <w:rPr>
                <w:rFonts w:ascii="Arial"/>
                <w:color w:val="auto"/>
                <w:sz w:val="21"/>
                <w:highlight w:val="none"/>
              </w:rPr>
            </w:pPr>
          </w:p>
        </w:tc>
        <w:tc>
          <w:tcPr>
            <w:tcW w:w="4338" w:type="dxa"/>
            <w:vAlign w:val="top"/>
          </w:tcPr>
          <w:p w14:paraId="34A83505">
            <w:pPr>
              <w:pStyle w:val="20"/>
              <w:spacing w:before="67" w:line="286" w:lineRule="auto"/>
              <w:ind w:left="117" w:right="435" w:hanging="4"/>
              <w:rPr>
                <w:color w:val="auto"/>
                <w:sz w:val="19"/>
                <w:szCs w:val="19"/>
                <w:highlight w:val="none"/>
              </w:rPr>
            </w:pPr>
            <w:r>
              <w:rPr>
                <w:color w:val="auto"/>
                <w:spacing w:val="8"/>
                <w:sz w:val="19"/>
                <w:szCs w:val="19"/>
                <w:highlight w:val="none"/>
              </w:rPr>
              <w:t>《三相配电变压器能效限定值及能效等级》</w:t>
            </w:r>
            <w:r>
              <w:rPr>
                <w:color w:val="auto"/>
                <w:spacing w:val="10"/>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20052）</w:t>
            </w:r>
          </w:p>
        </w:tc>
      </w:tr>
      <w:tr w14:paraId="5AA39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650" w:type="dxa"/>
            <w:vAlign w:val="top"/>
          </w:tcPr>
          <w:p w14:paraId="60A02663">
            <w:pPr>
              <w:pStyle w:val="20"/>
              <w:spacing w:before="233" w:line="256" w:lineRule="exact"/>
              <w:ind w:left="271"/>
              <w:rPr>
                <w:color w:val="auto"/>
                <w:sz w:val="19"/>
                <w:szCs w:val="19"/>
                <w:highlight w:val="none"/>
              </w:rPr>
            </w:pPr>
            <w:r>
              <w:rPr>
                <w:color w:val="auto"/>
                <w:position w:val="1"/>
                <w:sz w:val="19"/>
                <w:szCs w:val="19"/>
                <w:highlight w:val="none"/>
              </w:rPr>
              <w:t>9</w:t>
            </w:r>
          </w:p>
        </w:tc>
        <w:tc>
          <w:tcPr>
            <w:tcW w:w="1114" w:type="dxa"/>
            <w:vAlign w:val="top"/>
          </w:tcPr>
          <w:p w14:paraId="0AE5E192">
            <w:pPr>
              <w:pStyle w:val="20"/>
              <w:spacing w:before="67" w:line="286" w:lineRule="auto"/>
              <w:ind w:left="252" w:right="106" w:hanging="148"/>
              <w:rPr>
                <w:color w:val="auto"/>
                <w:sz w:val="19"/>
                <w:szCs w:val="19"/>
                <w:highlight w:val="none"/>
              </w:rPr>
            </w:pPr>
            <w:r>
              <w:rPr>
                <w:color w:val="auto"/>
                <w:spacing w:val="4"/>
                <w:sz w:val="19"/>
                <w:szCs w:val="19"/>
                <w:highlight w:val="none"/>
              </w:rPr>
              <w:t>★A020609</w:t>
            </w:r>
            <w:r>
              <w:rPr>
                <w:color w:val="auto"/>
                <w:sz w:val="19"/>
                <w:szCs w:val="19"/>
                <w:highlight w:val="none"/>
              </w:rPr>
              <w:t xml:space="preserve"> </w:t>
            </w:r>
            <w:r>
              <w:rPr>
                <w:color w:val="auto"/>
                <w:spacing w:val="7"/>
                <w:sz w:val="19"/>
                <w:szCs w:val="19"/>
                <w:highlight w:val="none"/>
              </w:rPr>
              <w:t>镇流器</w:t>
            </w:r>
          </w:p>
        </w:tc>
        <w:tc>
          <w:tcPr>
            <w:tcW w:w="1513" w:type="dxa"/>
            <w:vAlign w:val="top"/>
          </w:tcPr>
          <w:p w14:paraId="7A9485E0">
            <w:pPr>
              <w:pStyle w:val="20"/>
              <w:spacing w:before="67" w:line="229" w:lineRule="auto"/>
              <w:ind w:left="157"/>
              <w:rPr>
                <w:color w:val="auto"/>
                <w:sz w:val="19"/>
                <w:szCs w:val="19"/>
                <w:highlight w:val="none"/>
              </w:rPr>
            </w:pPr>
            <w:r>
              <w:rPr>
                <w:color w:val="auto"/>
                <w:spacing w:val="8"/>
                <w:sz w:val="19"/>
                <w:szCs w:val="19"/>
                <w:highlight w:val="none"/>
              </w:rPr>
              <w:t>管型荧光灯镇</w:t>
            </w:r>
          </w:p>
          <w:p w14:paraId="0F311C5D">
            <w:pPr>
              <w:pStyle w:val="20"/>
              <w:spacing w:before="96" w:line="232" w:lineRule="auto"/>
              <w:ind w:left="555"/>
              <w:rPr>
                <w:color w:val="auto"/>
                <w:sz w:val="19"/>
                <w:szCs w:val="19"/>
                <w:highlight w:val="none"/>
              </w:rPr>
            </w:pPr>
            <w:r>
              <w:rPr>
                <w:color w:val="auto"/>
                <w:spacing w:val="4"/>
                <w:sz w:val="19"/>
                <w:szCs w:val="19"/>
                <w:highlight w:val="none"/>
              </w:rPr>
              <w:t>流器</w:t>
            </w:r>
          </w:p>
        </w:tc>
        <w:tc>
          <w:tcPr>
            <w:tcW w:w="1609" w:type="dxa"/>
            <w:vAlign w:val="top"/>
          </w:tcPr>
          <w:p w14:paraId="3642F267">
            <w:pPr>
              <w:rPr>
                <w:rFonts w:ascii="Arial"/>
                <w:color w:val="auto"/>
                <w:sz w:val="21"/>
                <w:highlight w:val="none"/>
              </w:rPr>
            </w:pPr>
          </w:p>
        </w:tc>
        <w:tc>
          <w:tcPr>
            <w:tcW w:w="4338" w:type="dxa"/>
            <w:vAlign w:val="top"/>
          </w:tcPr>
          <w:p w14:paraId="47168C6F">
            <w:pPr>
              <w:pStyle w:val="20"/>
              <w:spacing w:before="67" w:line="286" w:lineRule="auto"/>
              <w:ind w:left="117" w:right="236" w:hanging="4"/>
              <w:rPr>
                <w:color w:val="auto"/>
                <w:sz w:val="19"/>
                <w:szCs w:val="19"/>
                <w:highlight w:val="none"/>
              </w:rPr>
            </w:pPr>
            <w:r>
              <w:rPr>
                <w:color w:val="auto"/>
                <w:spacing w:val="8"/>
                <w:sz w:val="19"/>
                <w:szCs w:val="19"/>
                <w:highlight w:val="none"/>
              </w:rPr>
              <w:t>《管形荧光灯镇流器能效限定值及能效等级》</w:t>
            </w:r>
            <w:r>
              <w:rPr>
                <w:color w:val="auto"/>
                <w:spacing w:val="11"/>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17896）</w:t>
            </w:r>
          </w:p>
        </w:tc>
      </w:tr>
      <w:tr w14:paraId="7BFF5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650" w:type="dxa"/>
            <w:vMerge w:val="restart"/>
            <w:tcBorders>
              <w:bottom w:val="nil"/>
            </w:tcBorders>
            <w:vAlign w:val="top"/>
          </w:tcPr>
          <w:p w14:paraId="7288B3F2">
            <w:pPr>
              <w:spacing w:line="252" w:lineRule="auto"/>
              <w:rPr>
                <w:rFonts w:ascii="Arial"/>
                <w:color w:val="auto"/>
                <w:sz w:val="21"/>
                <w:highlight w:val="none"/>
              </w:rPr>
            </w:pPr>
          </w:p>
          <w:p w14:paraId="554E201A">
            <w:pPr>
              <w:spacing w:line="253" w:lineRule="auto"/>
              <w:rPr>
                <w:rFonts w:ascii="Arial"/>
                <w:color w:val="auto"/>
                <w:sz w:val="21"/>
                <w:highlight w:val="none"/>
              </w:rPr>
            </w:pPr>
          </w:p>
          <w:p w14:paraId="3BDD100C">
            <w:pPr>
              <w:spacing w:line="253" w:lineRule="auto"/>
              <w:rPr>
                <w:rFonts w:ascii="Arial"/>
                <w:color w:val="auto"/>
                <w:sz w:val="21"/>
                <w:highlight w:val="none"/>
              </w:rPr>
            </w:pPr>
          </w:p>
          <w:p w14:paraId="2EAAE36F">
            <w:pPr>
              <w:spacing w:line="253" w:lineRule="auto"/>
              <w:rPr>
                <w:rFonts w:ascii="Arial"/>
                <w:color w:val="auto"/>
                <w:sz w:val="21"/>
                <w:highlight w:val="none"/>
              </w:rPr>
            </w:pPr>
          </w:p>
          <w:p w14:paraId="57CEF7F3">
            <w:pPr>
              <w:spacing w:line="253" w:lineRule="auto"/>
              <w:rPr>
                <w:rFonts w:ascii="Arial"/>
                <w:color w:val="auto"/>
                <w:sz w:val="21"/>
                <w:highlight w:val="none"/>
              </w:rPr>
            </w:pPr>
          </w:p>
          <w:p w14:paraId="3F03C7AD">
            <w:pPr>
              <w:spacing w:line="253" w:lineRule="auto"/>
              <w:rPr>
                <w:rFonts w:ascii="Arial"/>
                <w:color w:val="auto"/>
                <w:sz w:val="21"/>
                <w:highlight w:val="none"/>
              </w:rPr>
            </w:pPr>
          </w:p>
          <w:p w14:paraId="7EF5E646">
            <w:pPr>
              <w:spacing w:line="253" w:lineRule="auto"/>
              <w:rPr>
                <w:rFonts w:ascii="Arial"/>
                <w:color w:val="auto"/>
                <w:sz w:val="21"/>
                <w:highlight w:val="none"/>
              </w:rPr>
            </w:pPr>
          </w:p>
          <w:p w14:paraId="54486D51">
            <w:pPr>
              <w:spacing w:line="253" w:lineRule="auto"/>
              <w:rPr>
                <w:rFonts w:ascii="Arial"/>
                <w:color w:val="auto"/>
                <w:sz w:val="21"/>
                <w:highlight w:val="none"/>
              </w:rPr>
            </w:pPr>
          </w:p>
          <w:p w14:paraId="2029A1EF">
            <w:pPr>
              <w:spacing w:line="253" w:lineRule="auto"/>
              <w:rPr>
                <w:rFonts w:ascii="Arial"/>
                <w:color w:val="auto"/>
                <w:sz w:val="21"/>
                <w:highlight w:val="none"/>
              </w:rPr>
            </w:pPr>
          </w:p>
          <w:p w14:paraId="47E16787">
            <w:pPr>
              <w:spacing w:line="253" w:lineRule="auto"/>
              <w:rPr>
                <w:rFonts w:ascii="Arial"/>
                <w:color w:val="auto"/>
                <w:sz w:val="21"/>
                <w:highlight w:val="none"/>
              </w:rPr>
            </w:pPr>
          </w:p>
          <w:p w14:paraId="24120D93">
            <w:pPr>
              <w:spacing w:line="253" w:lineRule="auto"/>
              <w:rPr>
                <w:rFonts w:ascii="Arial"/>
                <w:color w:val="auto"/>
                <w:sz w:val="21"/>
                <w:highlight w:val="none"/>
              </w:rPr>
            </w:pPr>
          </w:p>
          <w:p w14:paraId="02BEC321">
            <w:pPr>
              <w:spacing w:line="253" w:lineRule="auto"/>
              <w:rPr>
                <w:rFonts w:ascii="Arial"/>
                <w:color w:val="auto"/>
                <w:sz w:val="21"/>
                <w:highlight w:val="none"/>
              </w:rPr>
            </w:pPr>
          </w:p>
          <w:p w14:paraId="3B813220">
            <w:pPr>
              <w:spacing w:line="253" w:lineRule="auto"/>
              <w:rPr>
                <w:rFonts w:ascii="Arial"/>
                <w:color w:val="auto"/>
                <w:sz w:val="21"/>
                <w:highlight w:val="none"/>
              </w:rPr>
            </w:pPr>
          </w:p>
          <w:p w14:paraId="21824637">
            <w:pPr>
              <w:spacing w:line="253" w:lineRule="auto"/>
              <w:rPr>
                <w:rFonts w:ascii="Arial"/>
                <w:color w:val="auto"/>
                <w:sz w:val="21"/>
                <w:highlight w:val="none"/>
              </w:rPr>
            </w:pPr>
          </w:p>
          <w:p w14:paraId="2D3B32C0">
            <w:pPr>
              <w:pStyle w:val="20"/>
              <w:spacing w:before="62" w:line="256" w:lineRule="exact"/>
              <w:ind w:left="237"/>
              <w:rPr>
                <w:color w:val="auto"/>
                <w:sz w:val="19"/>
                <w:szCs w:val="19"/>
                <w:highlight w:val="none"/>
              </w:rPr>
            </w:pPr>
            <w:r>
              <w:rPr>
                <w:color w:val="auto"/>
                <w:spacing w:val="-7"/>
                <w:position w:val="1"/>
                <w:sz w:val="19"/>
                <w:szCs w:val="19"/>
                <w:highlight w:val="none"/>
              </w:rPr>
              <w:t>10</w:t>
            </w:r>
          </w:p>
        </w:tc>
        <w:tc>
          <w:tcPr>
            <w:tcW w:w="1114" w:type="dxa"/>
            <w:vMerge w:val="restart"/>
            <w:tcBorders>
              <w:bottom w:val="nil"/>
            </w:tcBorders>
            <w:vAlign w:val="top"/>
          </w:tcPr>
          <w:p w14:paraId="0D659095">
            <w:pPr>
              <w:spacing w:line="247" w:lineRule="auto"/>
              <w:rPr>
                <w:rFonts w:ascii="Arial"/>
                <w:color w:val="auto"/>
                <w:sz w:val="21"/>
                <w:highlight w:val="none"/>
              </w:rPr>
            </w:pPr>
          </w:p>
          <w:p w14:paraId="1B74F2A9">
            <w:pPr>
              <w:spacing w:line="247" w:lineRule="auto"/>
              <w:rPr>
                <w:rFonts w:ascii="Arial"/>
                <w:color w:val="auto"/>
                <w:sz w:val="21"/>
                <w:highlight w:val="none"/>
              </w:rPr>
            </w:pPr>
          </w:p>
          <w:p w14:paraId="5602E7E8">
            <w:pPr>
              <w:spacing w:line="247" w:lineRule="auto"/>
              <w:rPr>
                <w:rFonts w:ascii="Arial"/>
                <w:color w:val="auto"/>
                <w:sz w:val="21"/>
                <w:highlight w:val="none"/>
              </w:rPr>
            </w:pPr>
          </w:p>
          <w:p w14:paraId="4D556F51">
            <w:pPr>
              <w:spacing w:line="247" w:lineRule="auto"/>
              <w:rPr>
                <w:rFonts w:ascii="Arial"/>
                <w:color w:val="auto"/>
                <w:sz w:val="21"/>
                <w:highlight w:val="none"/>
              </w:rPr>
            </w:pPr>
          </w:p>
          <w:p w14:paraId="7598C774">
            <w:pPr>
              <w:spacing w:line="247" w:lineRule="auto"/>
              <w:rPr>
                <w:rFonts w:ascii="Arial"/>
                <w:color w:val="auto"/>
                <w:sz w:val="21"/>
                <w:highlight w:val="none"/>
              </w:rPr>
            </w:pPr>
          </w:p>
          <w:p w14:paraId="1F705462">
            <w:pPr>
              <w:spacing w:line="247" w:lineRule="auto"/>
              <w:rPr>
                <w:rFonts w:ascii="Arial"/>
                <w:color w:val="auto"/>
                <w:sz w:val="21"/>
                <w:highlight w:val="none"/>
              </w:rPr>
            </w:pPr>
          </w:p>
          <w:p w14:paraId="7EB3DF9C">
            <w:pPr>
              <w:spacing w:line="247" w:lineRule="auto"/>
              <w:rPr>
                <w:rFonts w:ascii="Arial"/>
                <w:color w:val="auto"/>
                <w:sz w:val="21"/>
                <w:highlight w:val="none"/>
              </w:rPr>
            </w:pPr>
          </w:p>
          <w:p w14:paraId="68436C03">
            <w:pPr>
              <w:spacing w:line="247" w:lineRule="auto"/>
              <w:rPr>
                <w:rFonts w:ascii="Arial"/>
                <w:color w:val="auto"/>
                <w:sz w:val="21"/>
                <w:highlight w:val="none"/>
              </w:rPr>
            </w:pPr>
          </w:p>
          <w:p w14:paraId="498CCDC9">
            <w:pPr>
              <w:spacing w:line="247" w:lineRule="auto"/>
              <w:rPr>
                <w:rFonts w:ascii="Arial"/>
                <w:color w:val="auto"/>
                <w:sz w:val="21"/>
                <w:highlight w:val="none"/>
              </w:rPr>
            </w:pPr>
          </w:p>
          <w:p w14:paraId="5A0DEF81">
            <w:pPr>
              <w:spacing w:line="247" w:lineRule="auto"/>
              <w:rPr>
                <w:rFonts w:ascii="Arial"/>
                <w:color w:val="auto"/>
                <w:sz w:val="21"/>
                <w:highlight w:val="none"/>
              </w:rPr>
            </w:pPr>
          </w:p>
          <w:p w14:paraId="5B303796">
            <w:pPr>
              <w:spacing w:line="247" w:lineRule="auto"/>
              <w:rPr>
                <w:rFonts w:ascii="Arial"/>
                <w:color w:val="auto"/>
                <w:sz w:val="21"/>
                <w:highlight w:val="none"/>
              </w:rPr>
            </w:pPr>
          </w:p>
          <w:p w14:paraId="15C0EA6A">
            <w:pPr>
              <w:spacing w:line="247" w:lineRule="auto"/>
              <w:rPr>
                <w:rFonts w:ascii="Arial"/>
                <w:color w:val="auto"/>
                <w:sz w:val="21"/>
                <w:highlight w:val="none"/>
              </w:rPr>
            </w:pPr>
          </w:p>
          <w:p w14:paraId="23556824">
            <w:pPr>
              <w:spacing w:line="247" w:lineRule="auto"/>
              <w:rPr>
                <w:rFonts w:ascii="Arial"/>
                <w:color w:val="auto"/>
                <w:sz w:val="21"/>
                <w:highlight w:val="none"/>
              </w:rPr>
            </w:pPr>
          </w:p>
          <w:p w14:paraId="00E03324">
            <w:pPr>
              <w:pStyle w:val="20"/>
              <w:spacing w:before="62" w:line="322" w:lineRule="auto"/>
              <w:ind w:left="153" w:right="156" w:firstLine="42"/>
              <w:rPr>
                <w:color w:val="auto"/>
                <w:sz w:val="19"/>
                <w:szCs w:val="19"/>
                <w:highlight w:val="none"/>
              </w:rPr>
            </w:pPr>
            <w:r>
              <w:rPr>
                <w:color w:val="auto"/>
                <w:spacing w:val="4"/>
                <w:sz w:val="19"/>
                <w:szCs w:val="19"/>
                <w:highlight w:val="none"/>
              </w:rPr>
              <w:t>A020618</w:t>
            </w:r>
            <w:r>
              <w:rPr>
                <w:color w:val="auto"/>
                <w:spacing w:val="3"/>
                <w:sz w:val="19"/>
                <w:szCs w:val="19"/>
                <w:highlight w:val="none"/>
              </w:rPr>
              <w:t xml:space="preserve"> </w:t>
            </w:r>
            <w:r>
              <w:rPr>
                <w:color w:val="auto"/>
                <w:spacing w:val="7"/>
                <w:sz w:val="19"/>
                <w:szCs w:val="19"/>
                <w:highlight w:val="none"/>
              </w:rPr>
              <w:t>生活用电</w:t>
            </w:r>
          </w:p>
          <w:p w14:paraId="5C13E80E">
            <w:pPr>
              <w:pStyle w:val="20"/>
              <w:spacing w:line="233" w:lineRule="auto"/>
              <w:ind w:left="451"/>
              <w:rPr>
                <w:color w:val="auto"/>
                <w:sz w:val="19"/>
                <w:szCs w:val="19"/>
                <w:highlight w:val="none"/>
              </w:rPr>
            </w:pPr>
            <w:r>
              <w:rPr>
                <w:color w:val="auto"/>
                <w:spacing w:val="1"/>
                <w:sz w:val="19"/>
                <w:szCs w:val="19"/>
                <w:highlight w:val="none"/>
              </w:rPr>
              <w:t>器</w:t>
            </w:r>
          </w:p>
        </w:tc>
        <w:tc>
          <w:tcPr>
            <w:tcW w:w="1513" w:type="dxa"/>
            <w:vAlign w:val="top"/>
          </w:tcPr>
          <w:p w14:paraId="12283188">
            <w:pPr>
              <w:pStyle w:val="20"/>
              <w:spacing w:before="68" w:line="256" w:lineRule="exact"/>
              <w:ind w:left="197"/>
              <w:rPr>
                <w:color w:val="auto"/>
                <w:sz w:val="19"/>
                <w:szCs w:val="19"/>
                <w:highlight w:val="none"/>
              </w:rPr>
            </w:pPr>
            <w:r>
              <w:rPr>
                <w:color w:val="auto"/>
                <w:spacing w:val="4"/>
                <w:position w:val="1"/>
                <w:sz w:val="19"/>
                <w:szCs w:val="19"/>
                <w:highlight w:val="none"/>
              </w:rPr>
              <w:t>A0206180101</w:t>
            </w:r>
          </w:p>
          <w:p w14:paraId="40C99EFA">
            <w:pPr>
              <w:pStyle w:val="20"/>
              <w:spacing w:before="74" w:line="230" w:lineRule="auto"/>
              <w:ind w:left="476"/>
              <w:rPr>
                <w:color w:val="auto"/>
                <w:sz w:val="19"/>
                <w:szCs w:val="19"/>
                <w:highlight w:val="none"/>
              </w:rPr>
            </w:pPr>
            <w:r>
              <w:rPr>
                <w:color w:val="auto"/>
                <w:spacing w:val="-1"/>
                <w:sz w:val="19"/>
                <w:szCs w:val="19"/>
                <w:highlight w:val="none"/>
              </w:rPr>
              <w:t>电冰箱</w:t>
            </w:r>
          </w:p>
        </w:tc>
        <w:tc>
          <w:tcPr>
            <w:tcW w:w="1609" w:type="dxa"/>
            <w:vAlign w:val="top"/>
          </w:tcPr>
          <w:p w14:paraId="21F7AA53">
            <w:pPr>
              <w:rPr>
                <w:rFonts w:ascii="Arial"/>
                <w:color w:val="auto"/>
                <w:sz w:val="21"/>
                <w:highlight w:val="none"/>
              </w:rPr>
            </w:pPr>
          </w:p>
        </w:tc>
        <w:tc>
          <w:tcPr>
            <w:tcW w:w="4338" w:type="dxa"/>
            <w:vAlign w:val="top"/>
          </w:tcPr>
          <w:p w14:paraId="7963EDC5">
            <w:pPr>
              <w:pStyle w:val="20"/>
              <w:spacing w:before="67" w:line="286" w:lineRule="auto"/>
              <w:ind w:left="122" w:right="220" w:hanging="9"/>
              <w:rPr>
                <w:color w:val="auto"/>
                <w:sz w:val="19"/>
                <w:szCs w:val="19"/>
                <w:highlight w:val="none"/>
              </w:rPr>
            </w:pPr>
            <w:r>
              <w:rPr>
                <w:color w:val="auto"/>
                <w:spacing w:val="9"/>
                <w:sz w:val="19"/>
                <w:szCs w:val="19"/>
                <w:highlight w:val="none"/>
              </w:rPr>
              <w:t>《家用电冰箱耗电量限定值及能效等级》（</w:t>
            </w:r>
            <w:r>
              <w:rPr>
                <w:color w:val="auto"/>
                <w:sz w:val="19"/>
                <w:szCs w:val="19"/>
                <w:highlight w:val="none"/>
              </w:rPr>
              <w:t>GB</w:t>
            </w:r>
            <w:r>
              <w:rPr>
                <w:color w:val="auto"/>
                <w:spacing w:val="16"/>
                <w:sz w:val="19"/>
                <w:szCs w:val="19"/>
                <w:highlight w:val="none"/>
              </w:rPr>
              <w:t xml:space="preserve"> </w:t>
            </w:r>
            <w:r>
              <w:rPr>
                <w:color w:val="auto"/>
                <w:spacing w:val="1"/>
                <w:sz w:val="19"/>
                <w:szCs w:val="19"/>
                <w:highlight w:val="none"/>
              </w:rPr>
              <w:t>12021.2）</w:t>
            </w:r>
          </w:p>
        </w:tc>
      </w:tr>
      <w:tr w14:paraId="5136B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8" w:hRule="atLeast"/>
        </w:trPr>
        <w:tc>
          <w:tcPr>
            <w:tcW w:w="650" w:type="dxa"/>
            <w:vMerge w:val="continue"/>
            <w:tcBorders>
              <w:top w:val="nil"/>
              <w:bottom w:val="nil"/>
            </w:tcBorders>
            <w:vAlign w:val="top"/>
          </w:tcPr>
          <w:p w14:paraId="2B45B7ED">
            <w:pPr>
              <w:rPr>
                <w:rFonts w:ascii="Arial"/>
                <w:color w:val="auto"/>
                <w:sz w:val="21"/>
                <w:highlight w:val="none"/>
              </w:rPr>
            </w:pPr>
          </w:p>
        </w:tc>
        <w:tc>
          <w:tcPr>
            <w:tcW w:w="1114" w:type="dxa"/>
            <w:vMerge w:val="continue"/>
            <w:tcBorders>
              <w:top w:val="nil"/>
              <w:bottom w:val="nil"/>
            </w:tcBorders>
            <w:vAlign w:val="top"/>
          </w:tcPr>
          <w:p w14:paraId="1D3AE4C2">
            <w:pPr>
              <w:rPr>
                <w:rFonts w:ascii="Arial"/>
                <w:color w:val="auto"/>
                <w:sz w:val="21"/>
                <w:highlight w:val="none"/>
              </w:rPr>
            </w:pPr>
          </w:p>
        </w:tc>
        <w:tc>
          <w:tcPr>
            <w:tcW w:w="1513" w:type="dxa"/>
            <w:vMerge w:val="restart"/>
            <w:tcBorders>
              <w:bottom w:val="nil"/>
            </w:tcBorders>
            <w:vAlign w:val="top"/>
          </w:tcPr>
          <w:p w14:paraId="324E1D71">
            <w:pPr>
              <w:spacing w:line="269" w:lineRule="auto"/>
              <w:rPr>
                <w:rFonts w:ascii="Arial"/>
                <w:color w:val="auto"/>
                <w:sz w:val="21"/>
                <w:highlight w:val="none"/>
              </w:rPr>
            </w:pPr>
          </w:p>
          <w:p w14:paraId="7247DD42">
            <w:pPr>
              <w:spacing w:line="269" w:lineRule="auto"/>
              <w:rPr>
                <w:rFonts w:ascii="Arial"/>
                <w:color w:val="auto"/>
                <w:sz w:val="21"/>
                <w:highlight w:val="none"/>
              </w:rPr>
            </w:pPr>
          </w:p>
          <w:p w14:paraId="39B7A8CE">
            <w:pPr>
              <w:spacing w:line="269" w:lineRule="auto"/>
              <w:rPr>
                <w:rFonts w:ascii="Arial"/>
                <w:color w:val="auto"/>
                <w:sz w:val="21"/>
                <w:highlight w:val="none"/>
              </w:rPr>
            </w:pPr>
          </w:p>
          <w:p w14:paraId="2585ED34">
            <w:pPr>
              <w:spacing w:line="269" w:lineRule="auto"/>
              <w:rPr>
                <w:rFonts w:ascii="Arial"/>
                <w:color w:val="auto"/>
                <w:sz w:val="21"/>
                <w:highlight w:val="none"/>
              </w:rPr>
            </w:pPr>
          </w:p>
          <w:p w14:paraId="44A7ED0B">
            <w:pPr>
              <w:spacing w:line="269" w:lineRule="auto"/>
              <w:rPr>
                <w:rFonts w:ascii="Arial"/>
                <w:color w:val="auto"/>
                <w:sz w:val="21"/>
                <w:highlight w:val="none"/>
              </w:rPr>
            </w:pPr>
          </w:p>
          <w:p w14:paraId="0AD89754">
            <w:pPr>
              <w:pStyle w:val="20"/>
              <w:spacing w:before="61" w:line="236" w:lineRule="auto"/>
              <w:ind w:left="106"/>
              <w:rPr>
                <w:color w:val="auto"/>
                <w:sz w:val="19"/>
                <w:szCs w:val="19"/>
                <w:highlight w:val="none"/>
              </w:rPr>
            </w:pPr>
            <w:r>
              <w:rPr>
                <w:color w:val="auto"/>
                <w:spacing w:val="4"/>
                <w:sz w:val="19"/>
                <w:szCs w:val="19"/>
                <w:highlight w:val="none"/>
              </w:rPr>
              <w:t>★A0206180203</w:t>
            </w:r>
          </w:p>
          <w:p w14:paraId="7DAECA5B">
            <w:pPr>
              <w:pStyle w:val="20"/>
              <w:spacing w:before="85" w:line="228" w:lineRule="auto"/>
              <w:ind w:left="459"/>
              <w:rPr>
                <w:color w:val="auto"/>
                <w:sz w:val="19"/>
                <w:szCs w:val="19"/>
                <w:highlight w:val="none"/>
              </w:rPr>
            </w:pPr>
            <w:r>
              <w:rPr>
                <w:color w:val="auto"/>
                <w:spacing w:val="5"/>
                <w:sz w:val="19"/>
                <w:szCs w:val="19"/>
                <w:highlight w:val="none"/>
              </w:rPr>
              <w:t>空调机</w:t>
            </w:r>
          </w:p>
        </w:tc>
        <w:tc>
          <w:tcPr>
            <w:tcW w:w="1609" w:type="dxa"/>
            <w:vAlign w:val="top"/>
          </w:tcPr>
          <w:p w14:paraId="4A7A4CDF">
            <w:pPr>
              <w:spacing w:line="335" w:lineRule="auto"/>
              <w:rPr>
                <w:rFonts w:ascii="Arial"/>
                <w:color w:val="auto"/>
                <w:sz w:val="21"/>
                <w:highlight w:val="none"/>
              </w:rPr>
            </w:pPr>
          </w:p>
          <w:p w14:paraId="3CB05D7F">
            <w:pPr>
              <w:pStyle w:val="20"/>
              <w:spacing w:before="62" w:line="230" w:lineRule="auto"/>
              <w:ind w:left="206"/>
              <w:rPr>
                <w:color w:val="auto"/>
                <w:sz w:val="19"/>
                <w:szCs w:val="19"/>
                <w:highlight w:val="none"/>
              </w:rPr>
            </w:pPr>
            <w:r>
              <w:rPr>
                <w:color w:val="auto"/>
                <w:spacing w:val="8"/>
                <w:sz w:val="19"/>
                <w:szCs w:val="19"/>
                <w:highlight w:val="none"/>
              </w:rPr>
              <w:t>房间空气调节</w:t>
            </w:r>
          </w:p>
          <w:p w14:paraId="2C12B56C">
            <w:pPr>
              <w:pStyle w:val="20"/>
              <w:spacing w:before="94" w:line="234" w:lineRule="auto"/>
              <w:ind w:left="704"/>
              <w:rPr>
                <w:color w:val="auto"/>
                <w:sz w:val="19"/>
                <w:szCs w:val="19"/>
                <w:highlight w:val="none"/>
              </w:rPr>
            </w:pPr>
            <w:r>
              <w:rPr>
                <w:color w:val="auto"/>
                <w:spacing w:val="1"/>
                <w:sz w:val="19"/>
                <w:szCs w:val="19"/>
                <w:highlight w:val="none"/>
              </w:rPr>
              <w:t>器</w:t>
            </w:r>
          </w:p>
        </w:tc>
        <w:tc>
          <w:tcPr>
            <w:tcW w:w="4338" w:type="dxa"/>
            <w:vAlign w:val="top"/>
          </w:tcPr>
          <w:p w14:paraId="5F3B7756">
            <w:pPr>
              <w:pStyle w:val="20"/>
              <w:spacing w:before="70" w:line="303" w:lineRule="auto"/>
              <w:ind w:left="108" w:right="104" w:firstLine="5"/>
              <w:jc w:val="both"/>
              <w:rPr>
                <w:color w:val="auto"/>
                <w:sz w:val="19"/>
                <w:szCs w:val="19"/>
                <w:highlight w:val="none"/>
              </w:rPr>
            </w:pPr>
            <w:r>
              <w:rPr>
                <w:color w:val="auto"/>
                <w:spacing w:val="9"/>
                <w:sz w:val="19"/>
                <w:szCs w:val="19"/>
                <w:highlight w:val="none"/>
              </w:rPr>
              <w:t>《转速可控型房间空气调节器能效限定值及能</w:t>
            </w:r>
            <w:r>
              <w:rPr>
                <w:color w:val="auto"/>
                <w:spacing w:val="1"/>
                <w:sz w:val="19"/>
                <w:szCs w:val="19"/>
                <w:highlight w:val="none"/>
              </w:rPr>
              <w:t xml:space="preserve">  </w:t>
            </w:r>
            <w:r>
              <w:rPr>
                <w:color w:val="auto"/>
                <w:spacing w:val="6"/>
                <w:sz w:val="19"/>
                <w:szCs w:val="19"/>
                <w:highlight w:val="none"/>
              </w:rPr>
              <w:t>效等级》（</w:t>
            </w:r>
            <w:r>
              <w:rPr>
                <w:color w:val="auto"/>
                <w:sz w:val="19"/>
                <w:szCs w:val="19"/>
                <w:highlight w:val="none"/>
              </w:rPr>
              <w:t>GB</w:t>
            </w:r>
            <w:r>
              <w:rPr>
                <w:color w:val="auto"/>
                <w:spacing w:val="6"/>
                <w:sz w:val="19"/>
                <w:szCs w:val="19"/>
                <w:highlight w:val="none"/>
              </w:rPr>
              <w:t>21455-2013</w:t>
            </w:r>
            <w:r>
              <w:rPr>
                <w:color w:val="auto"/>
                <w:spacing w:val="14"/>
                <w:sz w:val="19"/>
                <w:szCs w:val="19"/>
                <w:highlight w:val="none"/>
              </w:rPr>
              <w:t>），</w:t>
            </w:r>
            <w:r>
              <w:rPr>
                <w:color w:val="auto"/>
                <w:spacing w:val="6"/>
                <w:sz w:val="19"/>
                <w:szCs w:val="19"/>
                <w:highlight w:val="none"/>
              </w:rPr>
              <w:t>待</w:t>
            </w:r>
            <w:r>
              <w:rPr>
                <w:color w:val="auto"/>
                <w:spacing w:val="-33"/>
                <w:sz w:val="19"/>
                <w:szCs w:val="19"/>
                <w:highlight w:val="none"/>
              </w:rPr>
              <w:t xml:space="preserve"> </w:t>
            </w:r>
            <w:r>
              <w:rPr>
                <w:color w:val="auto"/>
                <w:spacing w:val="6"/>
                <w:sz w:val="19"/>
                <w:szCs w:val="19"/>
                <w:highlight w:val="none"/>
              </w:rPr>
              <w:t>2019</w:t>
            </w:r>
            <w:r>
              <w:rPr>
                <w:color w:val="auto"/>
                <w:spacing w:val="-37"/>
                <w:sz w:val="19"/>
                <w:szCs w:val="19"/>
                <w:highlight w:val="none"/>
              </w:rPr>
              <w:t xml:space="preserve"> </w:t>
            </w:r>
            <w:r>
              <w:rPr>
                <w:color w:val="auto"/>
                <w:spacing w:val="6"/>
                <w:sz w:val="19"/>
                <w:szCs w:val="19"/>
                <w:highlight w:val="none"/>
              </w:rPr>
              <w:t>年修</w:t>
            </w:r>
            <w:r>
              <w:rPr>
                <w:color w:val="auto"/>
                <w:spacing w:val="5"/>
                <w:sz w:val="19"/>
                <w:szCs w:val="19"/>
                <w:highlight w:val="none"/>
              </w:rPr>
              <w:t>订发</w:t>
            </w:r>
            <w:r>
              <w:rPr>
                <w:color w:val="auto"/>
                <w:sz w:val="19"/>
                <w:szCs w:val="19"/>
                <w:highlight w:val="none"/>
              </w:rPr>
              <w:t xml:space="preserve"> </w:t>
            </w:r>
            <w:r>
              <w:rPr>
                <w:color w:val="auto"/>
                <w:spacing w:val="5"/>
                <w:sz w:val="19"/>
                <w:szCs w:val="19"/>
                <w:highlight w:val="none"/>
              </w:rPr>
              <w:t>布后，按《房间空气调节器能效限定值及能效等</w:t>
            </w:r>
            <w:r>
              <w:rPr>
                <w:color w:val="auto"/>
                <w:spacing w:val="14"/>
                <w:sz w:val="19"/>
                <w:szCs w:val="19"/>
                <w:highlight w:val="none"/>
              </w:rPr>
              <w:t xml:space="preserve"> </w:t>
            </w:r>
            <w:r>
              <w:rPr>
                <w:color w:val="auto"/>
                <w:spacing w:val="5"/>
                <w:sz w:val="19"/>
                <w:szCs w:val="19"/>
                <w:highlight w:val="none"/>
              </w:rPr>
              <w:t>级》（</w:t>
            </w:r>
            <w:r>
              <w:rPr>
                <w:color w:val="auto"/>
                <w:sz w:val="19"/>
                <w:szCs w:val="19"/>
                <w:highlight w:val="none"/>
              </w:rPr>
              <w:t>GB</w:t>
            </w:r>
            <w:r>
              <w:rPr>
                <w:color w:val="auto"/>
                <w:spacing w:val="5"/>
                <w:sz w:val="19"/>
                <w:szCs w:val="19"/>
                <w:highlight w:val="none"/>
              </w:rPr>
              <w:t>21455-2019</w:t>
            </w:r>
            <w:r>
              <w:rPr>
                <w:color w:val="auto"/>
                <w:spacing w:val="-26"/>
                <w:sz w:val="19"/>
                <w:szCs w:val="19"/>
                <w:highlight w:val="none"/>
              </w:rPr>
              <w:t xml:space="preserve"> </w:t>
            </w:r>
            <w:r>
              <w:rPr>
                <w:color w:val="auto"/>
                <w:spacing w:val="5"/>
                <w:sz w:val="19"/>
                <w:szCs w:val="19"/>
                <w:highlight w:val="none"/>
              </w:rPr>
              <w:t>实施。</w:t>
            </w:r>
          </w:p>
        </w:tc>
      </w:tr>
      <w:tr w14:paraId="337E0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7" w:hRule="atLeast"/>
        </w:trPr>
        <w:tc>
          <w:tcPr>
            <w:tcW w:w="650" w:type="dxa"/>
            <w:vMerge w:val="continue"/>
            <w:tcBorders>
              <w:top w:val="nil"/>
              <w:bottom w:val="nil"/>
            </w:tcBorders>
            <w:vAlign w:val="top"/>
          </w:tcPr>
          <w:p w14:paraId="660065C9">
            <w:pPr>
              <w:rPr>
                <w:rFonts w:ascii="Arial"/>
                <w:color w:val="auto"/>
                <w:sz w:val="21"/>
                <w:highlight w:val="none"/>
              </w:rPr>
            </w:pPr>
          </w:p>
        </w:tc>
        <w:tc>
          <w:tcPr>
            <w:tcW w:w="1114" w:type="dxa"/>
            <w:vMerge w:val="continue"/>
            <w:tcBorders>
              <w:top w:val="nil"/>
              <w:bottom w:val="nil"/>
            </w:tcBorders>
            <w:vAlign w:val="top"/>
          </w:tcPr>
          <w:p w14:paraId="34756802">
            <w:pPr>
              <w:rPr>
                <w:rFonts w:ascii="Arial"/>
                <w:color w:val="auto"/>
                <w:sz w:val="21"/>
                <w:highlight w:val="none"/>
              </w:rPr>
            </w:pPr>
          </w:p>
        </w:tc>
        <w:tc>
          <w:tcPr>
            <w:tcW w:w="1513" w:type="dxa"/>
            <w:vMerge w:val="continue"/>
            <w:tcBorders>
              <w:top w:val="nil"/>
              <w:bottom w:val="nil"/>
            </w:tcBorders>
            <w:vAlign w:val="top"/>
          </w:tcPr>
          <w:p w14:paraId="31160CE1">
            <w:pPr>
              <w:rPr>
                <w:rFonts w:ascii="Arial"/>
                <w:color w:val="auto"/>
                <w:sz w:val="21"/>
                <w:highlight w:val="none"/>
              </w:rPr>
            </w:pPr>
          </w:p>
        </w:tc>
        <w:tc>
          <w:tcPr>
            <w:tcW w:w="1609" w:type="dxa"/>
            <w:vAlign w:val="top"/>
          </w:tcPr>
          <w:p w14:paraId="09700A7A">
            <w:pPr>
              <w:pStyle w:val="20"/>
              <w:spacing w:before="72" w:line="230" w:lineRule="auto"/>
              <w:ind w:left="116"/>
              <w:rPr>
                <w:color w:val="auto"/>
                <w:sz w:val="19"/>
                <w:szCs w:val="19"/>
                <w:highlight w:val="none"/>
              </w:rPr>
            </w:pPr>
            <w:r>
              <w:rPr>
                <w:color w:val="auto"/>
                <w:spacing w:val="6"/>
                <w:sz w:val="19"/>
                <w:szCs w:val="19"/>
                <w:highlight w:val="none"/>
              </w:rPr>
              <w:t>多联式空调（热</w:t>
            </w:r>
          </w:p>
          <w:p w14:paraId="5FC6D355">
            <w:pPr>
              <w:pStyle w:val="20"/>
              <w:spacing w:before="91" w:line="285" w:lineRule="auto"/>
              <w:ind w:left="154" w:right="100" w:hanging="47"/>
              <w:rPr>
                <w:color w:val="auto"/>
                <w:sz w:val="19"/>
                <w:szCs w:val="19"/>
                <w:highlight w:val="none"/>
              </w:rPr>
            </w:pPr>
            <w:r>
              <w:rPr>
                <w:color w:val="auto"/>
                <w:spacing w:val="7"/>
                <w:sz w:val="19"/>
                <w:szCs w:val="19"/>
                <w:highlight w:val="none"/>
              </w:rPr>
              <w:t>泵）机组（制冷</w:t>
            </w:r>
            <w:r>
              <w:rPr>
                <w:color w:val="auto"/>
                <w:spacing w:val="5"/>
                <w:sz w:val="19"/>
                <w:szCs w:val="19"/>
                <w:highlight w:val="none"/>
              </w:rPr>
              <w:t xml:space="preserve"> </w:t>
            </w:r>
            <w:r>
              <w:rPr>
                <w:color w:val="auto"/>
                <w:spacing w:val="2"/>
                <w:sz w:val="19"/>
                <w:szCs w:val="19"/>
                <w:highlight w:val="none"/>
              </w:rPr>
              <w:t>量≤</w:t>
            </w:r>
            <w:r>
              <w:rPr>
                <w:color w:val="auto"/>
                <w:spacing w:val="28"/>
                <w:sz w:val="19"/>
                <w:szCs w:val="19"/>
                <w:highlight w:val="none"/>
              </w:rPr>
              <w:t xml:space="preserve"> </w:t>
            </w:r>
            <w:r>
              <w:rPr>
                <w:color w:val="auto"/>
                <w:spacing w:val="2"/>
                <w:sz w:val="19"/>
                <w:szCs w:val="19"/>
                <w:highlight w:val="none"/>
              </w:rPr>
              <w:t>14000W）</w:t>
            </w:r>
          </w:p>
        </w:tc>
        <w:tc>
          <w:tcPr>
            <w:tcW w:w="4338" w:type="dxa"/>
            <w:vAlign w:val="top"/>
          </w:tcPr>
          <w:p w14:paraId="4BE9E320">
            <w:pPr>
              <w:pStyle w:val="20"/>
              <w:spacing w:before="235" w:line="323" w:lineRule="auto"/>
              <w:ind w:left="109" w:right="104" w:firstLine="3"/>
              <w:rPr>
                <w:color w:val="auto"/>
                <w:sz w:val="19"/>
                <w:szCs w:val="19"/>
                <w:highlight w:val="none"/>
              </w:rPr>
            </w:pPr>
            <w:r>
              <w:rPr>
                <w:color w:val="auto"/>
                <w:spacing w:val="5"/>
                <w:sz w:val="19"/>
                <w:szCs w:val="19"/>
                <w:highlight w:val="none"/>
              </w:rPr>
              <w:t>《多联式空调（热泵）机组能效限定值及能源效</w:t>
            </w:r>
            <w:r>
              <w:rPr>
                <w:color w:val="auto"/>
                <w:spacing w:val="9"/>
                <w:sz w:val="19"/>
                <w:szCs w:val="19"/>
                <w:highlight w:val="none"/>
              </w:rPr>
              <w:t xml:space="preserve"> </w:t>
            </w:r>
            <w:r>
              <w:rPr>
                <w:color w:val="auto"/>
                <w:spacing w:val="6"/>
                <w:sz w:val="19"/>
                <w:szCs w:val="19"/>
                <w:highlight w:val="none"/>
              </w:rPr>
              <w:t>率等级》（</w:t>
            </w:r>
            <w:r>
              <w:rPr>
                <w:color w:val="auto"/>
                <w:sz w:val="19"/>
                <w:szCs w:val="19"/>
                <w:highlight w:val="none"/>
              </w:rPr>
              <w:t>GB</w:t>
            </w:r>
            <w:r>
              <w:rPr>
                <w:color w:val="auto"/>
                <w:spacing w:val="6"/>
                <w:sz w:val="19"/>
                <w:szCs w:val="19"/>
                <w:highlight w:val="none"/>
              </w:rPr>
              <w:t>21454）</w:t>
            </w:r>
          </w:p>
        </w:tc>
      </w:tr>
      <w:tr w14:paraId="4E4D0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7" w:hRule="atLeast"/>
        </w:trPr>
        <w:tc>
          <w:tcPr>
            <w:tcW w:w="650" w:type="dxa"/>
            <w:vMerge w:val="continue"/>
            <w:tcBorders>
              <w:top w:val="nil"/>
              <w:bottom w:val="nil"/>
            </w:tcBorders>
            <w:vAlign w:val="top"/>
          </w:tcPr>
          <w:p w14:paraId="163407C0">
            <w:pPr>
              <w:rPr>
                <w:rFonts w:ascii="Arial"/>
                <w:color w:val="auto"/>
                <w:sz w:val="21"/>
                <w:highlight w:val="none"/>
              </w:rPr>
            </w:pPr>
          </w:p>
        </w:tc>
        <w:tc>
          <w:tcPr>
            <w:tcW w:w="1114" w:type="dxa"/>
            <w:vMerge w:val="continue"/>
            <w:tcBorders>
              <w:top w:val="nil"/>
              <w:bottom w:val="nil"/>
            </w:tcBorders>
            <w:vAlign w:val="top"/>
          </w:tcPr>
          <w:p w14:paraId="16D53686">
            <w:pPr>
              <w:rPr>
                <w:rFonts w:ascii="Arial"/>
                <w:color w:val="auto"/>
                <w:sz w:val="21"/>
                <w:highlight w:val="none"/>
              </w:rPr>
            </w:pPr>
          </w:p>
        </w:tc>
        <w:tc>
          <w:tcPr>
            <w:tcW w:w="1513" w:type="dxa"/>
            <w:vMerge w:val="continue"/>
            <w:tcBorders>
              <w:top w:val="nil"/>
            </w:tcBorders>
            <w:vAlign w:val="top"/>
          </w:tcPr>
          <w:p w14:paraId="230FCD65">
            <w:pPr>
              <w:rPr>
                <w:rFonts w:ascii="Arial"/>
                <w:color w:val="auto"/>
                <w:sz w:val="21"/>
                <w:highlight w:val="none"/>
              </w:rPr>
            </w:pPr>
          </w:p>
        </w:tc>
        <w:tc>
          <w:tcPr>
            <w:tcW w:w="1609" w:type="dxa"/>
            <w:vAlign w:val="top"/>
          </w:tcPr>
          <w:p w14:paraId="6AABD7FD">
            <w:pPr>
              <w:pStyle w:val="20"/>
              <w:spacing w:before="72" w:line="321" w:lineRule="auto"/>
              <w:ind w:left="154" w:right="148" w:firstLine="51"/>
              <w:rPr>
                <w:color w:val="auto"/>
                <w:sz w:val="19"/>
                <w:szCs w:val="19"/>
                <w:highlight w:val="none"/>
              </w:rPr>
            </w:pPr>
            <w:r>
              <w:rPr>
                <w:color w:val="auto"/>
                <w:spacing w:val="8"/>
                <w:sz w:val="19"/>
                <w:szCs w:val="19"/>
                <w:highlight w:val="none"/>
              </w:rPr>
              <w:t>单元式空气调</w:t>
            </w:r>
            <w:r>
              <w:rPr>
                <w:color w:val="auto"/>
                <w:spacing w:val="1"/>
                <w:sz w:val="19"/>
                <w:szCs w:val="19"/>
                <w:highlight w:val="none"/>
              </w:rPr>
              <w:t xml:space="preserve"> </w:t>
            </w:r>
            <w:r>
              <w:rPr>
                <w:color w:val="auto"/>
                <w:spacing w:val="7"/>
                <w:sz w:val="19"/>
                <w:szCs w:val="19"/>
                <w:highlight w:val="none"/>
              </w:rPr>
              <w:t>节机(制冷量≤</w:t>
            </w:r>
          </w:p>
          <w:p w14:paraId="12A23929">
            <w:pPr>
              <w:pStyle w:val="20"/>
              <w:spacing w:line="231" w:lineRule="auto"/>
              <w:ind w:left="469"/>
              <w:rPr>
                <w:color w:val="auto"/>
                <w:sz w:val="19"/>
                <w:szCs w:val="19"/>
                <w:highlight w:val="none"/>
              </w:rPr>
            </w:pPr>
            <w:r>
              <w:rPr>
                <w:color w:val="auto"/>
                <w:spacing w:val="1"/>
                <w:sz w:val="19"/>
                <w:szCs w:val="19"/>
                <w:highlight w:val="none"/>
              </w:rPr>
              <w:t>14000W)</w:t>
            </w:r>
          </w:p>
        </w:tc>
        <w:tc>
          <w:tcPr>
            <w:tcW w:w="4338" w:type="dxa"/>
            <w:vAlign w:val="top"/>
          </w:tcPr>
          <w:p w14:paraId="7303B25F">
            <w:pPr>
              <w:pStyle w:val="20"/>
              <w:spacing w:before="73" w:line="296" w:lineRule="auto"/>
              <w:ind w:left="111" w:right="123" w:firstLine="2"/>
              <w:jc w:val="both"/>
              <w:rPr>
                <w:color w:val="auto"/>
                <w:sz w:val="19"/>
                <w:szCs w:val="19"/>
                <w:highlight w:val="none"/>
              </w:rPr>
            </w:pPr>
            <w:r>
              <w:rPr>
                <w:color w:val="auto"/>
                <w:spacing w:val="9"/>
                <w:sz w:val="19"/>
                <w:szCs w:val="19"/>
                <w:highlight w:val="none"/>
              </w:rPr>
              <w:t>《单元式空气调节机能效限定值及能源效率等</w:t>
            </w:r>
            <w:r>
              <w:rPr>
                <w:color w:val="auto"/>
                <w:spacing w:val="1"/>
                <w:sz w:val="19"/>
                <w:szCs w:val="19"/>
                <w:highlight w:val="none"/>
              </w:rPr>
              <w:t xml:space="preserve">  </w:t>
            </w:r>
            <w:r>
              <w:rPr>
                <w:color w:val="auto"/>
                <w:spacing w:val="8"/>
                <w:sz w:val="19"/>
                <w:szCs w:val="19"/>
                <w:highlight w:val="none"/>
              </w:rPr>
              <w:t>级》（</w:t>
            </w:r>
            <w:r>
              <w:rPr>
                <w:color w:val="auto"/>
                <w:sz w:val="19"/>
                <w:szCs w:val="19"/>
                <w:highlight w:val="none"/>
              </w:rPr>
              <w:t>GB</w:t>
            </w:r>
            <w:r>
              <w:rPr>
                <w:color w:val="auto"/>
                <w:spacing w:val="8"/>
                <w:sz w:val="19"/>
                <w:szCs w:val="19"/>
                <w:highlight w:val="none"/>
              </w:rPr>
              <w:t>19576）《风管送风式空调机组能效限</w:t>
            </w:r>
            <w:r>
              <w:rPr>
                <w:color w:val="auto"/>
                <w:spacing w:val="15"/>
                <w:sz w:val="19"/>
                <w:szCs w:val="19"/>
                <w:highlight w:val="none"/>
              </w:rPr>
              <w:t xml:space="preserve"> </w:t>
            </w:r>
            <w:r>
              <w:rPr>
                <w:color w:val="auto"/>
                <w:spacing w:val="7"/>
                <w:sz w:val="19"/>
                <w:szCs w:val="19"/>
                <w:highlight w:val="none"/>
              </w:rPr>
              <w:t>定值及能效等级》（</w:t>
            </w:r>
            <w:r>
              <w:rPr>
                <w:color w:val="auto"/>
                <w:sz w:val="19"/>
                <w:szCs w:val="19"/>
                <w:highlight w:val="none"/>
              </w:rPr>
              <w:t>GB</w:t>
            </w:r>
            <w:r>
              <w:rPr>
                <w:color w:val="auto"/>
                <w:spacing w:val="7"/>
                <w:sz w:val="19"/>
                <w:szCs w:val="19"/>
                <w:highlight w:val="none"/>
              </w:rPr>
              <w:t>37479）</w:t>
            </w:r>
          </w:p>
        </w:tc>
      </w:tr>
      <w:tr w14:paraId="35BD9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650" w:type="dxa"/>
            <w:vMerge w:val="continue"/>
            <w:tcBorders>
              <w:top w:val="nil"/>
              <w:bottom w:val="nil"/>
            </w:tcBorders>
            <w:vAlign w:val="top"/>
          </w:tcPr>
          <w:p w14:paraId="39D3BAFC">
            <w:pPr>
              <w:rPr>
                <w:rFonts w:ascii="Arial"/>
                <w:color w:val="auto"/>
                <w:sz w:val="21"/>
                <w:highlight w:val="none"/>
              </w:rPr>
            </w:pPr>
          </w:p>
        </w:tc>
        <w:tc>
          <w:tcPr>
            <w:tcW w:w="1114" w:type="dxa"/>
            <w:vMerge w:val="continue"/>
            <w:tcBorders>
              <w:top w:val="nil"/>
              <w:bottom w:val="nil"/>
            </w:tcBorders>
            <w:vAlign w:val="top"/>
          </w:tcPr>
          <w:p w14:paraId="56B0E325">
            <w:pPr>
              <w:rPr>
                <w:rFonts w:ascii="Arial"/>
                <w:color w:val="auto"/>
                <w:sz w:val="21"/>
                <w:highlight w:val="none"/>
              </w:rPr>
            </w:pPr>
          </w:p>
        </w:tc>
        <w:tc>
          <w:tcPr>
            <w:tcW w:w="1513" w:type="dxa"/>
            <w:vAlign w:val="top"/>
          </w:tcPr>
          <w:p w14:paraId="01977624">
            <w:pPr>
              <w:pStyle w:val="20"/>
              <w:spacing w:before="73" w:line="256" w:lineRule="exact"/>
              <w:ind w:left="197"/>
              <w:rPr>
                <w:color w:val="auto"/>
                <w:sz w:val="19"/>
                <w:szCs w:val="19"/>
                <w:highlight w:val="none"/>
              </w:rPr>
            </w:pPr>
            <w:r>
              <w:rPr>
                <w:color w:val="auto"/>
                <w:spacing w:val="4"/>
                <w:position w:val="1"/>
                <w:sz w:val="19"/>
                <w:szCs w:val="19"/>
                <w:highlight w:val="none"/>
              </w:rPr>
              <w:t>A0206180301</w:t>
            </w:r>
          </w:p>
          <w:p w14:paraId="4F210E2F">
            <w:pPr>
              <w:pStyle w:val="20"/>
              <w:spacing w:before="75" w:line="228" w:lineRule="auto"/>
              <w:ind w:left="452"/>
              <w:rPr>
                <w:color w:val="auto"/>
                <w:sz w:val="19"/>
                <w:szCs w:val="19"/>
                <w:highlight w:val="none"/>
              </w:rPr>
            </w:pPr>
            <w:r>
              <w:rPr>
                <w:color w:val="auto"/>
                <w:spacing w:val="7"/>
                <w:sz w:val="19"/>
                <w:szCs w:val="19"/>
                <w:highlight w:val="none"/>
              </w:rPr>
              <w:t>洗衣机</w:t>
            </w:r>
          </w:p>
        </w:tc>
        <w:tc>
          <w:tcPr>
            <w:tcW w:w="1609" w:type="dxa"/>
            <w:vAlign w:val="top"/>
          </w:tcPr>
          <w:p w14:paraId="7B842A87">
            <w:pPr>
              <w:rPr>
                <w:rFonts w:ascii="Arial"/>
                <w:color w:val="auto"/>
                <w:sz w:val="21"/>
                <w:highlight w:val="none"/>
              </w:rPr>
            </w:pPr>
          </w:p>
        </w:tc>
        <w:tc>
          <w:tcPr>
            <w:tcW w:w="4338" w:type="dxa"/>
            <w:vAlign w:val="top"/>
          </w:tcPr>
          <w:p w14:paraId="2D94FB69">
            <w:pPr>
              <w:pStyle w:val="20"/>
              <w:spacing w:before="73" w:line="283" w:lineRule="auto"/>
              <w:ind w:left="117" w:right="836" w:hanging="4"/>
              <w:rPr>
                <w:color w:val="auto"/>
                <w:sz w:val="19"/>
                <w:szCs w:val="19"/>
                <w:highlight w:val="none"/>
              </w:rPr>
            </w:pPr>
            <w:r>
              <w:rPr>
                <w:color w:val="auto"/>
                <w:spacing w:val="8"/>
                <w:sz w:val="19"/>
                <w:szCs w:val="19"/>
                <w:highlight w:val="none"/>
              </w:rPr>
              <w:t>《电动洗衣机能效水效限定值及等级》</w:t>
            </w:r>
            <w:r>
              <w:rPr>
                <w:color w:val="auto"/>
                <w:spacing w:val="5"/>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12021.4）</w:t>
            </w:r>
          </w:p>
        </w:tc>
      </w:tr>
      <w:tr w14:paraId="56AE9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650" w:type="dxa"/>
            <w:vMerge w:val="continue"/>
            <w:tcBorders>
              <w:top w:val="nil"/>
              <w:bottom w:val="nil"/>
            </w:tcBorders>
            <w:vAlign w:val="top"/>
          </w:tcPr>
          <w:p w14:paraId="115B7DD3">
            <w:pPr>
              <w:rPr>
                <w:rFonts w:ascii="Arial"/>
                <w:color w:val="auto"/>
                <w:sz w:val="21"/>
                <w:highlight w:val="none"/>
              </w:rPr>
            </w:pPr>
          </w:p>
        </w:tc>
        <w:tc>
          <w:tcPr>
            <w:tcW w:w="1114" w:type="dxa"/>
            <w:vMerge w:val="continue"/>
            <w:tcBorders>
              <w:top w:val="nil"/>
              <w:bottom w:val="nil"/>
            </w:tcBorders>
            <w:vAlign w:val="top"/>
          </w:tcPr>
          <w:p w14:paraId="1BAA29BD">
            <w:pPr>
              <w:rPr>
                <w:rFonts w:ascii="Arial"/>
                <w:color w:val="auto"/>
                <w:sz w:val="21"/>
                <w:highlight w:val="none"/>
              </w:rPr>
            </w:pPr>
          </w:p>
        </w:tc>
        <w:tc>
          <w:tcPr>
            <w:tcW w:w="1513" w:type="dxa"/>
            <w:vMerge w:val="restart"/>
            <w:tcBorders>
              <w:bottom w:val="nil"/>
            </w:tcBorders>
            <w:vAlign w:val="top"/>
          </w:tcPr>
          <w:p w14:paraId="5A91D353">
            <w:pPr>
              <w:spacing w:line="257" w:lineRule="auto"/>
              <w:rPr>
                <w:rFonts w:ascii="Arial"/>
                <w:color w:val="auto"/>
                <w:sz w:val="21"/>
                <w:highlight w:val="none"/>
              </w:rPr>
            </w:pPr>
          </w:p>
          <w:p w14:paraId="648676DB">
            <w:pPr>
              <w:spacing w:line="257" w:lineRule="auto"/>
              <w:rPr>
                <w:rFonts w:ascii="Arial"/>
                <w:color w:val="auto"/>
                <w:sz w:val="21"/>
                <w:highlight w:val="none"/>
              </w:rPr>
            </w:pPr>
          </w:p>
          <w:p w14:paraId="22DCD46C">
            <w:pPr>
              <w:spacing w:line="257" w:lineRule="auto"/>
              <w:rPr>
                <w:rFonts w:ascii="Arial"/>
                <w:color w:val="auto"/>
                <w:sz w:val="21"/>
                <w:highlight w:val="none"/>
              </w:rPr>
            </w:pPr>
          </w:p>
          <w:p w14:paraId="377F0DD6">
            <w:pPr>
              <w:spacing w:line="257" w:lineRule="auto"/>
              <w:rPr>
                <w:rFonts w:ascii="Arial"/>
                <w:color w:val="auto"/>
                <w:sz w:val="21"/>
                <w:highlight w:val="none"/>
              </w:rPr>
            </w:pPr>
          </w:p>
          <w:p w14:paraId="35866C78">
            <w:pPr>
              <w:pStyle w:val="20"/>
              <w:spacing w:before="61" w:line="235" w:lineRule="auto"/>
              <w:ind w:left="171"/>
              <w:rPr>
                <w:color w:val="auto"/>
                <w:sz w:val="19"/>
                <w:szCs w:val="19"/>
                <w:highlight w:val="none"/>
              </w:rPr>
            </w:pPr>
            <w:r>
              <w:rPr>
                <w:color w:val="auto"/>
                <w:spacing w:val="4"/>
                <w:sz w:val="19"/>
                <w:szCs w:val="19"/>
                <w:highlight w:val="none"/>
              </w:rPr>
              <w:t>A02061808</w:t>
            </w:r>
            <w:r>
              <w:rPr>
                <w:color w:val="auto"/>
                <w:spacing w:val="-31"/>
                <w:sz w:val="19"/>
                <w:szCs w:val="19"/>
                <w:highlight w:val="none"/>
              </w:rPr>
              <w:t xml:space="preserve"> </w:t>
            </w:r>
            <w:r>
              <w:rPr>
                <w:color w:val="auto"/>
                <w:spacing w:val="4"/>
                <w:sz w:val="19"/>
                <w:szCs w:val="19"/>
                <w:highlight w:val="none"/>
              </w:rPr>
              <w:t>热</w:t>
            </w:r>
          </w:p>
          <w:p w14:paraId="5E8D6BBA">
            <w:pPr>
              <w:pStyle w:val="20"/>
              <w:spacing w:before="89" w:line="229" w:lineRule="auto"/>
              <w:ind w:left="556"/>
              <w:rPr>
                <w:color w:val="auto"/>
                <w:sz w:val="19"/>
                <w:szCs w:val="19"/>
                <w:highlight w:val="none"/>
              </w:rPr>
            </w:pPr>
            <w:r>
              <w:rPr>
                <w:color w:val="auto"/>
                <w:spacing w:val="4"/>
                <w:sz w:val="19"/>
                <w:szCs w:val="19"/>
                <w:highlight w:val="none"/>
              </w:rPr>
              <w:t>水器</w:t>
            </w:r>
          </w:p>
        </w:tc>
        <w:tc>
          <w:tcPr>
            <w:tcW w:w="1609" w:type="dxa"/>
            <w:vAlign w:val="top"/>
          </w:tcPr>
          <w:p w14:paraId="21EE992C">
            <w:pPr>
              <w:pStyle w:val="20"/>
              <w:spacing w:before="239" w:line="229" w:lineRule="auto"/>
              <w:ind w:left="306"/>
              <w:rPr>
                <w:color w:val="auto"/>
                <w:sz w:val="19"/>
                <w:szCs w:val="19"/>
                <w:highlight w:val="none"/>
              </w:rPr>
            </w:pPr>
            <w:r>
              <w:rPr>
                <w:color w:val="auto"/>
                <w:spacing w:val="7"/>
                <w:sz w:val="19"/>
                <w:szCs w:val="19"/>
                <w:highlight w:val="none"/>
              </w:rPr>
              <w:t>★电热水器</w:t>
            </w:r>
          </w:p>
        </w:tc>
        <w:tc>
          <w:tcPr>
            <w:tcW w:w="4338" w:type="dxa"/>
            <w:vAlign w:val="top"/>
          </w:tcPr>
          <w:p w14:paraId="61A3377F">
            <w:pPr>
              <w:pStyle w:val="20"/>
              <w:spacing w:before="73" w:line="283" w:lineRule="auto"/>
              <w:ind w:left="117" w:right="435" w:hanging="4"/>
              <w:rPr>
                <w:color w:val="auto"/>
                <w:sz w:val="19"/>
                <w:szCs w:val="19"/>
                <w:highlight w:val="none"/>
              </w:rPr>
            </w:pPr>
            <w:r>
              <w:rPr>
                <w:color w:val="auto"/>
                <w:spacing w:val="8"/>
                <w:sz w:val="19"/>
                <w:szCs w:val="19"/>
                <w:highlight w:val="none"/>
              </w:rPr>
              <w:t>《储水式电热水器能效限定值及能效等级》</w:t>
            </w:r>
            <w:r>
              <w:rPr>
                <w:color w:val="auto"/>
                <w:spacing w:val="10"/>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21519）</w:t>
            </w:r>
          </w:p>
        </w:tc>
      </w:tr>
      <w:tr w14:paraId="444FA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7" w:hRule="atLeast"/>
        </w:trPr>
        <w:tc>
          <w:tcPr>
            <w:tcW w:w="650" w:type="dxa"/>
            <w:vMerge w:val="continue"/>
            <w:tcBorders>
              <w:top w:val="nil"/>
              <w:bottom w:val="nil"/>
            </w:tcBorders>
            <w:vAlign w:val="top"/>
          </w:tcPr>
          <w:p w14:paraId="0CA37D42">
            <w:pPr>
              <w:rPr>
                <w:rFonts w:ascii="Arial"/>
                <w:color w:val="auto"/>
                <w:sz w:val="21"/>
                <w:highlight w:val="none"/>
              </w:rPr>
            </w:pPr>
          </w:p>
        </w:tc>
        <w:tc>
          <w:tcPr>
            <w:tcW w:w="1114" w:type="dxa"/>
            <w:vMerge w:val="continue"/>
            <w:tcBorders>
              <w:top w:val="nil"/>
              <w:bottom w:val="nil"/>
            </w:tcBorders>
            <w:vAlign w:val="top"/>
          </w:tcPr>
          <w:p w14:paraId="6948ADA6">
            <w:pPr>
              <w:rPr>
                <w:rFonts w:ascii="Arial"/>
                <w:color w:val="auto"/>
                <w:sz w:val="21"/>
                <w:highlight w:val="none"/>
              </w:rPr>
            </w:pPr>
          </w:p>
        </w:tc>
        <w:tc>
          <w:tcPr>
            <w:tcW w:w="1513" w:type="dxa"/>
            <w:vMerge w:val="continue"/>
            <w:tcBorders>
              <w:top w:val="nil"/>
              <w:bottom w:val="nil"/>
            </w:tcBorders>
            <w:vAlign w:val="top"/>
          </w:tcPr>
          <w:p w14:paraId="113D7058">
            <w:pPr>
              <w:rPr>
                <w:rFonts w:ascii="Arial"/>
                <w:color w:val="auto"/>
                <w:sz w:val="21"/>
                <w:highlight w:val="none"/>
              </w:rPr>
            </w:pPr>
          </w:p>
        </w:tc>
        <w:tc>
          <w:tcPr>
            <w:tcW w:w="1609" w:type="dxa"/>
            <w:vAlign w:val="top"/>
          </w:tcPr>
          <w:p w14:paraId="25EAC55D">
            <w:pPr>
              <w:pStyle w:val="20"/>
              <w:spacing w:before="240" w:line="229" w:lineRule="auto"/>
              <w:ind w:left="302"/>
              <w:rPr>
                <w:color w:val="auto"/>
                <w:sz w:val="19"/>
                <w:szCs w:val="19"/>
                <w:highlight w:val="none"/>
              </w:rPr>
            </w:pPr>
            <w:r>
              <w:rPr>
                <w:color w:val="auto"/>
                <w:spacing w:val="8"/>
                <w:sz w:val="19"/>
                <w:szCs w:val="19"/>
                <w:highlight w:val="none"/>
              </w:rPr>
              <w:t>燃气热水器</w:t>
            </w:r>
          </w:p>
        </w:tc>
        <w:tc>
          <w:tcPr>
            <w:tcW w:w="4338" w:type="dxa"/>
            <w:vAlign w:val="top"/>
          </w:tcPr>
          <w:p w14:paraId="51632487">
            <w:pPr>
              <w:pStyle w:val="20"/>
              <w:spacing w:before="74" w:line="283" w:lineRule="auto"/>
              <w:ind w:left="121" w:right="224" w:hanging="8"/>
              <w:rPr>
                <w:color w:val="auto"/>
                <w:sz w:val="19"/>
                <w:szCs w:val="19"/>
                <w:highlight w:val="none"/>
              </w:rPr>
            </w:pPr>
            <w:r>
              <w:rPr>
                <w:color w:val="auto"/>
                <w:spacing w:val="9"/>
                <w:sz w:val="19"/>
                <w:szCs w:val="19"/>
                <w:highlight w:val="none"/>
              </w:rPr>
              <w:t>《家用燃气快速热水器和燃气采暖热水炉能效</w:t>
            </w:r>
            <w:r>
              <w:rPr>
                <w:color w:val="auto"/>
                <w:spacing w:val="3"/>
                <w:sz w:val="19"/>
                <w:szCs w:val="19"/>
                <w:highlight w:val="none"/>
              </w:rPr>
              <w:t xml:space="preserve"> </w:t>
            </w:r>
            <w:r>
              <w:rPr>
                <w:color w:val="auto"/>
                <w:spacing w:val="7"/>
                <w:sz w:val="19"/>
                <w:szCs w:val="19"/>
                <w:highlight w:val="none"/>
              </w:rPr>
              <w:t>限定值及能效等级》（</w:t>
            </w:r>
            <w:r>
              <w:rPr>
                <w:color w:val="auto"/>
                <w:sz w:val="19"/>
                <w:szCs w:val="19"/>
                <w:highlight w:val="none"/>
              </w:rPr>
              <w:t>GB</w:t>
            </w:r>
            <w:r>
              <w:rPr>
                <w:color w:val="auto"/>
                <w:spacing w:val="7"/>
                <w:sz w:val="19"/>
                <w:szCs w:val="19"/>
                <w:highlight w:val="none"/>
              </w:rPr>
              <w:t>20665）</w:t>
            </w:r>
          </w:p>
        </w:tc>
      </w:tr>
      <w:tr w14:paraId="44A61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650" w:type="dxa"/>
            <w:vMerge w:val="continue"/>
            <w:tcBorders>
              <w:top w:val="nil"/>
              <w:bottom w:val="nil"/>
            </w:tcBorders>
            <w:vAlign w:val="top"/>
          </w:tcPr>
          <w:p w14:paraId="4531E7C6">
            <w:pPr>
              <w:rPr>
                <w:rFonts w:ascii="Arial"/>
                <w:color w:val="auto"/>
                <w:sz w:val="21"/>
                <w:highlight w:val="none"/>
              </w:rPr>
            </w:pPr>
          </w:p>
        </w:tc>
        <w:tc>
          <w:tcPr>
            <w:tcW w:w="1114" w:type="dxa"/>
            <w:vMerge w:val="continue"/>
            <w:tcBorders>
              <w:top w:val="nil"/>
              <w:bottom w:val="nil"/>
            </w:tcBorders>
            <w:vAlign w:val="top"/>
          </w:tcPr>
          <w:p w14:paraId="2E753B0C">
            <w:pPr>
              <w:rPr>
                <w:rFonts w:ascii="Arial"/>
                <w:color w:val="auto"/>
                <w:sz w:val="21"/>
                <w:highlight w:val="none"/>
              </w:rPr>
            </w:pPr>
          </w:p>
        </w:tc>
        <w:tc>
          <w:tcPr>
            <w:tcW w:w="1513" w:type="dxa"/>
            <w:vMerge w:val="continue"/>
            <w:tcBorders>
              <w:top w:val="nil"/>
              <w:bottom w:val="nil"/>
            </w:tcBorders>
            <w:vAlign w:val="top"/>
          </w:tcPr>
          <w:p w14:paraId="10445520">
            <w:pPr>
              <w:rPr>
                <w:rFonts w:ascii="Arial"/>
                <w:color w:val="auto"/>
                <w:sz w:val="21"/>
                <w:highlight w:val="none"/>
              </w:rPr>
            </w:pPr>
          </w:p>
        </w:tc>
        <w:tc>
          <w:tcPr>
            <w:tcW w:w="1609" w:type="dxa"/>
            <w:vAlign w:val="top"/>
          </w:tcPr>
          <w:p w14:paraId="61290895">
            <w:pPr>
              <w:pStyle w:val="20"/>
              <w:spacing w:before="239" w:line="229" w:lineRule="auto"/>
              <w:ind w:left="307"/>
              <w:rPr>
                <w:color w:val="auto"/>
                <w:sz w:val="19"/>
                <w:szCs w:val="19"/>
                <w:highlight w:val="none"/>
              </w:rPr>
            </w:pPr>
            <w:r>
              <w:rPr>
                <w:color w:val="auto"/>
                <w:spacing w:val="7"/>
                <w:sz w:val="19"/>
                <w:szCs w:val="19"/>
                <w:highlight w:val="none"/>
              </w:rPr>
              <w:t>热泵热水器</w:t>
            </w:r>
          </w:p>
        </w:tc>
        <w:tc>
          <w:tcPr>
            <w:tcW w:w="4338" w:type="dxa"/>
            <w:vAlign w:val="top"/>
          </w:tcPr>
          <w:p w14:paraId="07D57055">
            <w:pPr>
              <w:pStyle w:val="20"/>
              <w:spacing w:before="73" w:line="283" w:lineRule="auto"/>
              <w:ind w:left="117" w:right="236" w:hanging="4"/>
              <w:rPr>
                <w:color w:val="auto"/>
                <w:sz w:val="19"/>
                <w:szCs w:val="19"/>
                <w:highlight w:val="none"/>
              </w:rPr>
            </w:pPr>
            <w:r>
              <w:rPr>
                <w:color w:val="auto"/>
                <w:spacing w:val="8"/>
                <w:sz w:val="19"/>
                <w:szCs w:val="19"/>
                <w:highlight w:val="none"/>
              </w:rPr>
              <w:t>《热泵热水机（器）能效限定值及能效等级》</w:t>
            </w:r>
            <w:r>
              <w:rPr>
                <w:color w:val="auto"/>
                <w:spacing w:val="11"/>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29541）</w:t>
            </w:r>
          </w:p>
        </w:tc>
      </w:tr>
      <w:tr w14:paraId="6CB19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650" w:type="dxa"/>
            <w:vMerge w:val="continue"/>
            <w:tcBorders>
              <w:top w:val="nil"/>
            </w:tcBorders>
            <w:vAlign w:val="top"/>
          </w:tcPr>
          <w:p w14:paraId="0C43A85F">
            <w:pPr>
              <w:rPr>
                <w:rFonts w:ascii="Arial"/>
                <w:color w:val="auto"/>
                <w:sz w:val="21"/>
                <w:highlight w:val="none"/>
              </w:rPr>
            </w:pPr>
          </w:p>
        </w:tc>
        <w:tc>
          <w:tcPr>
            <w:tcW w:w="1114" w:type="dxa"/>
            <w:vMerge w:val="continue"/>
            <w:tcBorders>
              <w:top w:val="nil"/>
            </w:tcBorders>
            <w:vAlign w:val="top"/>
          </w:tcPr>
          <w:p w14:paraId="73947275">
            <w:pPr>
              <w:rPr>
                <w:rFonts w:ascii="Arial"/>
                <w:color w:val="auto"/>
                <w:sz w:val="21"/>
                <w:highlight w:val="none"/>
              </w:rPr>
            </w:pPr>
          </w:p>
        </w:tc>
        <w:tc>
          <w:tcPr>
            <w:tcW w:w="1513" w:type="dxa"/>
            <w:vMerge w:val="continue"/>
            <w:tcBorders>
              <w:top w:val="nil"/>
            </w:tcBorders>
            <w:vAlign w:val="top"/>
          </w:tcPr>
          <w:p w14:paraId="15A40563">
            <w:pPr>
              <w:rPr>
                <w:rFonts w:ascii="Arial"/>
                <w:color w:val="auto"/>
                <w:sz w:val="21"/>
                <w:highlight w:val="none"/>
              </w:rPr>
            </w:pPr>
          </w:p>
        </w:tc>
        <w:tc>
          <w:tcPr>
            <w:tcW w:w="1609" w:type="dxa"/>
            <w:vAlign w:val="top"/>
          </w:tcPr>
          <w:p w14:paraId="3BE2A8FA">
            <w:pPr>
              <w:pStyle w:val="20"/>
              <w:spacing w:before="74" w:line="229" w:lineRule="auto"/>
              <w:ind w:left="205"/>
              <w:rPr>
                <w:color w:val="auto"/>
                <w:sz w:val="19"/>
                <w:szCs w:val="19"/>
                <w:highlight w:val="none"/>
              </w:rPr>
            </w:pPr>
            <w:r>
              <w:rPr>
                <w:color w:val="auto"/>
                <w:spacing w:val="8"/>
                <w:sz w:val="19"/>
                <w:szCs w:val="19"/>
                <w:highlight w:val="none"/>
              </w:rPr>
              <w:t>太阳能热水系</w:t>
            </w:r>
          </w:p>
          <w:p w14:paraId="03691FBE">
            <w:pPr>
              <w:pStyle w:val="20"/>
              <w:spacing w:before="95" w:line="230" w:lineRule="auto"/>
              <w:ind w:left="709"/>
              <w:rPr>
                <w:color w:val="auto"/>
                <w:sz w:val="19"/>
                <w:szCs w:val="19"/>
                <w:highlight w:val="none"/>
              </w:rPr>
            </w:pPr>
            <w:r>
              <w:rPr>
                <w:color w:val="auto"/>
                <w:sz w:val="19"/>
                <w:szCs w:val="19"/>
                <w:highlight w:val="none"/>
              </w:rPr>
              <w:t>统</w:t>
            </w:r>
          </w:p>
        </w:tc>
        <w:tc>
          <w:tcPr>
            <w:tcW w:w="4338" w:type="dxa"/>
            <w:vAlign w:val="top"/>
          </w:tcPr>
          <w:p w14:paraId="3EFA1714">
            <w:pPr>
              <w:pStyle w:val="20"/>
              <w:spacing w:before="75" w:line="282" w:lineRule="auto"/>
              <w:ind w:left="117" w:right="34" w:hanging="4"/>
              <w:rPr>
                <w:color w:val="auto"/>
                <w:sz w:val="19"/>
                <w:szCs w:val="19"/>
                <w:highlight w:val="none"/>
              </w:rPr>
            </w:pPr>
            <w:r>
              <w:rPr>
                <w:color w:val="auto"/>
                <w:spacing w:val="8"/>
                <w:sz w:val="19"/>
                <w:szCs w:val="19"/>
                <w:highlight w:val="none"/>
              </w:rPr>
              <w:t>《家用太阳能热水系统能效限定值及能效等级》</w:t>
            </w:r>
            <w:r>
              <w:rPr>
                <w:color w:val="auto"/>
                <w:spacing w:val="15"/>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26969）</w:t>
            </w:r>
          </w:p>
        </w:tc>
      </w:tr>
      <w:tr w14:paraId="5EC0A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trPr>
        <w:tc>
          <w:tcPr>
            <w:tcW w:w="650" w:type="dxa"/>
            <w:vAlign w:val="top"/>
          </w:tcPr>
          <w:p w14:paraId="0A01E504">
            <w:pPr>
              <w:pStyle w:val="20"/>
              <w:spacing w:before="241" w:line="258" w:lineRule="exact"/>
              <w:ind w:left="237"/>
              <w:rPr>
                <w:color w:val="auto"/>
                <w:sz w:val="19"/>
                <w:szCs w:val="19"/>
                <w:highlight w:val="none"/>
              </w:rPr>
            </w:pPr>
            <w:r>
              <w:rPr>
                <w:color w:val="auto"/>
                <w:spacing w:val="-7"/>
                <w:position w:val="1"/>
                <w:sz w:val="19"/>
                <w:szCs w:val="19"/>
                <w:highlight w:val="none"/>
              </w:rPr>
              <w:t>11</w:t>
            </w:r>
          </w:p>
        </w:tc>
        <w:tc>
          <w:tcPr>
            <w:tcW w:w="1114" w:type="dxa"/>
            <w:vAlign w:val="top"/>
          </w:tcPr>
          <w:p w14:paraId="3AE111EB">
            <w:pPr>
              <w:pStyle w:val="20"/>
              <w:spacing w:before="77" w:line="285" w:lineRule="auto"/>
              <w:ind w:left="152" w:right="156" w:firstLine="43"/>
              <w:rPr>
                <w:color w:val="auto"/>
                <w:sz w:val="19"/>
                <w:szCs w:val="19"/>
                <w:highlight w:val="none"/>
              </w:rPr>
            </w:pPr>
            <w:r>
              <w:rPr>
                <w:color w:val="auto"/>
                <w:spacing w:val="4"/>
                <w:sz w:val="19"/>
                <w:szCs w:val="19"/>
                <w:highlight w:val="none"/>
              </w:rPr>
              <w:t>A020619</w:t>
            </w:r>
            <w:r>
              <w:rPr>
                <w:color w:val="auto"/>
                <w:spacing w:val="3"/>
                <w:sz w:val="19"/>
                <w:szCs w:val="19"/>
                <w:highlight w:val="none"/>
              </w:rPr>
              <w:t xml:space="preserve"> </w:t>
            </w:r>
            <w:r>
              <w:rPr>
                <w:color w:val="auto"/>
                <w:spacing w:val="7"/>
                <w:sz w:val="19"/>
                <w:szCs w:val="19"/>
                <w:highlight w:val="none"/>
              </w:rPr>
              <w:t>照明设备</w:t>
            </w:r>
          </w:p>
        </w:tc>
        <w:tc>
          <w:tcPr>
            <w:tcW w:w="1513" w:type="dxa"/>
            <w:vAlign w:val="top"/>
          </w:tcPr>
          <w:p w14:paraId="207296A0">
            <w:pPr>
              <w:pStyle w:val="20"/>
              <w:spacing w:before="77" w:line="285" w:lineRule="auto"/>
              <w:ind w:left="253" w:right="154" w:hanging="97"/>
              <w:rPr>
                <w:color w:val="auto"/>
                <w:sz w:val="19"/>
                <w:szCs w:val="19"/>
                <w:highlight w:val="none"/>
              </w:rPr>
            </w:pPr>
            <w:r>
              <w:rPr>
                <w:color w:val="auto"/>
                <w:spacing w:val="7"/>
                <w:sz w:val="19"/>
                <w:szCs w:val="19"/>
                <w:highlight w:val="none"/>
              </w:rPr>
              <w:t>★普通照明用</w:t>
            </w:r>
            <w:r>
              <w:rPr>
                <w:color w:val="auto"/>
                <w:spacing w:val="3"/>
                <w:sz w:val="19"/>
                <w:szCs w:val="19"/>
                <w:highlight w:val="none"/>
              </w:rPr>
              <w:t xml:space="preserve"> </w:t>
            </w:r>
            <w:r>
              <w:rPr>
                <w:color w:val="auto"/>
                <w:spacing w:val="8"/>
                <w:sz w:val="19"/>
                <w:szCs w:val="19"/>
                <w:highlight w:val="none"/>
              </w:rPr>
              <w:t>双端荧光灯</w:t>
            </w:r>
          </w:p>
        </w:tc>
        <w:tc>
          <w:tcPr>
            <w:tcW w:w="1609" w:type="dxa"/>
            <w:vAlign w:val="top"/>
          </w:tcPr>
          <w:p w14:paraId="407EAACA">
            <w:pPr>
              <w:rPr>
                <w:rFonts w:ascii="Arial"/>
                <w:color w:val="auto"/>
                <w:sz w:val="21"/>
                <w:highlight w:val="none"/>
              </w:rPr>
            </w:pPr>
          </w:p>
        </w:tc>
        <w:tc>
          <w:tcPr>
            <w:tcW w:w="4338" w:type="dxa"/>
            <w:vAlign w:val="top"/>
          </w:tcPr>
          <w:p w14:paraId="4661263A">
            <w:pPr>
              <w:pStyle w:val="20"/>
              <w:spacing w:before="77" w:line="285" w:lineRule="auto"/>
              <w:ind w:left="111" w:right="224" w:firstLine="2"/>
              <w:rPr>
                <w:color w:val="auto"/>
                <w:sz w:val="19"/>
                <w:szCs w:val="19"/>
                <w:highlight w:val="none"/>
              </w:rPr>
            </w:pPr>
            <w:r>
              <w:rPr>
                <w:color w:val="auto"/>
                <w:spacing w:val="9"/>
                <w:sz w:val="19"/>
                <w:szCs w:val="19"/>
                <w:highlight w:val="none"/>
              </w:rPr>
              <w:t>《普通照明用双端荧光灯能效限定值及能效等</w:t>
            </w:r>
            <w:r>
              <w:rPr>
                <w:color w:val="auto"/>
                <w:spacing w:val="3"/>
                <w:sz w:val="19"/>
                <w:szCs w:val="19"/>
                <w:highlight w:val="none"/>
              </w:rPr>
              <w:t xml:space="preserve"> </w:t>
            </w:r>
            <w:r>
              <w:rPr>
                <w:color w:val="auto"/>
                <w:spacing w:val="5"/>
                <w:sz w:val="19"/>
                <w:szCs w:val="19"/>
                <w:highlight w:val="none"/>
              </w:rPr>
              <w:t>级》（</w:t>
            </w:r>
            <w:r>
              <w:rPr>
                <w:color w:val="auto"/>
                <w:sz w:val="19"/>
                <w:szCs w:val="19"/>
                <w:highlight w:val="none"/>
              </w:rPr>
              <w:t>GB</w:t>
            </w:r>
            <w:r>
              <w:rPr>
                <w:color w:val="auto"/>
                <w:spacing w:val="5"/>
                <w:sz w:val="19"/>
                <w:szCs w:val="19"/>
                <w:highlight w:val="none"/>
              </w:rPr>
              <w:t>19043）</w:t>
            </w:r>
          </w:p>
        </w:tc>
      </w:tr>
    </w:tbl>
    <w:p w14:paraId="201466F5">
      <w:pPr>
        <w:pStyle w:val="6"/>
        <w:rPr>
          <w:color w:val="auto"/>
          <w:highlight w:val="none"/>
        </w:rPr>
      </w:pPr>
    </w:p>
    <w:p w14:paraId="33C3C95A">
      <w:pPr>
        <w:rPr>
          <w:color w:val="auto"/>
          <w:highlight w:val="none"/>
        </w:rPr>
        <w:sectPr>
          <w:footerReference r:id="rId13" w:type="default"/>
          <w:pgSz w:w="11905" w:h="16839"/>
          <w:pgMar w:top="960" w:right="1103" w:bottom="1055" w:left="1562" w:header="945" w:footer="819" w:gutter="0"/>
          <w:pgNumType w:fmt="decimal"/>
          <w:cols w:space="720" w:num="1"/>
        </w:sectPr>
      </w:pPr>
    </w:p>
    <w:p w14:paraId="0F37C26D">
      <w:pPr>
        <w:spacing w:line="173" w:lineRule="exact"/>
        <w:rPr>
          <w:color w:val="auto"/>
          <w:highlight w:val="none"/>
        </w:rPr>
      </w:pPr>
    </w:p>
    <w:tbl>
      <w:tblPr>
        <w:tblStyle w:val="19"/>
        <w:tblW w:w="922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0"/>
        <w:gridCol w:w="1114"/>
        <w:gridCol w:w="1513"/>
        <w:gridCol w:w="1609"/>
        <w:gridCol w:w="4338"/>
      </w:tblGrid>
      <w:tr w14:paraId="2766A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1" w:hRule="atLeast"/>
        </w:trPr>
        <w:tc>
          <w:tcPr>
            <w:tcW w:w="650" w:type="dxa"/>
            <w:vMerge w:val="restart"/>
            <w:tcBorders>
              <w:top w:val="nil"/>
              <w:bottom w:val="nil"/>
            </w:tcBorders>
            <w:vAlign w:val="top"/>
          </w:tcPr>
          <w:p w14:paraId="352D93DA">
            <w:pPr>
              <w:rPr>
                <w:rFonts w:ascii="Arial"/>
                <w:color w:val="auto"/>
                <w:sz w:val="21"/>
                <w:highlight w:val="none"/>
              </w:rPr>
            </w:pPr>
          </w:p>
        </w:tc>
        <w:tc>
          <w:tcPr>
            <w:tcW w:w="1114" w:type="dxa"/>
            <w:vMerge w:val="restart"/>
            <w:tcBorders>
              <w:top w:val="nil"/>
              <w:bottom w:val="nil"/>
            </w:tcBorders>
            <w:vAlign w:val="top"/>
          </w:tcPr>
          <w:p w14:paraId="5D3EEC0D">
            <w:pPr>
              <w:rPr>
                <w:rFonts w:ascii="Arial"/>
                <w:color w:val="auto"/>
                <w:sz w:val="21"/>
                <w:highlight w:val="none"/>
              </w:rPr>
            </w:pPr>
          </w:p>
        </w:tc>
        <w:tc>
          <w:tcPr>
            <w:tcW w:w="1513" w:type="dxa"/>
            <w:tcBorders>
              <w:top w:val="nil"/>
            </w:tcBorders>
            <w:vAlign w:val="top"/>
          </w:tcPr>
          <w:p w14:paraId="43F2D994">
            <w:pPr>
              <w:pStyle w:val="20"/>
              <w:spacing w:before="87" w:line="229" w:lineRule="auto"/>
              <w:ind w:left="125"/>
              <w:rPr>
                <w:color w:val="auto"/>
                <w:sz w:val="19"/>
                <w:szCs w:val="19"/>
                <w:highlight w:val="none"/>
              </w:rPr>
            </w:pPr>
            <w:r>
              <w:rPr>
                <w:color w:val="auto"/>
                <w:sz w:val="19"/>
                <w:szCs w:val="19"/>
                <w:highlight w:val="none"/>
              </w:rPr>
              <w:t>LED</w:t>
            </w:r>
            <w:r>
              <w:rPr>
                <w:color w:val="auto"/>
                <w:spacing w:val="-37"/>
                <w:sz w:val="19"/>
                <w:szCs w:val="19"/>
                <w:highlight w:val="none"/>
              </w:rPr>
              <w:t xml:space="preserve"> </w:t>
            </w:r>
            <w:r>
              <w:rPr>
                <w:color w:val="auto"/>
                <w:spacing w:val="9"/>
                <w:sz w:val="19"/>
                <w:szCs w:val="19"/>
                <w:highlight w:val="none"/>
              </w:rPr>
              <w:t>道路/隧道</w:t>
            </w:r>
          </w:p>
          <w:p w14:paraId="6084B532">
            <w:pPr>
              <w:pStyle w:val="20"/>
              <w:spacing w:before="93" w:line="229" w:lineRule="auto"/>
              <w:ind w:left="353"/>
              <w:rPr>
                <w:color w:val="auto"/>
                <w:sz w:val="19"/>
                <w:szCs w:val="19"/>
                <w:highlight w:val="none"/>
              </w:rPr>
            </w:pPr>
            <w:r>
              <w:rPr>
                <w:color w:val="auto"/>
                <w:spacing w:val="7"/>
                <w:sz w:val="19"/>
                <w:szCs w:val="19"/>
                <w:highlight w:val="none"/>
              </w:rPr>
              <w:t>照明产品</w:t>
            </w:r>
          </w:p>
        </w:tc>
        <w:tc>
          <w:tcPr>
            <w:tcW w:w="1609" w:type="dxa"/>
            <w:tcBorders>
              <w:top w:val="nil"/>
            </w:tcBorders>
            <w:vAlign w:val="top"/>
          </w:tcPr>
          <w:p w14:paraId="15F4C862">
            <w:pPr>
              <w:rPr>
                <w:rFonts w:ascii="Arial"/>
                <w:color w:val="auto"/>
                <w:sz w:val="21"/>
                <w:highlight w:val="none"/>
              </w:rPr>
            </w:pPr>
          </w:p>
        </w:tc>
        <w:tc>
          <w:tcPr>
            <w:tcW w:w="4338" w:type="dxa"/>
            <w:tcBorders>
              <w:top w:val="nil"/>
            </w:tcBorders>
            <w:vAlign w:val="top"/>
          </w:tcPr>
          <w:p w14:paraId="665F2FB0">
            <w:pPr>
              <w:pStyle w:val="20"/>
              <w:spacing w:before="88" w:line="288" w:lineRule="auto"/>
              <w:ind w:left="113" w:right="221"/>
              <w:rPr>
                <w:color w:val="auto"/>
                <w:sz w:val="19"/>
                <w:szCs w:val="19"/>
                <w:highlight w:val="none"/>
              </w:rPr>
            </w:pPr>
            <w:r>
              <w:rPr>
                <w:color w:val="auto"/>
                <w:spacing w:val="12"/>
                <w:sz w:val="19"/>
                <w:szCs w:val="19"/>
                <w:highlight w:val="none"/>
              </w:rPr>
              <w:t>《道路和隧道照明用</w:t>
            </w:r>
            <w:r>
              <w:rPr>
                <w:color w:val="auto"/>
                <w:sz w:val="19"/>
                <w:szCs w:val="19"/>
                <w:highlight w:val="none"/>
              </w:rPr>
              <w:t>LED</w:t>
            </w:r>
            <w:r>
              <w:rPr>
                <w:color w:val="auto"/>
                <w:spacing w:val="-30"/>
                <w:sz w:val="19"/>
                <w:szCs w:val="19"/>
                <w:highlight w:val="none"/>
              </w:rPr>
              <w:t xml:space="preserve"> </w:t>
            </w:r>
            <w:r>
              <w:rPr>
                <w:color w:val="auto"/>
                <w:spacing w:val="12"/>
                <w:sz w:val="19"/>
                <w:szCs w:val="19"/>
                <w:highlight w:val="none"/>
              </w:rPr>
              <w:t>灯具能效限定值及能</w:t>
            </w:r>
            <w:r>
              <w:rPr>
                <w:color w:val="auto"/>
                <w:sz w:val="19"/>
                <w:szCs w:val="19"/>
                <w:highlight w:val="none"/>
              </w:rPr>
              <w:t xml:space="preserve"> </w:t>
            </w:r>
            <w:r>
              <w:rPr>
                <w:color w:val="auto"/>
                <w:spacing w:val="6"/>
                <w:sz w:val="19"/>
                <w:szCs w:val="19"/>
                <w:highlight w:val="none"/>
              </w:rPr>
              <w:t>效等级》（</w:t>
            </w:r>
            <w:r>
              <w:rPr>
                <w:color w:val="auto"/>
                <w:sz w:val="19"/>
                <w:szCs w:val="19"/>
                <w:highlight w:val="none"/>
              </w:rPr>
              <w:t>GB</w:t>
            </w:r>
            <w:r>
              <w:rPr>
                <w:color w:val="auto"/>
                <w:spacing w:val="6"/>
                <w:sz w:val="19"/>
                <w:szCs w:val="19"/>
                <w:highlight w:val="none"/>
              </w:rPr>
              <w:t>37478）</w:t>
            </w:r>
          </w:p>
        </w:tc>
      </w:tr>
      <w:tr w14:paraId="01EEC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650" w:type="dxa"/>
            <w:vMerge w:val="continue"/>
            <w:tcBorders>
              <w:top w:val="nil"/>
              <w:bottom w:val="nil"/>
            </w:tcBorders>
            <w:vAlign w:val="top"/>
          </w:tcPr>
          <w:p w14:paraId="7FEDA27B">
            <w:pPr>
              <w:rPr>
                <w:rFonts w:ascii="Arial"/>
                <w:color w:val="auto"/>
                <w:sz w:val="21"/>
                <w:highlight w:val="none"/>
              </w:rPr>
            </w:pPr>
          </w:p>
        </w:tc>
        <w:tc>
          <w:tcPr>
            <w:tcW w:w="1114" w:type="dxa"/>
            <w:vMerge w:val="continue"/>
            <w:tcBorders>
              <w:top w:val="nil"/>
              <w:bottom w:val="nil"/>
            </w:tcBorders>
            <w:vAlign w:val="top"/>
          </w:tcPr>
          <w:p w14:paraId="0939568F">
            <w:pPr>
              <w:rPr>
                <w:rFonts w:ascii="Arial"/>
                <w:color w:val="auto"/>
                <w:sz w:val="21"/>
                <w:highlight w:val="none"/>
              </w:rPr>
            </w:pPr>
          </w:p>
        </w:tc>
        <w:tc>
          <w:tcPr>
            <w:tcW w:w="1513" w:type="dxa"/>
            <w:vAlign w:val="top"/>
          </w:tcPr>
          <w:p w14:paraId="53FE6BA0">
            <w:pPr>
              <w:pStyle w:val="20"/>
              <w:spacing w:before="226" w:line="229" w:lineRule="auto"/>
              <w:ind w:left="377"/>
              <w:rPr>
                <w:color w:val="auto"/>
                <w:sz w:val="19"/>
                <w:szCs w:val="19"/>
                <w:highlight w:val="none"/>
              </w:rPr>
            </w:pPr>
            <w:r>
              <w:rPr>
                <w:color w:val="auto"/>
                <w:sz w:val="19"/>
                <w:szCs w:val="19"/>
                <w:highlight w:val="none"/>
              </w:rPr>
              <w:t>LED</w:t>
            </w:r>
            <w:r>
              <w:rPr>
                <w:color w:val="auto"/>
                <w:spacing w:val="-35"/>
                <w:sz w:val="19"/>
                <w:szCs w:val="19"/>
                <w:highlight w:val="none"/>
              </w:rPr>
              <w:t xml:space="preserve"> </w:t>
            </w:r>
            <w:r>
              <w:rPr>
                <w:color w:val="auto"/>
                <w:spacing w:val="7"/>
                <w:sz w:val="19"/>
                <w:szCs w:val="19"/>
                <w:highlight w:val="none"/>
              </w:rPr>
              <w:t>筒灯</w:t>
            </w:r>
          </w:p>
        </w:tc>
        <w:tc>
          <w:tcPr>
            <w:tcW w:w="1609" w:type="dxa"/>
            <w:vAlign w:val="top"/>
          </w:tcPr>
          <w:p w14:paraId="485AC029">
            <w:pPr>
              <w:rPr>
                <w:rFonts w:ascii="Arial"/>
                <w:color w:val="auto"/>
                <w:sz w:val="21"/>
                <w:highlight w:val="none"/>
              </w:rPr>
            </w:pPr>
          </w:p>
        </w:tc>
        <w:tc>
          <w:tcPr>
            <w:tcW w:w="4338" w:type="dxa"/>
            <w:vAlign w:val="top"/>
          </w:tcPr>
          <w:p w14:paraId="410DD1A8">
            <w:pPr>
              <w:pStyle w:val="20"/>
              <w:spacing w:before="63" w:line="288" w:lineRule="auto"/>
              <w:ind w:left="117" w:right="34" w:hanging="4"/>
              <w:rPr>
                <w:color w:val="auto"/>
                <w:sz w:val="19"/>
                <w:szCs w:val="19"/>
                <w:highlight w:val="none"/>
              </w:rPr>
            </w:pPr>
            <w:r>
              <w:rPr>
                <w:color w:val="auto"/>
                <w:spacing w:val="11"/>
                <w:sz w:val="19"/>
                <w:szCs w:val="19"/>
                <w:highlight w:val="none"/>
              </w:rPr>
              <w:t>《室内照明用</w:t>
            </w:r>
            <w:r>
              <w:rPr>
                <w:color w:val="auto"/>
                <w:sz w:val="19"/>
                <w:szCs w:val="19"/>
                <w:highlight w:val="none"/>
              </w:rPr>
              <w:t>LED</w:t>
            </w:r>
            <w:r>
              <w:rPr>
                <w:color w:val="auto"/>
                <w:spacing w:val="-26"/>
                <w:sz w:val="19"/>
                <w:szCs w:val="19"/>
                <w:highlight w:val="none"/>
              </w:rPr>
              <w:t xml:space="preserve"> </w:t>
            </w:r>
            <w:r>
              <w:rPr>
                <w:color w:val="auto"/>
                <w:spacing w:val="11"/>
                <w:sz w:val="19"/>
                <w:szCs w:val="19"/>
                <w:highlight w:val="none"/>
              </w:rPr>
              <w:t>产品能效限定值及能效等级》</w:t>
            </w:r>
            <w:r>
              <w:rPr>
                <w:color w:val="auto"/>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30255）</w:t>
            </w:r>
          </w:p>
        </w:tc>
      </w:tr>
      <w:tr w14:paraId="7D333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6" w:hRule="atLeast"/>
        </w:trPr>
        <w:tc>
          <w:tcPr>
            <w:tcW w:w="650" w:type="dxa"/>
            <w:vMerge w:val="continue"/>
            <w:tcBorders>
              <w:top w:val="nil"/>
            </w:tcBorders>
            <w:vAlign w:val="top"/>
          </w:tcPr>
          <w:p w14:paraId="06EFAC38">
            <w:pPr>
              <w:rPr>
                <w:rFonts w:ascii="Arial"/>
                <w:color w:val="auto"/>
                <w:sz w:val="21"/>
                <w:highlight w:val="none"/>
              </w:rPr>
            </w:pPr>
          </w:p>
        </w:tc>
        <w:tc>
          <w:tcPr>
            <w:tcW w:w="1114" w:type="dxa"/>
            <w:vMerge w:val="continue"/>
            <w:tcBorders>
              <w:top w:val="nil"/>
            </w:tcBorders>
            <w:vAlign w:val="top"/>
          </w:tcPr>
          <w:p w14:paraId="499A7163">
            <w:pPr>
              <w:rPr>
                <w:rFonts w:ascii="Arial"/>
                <w:color w:val="auto"/>
                <w:sz w:val="21"/>
                <w:highlight w:val="none"/>
              </w:rPr>
            </w:pPr>
          </w:p>
        </w:tc>
        <w:tc>
          <w:tcPr>
            <w:tcW w:w="1513" w:type="dxa"/>
            <w:vAlign w:val="top"/>
          </w:tcPr>
          <w:p w14:paraId="3903B687">
            <w:pPr>
              <w:pStyle w:val="20"/>
              <w:spacing w:before="63" w:line="322" w:lineRule="auto"/>
              <w:ind w:left="258" w:right="152" w:hanging="106"/>
              <w:rPr>
                <w:color w:val="auto"/>
                <w:sz w:val="19"/>
                <w:szCs w:val="19"/>
                <w:highlight w:val="none"/>
              </w:rPr>
            </w:pPr>
            <w:r>
              <w:rPr>
                <w:color w:val="auto"/>
                <w:spacing w:val="8"/>
                <w:sz w:val="19"/>
                <w:szCs w:val="19"/>
                <w:highlight w:val="none"/>
              </w:rPr>
              <w:t>普通照明用非</w:t>
            </w:r>
            <w:r>
              <w:rPr>
                <w:color w:val="auto"/>
                <w:spacing w:val="3"/>
                <w:sz w:val="19"/>
                <w:szCs w:val="19"/>
                <w:highlight w:val="none"/>
              </w:rPr>
              <w:t xml:space="preserve"> </w:t>
            </w:r>
            <w:r>
              <w:rPr>
                <w:color w:val="auto"/>
                <w:spacing w:val="7"/>
                <w:sz w:val="19"/>
                <w:szCs w:val="19"/>
                <w:highlight w:val="none"/>
              </w:rPr>
              <w:t>定向自镇流</w:t>
            </w:r>
          </w:p>
          <w:p w14:paraId="20449E04">
            <w:pPr>
              <w:pStyle w:val="20"/>
              <w:spacing w:line="229" w:lineRule="auto"/>
              <w:ind w:left="475"/>
              <w:rPr>
                <w:color w:val="auto"/>
                <w:sz w:val="19"/>
                <w:szCs w:val="19"/>
                <w:highlight w:val="none"/>
              </w:rPr>
            </w:pPr>
            <w:r>
              <w:rPr>
                <w:color w:val="auto"/>
                <w:sz w:val="19"/>
                <w:szCs w:val="19"/>
                <w:highlight w:val="none"/>
              </w:rPr>
              <w:t>LED</w:t>
            </w:r>
            <w:r>
              <w:rPr>
                <w:color w:val="auto"/>
                <w:spacing w:val="-39"/>
                <w:sz w:val="19"/>
                <w:szCs w:val="19"/>
                <w:highlight w:val="none"/>
              </w:rPr>
              <w:t xml:space="preserve"> </w:t>
            </w:r>
            <w:r>
              <w:rPr>
                <w:color w:val="auto"/>
                <w:spacing w:val="11"/>
                <w:sz w:val="19"/>
                <w:szCs w:val="19"/>
                <w:highlight w:val="none"/>
              </w:rPr>
              <w:t>灯</w:t>
            </w:r>
          </w:p>
        </w:tc>
        <w:tc>
          <w:tcPr>
            <w:tcW w:w="1609" w:type="dxa"/>
            <w:vAlign w:val="top"/>
          </w:tcPr>
          <w:p w14:paraId="54CAEBEC">
            <w:pPr>
              <w:rPr>
                <w:rFonts w:ascii="Arial"/>
                <w:color w:val="auto"/>
                <w:sz w:val="21"/>
                <w:highlight w:val="none"/>
              </w:rPr>
            </w:pPr>
          </w:p>
        </w:tc>
        <w:tc>
          <w:tcPr>
            <w:tcW w:w="4338" w:type="dxa"/>
            <w:vAlign w:val="top"/>
          </w:tcPr>
          <w:p w14:paraId="6DEB1A6A">
            <w:pPr>
              <w:pStyle w:val="20"/>
              <w:spacing w:before="230" w:line="329" w:lineRule="auto"/>
              <w:ind w:left="117" w:right="34" w:hanging="4"/>
              <w:rPr>
                <w:color w:val="auto"/>
                <w:sz w:val="19"/>
                <w:szCs w:val="19"/>
                <w:highlight w:val="none"/>
              </w:rPr>
            </w:pPr>
            <w:r>
              <w:rPr>
                <w:color w:val="auto"/>
                <w:spacing w:val="11"/>
                <w:sz w:val="19"/>
                <w:szCs w:val="19"/>
                <w:highlight w:val="none"/>
              </w:rPr>
              <w:t>《室内照明用</w:t>
            </w:r>
            <w:r>
              <w:rPr>
                <w:color w:val="auto"/>
                <w:sz w:val="19"/>
                <w:szCs w:val="19"/>
                <w:highlight w:val="none"/>
              </w:rPr>
              <w:t>LED</w:t>
            </w:r>
            <w:r>
              <w:rPr>
                <w:color w:val="auto"/>
                <w:spacing w:val="-26"/>
                <w:sz w:val="19"/>
                <w:szCs w:val="19"/>
                <w:highlight w:val="none"/>
              </w:rPr>
              <w:t xml:space="preserve"> </w:t>
            </w:r>
            <w:r>
              <w:rPr>
                <w:color w:val="auto"/>
                <w:spacing w:val="11"/>
                <w:sz w:val="19"/>
                <w:szCs w:val="19"/>
                <w:highlight w:val="none"/>
              </w:rPr>
              <w:t>产品能效限定值及能效等级》</w:t>
            </w:r>
            <w:r>
              <w:rPr>
                <w:color w:val="auto"/>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30255）</w:t>
            </w:r>
          </w:p>
        </w:tc>
      </w:tr>
      <w:tr w14:paraId="20A6F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6" w:hRule="atLeast"/>
        </w:trPr>
        <w:tc>
          <w:tcPr>
            <w:tcW w:w="650" w:type="dxa"/>
            <w:vAlign w:val="top"/>
          </w:tcPr>
          <w:p w14:paraId="40F14FB1">
            <w:pPr>
              <w:spacing w:line="333" w:lineRule="auto"/>
              <w:rPr>
                <w:rFonts w:ascii="Arial"/>
                <w:color w:val="auto"/>
                <w:sz w:val="21"/>
                <w:highlight w:val="none"/>
              </w:rPr>
            </w:pPr>
          </w:p>
          <w:p w14:paraId="66E1C0D7">
            <w:pPr>
              <w:pStyle w:val="20"/>
              <w:spacing w:before="62" w:line="257" w:lineRule="exact"/>
              <w:ind w:left="237"/>
              <w:rPr>
                <w:color w:val="auto"/>
                <w:sz w:val="19"/>
                <w:szCs w:val="19"/>
                <w:highlight w:val="none"/>
              </w:rPr>
            </w:pPr>
            <w:r>
              <w:rPr>
                <w:color w:val="auto"/>
                <w:spacing w:val="-7"/>
                <w:position w:val="1"/>
                <w:sz w:val="19"/>
                <w:szCs w:val="19"/>
                <w:highlight w:val="none"/>
              </w:rPr>
              <w:t>12</w:t>
            </w:r>
          </w:p>
        </w:tc>
        <w:tc>
          <w:tcPr>
            <w:tcW w:w="1114" w:type="dxa"/>
            <w:vAlign w:val="top"/>
          </w:tcPr>
          <w:p w14:paraId="55F8D34F">
            <w:pPr>
              <w:pStyle w:val="20"/>
              <w:spacing w:before="232" w:line="323" w:lineRule="auto"/>
              <w:ind w:left="174" w:right="106" w:hanging="70"/>
              <w:rPr>
                <w:color w:val="auto"/>
                <w:sz w:val="19"/>
                <w:szCs w:val="19"/>
                <w:highlight w:val="none"/>
              </w:rPr>
            </w:pPr>
            <w:r>
              <w:rPr>
                <w:color w:val="auto"/>
                <w:spacing w:val="4"/>
                <w:sz w:val="19"/>
                <w:szCs w:val="19"/>
                <w:highlight w:val="none"/>
              </w:rPr>
              <w:t>★A020910</w:t>
            </w:r>
            <w:r>
              <w:rPr>
                <w:color w:val="auto"/>
                <w:sz w:val="19"/>
                <w:szCs w:val="19"/>
                <w:highlight w:val="none"/>
              </w:rPr>
              <w:t xml:space="preserve"> </w:t>
            </w:r>
            <w:r>
              <w:rPr>
                <w:color w:val="auto"/>
                <w:spacing w:val="1"/>
                <w:sz w:val="19"/>
                <w:szCs w:val="19"/>
                <w:highlight w:val="none"/>
              </w:rPr>
              <w:t>电视设备</w:t>
            </w:r>
          </w:p>
        </w:tc>
        <w:tc>
          <w:tcPr>
            <w:tcW w:w="1513" w:type="dxa"/>
            <w:vAlign w:val="top"/>
          </w:tcPr>
          <w:p w14:paraId="071FAA75">
            <w:pPr>
              <w:pStyle w:val="20"/>
              <w:spacing w:before="65" w:line="322" w:lineRule="auto"/>
              <w:ind w:left="103" w:right="104" w:firstLine="68"/>
              <w:rPr>
                <w:color w:val="auto"/>
                <w:sz w:val="19"/>
                <w:szCs w:val="19"/>
                <w:highlight w:val="none"/>
              </w:rPr>
            </w:pPr>
            <w:r>
              <w:rPr>
                <w:color w:val="auto"/>
                <w:spacing w:val="4"/>
                <w:sz w:val="19"/>
                <w:szCs w:val="19"/>
                <w:highlight w:val="none"/>
              </w:rPr>
              <w:t>A02091001</w:t>
            </w:r>
            <w:r>
              <w:rPr>
                <w:color w:val="auto"/>
                <w:spacing w:val="-34"/>
                <w:sz w:val="19"/>
                <w:szCs w:val="19"/>
                <w:highlight w:val="none"/>
              </w:rPr>
              <w:t xml:space="preserve"> </w:t>
            </w:r>
            <w:r>
              <w:rPr>
                <w:color w:val="auto"/>
                <w:spacing w:val="4"/>
                <w:sz w:val="19"/>
                <w:szCs w:val="19"/>
                <w:highlight w:val="none"/>
              </w:rPr>
              <w:t>普</w:t>
            </w:r>
            <w:r>
              <w:rPr>
                <w:color w:val="auto"/>
                <w:sz w:val="19"/>
                <w:szCs w:val="19"/>
                <w:highlight w:val="none"/>
              </w:rPr>
              <w:t xml:space="preserve"> </w:t>
            </w:r>
            <w:r>
              <w:rPr>
                <w:color w:val="auto"/>
                <w:spacing w:val="-6"/>
                <w:sz w:val="19"/>
                <w:szCs w:val="19"/>
                <w:highlight w:val="none"/>
              </w:rPr>
              <w:t>通电视设备（电</w:t>
            </w:r>
          </w:p>
          <w:p w14:paraId="18A37146">
            <w:pPr>
              <w:pStyle w:val="20"/>
              <w:spacing w:line="228" w:lineRule="auto"/>
              <w:ind w:left="452"/>
              <w:rPr>
                <w:color w:val="auto"/>
                <w:sz w:val="19"/>
                <w:szCs w:val="19"/>
                <w:highlight w:val="none"/>
              </w:rPr>
            </w:pPr>
            <w:r>
              <w:rPr>
                <w:color w:val="auto"/>
                <w:spacing w:val="3"/>
                <w:sz w:val="19"/>
                <w:szCs w:val="19"/>
                <w:highlight w:val="none"/>
              </w:rPr>
              <w:t>视机）</w:t>
            </w:r>
          </w:p>
        </w:tc>
        <w:tc>
          <w:tcPr>
            <w:tcW w:w="1609" w:type="dxa"/>
            <w:vAlign w:val="top"/>
          </w:tcPr>
          <w:p w14:paraId="26C52702">
            <w:pPr>
              <w:rPr>
                <w:rFonts w:ascii="Arial"/>
                <w:color w:val="auto"/>
                <w:sz w:val="21"/>
                <w:highlight w:val="none"/>
              </w:rPr>
            </w:pPr>
          </w:p>
        </w:tc>
        <w:tc>
          <w:tcPr>
            <w:tcW w:w="4338" w:type="dxa"/>
            <w:vAlign w:val="top"/>
          </w:tcPr>
          <w:p w14:paraId="0ED0C641">
            <w:pPr>
              <w:spacing w:line="333" w:lineRule="auto"/>
              <w:rPr>
                <w:rFonts w:ascii="Arial"/>
                <w:color w:val="auto"/>
                <w:sz w:val="21"/>
                <w:highlight w:val="none"/>
              </w:rPr>
            </w:pPr>
          </w:p>
          <w:p w14:paraId="02D88F39">
            <w:pPr>
              <w:pStyle w:val="20"/>
              <w:spacing w:before="62" w:line="228" w:lineRule="auto"/>
              <w:ind w:right="13"/>
              <w:jc w:val="right"/>
              <w:rPr>
                <w:color w:val="auto"/>
                <w:sz w:val="19"/>
                <w:szCs w:val="19"/>
                <w:highlight w:val="none"/>
              </w:rPr>
            </w:pPr>
            <w:r>
              <w:rPr>
                <w:color w:val="auto"/>
                <w:spacing w:val="4"/>
                <w:sz w:val="19"/>
                <w:szCs w:val="19"/>
                <w:highlight w:val="none"/>
              </w:rPr>
              <w:t>《平板电视能效限定值及能效等级》（</w:t>
            </w:r>
            <w:r>
              <w:rPr>
                <w:color w:val="auto"/>
                <w:sz w:val="19"/>
                <w:szCs w:val="19"/>
                <w:highlight w:val="none"/>
              </w:rPr>
              <w:t>GB</w:t>
            </w:r>
            <w:r>
              <w:rPr>
                <w:color w:val="auto"/>
                <w:spacing w:val="4"/>
                <w:sz w:val="19"/>
                <w:szCs w:val="19"/>
                <w:highlight w:val="none"/>
              </w:rPr>
              <w:t>24850）</w:t>
            </w:r>
          </w:p>
        </w:tc>
      </w:tr>
      <w:tr w14:paraId="5D045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7" w:hRule="atLeast"/>
        </w:trPr>
        <w:tc>
          <w:tcPr>
            <w:tcW w:w="650" w:type="dxa"/>
            <w:vAlign w:val="top"/>
          </w:tcPr>
          <w:p w14:paraId="02CC7226">
            <w:pPr>
              <w:spacing w:line="249" w:lineRule="auto"/>
              <w:rPr>
                <w:rFonts w:ascii="Arial"/>
                <w:color w:val="auto"/>
                <w:sz w:val="21"/>
                <w:highlight w:val="none"/>
              </w:rPr>
            </w:pPr>
          </w:p>
          <w:p w14:paraId="15D9C9BA">
            <w:pPr>
              <w:spacing w:line="250" w:lineRule="auto"/>
              <w:rPr>
                <w:rFonts w:ascii="Arial"/>
                <w:color w:val="auto"/>
                <w:sz w:val="21"/>
                <w:highlight w:val="none"/>
              </w:rPr>
            </w:pPr>
          </w:p>
          <w:p w14:paraId="1496E408">
            <w:pPr>
              <w:pStyle w:val="20"/>
              <w:spacing w:before="62" w:line="256" w:lineRule="exact"/>
              <w:ind w:left="237"/>
              <w:rPr>
                <w:color w:val="auto"/>
                <w:sz w:val="19"/>
                <w:szCs w:val="19"/>
                <w:highlight w:val="none"/>
              </w:rPr>
            </w:pPr>
            <w:r>
              <w:rPr>
                <w:color w:val="auto"/>
                <w:spacing w:val="-7"/>
                <w:position w:val="1"/>
                <w:sz w:val="19"/>
                <w:szCs w:val="19"/>
                <w:highlight w:val="none"/>
              </w:rPr>
              <w:t>13</w:t>
            </w:r>
          </w:p>
        </w:tc>
        <w:tc>
          <w:tcPr>
            <w:tcW w:w="1114" w:type="dxa"/>
            <w:vAlign w:val="top"/>
          </w:tcPr>
          <w:p w14:paraId="26C1FE89">
            <w:pPr>
              <w:spacing w:line="336" w:lineRule="auto"/>
              <w:rPr>
                <w:rFonts w:ascii="Arial"/>
                <w:color w:val="auto"/>
                <w:sz w:val="21"/>
                <w:highlight w:val="none"/>
              </w:rPr>
            </w:pPr>
          </w:p>
          <w:p w14:paraId="58606B11">
            <w:pPr>
              <w:pStyle w:val="20"/>
              <w:spacing w:before="61" w:line="323" w:lineRule="auto"/>
              <w:ind w:left="150" w:right="106" w:hanging="46"/>
              <w:rPr>
                <w:color w:val="auto"/>
                <w:sz w:val="19"/>
                <w:szCs w:val="19"/>
                <w:highlight w:val="none"/>
              </w:rPr>
            </w:pPr>
            <w:r>
              <w:rPr>
                <w:color w:val="auto"/>
                <w:spacing w:val="4"/>
                <w:sz w:val="19"/>
                <w:szCs w:val="19"/>
                <w:highlight w:val="none"/>
              </w:rPr>
              <w:t>★A020911</w:t>
            </w:r>
            <w:r>
              <w:rPr>
                <w:color w:val="auto"/>
                <w:sz w:val="19"/>
                <w:szCs w:val="19"/>
                <w:highlight w:val="none"/>
              </w:rPr>
              <w:t xml:space="preserve"> </w:t>
            </w:r>
            <w:r>
              <w:rPr>
                <w:color w:val="auto"/>
                <w:spacing w:val="8"/>
                <w:sz w:val="19"/>
                <w:szCs w:val="19"/>
                <w:highlight w:val="none"/>
              </w:rPr>
              <w:t>视频设备</w:t>
            </w:r>
          </w:p>
        </w:tc>
        <w:tc>
          <w:tcPr>
            <w:tcW w:w="1513" w:type="dxa"/>
            <w:vAlign w:val="top"/>
          </w:tcPr>
          <w:p w14:paraId="5C6908A9">
            <w:pPr>
              <w:spacing w:line="336" w:lineRule="auto"/>
              <w:rPr>
                <w:rFonts w:ascii="Arial"/>
                <w:color w:val="auto"/>
                <w:sz w:val="21"/>
                <w:highlight w:val="none"/>
              </w:rPr>
            </w:pPr>
          </w:p>
          <w:p w14:paraId="7DDE75B9">
            <w:pPr>
              <w:pStyle w:val="20"/>
              <w:spacing w:before="61" w:line="323" w:lineRule="auto"/>
              <w:ind w:left="254" w:right="178" w:hanging="83"/>
              <w:rPr>
                <w:color w:val="auto"/>
                <w:sz w:val="19"/>
                <w:szCs w:val="19"/>
                <w:highlight w:val="none"/>
              </w:rPr>
            </w:pPr>
            <w:r>
              <w:rPr>
                <w:color w:val="auto"/>
                <w:spacing w:val="4"/>
                <w:sz w:val="19"/>
                <w:szCs w:val="19"/>
                <w:highlight w:val="none"/>
              </w:rPr>
              <w:t>A02091107</w:t>
            </w:r>
            <w:r>
              <w:rPr>
                <w:color w:val="auto"/>
                <w:spacing w:val="-34"/>
                <w:sz w:val="19"/>
                <w:szCs w:val="19"/>
                <w:highlight w:val="none"/>
              </w:rPr>
              <w:t xml:space="preserve"> </w:t>
            </w:r>
            <w:r>
              <w:rPr>
                <w:color w:val="auto"/>
                <w:spacing w:val="4"/>
                <w:sz w:val="19"/>
                <w:szCs w:val="19"/>
                <w:highlight w:val="none"/>
              </w:rPr>
              <w:t>视</w:t>
            </w:r>
            <w:r>
              <w:rPr>
                <w:color w:val="auto"/>
                <w:sz w:val="19"/>
                <w:szCs w:val="19"/>
                <w:highlight w:val="none"/>
              </w:rPr>
              <w:t xml:space="preserve"> </w:t>
            </w:r>
            <w:r>
              <w:rPr>
                <w:color w:val="auto"/>
                <w:spacing w:val="7"/>
                <w:sz w:val="19"/>
                <w:szCs w:val="19"/>
                <w:highlight w:val="none"/>
              </w:rPr>
              <w:t>频监控设备</w:t>
            </w:r>
          </w:p>
        </w:tc>
        <w:tc>
          <w:tcPr>
            <w:tcW w:w="1609" w:type="dxa"/>
            <w:vAlign w:val="top"/>
          </w:tcPr>
          <w:p w14:paraId="66F75BBD">
            <w:pPr>
              <w:spacing w:line="249" w:lineRule="auto"/>
              <w:rPr>
                <w:rFonts w:ascii="Arial"/>
                <w:color w:val="auto"/>
                <w:sz w:val="21"/>
                <w:highlight w:val="none"/>
              </w:rPr>
            </w:pPr>
          </w:p>
          <w:p w14:paraId="3D5ABE45">
            <w:pPr>
              <w:spacing w:line="250" w:lineRule="auto"/>
              <w:rPr>
                <w:rFonts w:ascii="Arial"/>
                <w:color w:val="auto"/>
                <w:sz w:val="21"/>
                <w:highlight w:val="none"/>
              </w:rPr>
            </w:pPr>
          </w:p>
          <w:p w14:paraId="2CC5F41A">
            <w:pPr>
              <w:pStyle w:val="20"/>
              <w:spacing w:before="62" w:line="230" w:lineRule="auto"/>
              <w:ind w:left="506"/>
              <w:rPr>
                <w:color w:val="auto"/>
                <w:sz w:val="19"/>
                <w:szCs w:val="19"/>
                <w:highlight w:val="none"/>
              </w:rPr>
            </w:pPr>
            <w:r>
              <w:rPr>
                <w:color w:val="auto"/>
                <w:spacing w:val="7"/>
                <w:sz w:val="19"/>
                <w:szCs w:val="19"/>
                <w:highlight w:val="none"/>
              </w:rPr>
              <w:t>监视器</w:t>
            </w:r>
          </w:p>
        </w:tc>
        <w:tc>
          <w:tcPr>
            <w:tcW w:w="4338" w:type="dxa"/>
            <w:vAlign w:val="top"/>
          </w:tcPr>
          <w:p w14:paraId="6EA1EAE1">
            <w:pPr>
              <w:pStyle w:val="20"/>
              <w:spacing w:before="69" w:line="303" w:lineRule="auto"/>
              <w:ind w:left="109" w:right="21" w:firstLine="21"/>
              <w:jc w:val="both"/>
              <w:rPr>
                <w:color w:val="auto"/>
                <w:sz w:val="19"/>
                <w:szCs w:val="19"/>
                <w:highlight w:val="none"/>
              </w:rPr>
            </w:pPr>
            <w:r>
              <w:rPr>
                <w:color w:val="auto"/>
                <w:spacing w:val="4"/>
                <w:sz w:val="19"/>
                <w:szCs w:val="19"/>
                <w:highlight w:val="none"/>
              </w:rPr>
              <w:t>以射频信号为主要信号输入的监视器应符合《平</w:t>
            </w:r>
            <w:r>
              <w:rPr>
                <w:color w:val="auto"/>
                <w:spacing w:val="6"/>
                <w:sz w:val="19"/>
                <w:szCs w:val="19"/>
                <w:highlight w:val="none"/>
              </w:rPr>
              <w:t xml:space="preserve">  </w:t>
            </w:r>
            <w:r>
              <w:rPr>
                <w:color w:val="auto"/>
                <w:spacing w:val="8"/>
                <w:sz w:val="19"/>
                <w:szCs w:val="19"/>
                <w:highlight w:val="none"/>
              </w:rPr>
              <w:t>板电视能效限定值及能效等级》（</w:t>
            </w:r>
            <w:r>
              <w:rPr>
                <w:color w:val="auto"/>
                <w:sz w:val="19"/>
                <w:szCs w:val="19"/>
                <w:highlight w:val="none"/>
              </w:rPr>
              <w:t>GB</w:t>
            </w:r>
            <w:r>
              <w:rPr>
                <w:color w:val="auto"/>
                <w:spacing w:val="8"/>
                <w:sz w:val="19"/>
                <w:szCs w:val="19"/>
                <w:highlight w:val="none"/>
              </w:rPr>
              <w:t>24850</w:t>
            </w:r>
            <w:r>
              <w:rPr>
                <w:color w:val="auto"/>
                <w:spacing w:val="23"/>
                <w:sz w:val="19"/>
                <w:szCs w:val="19"/>
                <w:highlight w:val="none"/>
              </w:rPr>
              <w:t>），</w:t>
            </w:r>
            <w:r>
              <w:rPr>
                <w:color w:val="auto"/>
                <w:sz w:val="19"/>
                <w:szCs w:val="19"/>
                <w:highlight w:val="none"/>
              </w:rPr>
              <w:t xml:space="preserve">  </w:t>
            </w:r>
            <w:r>
              <w:rPr>
                <w:color w:val="auto"/>
                <w:spacing w:val="5"/>
                <w:sz w:val="19"/>
                <w:szCs w:val="19"/>
                <w:highlight w:val="none"/>
              </w:rPr>
              <w:t>以数字信号为主要信号输入的监视器应符合《计</w:t>
            </w:r>
            <w:r>
              <w:rPr>
                <w:color w:val="auto"/>
                <w:spacing w:val="6"/>
                <w:sz w:val="19"/>
                <w:szCs w:val="19"/>
                <w:highlight w:val="none"/>
              </w:rPr>
              <w:t xml:space="preserve">  </w:t>
            </w:r>
            <w:r>
              <w:rPr>
                <w:color w:val="auto"/>
                <w:spacing w:val="4"/>
                <w:sz w:val="19"/>
                <w:szCs w:val="19"/>
                <w:highlight w:val="none"/>
              </w:rPr>
              <w:t>算机显示器能效限定值及能效等级》（</w:t>
            </w:r>
            <w:r>
              <w:rPr>
                <w:color w:val="auto"/>
                <w:sz w:val="19"/>
                <w:szCs w:val="19"/>
                <w:highlight w:val="none"/>
              </w:rPr>
              <w:t>GB</w:t>
            </w:r>
            <w:r>
              <w:rPr>
                <w:color w:val="auto"/>
                <w:spacing w:val="4"/>
                <w:sz w:val="19"/>
                <w:szCs w:val="19"/>
                <w:highlight w:val="none"/>
              </w:rPr>
              <w:t>21520）</w:t>
            </w:r>
          </w:p>
        </w:tc>
      </w:tr>
      <w:tr w14:paraId="4455D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6" w:hRule="atLeast"/>
        </w:trPr>
        <w:tc>
          <w:tcPr>
            <w:tcW w:w="650" w:type="dxa"/>
            <w:vAlign w:val="top"/>
          </w:tcPr>
          <w:p w14:paraId="30A35C7A">
            <w:pPr>
              <w:spacing w:line="337" w:lineRule="auto"/>
              <w:rPr>
                <w:rFonts w:ascii="Arial"/>
                <w:color w:val="auto"/>
                <w:sz w:val="21"/>
                <w:highlight w:val="none"/>
              </w:rPr>
            </w:pPr>
          </w:p>
          <w:p w14:paraId="05B34572">
            <w:pPr>
              <w:pStyle w:val="20"/>
              <w:spacing w:before="61" w:line="258" w:lineRule="exact"/>
              <w:ind w:left="237"/>
              <w:rPr>
                <w:color w:val="auto"/>
                <w:sz w:val="19"/>
                <w:szCs w:val="19"/>
                <w:highlight w:val="none"/>
              </w:rPr>
            </w:pPr>
            <w:r>
              <w:rPr>
                <w:color w:val="auto"/>
                <w:spacing w:val="-7"/>
                <w:position w:val="1"/>
                <w:sz w:val="19"/>
                <w:szCs w:val="19"/>
                <w:highlight w:val="none"/>
              </w:rPr>
              <w:t>14</w:t>
            </w:r>
          </w:p>
        </w:tc>
        <w:tc>
          <w:tcPr>
            <w:tcW w:w="1114" w:type="dxa"/>
            <w:vAlign w:val="top"/>
          </w:tcPr>
          <w:p w14:paraId="09E8DC9A">
            <w:pPr>
              <w:pStyle w:val="20"/>
              <w:spacing w:before="69" w:line="257" w:lineRule="exact"/>
              <w:ind w:left="195"/>
              <w:rPr>
                <w:color w:val="auto"/>
                <w:sz w:val="19"/>
                <w:szCs w:val="19"/>
                <w:highlight w:val="none"/>
              </w:rPr>
            </w:pPr>
            <w:r>
              <w:rPr>
                <w:color w:val="auto"/>
                <w:spacing w:val="4"/>
                <w:position w:val="1"/>
                <w:sz w:val="19"/>
                <w:szCs w:val="19"/>
                <w:highlight w:val="none"/>
              </w:rPr>
              <w:t>A031210</w:t>
            </w:r>
          </w:p>
          <w:p w14:paraId="27995984">
            <w:pPr>
              <w:pStyle w:val="20"/>
              <w:spacing w:before="74" w:line="230" w:lineRule="auto"/>
              <w:ind w:left="151"/>
              <w:rPr>
                <w:color w:val="auto"/>
                <w:sz w:val="19"/>
                <w:szCs w:val="19"/>
                <w:highlight w:val="none"/>
              </w:rPr>
            </w:pPr>
            <w:r>
              <w:rPr>
                <w:color w:val="auto"/>
                <w:spacing w:val="7"/>
                <w:sz w:val="19"/>
                <w:szCs w:val="19"/>
                <w:highlight w:val="none"/>
              </w:rPr>
              <w:t>饮食炊事</w:t>
            </w:r>
          </w:p>
          <w:p w14:paraId="3CEFFB82">
            <w:pPr>
              <w:pStyle w:val="20"/>
              <w:spacing w:before="95" w:line="228" w:lineRule="auto"/>
              <w:ind w:left="349"/>
              <w:rPr>
                <w:color w:val="auto"/>
                <w:sz w:val="19"/>
                <w:szCs w:val="19"/>
                <w:highlight w:val="none"/>
              </w:rPr>
            </w:pPr>
            <w:r>
              <w:rPr>
                <w:color w:val="auto"/>
                <w:spacing w:val="5"/>
                <w:sz w:val="19"/>
                <w:szCs w:val="19"/>
                <w:highlight w:val="none"/>
              </w:rPr>
              <w:t>机械</w:t>
            </w:r>
          </w:p>
        </w:tc>
        <w:tc>
          <w:tcPr>
            <w:tcW w:w="1513" w:type="dxa"/>
            <w:vAlign w:val="top"/>
          </w:tcPr>
          <w:p w14:paraId="3E098CFE">
            <w:pPr>
              <w:spacing w:line="336" w:lineRule="auto"/>
              <w:rPr>
                <w:rFonts w:ascii="Arial"/>
                <w:color w:val="auto"/>
                <w:sz w:val="21"/>
                <w:highlight w:val="none"/>
              </w:rPr>
            </w:pPr>
          </w:p>
          <w:p w14:paraId="0F94C5BA">
            <w:pPr>
              <w:pStyle w:val="20"/>
              <w:spacing w:before="62" w:line="230" w:lineRule="auto"/>
              <w:ind w:left="157"/>
              <w:rPr>
                <w:color w:val="auto"/>
                <w:sz w:val="19"/>
                <w:szCs w:val="19"/>
                <w:highlight w:val="none"/>
              </w:rPr>
            </w:pPr>
            <w:r>
              <w:rPr>
                <w:color w:val="auto"/>
                <w:spacing w:val="8"/>
                <w:sz w:val="19"/>
                <w:szCs w:val="19"/>
                <w:highlight w:val="none"/>
              </w:rPr>
              <w:t>商用燃气灶具</w:t>
            </w:r>
          </w:p>
        </w:tc>
        <w:tc>
          <w:tcPr>
            <w:tcW w:w="1609" w:type="dxa"/>
            <w:vAlign w:val="top"/>
          </w:tcPr>
          <w:p w14:paraId="03C5D2EA">
            <w:pPr>
              <w:rPr>
                <w:rFonts w:ascii="Arial"/>
                <w:color w:val="auto"/>
                <w:sz w:val="21"/>
                <w:highlight w:val="none"/>
              </w:rPr>
            </w:pPr>
          </w:p>
        </w:tc>
        <w:tc>
          <w:tcPr>
            <w:tcW w:w="4338" w:type="dxa"/>
            <w:vAlign w:val="top"/>
          </w:tcPr>
          <w:p w14:paraId="62AB2048">
            <w:pPr>
              <w:pStyle w:val="20"/>
              <w:spacing w:before="235" w:line="329" w:lineRule="auto"/>
              <w:ind w:left="117" w:right="635" w:hanging="4"/>
              <w:rPr>
                <w:color w:val="auto"/>
                <w:sz w:val="19"/>
                <w:szCs w:val="19"/>
                <w:highlight w:val="none"/>
              </w:rPr>
            </w:pPr>
            <w:r>
              <w:rPr>
                <w:color w:val="auto"/>
                <w:spacing w:val="8"/>
                <w:sz w:val="19"/>
                <w:szCs w:val="19"/>
                <w:highlight w:val="none"/>
              </w:rPr>
              <w:t>《商用燃气灶具能效限定值及能效等级》</w:t>
            </w:r>
            <w:r>
              <w:rPr>
                <w:color w:val="auto"/>
                <w:spacing w:val="9"/>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30531）</w:t>
            </w:r>
          </w:p>
        </w:tc>
      </w:tr>
      <w:tr w14:paraId="0D28D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6" w:hRule="atLeast"/>
        </w:trPr>
        <w:tc>
          <w:tcPr>
            <w:tcW w:w="650" w:type="dxa"/>
            <w:vMerge w:val="restart"/>
            <w:tcBorders>
              <w:bottom w:val="nil"/>
            </w:tcBorders>
            <w:vAlign w:val="top"/>
          </w:tcPr>
          <w:p w14:paraId="4251ECC2">
            <w:pPr>
              <w:spacing w:line="343" w:lineRule="auto"/>
              <w:rPr>
                <w:rFonts w:ascii="Arial"/>
                <w:color w:val="auto"/>
                <w:sz w:val="21"/>
                <w:highlight w:val="none"/>
              </w:rPr>
            </w:pPr>
          </w:p>
          <w:p w14:paraId="2C8BFE71">
            <w:pPr>
              <w:spacing w:line="344" w:lineRule="auto"/>
              <w:rPr>
                <w:rFonts w:ascii="Arial"/>
                <w:color w:val="auto"/>
                <w:sz w:val="21"/>
                <w:highlight w:val="none"/>
              </w:rPr>
            </w:pPr>
          </w:p>
          <w:p w14:paraId="345F578F">
            <w:pPr>
              <w:pStyle w:val="20"/>
              <w:spacing w:before="62" w:line="256" w:lineRule="exact"/>
              <w:ind w:left="237"/>
              <w:rPr>
                <w:color w:val="auto"/>
                <w:sz w:val="19"/>
                <w:szCs w:val="19"/>
                <w:highlight w:val="none"/>
              </w:rPr>
            </w:pPr>
            <w:r>
              <w:rPr>
                <w:color w:val="auto"/>
                <w:spacing w:val="-7"/>
                <w:position w:val="1"/>
                <w:sz w:val="19"/>
                <w:szCs w:val="19"/>
                <w:highlight w:val="none"/>
              </w:rPr>
              <w:t>15</w:t>
            </w:r>
          </w:p>
        </w:tc>
        <w:tc>
          <w:tcPr>
            <w:tcW w:w="1114" w:type="dxa"/>
            <w:vMerge w:val="restart"/>
            <w:tcBorders>
              <w:bottom w:val="nil"/>
            </w:tcBorders>
            <w:vAlign w:val="top"/>
          </w:tcPr>
          <w:p w14:paraId="4357C209">
            <w:pPr>
              <w:spacing w:line="261" w:lineRule="auto"/>
              <w:rPr>
                <w:rFonts w:ascii="Arial"/>
                <w:color w:val="auto"/>
                <w:sz w:val="21"/>
                <w:highlight w:val="none"/>
              </w:rPr>
            </w:pPr>
          </w:p>
          <w:p w14:paraId="2F21E332">
            <w:pPr>
              <w:spacing w:line="261" w:lineRule="auto"/>
              <w:rPr>
                <w:rFonts w:ascii="Arial"/>
                <w:color w:val="auto"/>
                <w:sz w:val="21"/>
                <w:highlight w:val="none"/>
              </w:rPr>
            </w:pPr>
          </w:p>
          <w:p w14:paraId="225890AF">
            <w:pPr>
              <w:pStyle w:val="20"/>
              <w:spacing w:before="62" w:line="236" w:lineRule="auto"/>
              <w:ind w:left="104"/>
              <w:rPr>
                <w:color w:val="auto"/>
                <w:sz w:val="19"/>
                <w:szCs w:val="19"/>
                <w:highlight w:val="none"/>
              </w:rPr>
            </w:pPr>
            <w:r>
              <w:rPr>
                <w:color w:val="auto"/>
                <w:spacing w:val="4"/>
                <w:sz w:val="19"/>
                <w:szCs w:val="19"/>
                <w:highlight w:val="none"/>
              </w:rPr>
              <w:t>★A060805</w:t>
            </w:r>
          </w:p>
          <w:p w14:paraId="0E5DC5B5">
            <w:pPr>
              <w:pStyle w:val="20"/>
              <w:spacing w:before="88" w:line="229" w:lineRule="auto"/>
              <w:ind w:left="351"/>
              <w:rPr>
                <w:color w:val="auto"/>
                <w:sz w:val="19"/>
                <w:szCs w:val="19"/>
                <w:highlight w:val="none"/>
              </w:rPr>
            </w:pPr>
            <w:r>
              <w:rPr>
                <w:color w:val="auto"/>
                <w:spacing w:val="4"/>
                <w:sz w:val="19"/>
                <w:szCs w:val="19"/>
                <w:highlight w:val="none"/>
              </w:rPr>
              <w:t>便器</w:t>
            </w:r>
          </w:p>
        </w:tc>
        <w:tc>
          <w:tcPr>
            <w:tcW w:w="1513" w:type="dxa"/>
            <w:vAlign w:val="top"/>
          </w:tcPr>
          <w:p w14:paraId="1F3E4CB1">
            <w:pPr>
              <w:pStyle w:val="20"/>
              <w:spacing w:before="71" w:line="229" w:lineRule="auto"/>
              <w:ind w:left="454"/>
              <w:rPr>
                <w:color w:val="auto"/>
                <w:sz w:val="19"/>
                <w:szCs w:val="19"/>
                <w:highlight w:val="none"/>
              </w:rPr>
            </w:pPr>
            <w:r>
              <w:rPr>
                <w:color w:val="auto"/>
                <w:spacing w:val="7"/>
                <w:sz w:val="19"/>
                <w:szCs w:val="19"/>
                <w:highlight w:val="none"/>
              </w:rPr>
              <w:t>坐便器</w:t>
            </w:r>
          </w:p>
        </w:tc>
        <w:tc>
          <w:tcPr>
            <w:tcW w:w="1609" w:type="dxa"/>
            <w:vAlign w:val="top"/>
          </w:tcPr>
          <w:p w14:paraId="4B9EB19B">
            <w:pPr>
              <w:rPr>
                <w:rFonts w:ascii="Arial"/>
                <w:color w:val="auto"/>
                <w:sz w:val="21"/>
                <w:highlight w:val="none"/>
              </w:rPr>
            </w:pPr>
          </w:p>
        </w:tc>
        <w:tc>
          <w:tcPr>
            <w:tcW w:w="4338" w:type="dxa"/>
            <w:vAlign w:val="top"/>
          </w:tcPr>
          <w:p w14:paraId="1B461287">
            <w:pPr>
              <w:pStyle w:val="20"/>
              <w:spacing w:before="71" w:line="229" w:lineRule="auto"/>
              <w:ind w:left="113"/>
              <w:rPr>
                <w:color w:val="auto"/>
                <w:sz w:val="19"/>
                <w:szCs w:val="19"/>
                <w:highlight w:val="none"/>
              </w:rPr>
            </w:pPr>
            <w:r>
              <w:rPr>
                <w:color w:val="auto"/>
                <w:spacing w:val="8"/>
                <w:sz w:val="19"/>
                <w:szCs w:val="19"/>
                <w:highlight w:val="none"/>
              </w:rPr>
              <w:t>《坐便器水效限定值及水效等级》（</w:t>
            </w:r>
            <w:r>
              <w:rPr>
                <w:color w:val="auto"/>
                <w:sz w:val="19"/>
                <w:szCs w:val="19"/>
                <w:highlight w:val="none"/>
              </w:rPr>
              <w:t>GB</w:t>
            </w:r>
            <w:r>
              <w:rPr>
                <w:color w:val="auto"/>
                <w:spacing w:val="8"/>
                <w:sz w:val="19"/>
                <w:szCs w:val="19"/>
                <w:highlight w:val="none"/>
              </w:rPr>
              <w:t>25502）</w:t>
            </w:r>
          </w:p>
        </w:tc>
      </w:tr>
      <w:tr w14:paraId="698FC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650" w:type="dxa"/>
            <w:vMerge w:val="continue"/>
            <w:tcBorders>
              <w:top w:val="nil"/>
              <w:bottom w:val="nil"/>
            </w:tcBorders>
            <w:vAlign w:val="top"/>
          </w:tcPr>
          <w:p w14:paraId="31DBEC1F">
            <w:pPr>
              <w:rPr>
                <w:rFonts w:ascii="Arial"/>
                <w:color w:val="auto"/>
                <w:sz w:val="21"/>
                <w:highlight w:val="none"/>
              </w:rPr>
            </w:pPr>
          </w:p>
        </w:tc>
        <w:tc>
          <w:tcPr>
            <w:tcW w:w="1114" w:type="dxa"/>
            <w:vMerge w:val="continue"/>
            <w:tcBorders>
              <w:top w:val="nil"/>
              <w:bottom w:val="nil"/>
            </w:tcBorders>
            <w:vAlign w:val="top"/>
          </w:tcPr>
          <w:p w14:paraId="26D79651">
            <w:pPr>
              <w:rPr>
                <w:rFonts w:ascii="Arial"/>
                <w:color w:val="auto"/>
                <w:sz w:val="21"/>
                <w:highlight w:val="none"/>
              </w:rPr>
            </w:pPr>
          </w:p>
        </w:tc>
        <w:tc>
          <w:tcPr>
            <w:tcW w:w="1513" w:type="dxa"/>
            <w:vAlign w:val="top"/>
          </w:tcPr>
          <w:p w14:paraId="27A1D073">
            <w:pPr>
              <w:pStyle w:val="20"/>
              <w:spacing w:before="236" w:line="229" w:lineRule="auto"/>
              <w:ind w:left="452"/>
              <w:rPr>
                <w:color w:val="auto"/>
                <w:sz w:val="19"/>
                <w:szCs w:val="19"/>
                <w:highlight w:val="none"/>
              </w:rPr>
            </w:pPr>
            <w:r>
              <w:rPr>
                <w:color w:val="auto"/>
                <w:spacing w:val="7"/>
                <w:sz w:val="19"/>
                <w:szCs w:val="19"/>
                <w:highlight w:val="none"/>
              </w:rPr>
              <w:t>蹲便器</w:t>
            </w:r>
          </w:p>
        </w:tc>
        <w:tc>
          <w:tcPr>
            <w:tcW w:w="1609" w:type="dxa"/>
            <w:vAlign w:val="top"/>
          </w:tcPr>
          <w:p w14:paraId="20609FB1">
            <w:pPr>
              <w:rPr>
                <w:rFonts w:ascii="Arial"/>
                <w:color w:val="auto"/>
                <w:sz w:val="21"/>
                <w:highlight w:val="none"/>
              </w:rPr>
            </w:pPr>
          </w:p>
        </w:tc>
        <w:tc>
          <w:tcPr>
            <w:tcW w:w="4338" w:type="dxa"/>
            <w:vAlign w:val="top"/>
          </w:tcPr>
          <w:p w14:paraId="2DD58A98">
            <w:pPr>
              <w:pStyle w:val="20"/>
              <w:spacing w:before="71" w:line="284" w:lineRule="auto"/>
              <w:ind w:left="117" w:right="435" w:hanging="4"/>
              <w:rPr>
                <w:color w:val="auto"/>
                <w:sz w:val="19"/>
                <w:szCs w:val="19"/>
                <w:highlight w:val="none"/>
              </w:rPr>
            </w:pPr>
            <w:r>
              <w:rPr>
                <w:color w:val="auto"/>
                <w:spacing w:val="8"/>
                <w:sz w:val="19"/>
                <w:szCs w:val="19"/>
                <w:highlight w:val="none"/>
              </w:rPr>
              <w:t>《蹲便器用水效率限定值及用水效率等级》</w:t>
            </w:r>
            <w:r>
              <w:rPr>
                <w:color w:val="auto"/>
                <w:spacing w:val="10"/>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30717）</w:t>
            </w:r>
          </w:p>
        </w:tc>
      </w:tr>
      <w:tr w14:paraId="0D479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650" w:type="dxa"/>
            <w:vMerge w:val="continue"/>
            <w:tcBorders>
              <w:top w:val="nil"/>
            </w:tcBorders>
            <w:vAlign w:val="top"/>
          </w:tcPr>
          <w:p w14:paraId="4AA09D66">
            <w:pPr>
              <w:rPr>
                <w:rFonts w:ascii="Arial"/>
                <w:color w:val="auto"/>
                <w:sz w:val="21"/>
                <w:highlight w:val="none"/>
              </w:rPr>
            </w:pPr>
          </w:p>
        </w:tc>
        <w:tc>
          <w:tcPr>
            <w:tcW w:w="1114" w:type="dxa"/>
            <w:vMerge w:val="continue"/>
            <w:tcBorders>
              <w:top w:val="nil"/>
            </w:tcBorders>
            <w:vAlign w:val="top"/>
          </w:tcPr>
          <w:p w14:paraId="6FB53BF5">
            <w:pPr>
              <w:rPr>
                <w:rFonts w:ascii="Arial"/>
                <w:color w:val="auto"/>
                <w:sz w:val="21"/>
                <w:highlight w:val="none"/>
              </w:rPr>
            </w:pPr>
          </w:p>
        </w:tc>
        <w:tc>
          <w:tcPr>
            <w:tcW w:w="1513" w:type="dxa"/>
            <w:vAlign w:val="top"/>
          </w:tcPr>
          <w:p w14:paraId="4309A849">
            <w:pPr>
              <w:pStyle w:val="20"/>
              <w:spacing w:before="237" w:line="229" w:lineRule="auto"/>
              <w:ind w:left="458"/>
              <w:rPr>
                <w:color w:val="auto"/>
                <w:sz w:val="19"/>
                <w:szCs w:val="19"/>
                <w:highlight w:val="none"/>
              </w:rPr>
            </w:pPr>
            <w:r>
              <w:rPr>
                <w:color w:val="auto"/>
                <w:spacing w:val="5"/>
                <w:sz w:val="19"/>
                <w:szCs w:val="19"/>
                <w:highlight w:val="none"/>
              </w:rPr>
              <w:t>小便器</w:t>
            </w:r>
          </w:p>
        </w:tc>
        <w:tc>
          <w:tcPr>
            <w:tcW w:w="1609" w:type="dxa"/>
            <w:vAlign w:val="top"/>
          </w:tcPr>
          <w:p w14:paraId="46DB9A2D">
            <w:pPr>
              <w:rPr>
                <w:rFonts w:ascii="Arial"/>
                <w:color w:val="auto"/>
                <w:sz w:val="21"/>
                <w:highlight w:val="none"/>
              </w:rPr>
            </w:pPr>
          </w:p>
        </w:tc>
        <w:tc>
          <w:tcPr>
            <w:tcW w:w="4338" w:type="dxa"/>
            <w:vAlign w:val="top"/>
          </w:tcPr>
          <w:p w14:paraId="172A91F9">
            <w:pPr>
              <w:pStyle w:val="20"/>
              <w:spacing w:before="73" w:line="283" w:lineRule="auto"/>
              <w:ind w:left="117" w:right="435" w:hanging="4"/>
              <w:rPr>
                <w:color w:val="auto"/>
                <w:sz w:val="19"/>
                <w:szCs w:val="19"/>
                <w:highlight w:val="none"/>
              </w:rPr>
            </w:pPr>
            <w:r>
              <w:rPr>
                <w:color w:val="auto"/>
                <w:spacing w:val="8"/>
                <w:sz w:val="19"/>
                <w:szCs w:val="19"/>
                <w:highlight w:val="none"/>
              </w:rPr>
              <w:t>《小便器用水效率限定值及用水效率等级》</w:t>
            </w:r>
            <w:r>
              <w:rPr>
                <w:color w:val="auto"/>
                <w:spacing w:val="10"/>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28377）</w:t>
            </w:r>
          </w:p>
        </w:tc>
      </w:tr>
      <w:tr w14:paraId="3ACD2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650" w:type="dxa"/>
            <w:vAlign w:val="top"/>
          </w:tcPr>
          <w:p w14:paraId="723EF591">
            <w:pPr>
              <w:pStyle w:val="20"/>
              <w:spacing w:before="237" w:line="257" w:lineRule="exact"/>
              <w:ind w:left="237"/>
              <w:rPr>
                <w:color w:val="auto"/>
                <w:sz w:val="19"/>
                <w:szCs w:val="19"/>
                <w:highlight w:val="none"/>
              </w:rPr>
            </w:pPr>
            <w:r>
              <w:rPr>
                <w:color w:val="auto"/>
                <w:spacing w:val="-7"/>
                <w:position w:val="1"/>
                <w:sz w:val="19"/>
                <w:szCs w:val="19"/>
                <w:highlight w:val="none"/>
              </w:rPr>
              <w:t>16</w:t>
            </w:r>
          </w:p>
        </w:tc>
        <w:tc>
          <w:tcPr>
            <w:tcW w:w="1114" w:type="dxa"/>
            <w:vAlign w:val="top"/>
          </w:tcPr>
          <w:p w14:paraId="119BE039">
            <w:pPr>
              <w:pStyle w:val="20"/>
              <w:spacing w:before="74" w:line="236" w:lineRule="auto"/>
              <w:ind w:left="104"/>
              <w:rPr>
                <w:color w:val="auto"/>
                <w:sz w:val="19"/>
                <w:szCs w:val="19"/>
                <w:highlight w:val="none"/>
              </w:rPr>
            </w:pPr>
            <w:r>
              <w:rPr>
                <w:color w:val="auto"/>
                <w:spacing w:val="4"/>
                <w:sz w:val="19"/>
                <w:szCs w:val="19"/>
                <w:highlight w:val="none"/>
              </w:rPr>
              <w:t>★A060806</w:t>
            </w:r>
          </w:p>
          <w:p w14:paraId="40118FF4">
            <w:pPr>
              <w:pStyle w:val="20"/>
              <w:spacing w:before="88" w:line="229" w:lineRule="auto"/>
              <w:ind w:left="353"/>
              <w:rPr>
                <w:color w:val="auto"/>
                <w:sz w:val="19"/>
                <w:szCs w:val="19"/>
                <w:highlight w:val="none"/>
              </w:rPr>
            </w:pPr>
            <w:r>
              <w:rPr>
                <w:color w:val="auto"/>
                <w:spacing w:val="4"/>
                <w:sz w:val="19"/>
                <w:szCs w:val="19"/>
                <w:highlight w:val="none"/>
              </w:rPr>
              <w:t>水嘴</w:t>
            </w:r>
          </w:p>
        </w:tc>
        <w:tc>
          <w:tcPr>
            <w:tcW w:w="1513" w:type="dxa"/>
            <w:vAlign w:val="top"/>
          </w:tcPr>
          <w:p w14:paraId="5551E497">
            <w:pPr>
              <w:rPr>
                <w:rFonts w:ascii="Arial"/>
                <w:color w:val="auto"/>
                <w:sz w:val="21"/>
                <w:highlight w:val="none"/>
              </w:rPr>
            </w:pPr>
          </w:p>
        </w:tc>
        <w:tc>
          <w:tcPr>
            <w:tcW w:w="1609" w:type="dxa"/>
            <w:vAlign w:val="top"/>
          </w:tcPr>
          <w:p w14:paraId="612CA4F7">
            <w:pPr>
              <w:rPr>
                <w:rFonts w:ascii="Arial"/>
                <w:color w:val="auto"/>
                <w:sz w:val="21"/>
                <w:highlight w:val="none"/>
              </w:rPr>
            </w:pPr>
          </w:p>
        </w:tc>
        <w:tc>
          <w:tcPr>
            <w:tcW w:w="4338" w:type="dxa"/>
            <w:vAlign w:val="top"/>
          </w:tcPr>
          <w:p w14:paraId="07FCFB62">
            <w:pPr>
              <w:pStyle w:val="20"/>
              <w:spacing w:before="75" w:line="282" w:lineRule="auto"/>
              <w:ind w:left="110" w:right="220" w:firstLine="2"/>
              <w:rPr>
                <w:color w:val="auto"/>
                <w:sz w:val="19"/>
                <w:szCs w:val="19"/>
                <w:highlight w:val="none"/>
              </w:rPr>
            </w:pPr>
            <w:r>
              <w:rPr>
                <w:color w:val="auto"/>
                <w:spacing w:val="9"/>
                <w:sz w:val="19"/>
                <w:szCs w:val="19"/>
                <w:highlight w:val="none"/>
              </w:rPr>
              <w:t>《水嘴用水效率限定值及用水效率等级》（</w:t>
            </w:r>
            <w:r>
              <w:rPr>
                <w:color w:val="auto"/>
                <w:sz w:val="19"/>
                <w:szCs w:val="19"/>
                <w:highlight w:val="none"/>
              </w:rPr>
              <w:t>GB</w:t>
            </w:r>
            <w:r>
              <w:rPr>
                <w:color w:val="auto"/>
                <w:spacing w:val="16"/>
                <w:sz w:val="19"/>
                <w:szCs w:val="19"/>
                <w:highlight w:val="none"/>
              </w:rPr>
              <w:t xml:space="preserve"> </w:t>
            </w:r>
            <w:r>
              <w:rPr>
                <w:color w:val="auto"/>
                <w:spacing w:val="2"/>
                <w:sz w:val="19"/>
                <w:szCs w:val="19"/>
                <w:highlight w:val="none"/>
              </w:rPr>
              <w:t>25501）</w:t>
            </w:r>
          </w:p>
        </w:tc>
      </w:tr>
      <w:tr w14:paraId="59E45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6" w:hRule="atLeast"/>
        </w:trPr>
        <w:tc>
          <w:tcPr>
            <w:tcW w:w="650" w:type="dxa"/>
            <w:vAlign w:val="top"/>
          </w:tcPr>
          <w:p w14:paraId="350D2336">
            <w:pPr>
              <w:spacing w:line="342" w:lineRule="auto"/>
              <w:rPr>
                <w:rFonts w:ascii="Arial"/>
                <w:color w:val="auto"/>
                <w:sz w:val="21"/>
                <w:highlight w:val="none"/>
              </w:rPr>
            </w:pPr>
          </w:p>
          <w:p w14:paraId="083A69F6">
            <w:pPr>
              <w:pStyle w:val="20"/>
              <w:spacing w:before="62" w:line="256" w:lineRule="exact"/>
              <w:ind w:left="237"/>
              <w:rPr>
                <w:color w:val="auto"/>
                <w:sz w:val="19"/>
                <w:szCs w:val="19"/>
                <w:highlight w:val="none"/>
              </w:rPr>
            </w:pPr>
            <w:r>
              <w:rPr>
                <w:color w:val="auto"/>
                <w:spacing w:val="-7"/>
                <w:position w:val="1"/>
                <w:sz w:val="19"/>
                <w:szCs w:val="19"/>
                <w:highlight w:val="none"/>
              </w:rPr>
              <w:t>17</w:t>
            </w:r>
          </w:p>
        </w:tc>
        <w:tc>
          <w:tcPr>
            <w:tcW w:w="1114" w:type="dxa"/>
            <w:vAlign w:val="top"/>
          </w:tcPr>
          <w:p w14:paraId="5EA64917">
            <w:pPr>
              <w:pStyle w:val="20"/>
              <w:spacing w:before="74" w:line="322" w:lineRule="auto"/>
              <w:ind w:left="152" w:right="156" w:firstLine="43"/>
              <w:rPr>
                <w:color w:val="auto"/>
                <w:sz w:val="19"/>
                <w:szCs w:val="19"/>
                <w:highlight w:val="none"/>
              </w:rPr>
            </w:pPr>
            <w:r>
              <w:rPr>
                <w:color w:val="auto"/>
                <w:spacing w:val="4"/>
                <w:sz w:val="19"/>
                <w:szCs w:val="19"/>
                <w:highlight w:val="none"/>
              </w:rPr>
              <w:t>A060807</w:t>
            </w:r>
            <w:r>
              <w:rPr>
                <w:color w:val="auto"/>
                <w:spacing w:val="3"/>
                <w:sz w:val="19"/>
                <w:szCs w:val="19"/>
                <w:highlight w:val="none"/>
              </w:rPr>
              <w:t xml:space="preserve"> </w:t>
            </w:r>
            <w:r>
              <w:rPr>
                <w:color w:val="auto"/>
                <w:spacing w:val="7"/>
                <w:sz w:val="19"/>
                <w:szCs w:val="19"/>
                <w:highlight w:val="none"/>
              </w:rPr>
              <w:t>便器冲洗</w:t>
            </w:r>
          </w:p>
          <w:p w14:paraId="1085CD6A">
            <w:pPr>
              <w:pStyle w:val="20"/>
              <w:spacing w:line="230" w:lineRule="auto"/>
              <w:ind w:left="470"/>
              <w:rPr>
                <w:color w:val="auto"/>
                <w:sz w:val="19"/>
                <w:szCs w:val="19"/>
                <w:highlight w:val="none"/>
              </w:rPr>
            </w:pPr>
            <w:r>
              <w:rPr>
                <w:color w:val="auto"/>
                <w:sz w:val="19"/>
                <w:szCs w:val="19"/>
                <w:highlight w:val="none"/>
              </w:rPr>
              <w:t>阀</w:t>
            </w:r>
          </w:p>
        </w:tc>
        <w:tc>
          <w:tcPr>
            <w:tcW w:w="1513" w:type="dxa"/>
            <w:vAlign w:val="top"/>
          </w:tcPr>
          <w:p w14:paraId="1780A982">
            <w:pPr>
              <w:rPr>
                <w:rFonts w:ascii="Arial"/>
                <w:color w:val="auto"/>
                <w:sz w:val="21"/>
                <w:highlight w:val="none"/>
              </w:rPr>
            </w:pPr>
          </w:p>
        </w:tc>
        <w:tc>
          <w:tcPr>
            <w:tcW w:w="1609" w:type="dxa"/>
            <w:vAlign w:val="top"/>
          </w:tcPr>
          <w:p w14:paraId="3318BF52">
            <w:pPr>
              <w:rPr>
                <w:rFonts w:ascii="Arial"/>
                <w:color w:val="auto"/>
                <w:sz w:val="21"/>
                <w:highlight w:val="none"/>
              </w:rPr>
            </w:pPr>
          </w:p>
        </w:tc>
        <w:tc>
          <w:tcPr>
            <w:tcW w:w="4338" w:type="dxa"/>
            <w:vAlign w:val="top"/>
          </w:tcPr>
          <w:p w14:paraId="2B7FA2C8">
            <w:pPr>
              <w:pStyle w:val="20"/>
              <w:spacing w:before="241" w:line="329" w:lineRule="auto"/>
              <w:ind w:left="117" w:right="34" w:hanging="4"/>
              <w:rPr>
                <w:color w:val="auto"/>
                <w:sz w:val="19"/>
                <w:szCs w:val="19"/>
                <w:highlight w:val="none"/>
              </w:rPr>
            </w:pPr>
            <w:r>
              <w:rPr>
                <w:color w:val="auto"/>
                <w:spacing w:val="8"/>
                <w:sz w:val="19"/>
                <w:szCs w:val="19"/>
                <w:highlight w:val="none"/>
              </w:rPr>
              <w:t>《便器冲洗阀用水效率限定值及用水效率等级》</w:t>
            </w:r>
            <w:r>
              <w:rPr>
                <w:color w:val="auto"/>
                <w:spacing w:val="15"/>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28379）</w:t>
            </w:r>
          </w:p>
        </w:tc>
      </w:tr>
      <w:tr w14:paraId="3EB6D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atLeast"/>
        </w:trPr>
        <w:tc>
          <w:tcPr>
            <w:tcW w:w="650" w:type="dxa"/>
            <w:vAlign w:val="top"/>
          </w:tcPr>
          <w:p w14:paraId="5DA80D1B">
            <w:pPr>
              <w:pStyle w:val="20"/>
              <w:spacing w:before="242" w:line="256" w:lineRule="exact"/>
              <w:ind w:left="237"/>
              <w:rPr>
                <w:color w:val="auto"/>
                <w:sz w:val="19"/>
                <w:szCs w:val="19"/>
                <w:highlight w:val="none"/>
              </w:rPr>
            </w:pPr>
            <w:r>
              <w:rPr>
                <w:color w:val="auto"/>
                <w:spacing w:val="-7"/>
                <w:position w:val="1"/>
                <w:sz w:val="19"/>
                <w:szCs w:val="19"/>
                <w:highlight w:val="none"/>
              </w:rPr>
              <w:t>18</w:t>
            </w:r>
          </w:p>
        </w:tc>
        <w:tc>
          <w:tcPr>
            <w:tcW w:w="1114" w:type="dxa"/>
            <w:vAlign w:val="top"/>
          </w:tcPr>
          <w:p w14:paraId="475B903A">
            <w:pPr>
              <w:pStyle w:val="20"/>
              <w:spacing w:before="77" w:line="286" w:lineRule="auto"/>
              <w:ind w:left="253" w:right="205" w:hanging="58"/>
              <w:rPr>
                <w:color w:val="auto"/>
                <w:sz w:val="19"/>
                <w:szCs w:val="19"/>
                <w:highlight w:val="none"/>
              </w:rPr>
            </w:pPr>
            <w:r>
              <w:rPr>
                <w:color w:val="auto"/>
                <w:spacing w:val="4"/>
                <w:sz w:val="19"/>
                <w:szCs w:val="19"/>
                <w:highlight w:val="none"/>
              </w:rPr>
              <w:t>A060810</w:t>
            </w:r>
            <w:r>
              <w:rPr>
                <w:color w:val="auto"/>
                <w:spacing w:val="3"/>
                <w:sz w:val="19"/>
                <w:szCs w:val="19"/>
                <w:highlight w:val="none"/>
              </w:rPr>
              <w:t xml:space="preserve"> </w:t>
            </w:r>
            <w:r>
              <w:rPr>
                <w:color w:val="auto"/>
                <w:spacing w:val="6"/>
                <w:sz w:val="19"/>
                <w:szCs w:val="19"/>
                <w:highlight w:val="none"/>
              </w:rPr>
              <w:t>淋浴器</w:t>
            </w:r>
          </w:p>
        </w:tc>
        <w:tc>
          <w:tcPr>
            <w:tcW w:w="1513" w:type="dxa"/>
            <w:vAlign w:val="top"/>
          </w:tcPr>
          <w:p w14:paraId="2BA60960">
            <w:pPr>
              <w:rPr>
                <w:rFonts w:ascii="Arial"/>
                <w:color w:val="auto"/>
                <w:sz w:val="21"/>
                <w:highlight w:val="none"/>
              </w:rPr>
            </w:pPr>
          </w:p>
        </w:tc>
        <w:tc>
          <w:tcPr>
            <w:tcW w:w="1609" w:type="dxa"/>
            <w:vAlign w:val="top"/>
          </w:tcPr>
          <w:p w14:paraId="160AF47C">
            <w:pPr>
              <w:rPr>
                <w:rFonts w:ascii="Arial"/>
                <w:color w:val="auto"/>
                <w:sz w:val="21"/>
                <w:highlight w:val="none"/>
              </w:rPr>
            </w:pPr>
          </w:p>
        </w:tc>
        <w:tc>
          <w:tcPr>
            <w:tcW w:w="4338" w:type="dxa"/>
            <w:vAlign w:val="top"/>
          </w:tcPr>
          <w:p w14:paraId="201B90FE">
            <w:pPr>
              <w:pStyle w:val="20"/>
              <w:spacing w:before="77" w:line="286" w:lineRule="auto"/>
              <w:ind w:left="117" w:right="435" w:hanging="4"/>
              <w:rPr>
                <w:color w:val="auto"/>
                <w:sz w:val="19"/>
                <w:szCs w:val="19"/>
                <w:highlight w:val="none"/>
              </w:rPr>
            </w:pPr>
            <w:r>
              <w:rPr>
                <w:color w:val="auto"/>
                <w:spacing w:val="8"/>
                <w:sz w:val="19"/>
                <w:szCs w:val="19"/>
                <w:highlight w:val="none"/>
              </w:rPr>
              <w:t>《淋浴器用水效率限定值及用水效率等级》</w:t>
            </w:r>
            <w:r>
              <w:rPr>
                <w:color w:val="auto"/>
                <w:spacing w:val="10"/>
                <w:sz w:val="19"/>
                <w:szCs w:val="19"/>
                <w:highlight w:val="none"/>
              </w:rPr>
              <w:t xml:space="preserve"> </w:t>
            </w:r>
            <w:r>
              <w:rPr>
                <w:color w:val="auto"/>
                <w:spacing w:val="4"/>
                <w:sz w:val="19"/>
                <w:szCs w:val="19"/>
                <w:highlight w:val="none"/>
              </w:rPr>
              <w:t>（</w:t>
            </w:r>
            <w:r>
              <w:rPr>
                <w:color w:val="auto"/>
                <w:sz w:val="19"/>
                <w:szCs w:val="19"/>
                <w:highlight w:val="none"/>
              </w:rPr>
              <w:t>GB</w:t>
            </w:r>
            <w:r>
              <w:rPr>
                <w:color w:val="auto"/>
                <w:spacing w:val="4"/>
                <w:sz w:val="19"/>
                <w:szCs w:val="19"/>
                <w:highlight w:val="none"/>
              </w:rPr>
              <w:t>28378）</w:t>
            </w:r>
          </w:p>
        </w:tc>
      </w:tr>
    </w:tbl>
    <w:p w14:paraId="4C3F7398">
      <w:pPr>
        <w:spacing w:before="144" w:line="228" w:lineRule="auto"/>
        <w:ind w:left="32"/>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注：1.节能产品认证应依据相关国家标准的最新版本，依据国家标准中二级能效（水效）指标。</w:t>
      </w:r>
    </w:p>
    <w:p w14:paraId="539A4B98">
      <w:pPr>
        <w:spacing w:before="285" w:line="228" w:lineRule="auto"/>
        <w:ind w:left="454"/>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2.以“★</w:t>
      </w:r>
      <w:r>
        <w:rPr>
          <w:rFonts w:ascii="宋体" w:hAnsi="宋体" w:eastAsia="宋体" w:cs="宋体"/>
          <w:color w:val="auto"/>
          <w:spacing w:val="-57"/>
          <w:sz w:val="20"/>
          <w:szCs w:val="20"/>
          <w:highlight w:val="none"/>
        </w:rPr>
        <w:t xml:space="preserve"> </w:t>
      </w:r>
      <w:r>
        <w:rPr>
          <w:rFonts w:ascii="宋体" w:hAnsi="宋体" w:eastAsia="宋体" w:cs="宋体"/>
          <w:color w:val="auto"/>
          <w:spacing w:val="6"/>
          <w:sz w:val="20"/>
          <w:szCs w:val="20"/>
          <w:highlight w:val="none"/>
        </w:rPr>
        <w:t>”标注的为政府强制采购产品。</w:t>
      </w:r>
    </w:p>
    <w:p w14:paraId="045CC649">
      <w:pPr>
        <w:spacing w:line="228" w:lineRule="auto"/>
        <w:rPr>
          <w:rFonts w:ascii="宋体" w:hAnsi="宋体" w:eastAsia="宋体" w:cs="宋体"/>
          <w:color w:val="auto"/>
          <w:sz w:val="20"/>
          <w:szCs w:val="20"/>
          <w:highlight w:val="none"/>
        </w:rPr>
        <w:sectPr>
          <w:footerReference r:id="rId14" w:type="default"/>
          <w:pgSz w:w="11905" w:h="16839"/>
          <w:pgMar w:top="960" w:right="1103" w:bottom="1055" w:left="1562" w:header="945" w:footer="819" w:gutter="0"/>
          <w:pgNumType w:fmt="decimal"/>
          <w:cols w:space="720" w:num="1"/>
        </w:sectPr>
      </w:pPr>
    </w:p>
    <w:p w14:paraId="39A8EB5A">
      <w:pPr>
        <w:pStyle w:val="6"/>
        <w:spacing w:line="243" w:lineRule="auto"/>
        <w:rPr>
          <w:color w:val="auto"/>
          <w:highlight w:val="none"/>
        </w:rPr>
      </w:pPr>
    </w:p>
    <w:p w14:paraId="253CF30B">
      <w:pPr>
        <w:spacing w:before="100" w:line="225" w:lineRule="auto"/>
        <w:ind w:left="36"/>
        <w:rPr>
          <w:rFonts w:ascii="宋体" w:hAnsi="宋体" w:eastAsia="宋体" w:cs="宋体"/>
          <w:color w:val="auto"/>
          <w:sz w:val="31"/>
          <w:szCs w:val="31"/>
          <w:highlight w:val="none"/>
        </w:rPr>
      </w:pPr>
      <w:r>
        <w:rPr>
          <w:rFonts w:ascii="宋体" w:hAnsi="宋体" w:eastAsia="宋体" w:cs="宋体"/>
          <w:color w:val="auto"/>
          <w:spacing w:val="-8"/>
          <w:sz w:val="31"/>
          <w:szCs w:val="31"/>
          <w:highlight w:val="none"/>
        </w:rPr>
        <w:t>附件</w:t>
      </w:r>
      <w:r>
        <w:rPr>
          <w:rFonts w:ascii="宋体" w:hAnsi="宋体" w:eastAsia="宋体" w:cs="宋体"/>
          <w:color w:val="auto"/>
          <w:spacing w:val="-57"/>
          <w:sz w:val="31"/>
          <w:szCs w:val="31"/>
          <w:highlight w:val="none"/>
        </w:rPr>
        <w:t xml:space="preserve"> </w:t>
      </w:r>
      <w:r>
        <w:rPr>
          <w:rFonts w:ascii="宋体" w:hAnsi="宋体" w:eastAsia="宋体" w:cs="宋体"/>
          <w:color w:val="auto"/>
          <w:spacing w:val="-8"/>
          <w:sz w:val="31"/>
          <w:szCs w:val="31"/>
          <w:highlight w:val="none"/>
        </w:rPr>
        <w:t>2：</w:t>
      </w:r>
    </w:p>
    <w:p w14:paraId="571A2187">
      <w:pPr>
        <w:spacing w:before="189" w:line="208" w:lineRule="auto"/>
        <w:ind w:left="2618"/>
        <w:rPr>
          <w:rFonts w:ascii="宋体" w:hAnsi="宋体" w:eastAsia="宋体" w:cs="宋体"/>
          <w:color w:val="auto"/>
          <w:sz w:val="40"/>
          <w:szCs w:val="40"/>
          <w:highlight w:val="none"/>
        </w:rPr>
      </w:pPr>
      <w:r>
        <w:rPr>
          <w:rFonts w:ascii="宋体" w:hAnsi="宋体" w:eastAsia="宋体" w:cs="宋体"/>
          <w:color w:val="auto"/>
          <w:spacing w:val="-6"/>
          <w:sz w:val="40"/>
          <w:szCs w:val="40"/>
          <w:highlight w:val="none"/>
        </w:rPr>
        <w:t>中小微企业划型标准</w:t>
      </w:r>
    </w:p>
    <w:tbl>
      <w:tblPr>
        <w:tblStyle w:val="19"/>
        <w:tblW w:w="8294" w:type="dxa"/>
        <w:tblInd w:w="2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6"/>
        <w:gridCol w:w="1383"/>
        <w:gridCol w:w="912"/>
        <w:gridCol w:w="1619"/>
        <w:gridCol w:w="1439"/>
        <w:gridCol w:w="1235"/>
      </w:tblGrid>
      <w:tr w14:paraId="24BC7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1706" w:type="dxa"/>
            <w:vAlign w:val="top"/>
          </w:tcPr>
          <w:p w14:paraId="4133F5FE">
            <w:pPr>
              <w:pStyle w:val="20"/>
              <w:spacing w:before="215" w:line="221" w:lineRule="auto"/>
              <w:ind w:left="382"/>
              <w:rPr>
                <w:color w:val="auto"/>
                <w:sz w:val="24"/>
                <w:szCs w:val="24"/>
                <w:highlight w:val="none"/>
              </w:rPr>
            </w:pPr>
            <w:r>
              <w:rPr>
                <w:b/>
                <w:bCs/>
                <w:color w:val="auto"/>
                <w:spacing w:val="-6"/>
                <w:sz w:val="24"/>
                <w:szCs w:val="24"/>
                <w:highlight w:val="none"/>
              </w:rPr>
              <w:t>行业名称</w:t>
            </w:r>
          </w:p>
        </w:tc>
        <w:tc>
          <w:tcPr>
            <w:tcW w:w="1383" w:type="dxa"/>
            <w:vAlign w:val="top"/>
          </w:tcPr>
          <w:p w14:paraId="20E09EB6">
            <w:pPr>
              <w:pStyle w:val="20"/>
              <w:spacing w:before="215" w:line="221" w:lineRule="auto"/>
              <w:ind w:left="219"/>
              <w:rPr>
                <w:color w:val="auto"/>
                <w:sz w:val="24"/>
                <w:szCs w:val="24"/>
                <w:highlight w:val="none"/>
              </w:rPr>
            </w:pPr>
            <w:r>
              <w:rPr>
                <w:b/>
                <w:bCs/>
                <w:color w:val="auto"/>
                <w:spacing w:val="-5"/>
                <w:sz w:val="24"/>
                <w:szCs w:val="24"/>
                <w:highlight w:val="none"/>
              </w:rPr>
              <w:t>指标名称</w:t>
            </w:r>
          </w:p>
        </w:tc>
        <w:tc>
          <w:tcPr>
            <w:tcW w:w="912" w:type="dxa"/>
            <w:vAlign w:val="top"/>
          </w:tcPr>
          <w:p w14:paraId="71C2145B">
            <w:pPr>
              <w:pStyle w:val="20"/>
              <w:spacing w:before="50" w:line="222" w:lineRule="auto"/>
              <w:ind w:left="220"/>
              <w:rPr>
                <w:color w:val="auto"/>
                <w:sz w:val="24"/>
                <w:szCs w:val="24"/>
                <w:highlight w:val="none"/>
              </w:rPr>
            </w:pPr>
            <w:r>
              <w:rPr>
                <w:b/>
                <w:bCs/>
                <w:color w:val="auto"/>
                <w:spacing w:val="-8"/>
                <w:sz w:val="24"/>
                <w:szCs w:val="24"/>
                <w:highlight w:val="none"/>
              </w:rPr>
              <w:t>计量</w:t>
            </w:r>
          </w:p>
          <w:p w14:paraId="62B7FBFB">
            <w:pPr>
              <w:pStyle w:val="20"/>
              <w:spacing w:before="42" w:line="215" w:lineRule="auto"/>
              <w:ind w:left="222"/>
              <w:rPr>
                <w:color w:val="auto"/>
                <w:sz w:val="24"/>
                <w:szCs w:val="24"/>
                <w:highlight w:val="none"/>
              </w:rPr>
            </w:pPr>
            <w:r>
              <w:rPr>
                <w:b/>
                <w:bCs/>
                <w:color w:val="auto"/>
                <w:spacing w:val="-9"/>
                <w:sz w:val="24"/>
                <w:szCs w:val="24"/>
                <w:highlight w:val="none"/>
              </w:rPr>
              <w:t>单位</w:t>
            </w:r>
          </w:p>
        </w:tc>
        <w:tc>
          <w:tcPr>
            <w:tcW w:w="1619" w:type="dxa"/>
            <w:vAlign w:val="top"/>
          </w:tcPr>
          <w:p w14:paraId="07BFD881">
            <w:pPr>
              <w:pStyle w:val="20"/>
              <w:spacing w:before="215" w:line="221" w:lineRule="auto"/>
              <w:ind w:left="598"/>
              <w:rPr>
                <w:color w:val="auto"/>
                <w:sz w:val="24"/>
                <w:szCs w:val="24"/>
                <w:highlight w:val="none"/>
              </w:rPr>
            </w:pPr>
            <w:r>
              <w:rPr>
                <w:b/>
                <w:bCs/>
                <w:color w:val="auto"/>
                <w:spacing w:val="-19"/>
                <w:sz w:val="24"/>
                <w:szCs w:val="24"/>
                <w:highlight w:val="none"/>
              </w:rPr>
              <w:t>中型</w:t>
            </w:r>
          </w:p>
        </w:tc>
        <w:tc>
          <w:tcPr>
            <w:tcW w:w="1439" w:type="dxa"/>
            <w:vAlign w:val="top"/>
          </w:tcPr>
          <w:p w14:paraId="453659B5">
            <w:pPr>
              <w:pStyle w:val="20"/>
              <w:spacing w:before="216" w:line="222" w:lineRule="auto"/>
              <w:ind w:left="494"/>
              <w:rPr>
                <w:color w:val="auto"/>
                <w:sz w:val="24"/>
                <w:szCs w:val="24"/>
                <w:highlight w:val="none"/>
              </w:rPr>
            </w:pPr>
            <w:r>
              <w:rPr>
                <w:b/>
                <w:bCs/>
                <w:color w:val="auto"/>
                <w:spacing w:val="-11"/>
                <w:sz w:val="24"/>
                <w:szCs w:val="24"/>
                <w:highlight w:val="none"/>
              </w:rPr>
              <w:t>小型</w:t>
            </w:r>
          </w:p>
        </w:tc>
        <w:tc>
          <w:tcPr>
            <w:tcW w:w="1235" w:type="dxa"/>
            <w:vAlign w:val="top"/>
          </w:tcPr>
          <w:p w14:paraId="5A810CC6">
            <w:pPr>
              <w:pStyle w:val="20"/>
              <w:spacing w:before="216" w:line="220" w:lineRule="auto"/>
              <w:ind w:left="383"/>
              <w:rPr>
                <w:color w:val="auto"/>
                <w:sz w:val="24"/>
                <w:szCs w:val="24"/>
                <w:highlight w:val="none"/>
              </w:rPr>
            </w:pPr>
            <w:r>
              <w:rPr>
                <w:b/>
                <w:bCs/>
                <w:color w:val="auto"/>
                <w:spacing w:val="-8"/>
                <w:sz w:val="24"/>
                <w:szCs w:val="24"/>
                <w:highlight w:val="none"/>
              </w:rPr>
              <w:t>微型</w:t>
            </w:r>
          </w:p>
        </w:tc>
      </w:tr>
      <w:tr w14:paraId="3CD36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706" w:type="dxa"/>
            <w:vAlign w:val="top"/>
          </w:tcPr>
          <w:p w14:paraId="0DFB2114">
            <w:pPr>
              <w:pStyle w:val="20"/>
              <w:spacing w:before="76" w:line="220" w:lineRule="auto"/>
              <w:ind w:left="225"/>
              <w:rPr>
                <w:color w:val="auto"/>
                <w:sz w:val="18"/>
                <w:szCs w:val="18"/>
                <w:highlight w:val="none"/>
              </w:rPr>
            </w:pPr>
            <w:r>
              <w:rPr>
                <w:b/>
                <w:bCs/>
                <w:color w:val="auto"/>
                <w:spacing w:val="-2"/>
                <w:sz w:val="18"/>
                <w:szCs w:val="18"/>
                <w:highlight w:val="none"/>
              </w:rPr>
              <w:t>农、林、牧、渔</w:t>
            </w:r>
          </w:p>
        </w:tc>
        <w:tc>
          <w:tcPr>
            <w:tcW w:w="1383" w:type="dxa"/>
            <w:vAlign w:val="top"/>
          </w:tcPr>
          <w:p w14:paraId="39F92993">
            <w:pPr>
              <w:pStyle w:val="20"/>
              <w:spacing w:before="76" w:line="220" w:lineRule="auto"/>
              <w:ind w:left="116"/>
              <w:rPr>
                <w:color w:val="auto"/>
                <w:sz w:val="18"/>
                <w:szCs w:val="18"/>
                <w:highlight w:val="none"/>
              </w:rPr>
            </w:pPr>
            <w:r>
              <w:rPr>
                <w:color w:val="auto"/>
                <w:spacing w:val="-2"/>
                <w:sz w:val="18"/>
                <w:szCs w:val="18"/>
                <w:highlight w:val="none"/>
              </w:rPr>
              <w:t>营业收入（Y）</w:t>
            </w:r>
          </w:p>
        </w:tc>
        <w:tc>
          <w:tcPr>
            <w:tcW w:w="912" w:type="dxa"/>
            <w:vAlign w:val="top"/>
          </w:tcPr>
          <w:p w14:paraId="4F591232">
            <w:pPr>
              <w:pStyle w:val="20"/>
              <w:spacing w:before="76"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4A243D70">
            <w:pPr>
              <w:pStyle w:val="20"/>
              <w:spacing w:before="76" w:line="237" w:lineRule="auto"/>
              <w:ind w:left="233"/>
              <w:rPr>
                <w:color w:val="auto"/>
                <w:sz w:val="18"/>
                <w:szCs w:val="18"/>
                <w:highlight w:val="none"/>
              </w:rPr>
            </w:pPr>
            <w:r>
              <w:rPr>
                <w:color w:val="auto"/>
                <w:spacing w:val="-1"/>
                <w:sz w:val="18"/>
                <w:szCs w:val="18"/>
                <w:highlight w:val="none"/>
              </w:rPr>
              <w:t>500≤Y＜20000</w:t>
            </w:r>
          </w:p>
        </w:tc>
        <w:tc>
          <w:tcPr>
            <w:tcW w:w="1439" w:type="dxa"/>
            <w:vAlign w:val="top"/>
          </w:tcPr>
          <w:p w14:paraId="7AABAF36">
            <w:pPr>
              <w:pStyle w:val="20"/>
              <w:spacing w:before="76" w:line="237" w:lineRule="auto"/>
              <w:ind w:left="280"/>
              <w:rPr>
                <w:color w:val="auto"/>
                <w:sz w:val="18"/>
                <w:szCs w:val="18"/>
                <w:highlight w:val="none"/>
              </w:rPr>
            </w:pPr>
            <w:r>
              <w:rPr>
                <w:color w:val="auto"/>
                <w:spacing w:val="-2"/>
                <w:sz w:val="18"/>
                <w:szCs w:val="18"/>
                <w:highlight w:val="none"/>
              </w:rPr>
              <w:t>50≤Y＜500</w:t>
            </w:r>
          </w:p>
        </w:tc>
        <w:tc>
          <w:tcPr>
            <w:tcW w:w="1235" w:type="dxa"/>
            <w:vAlign w:val="top"/>
          </w:tcPr>
          <w:p w14:paraId="3F71D876">
            <w:pPr>
              <w:pStyle w:val="20"/>
              <w:spacing w:before="76"/>
              <w:ind w:left="394"/>
              <w:rPr>
                <w:color w:val="auto"/>
                <w:sz w:val="18"/>
                <w:szCs w:val="18"/>
                <w:highlight w:val="none"/>
              </w:rPr>
            </w:pPr>
            <w:r>
              <w:rPr>
                <w:color w:val="auto"/>
                <w:spacing w:val="-2"/>
                <w:sz w:val="18"/>
                <w:szCs w:val="18"/>
                <w:highlight w:val="none"/>
              </w:rPr>
              <w:t>Y＜50</w:t>
            </w:r>
          </w:p>
        </w:tc>
      </w:tr>
      <w:tr w14:paraId="0BE8F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restart"/>
            <w:tcBorders>
              <w:bottom w:val="nil"/>
            </w:tcBorders>
            <w:vAlign w:val="top"/>
          </w:tcPr>
          <w:p w14:paraId="6FF76DEC">
            <w:pPr>
              <w:pStyle w:val="20"/>
              <w:spacing w:before="248" w:line="232" w:lineRule="auto"/>
              <w:ind w:left="678"/>
              <w:rPr>
                <w:color w:val="auto"/>
                <w:sz w:val="18"/>
                <w:szCs w:val="18"/>
                <w:highlight w:val="none"/>
              </w:rPr>
            </w:pPr>
            <w:r>
              <w:rPr>
                <w:b/>
                <w:bCs/>
                <w:color w:val="auto"/>
                <w:spacing w:val="-7"/>
                <w:sz w:val="18"/>
                <w:szCs w:val="18"/>
                <w:highlight w:val="none"/>
              </w:rPr>
              <w:t>工业</w:t>
            </w:r>
          </w:p>
        </w:tc>
        <w:tc>
          <w:tcPr>
            <w:tcW w:w="1383" w:type="dxa"/>
            <w:vAlign w:val="top"/>
          </w:tcPr>
          <w:p w14:paraId="3E403B80">
            <w:pPr>
              <w:pStyle w:val="20"/>
              <w:spacing w:before="77" w:line="221" w:lineRule="auto"/>
              <w:ind w:left="112"/>
              <w:rPr>
                <w:color w:val="auto"/>
                <w:sz w:val="18"/>
                <w:szCs w:val="18"/>
                <w:highlight w:val="none"/>
              </w:rPr>
            </w:pPr>
            <w:r>
              <w:rPr>
                <w:color w:val="auto"/>
                <w:spacing w:val="-2"/>
                <w:sz w:val="18"/>
                <w:szCs w:val="18"/>
                <w:highlight w:val="none"/>
              </w:rPr>
              <w:t>从业人员（X）</w:t>
            </w:r>
          </w:p>
        </w:tc>
        <w:tc>
          <w:tcPr>
            <w:tcW w:w="912" w:type="dxa"/>
            <w:vAlign w:val="top"/>
          </w:tcPr>
          <w:p w14:paraId="7BCA6335">
            <w:pPr>
              <w:pStyle w:val="20"/>
              <w:spacing w:before="77" w:line="223" w:lineRule="auto"/>
              <w:ind w:left="370"/>
              <w:rPr>
                <w:color w:val="auto"/>
                <w:sz w:val="18"/>
                <w:szCs w:val="18"/>
                <w:highlight w:val="none"/>
              </w:rPr>
            </w:pPr>
            <w:r>
              <w:rPr>
                <w:color w:val="auto"/>
                <w:sz w:val="18"/>
                <w:szCs w:val="18"/>
                <w:highlight w:val="none"/>
              </w:rPr>
              <w:t>人</w:t>
            </w:r>
          </w:p>
        </w:tc>
        <w:tc>
          <w:tcPr>
            <w:tcW w:w="1619" w:type="dxa"/>
            <w:vAlign w:val="top"/>
          </w:tcPr>
          <w:p w14:paraId="6A1D4F29">
            <w:pPr>
              <w:pStyle w:val="20"/>
              <w:spacing w:before="77" w:line="237" w:lineRule="auto"/>
              <w:ind w:left="279"/>
              <w:rPr>
                <w:color w:val="auto"/>
                <w:sz w:val="18"/>
                <w:szCs w:val="18"/>
                <w:highlight w:val="none"/>
              </w:rPr>
            </w:pPr>
            <w:r>
              <w:rPr>
                <w:color w:val="auto"/>
                <w:spacing w:val="-1"/>
                <w:sz w:val="18"/>
                <w:szCs w:val="18"/>
                <w:highlight w:val="none"/>
              </w:rPr>
              <w:t>300≤X＜1000</w:t>
            </w:r>
          </w:p>
        </w:tc>
        <w:tc>
          <w:tcPr>
            <w:tcW w:w="1439" w:type="dxa"/>
            <w:vAlign w:val="top"/>
          </w:tcPr>
          <w:p w14:paraId="70E80B2B">
            <w:pPr>
              <w:pStyle w:val="20"/>
              <w:spacing w:before="77" w:line="237" w:lineRule="auto"/>
              <w:ind w:left="278"/>
              <w:rPr>
                <w:color w:val="auto"/>
                <w:sz w:val="18"/>
                <w:szCs w:val="18"/>
                <w:highlight w:val="none"/>
              </w:rPr>
            </w:pPr>
            <w:r>
              <w:rPr>
                <w:color w:val="auto"/>
                <w:spacing w:val="-2"/>
                <w:sz w:val="18"/>
                <w:szCs w:val="18"/>
                <w:highlight w:val="none"/>
              </w:rPr>
              <w:t>20≤X＜300</w:t>
            </w:r>
          </w:p>
        </w:tc>
        <w:tc>
          <w:tcPr>
            <w:tcW w:w="1235" w:type="dxa"/>
            <w:vAlign w:val="top"/>
          </w:tcPr>
          <w:p w14:paraId="43D11218">
            <w:pPr>
              <w:pStyle w:val="20"/>
              <w:spacing w:before="77"/>
              <w:ind w:left="395"/>
              <w:rPr>
                <w:color w:val="auto"/>
                <w:sz w:val="18"/>
                <w:szCs w:val="18"/>
                <w:highlight w:val="none"/>
              </w:rPr>
            </w:pPr>
            <w:r>
              <w:rPr>
                <w:color w:val="auto"/>
                <w:spacing w:val="-2"/>
                <w:sz w:val="18"/>
                <w:szCs w:val="18"/>
                <w:highlight w:val="none"/>
              </w:rPr>
              <w:t>X＜20</w:t>
            </w:r>
          </w:p>
        </w:tc>
      </w:tr>
      <w:tr w14:paraId="42BD1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continue"/>
            <w:tcBorders>
              <w:top w:val="nil"/>
            </w:tcBorders>
            <w:vAlign w:val="top"/>
          </w:tcPr>
          <w:p w14:paraId="2257D434">
            <w:pPr>
              <w:rPr>
                <w:rFonts w:ascii="Arial"/>
                <w:color w:val="auto"/>
                <w:sz w:val="21"/>
                <w:highlight w:val="none"/>
              </w:rPr>
            </w:pPr>
          </w:p>
        </w:tc>
        <w:tc>
          <w:tcPr>
            <w:tcW w:w="1383" w:type="dxa"/>
            <w:vAlign w:val="top"/>
          </w:tcPr>
          <w:p w14:paraId="11A52E4D">
            <w:pPr>
              <w:pStyle w:val="20"/>
              <w:spacing w:before="77" w:line="220" w:lineRule="auto"/>
              <w:ind w:left="116"/>
              <w:rPr>
                <w:color w:val="auto"/>
                <w:sz w:val="18"/>
                <w:szCs w:val="18"/>
                <w:highlight w:val="none"/>
              </w:rPr>
            </w:pPr>
            <w:r>
              <w:rPr>
                <w:color w:val="auto"/>
                <w:spacing w:val="-2"/>
                <w:sz w:val="18"/>
                <w:szCs w:val="18"/>
                <w:highlight w:val="none"/>
              </w:rPr>
              <w:t>营业收入（Y）</w:t>
            </w:r>
          </w:p>
        </w:tc>
        <w:tc>
          <w:tcPr>
            <w:tcW w:w="912" w:type="dxa"/>
            <w:vAlign w:val="top"/>
          </w:tcPr>
          <w:p w14:paraId="206AA3E0">
            <w:pPr>
              <w:pStyle w:val="20"/>
              <w:spacing w:before="76"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365578EA">
            <w:pPr>
              <w:pStyle w:val="20"/>
              <w:spacing w:before="76" w:line="237" w:lineRule="auto"/>
              <w:ind w:left="186"/>
              <w:rPr>
                <w:color w:val="auto"/>
                <w:sz w:val="18"/>
                <w:szCs w:val="18"/>
                <w:highlight w:val="none"/>
              </w:rPr>
            </w:pPr>
            <w:r>
              <w:rPr>
                <w:color w:val="auto"/>
                <w:spacing w:val="-1"/>
                <w:sz w:val="18"/>
                <w:szCs w:val="18"/>
                <w:highlight w:val="none"/>
              </w:rPr>
              <w:t>2000≤Y＜40000</w:t>
            </w:r>
          </w:p>
        </w:tc>
        <w:tc>
          <w:tcPr>
            <w:tcW w:w="1439" w:type="dxa"/>
            <w:vAlign w:val="top"/>
          </w:tcPr>
          <w:p w14:paraId="54D99677">
            <w:pPr>
              <w:pStyle w:val="20"/>
              <w:spacing w:before="76" w:line="237" w:lineRule="auto"/>
              <w:ind w:left="189"/>
              <w:rPr>
                <w:color w:val="auto"/>
                <w:sz w:val="18"/>
                <w:szCs w:val="18"/>
                <w:highlight w:val="none"/>
              </w:rPr>
            </w:pPr>
            <w:r>
              <w:rPr>
                <w:color w:val="auto"/>
                <w:spacing w:val="-1"/>
                <w:sz w:val="18"/>
                <w:szCs w:val="18"/>
                <w:highlight w:val="none"/>
              </w:rPr>
              <w:t>300≤Y＜2000</w:t>
            </w:r>
          </w:p>
        </w:tc>
        <w:tc>
          <w:tcPr>
            <w:tcW w:w="1235" w:type="dxa"/>
            <w:vAlign w:val="top"/>
          </w:tcPr>
          <w:p w14:paraId="0927E6ED">
            <w:pPr>
              <w:pStyle w:val="20"/>
              <w:spacing w:before="77"/>
              <w:ind w:left="349"/>
              <w:rPr>
                <w:color w:val="auto"/>
                <w:sz w:val="18"/>
                <w:szCs w:val="18"/>
                <w:highlight w:val="none"/>
              </w:rPr>
            </w:pPr>
            <w:r>
              <w:rPr>
                <w:color w:val="auto"/>
                <w:spacing w:val="-1"/>
                <w:sz w:val="18"/>
                <w:szCs w:val="18"/>
                <w:highlight w:val="none"/>
              </w:rPr>
              <w:t>Y＜300</w:t>
            </w:r>
          </w:p>
        </w:tc>
      </w:tr>
      <w:tr w14:paraId="4921D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restart"/>
            <w:tcBorders>
              <w:bottom w:val="nil"/>
            </w:tcBorders>
            <w:vAlign w:val="top"/>
          </w:tcPr>
          <w:p w14:paraId="71A5001C">
            <w:pPr>
              <w:pStyle w:val="20"/>
              <w:spacing w:before="247" w:line="221" w:lineRule="auto"/>
              <w:ind w:left="589"/>
              <w:rPr>
                <w:color w:val="auto"/>
                <w:sz w:val="18"/>
                <w:szCs w:val="18"/>
                <w:highlight w:val="none"/>
              </w:rPr>
            </w:pPr>
            <w:r>
              <w:rPr>
                <w:b/>
                <w:bCs/>
                <w:color w:val="auto"/>
                <w:spacing w:val="-5"/>
                <w:sz w:val="18"/>
                <w:szCs w:val="18"/>
                <w:highlight w:val="none"/>
              </w:rPr>
              <w:t>建筑业</w:t>
            </w:r>
          </w:p>
        </w:tc>
        <w:tc>
          <w:tcPr>
            <w:tcW w:w="1383" w:type="dxa"/>
            <w:vAlign w:val="top"/>
          </w:tcPr>
          <w:p w14:paraId="61588836">
            <w:pPr>
              <w:pStyle w:val="20"/>
              <w:spacing w:before="79" w:line="220" w:lineRule="auto"/>
              <w:ind w:left="116"/>
              <w:rPr>
                <w:color w:val="auto"/>
                <w:sz w:val="18"/>
                <w:szCs w:val="18"/>
                <w:highlight w:val="none"/>
              </w:rPr>
            </w:pPr>
            <w:r>
              <w:rPr>
                <w:color w:val="auto"/>
                <w:spacing w:val="-2"/>
                <w:sz w:val="18"/>
                <w:szCs w:val="18"/>
                <w:highlight w:val="none"/>
              </w:rPr>
              <w:t>营业收入（Y）</w:t>
            </w:r>
          </w:p>
        </w:tc>
        <w:tc>
          <w:tcPr>
            <w:tcW w:w="912" w:type="dxa"/>
            <w:vAlign w:val="top"/>
          </w:tcPr>
          <w:p w14:paraId="16FB8E06">
            <w:pPr>
              <w:pStyle w:val="20"/>
              <w:spacing w:before="79"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35B27003">
            <w:pPr>
              <w:pStyle w:val="20"/>
              <w:spacing w:before="79" w:line="237" w:lineRule="auto"/>
              <w:ind w:left="185"/>
              <w:rPr>
                <w:color w:val="auto"/>
                <w:sz w:val="18"/>
                <w:szCs w:val="18"/>
                <w:highlight w:val="none"/>
              </w:rPr>
            </w:pPr>
            <w:r>
              <w:rPr>
                <w:color w:val="auto"/>
                <w:spacing w:val="-1"/>
                <w:sz w:val="18"/>
                <w:szCs w:val="18"/>
                <w:highlight w:val="none"/>
              </w:rPr>
              <w:t>6000≤Y＜80000</w:t>
            </w:r>
          </w:p>
        </w:tc>
        <w:tc>
          <w:tcPr>
            <w:tcW w:w="1439" w:type="dxa"/>
            <w:vAlign w:val="top"/>
          </w:tcPr>
          <w:p w14:paraId="123DF397">
            <w:pPr>
              <w:pStyle w:val="20"/>
              <w:spacing w:before="79" w:line="237" w:lineRule="auto"/>
              <w:ind w:left="189"/>
              <w:rPr>
                <w:color w:val="auto"/>
                <w:sz w:val="18"/>
                <w:szCs w:val="18"/>
                <w:highlight w:val="none"/>
              </w:rPr>
            </w:pPr>
            <w:r>
              <w:rPr>
                <w:color w:val="auto"/>
                <w:spacing w:val="-1"/>
                <w:sz w:val="18"/>
                <w:szCs w:val="18"/>
                <w:highlight w:val="none"/>
              </w:rPr>
              <w:t>300≤Y＜6000</w:t>
            </w:r>
          </w:p>
        </w:tc>
        <w:tc>
          <w:tcPr>
            <w:tcW w:w="1235" w:type="dxa"/>
            <w:vAlign w:val="top"/>
          </w:tcPr>
          <w:p w14:paraId="748588B0">
            <w:pPr>
              <w:pStyle w:val="20"/>
              <w:spacing w:before="79"/>
              <w:ind w:left="349"/>
              <w:rPr>
                <w:color w:val="auto"/>
                <w:sz w:val="18"/>
                <w:szCs w:val="18"/>
                <w:highlight w:val="none"/>
              </w:rPr>
            </w:pPr>
            <w:r>
              <w:rPr>
                <w:color w:val="auto"/>
                <w:spacing w:val="-1"/>
                <w:sz w:val="18"/>
                <w:szCs w:val="18"/>
                <w:highlight w:val="none"/>
              </w:rPr>
              <w:t>Y＜300</w:t>
            </w:r>
          </w:p>
        </w:tc>
      </w:tr>
      <w:tr w14:paraId="7B195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continue"/>
            <w:tcBorders>
              <w:top w:val="nil"/>
            </w:tcBorders>
            <w:vAlign w:val="top"/>
          </w:tcPr>
          <w:p w14:paraId="2A36CFC7">
            <w:pPr>
              <w:rPr>
                <w:rFonts w:ascii="Arial"/>
                <w:color w:val="auto"/>
                <w:sz w:val="21"/>
                <w:highlight w:val="none"/>
              </w:rPr>
            </w:pPr>
          </w:p>
        </w:tc>
        <w:tc>
          <w:tcPr>
            <w:tcW w:w="1383" w:type="dxa"/>
            <w:vAlign w:val="top"/>
          </w:tcPr>
          <w:p w14:paraId="5F88E13C">
            <w:pPr>
              <w:pStyle w:val="20"/>
              <w:spacing w:before="79" w:line="220" w:lineRule="auto"/>
              <w:ind w:left="118"/>
              <w:rPr>
                <w:color w:val="auto"/>
                <w:sz w:val="18"/>
                <w:szCs w:val="18"/>
                <w:highlight w:val="none"/>
              </w:rPr>
            </w:pPr>
            <w:r>
              <w:rPr>
                <w:color w:val="auto"/>
                <w:spacing w:val="-3"/>
                <w:sz w:val="18"/>
                <w:szCs w:val="18"/>
                <w:highlight w:val="none"/>
              </w:rPr>
              <w:t>资产总额（Z）</w:t>
            </w:r>
          </w:p>
        </w:tc>
        <w:tc>
          <w:tcPr>
            <w:tcW w:w="912" w:type="dxa"/>
            <w:vAlign w:val="top"/>
          </w:tcPr>
          <w:p w14:paraId="70B7D531">
            <w:pPr>
              <w:pStyle w:val="20"/>
              <w:spacing w:before="78"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17C7A0C7">
            <w:pPr>
              <w:pStyle w:val="20"/>
              <w:spacing w:before="78" w:line="237" w:lineRule="auto"/>
              <w:ind w:left="188"/>
              <w:rPr>
                <w:color w:val="auto"/>
                <w:sz w:val="18"/>
                <w:szCs w:val="18"/>
                <w:highlight w:val="none"/>
              </w:rPr>
            </w:pPr>
            <w:r>
              <w:rPr>
                <w:color w:val="auto"/>
                <w:spacing w:val="-1"/>
                <w:sz w:val="18"/>
                <w:szCs w:val="18"/>
                <w:highlight w:val="none"/>
              </w:rPr>
              <w:t>5000≤Z＜80000</w:t>
            </w:r>
          </w:p>
        </w:tc>
        <w:tc>
          <w:tcPr>
            <w:tcW w:w="1439" w:type="dxa"/>
            <w:vAlign w:val="top"/>
          </w:tcPr>
          <w:p w14:paraId="6437CA18">
            <w:pPr>
              <w:pStyle w:val="20"/>
              <w:spacing w:before="78" w:line="237" w:lineRule="auto"/>
              <w:ind w:left="189"/>
              <w:rPr>
                <w:color w:val="auto"/>
                <w:sz w:val="18"/>
                <w:szCs w:val="18"/>
                <w:highlight w:val="none"/>
              </w:rPr>
            </w:pPr>
            <w:r>
              <w:rPr>
                <w:color w:val="auto"/>
                <w:spacing w:val="-1"/>
                <w:sz w:val="18"/>
                <w:szCs w:val="18"/>
                <w:highlight w:val="none"/>
              </w:rPr>
              <w:t>300≤Z＜5000</w:t>
            </w:r>
          </w:p>
        </w:tc>
        <w:tc>
          <w:tcPr>
            <w:tcW w:w="1235" w:type="dxa"/>
            <w:vAlign w:val="top"/>
          </w:tcPr>
          <w:p w14:paraId="77A102E4">
            <w:pPr>
              <w:pStyle w:val="20"/>
              <w:spacing w:before="79"/>
              <w:ind w:left="351"/>
              <w:rPr>
                <w:color w:val="auto"/>
                <w:sz w:val="18"/>
                <w:szCs w:val="18"/>
                <w:highlight w:val="none"/>
              </w:rPr>
            </w:pPr>
            <w:r>
              <w:rPr>
                <w:color w:val="auto"/>
                <w:spacing w:val="-2"/>
                <w:sz w:val="18"/>
                <w:szCs w:val="18"/>
                <w:highlight w:val="none"/>
              </w:rPr>
              <w:t>Z＜300</w:t>
            </w:r>
          </w:p>
        </w:tc>
      </w:tr>
      <w:tr w14:paraId="3145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706" w:type="dxa"/>
            <w:vMerge w:val="restart"/>
            <w:tcBorders>
              <w:bottom w:val="nil"/>
            </w:tcBorders>
            <w:vAlign w:val="top"/>
          </w:tcPr>
          <w:p w14:paraId="2EF53960">
            <w:pPr>
              <w:pStyle w:val="20"/>
              <w:spacing w:before="249" w:line="221" w:lineRule="auto"/>
              <w:ind w:left="587"/>
              <w:rPr>
                <w:color w:val="auto"/>
                <w:sz w:val="18"/>
                <w:szCs w:val="18"/>
                <w:highlight w:val="none"/>
              </w:rPr>
            </w:pPr>
            <w:r>
              <w:rPr>
                <w:b/>
                <w:bCs/>
                <w:color w:val="auto"/>
                <w:spacing w:val="-4"/>
                <w:sz w:val="18"/>
                <w:szCs w:val="18"/>
                <w:highlight w:val="none"/>
              </w:rPr>
              <w:t>批发业</w:t>
            </w:r>
          </w:p>
        </w:tc>
        <w:tc>
          <w:tcPr>
            <w:tcW w:w="1383" w:type="dxa"/>
            <w:vAlign w:val="top"/>
          </w:tcPr>
          <w:p w14:paraId="4F1B7EAC">
            <w:pPr>
              <w:pStyle w:val="20"/>
              <w:spacing w:before="78" w:line="221" w:lineRule="auto"/>
              <w:ind w:left="112"/>
              <w:rPr>
                <w:color w:val="auto"/>
                <w:sz w:val="18"/>
                <w:szCs w:val="18"/>
                <w:highlight w:val="none"/>
              </w:rPr>
            </w:pPr>
            <w:r>
              <w:rPr>
                <w:color w:val="auto"/>
                <w:spacing w:val="-2"/>
                <w:sz w:val="18"/>
                <w:szCs w:val="18"/>
                <w:highlight w:val="none"/>
              </w:rPr>
              <w:t>从业人员（X）</w:t>
            </w:r>
          </w:p>
        </w:tc>
        <w:tc>
          <w:tcPr>
            <w:tcW w:w="912" w:type="dxa"/>
            <w:vAlign w:val="top"/>
          </w:tcPr>
          <w:p w14:paraId="0FD39D51">
            <w:pPr>
              <w:pStyle w:val="20"/>
              <w:spacing w:before="78" w:line="223" w:lineRule="auto"/>
              <w:ind w:left="370"/>
              <w:rPr>
                <w:color w:val="auto"/>
                <w:sz w:val="18"/>
                <w:szCs w:val="18"/>
                <w:highlight w:val="none"/>
              </w:rPr>
            </w:pPr>
            <w:r>
              <w:rPr>
                <w:color w:val="auto"/>
                <w:sz w:val="18"/>
                <w:szCs w:val="18"/>
                <w:highlight w:val="none"/>
              </w:rPr>
              <w:t>人</w:t>
            </w:r>
          </w:p>
        </w:tc>
        <w:tc>
          <w:tcPr>
            <w:tcW w:w="1619" w:type="dxa"/>
            <w:vAlign w:val="top"/>
          </w:tcPr>
          <w:p w14:paraId="62A94469">
            <w:pPr>
              <w:pStyle w:val="20"/>
              <w:spacing w:before="78" w:line="237" w:lineRule="auto"/>
              <w:ind w:left="366"/>
              <w:rPr>
                <w:color w:val="auto"/>
                <w:sz w:val="18"/>
                <w:szCs w:val="18"/>
                <w:highlight w:val="none"/>
              </w:rPr>
            </w:pPr>
            <w:r>
              <w:rPr>
                <w:color w:val="auto"/>
                <w:spacing w:val="-1"/>
                <w:sz w:val="18"/>
                <w:szCs w:val="18"/>
                <w:highlight w:val="none"/>
              </w:rPr>
              <w:t>20≤X＜200</w:t>
            </w:r>
          </w:p>
        </w:tc>
        <w:tc>
          <w:tcPr>
            <w:tcW w:w="1439" w:type="dxa"/>
            <w:vAlign w:val="top"/>
          </w:tcPr>
          <w:p w14:paraId="361673DC">
            <w:pPr>
              <w:pStyle w:val="20"/>
              <w:spacing w:before="78" w:line="237" w:lineRule="auto"/>
              <w:ind w:left="369"/>
              <w:rPr>
                <w:color w:val="auto"/>
                <w:sz w:val="18"/>
                <w:szCs w:val="18"/>
                <w:highlight w:val="none"/>
              </w:rPr>
            </w:pPr>
            <w:r>
              <w:rPr>
                <w:color w:val="auto"/>
                <w:spacing w:val="-2"/>
                <w:sz w:val="18"/>
                <w:szCs w:val="18"/>
                <w:highlight w:val="none"/>
              </w:rPr>
              <w:t>5≤X＜20</w:t>
            </w:r>
          </w:p>
        </w:tc>
        <w:tc>
          <w:tcPr>
            <w:tcW w:w="1235" w:type="dxa"/>
            <w:vAlign w:val="top"/>
          </w:tcPr>
          <w:p w14:paraId="7BA0F9DC">
            <w:pPr>
              <w:pStyle w:val="20"/>
              <w:spacing w:before="79"/>
              <w:ind w:left="438"/>
              <w:rPr>
                <w:color w:val="auto"/>
                <w:sz w:val="18"/>
                <w:szCs w:val="18"/>
                <w:highlight w:val="none"/>
              </w:rPr>
            </w:pPr>
            <w:r>
              <w:rPr>
                <w:color w:val="auto"/>
                <w:spacing w:val="-2"/>
                <w:sz w:val="18"/>
                <w:szCs w:val="18"/>
                <w:highlight w:val="none"/>
              </w:rPr>
              <w:t>X＜5</w:t>
            </w:r>
          </w:p>
        </w:tc>
      </w:tr>
      <w:tr w14:paraId="626DD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continue"/>
            <w:tcBorders>
              <w:top w:val="nil"/>
            </w:tcBorders>
            <w:vAlign w:val="top"/>
          </w:tcPr>
          <w:p w14:paraId="7FCDE120">
            <w:pPr>
              <w:rPr>
                <w:rFonts w:ascii="Arial"/>
                <w:color w:val="auto"/>
                <w:sz w:val="21"/>
                <w:highlight w:val="none"/>
              </w:rPr>
            </w:pPr>
          </w:p>
        </w:tc>
        <w:tc>
          <w:tcPr>
            <w:tcW w:w="1383" w:type="dxa"/>
            <w:vAlign w:val="top"/>
          </w:tcPr>
          <w:p w14:paraId="06E3233A">
            <w:pPr>
              <w:pStyle w:val="20"/>
              <w:spacing w:before="79" w:line="220" w:lineRule="auto"/>
              <w:ind w:left="116"/>
              <w:rPr>
                <w:color w:val="auto"/>
                <w:sz w:val="18"/>
                <w:szCs w:val="18"/>
                <w:highlight w:val="none"/>
              </w:rPr>
            </w:pPr>
            <w:r>
              <w:rPr>
                <w:color w:val="auto"/>
                <w:spacing w:val="-2"/>
                <w:sz w:val="18"/>
                <w:szCs w:val="18"/>
                <w:highlight w:val="none"/>
              </w:rPr>
              <w:t>营业收入（Y）</w:t>
            </w:r>
          </w:p>
        </w:tc>
        <w:tc>
          <w:tcPr>
            <w:tcW w:w="912" w:type="dxa"/>
            <w:vAlign w:val="top"/>
          </w:tcPr>
          <w:p w14:paraId="7C698899">
            <w:pPr>
              <w:pStyle w:val="20"/>
              <w:spacing w:before="79"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0005EC17">
            <w:pPr>
              <w:pStyle w:val="20"/>
              <w:spacing w:before="79" w:line="237" w:lineRule="auto"/>
              <w:ind w:left="188"/>
              <w:rPr>
                <w:color w:val="auto"/>
                <w:sz w:val="18"/>
                <w:szCs w:val="18"/>
                <w:highlight w:val="none"/>
              </w:rPr>
            </w:pPr>
            <w:r>
              <w:rPr>
                <w:color w:val="auto"/>
                <w:spacing w:val="-1"/>
                <w:sz w:val="18"/>
                <w:szCs w:val="18"/>
                <w:highlight w:val="none"/>
              </w:rPr>
              <w:t>5000≤Y＜40000</w:t>
            </w:r>
          </w:p>
        </w:tc>
        <w:tc>
          <w:tcPr>
            <w:tcW w:w="1439" w:type="dxa"/>
            <w:vAlign w:val="top"/>
          </w:tcPr>
          <w:p w14:paraId="7186BBB6">
            <w:pPr>
              <w:pStyle w:val="20"/>
              <w:spacing w:before="79" w:line="237" w:lineRule="auto"/>
              <w:ind w:left="153"/>
              <w:rPr>
                <w:color w:val="auto"/>
                <w:sz w:val="18"/>
                <w:szCs w:val="18"/>
                <w:highlight w:val="none"/>
              </w:rPr>
            </w:pPr>
            <w:r>
              <w:rPr>
                <w:color w:val="auto"/>
                <w:spacing w:val="-2"/>
                <w:sz w:val="18"/>
                <w:szCs w:val="18"/>
                <w:highlight w:val="none"/>
              </w:rPr>
              <w:t>1000≤Y＜5000</w:t>
            </w:r>
          </w:p>
        </w:tc>
        <w:tc>
          <w:tcPr>
            <w:tcW w:w="1235" w:type="dxa"/>
            <w:vAlign w:val="top"/>
          </w:tcPr>
          <w:p w14:paraId="31F623FE">
            <w:pPr>
              <w:pStyle w:val="20"/>
              <w:spacing w:before="80"/>
              <w:ind w:left="303"/>
              <w:rPr>
                <w:color w:val="auto"/>
                <w:sz w:val="18"/>
                <w:szCs w:val="18"/>
                <w:highlight w:val="none"/>
              </w:rPr>
            </w:pPr>
            <w:r>
              <w:rPr>
                <w:color w:val="auto"/>
                <w:spacing w:val="-1"/>
                <w:sz w:val="18"/>
                <w:szCs w:val="18"/>
                <w:highlight w:val="none"/>
              </w:rPr>
              <w:t>Y＜1000</w:t>
            </w:r>
          </w:p>
        </w:tc>
      </w:tr>
      <w:tr w14:paraId="4BC09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restart"/>
            <w:tcBorders>
              <w:bottom w:val="nil"/>
            </w:tcBorders>
            <w:vAlign w:val="top"/>
          </w:tcPr>
          <w:p w14:paraId="6A3FA8C1">
            <w:pPr>
              <w:pStyle w:val="20"/>
              <w:spacing w:before="250" w:line="220" w:lineRule="auto"/>
              <w:ind w:left="588"/>
              <w:rPr>
                <w:color w:val="auto"/>
                <w:sz w:val="18"/>
                <w:szCs w:val="18"/>
                <w:highlight w:val="none"/>
              </w:rPr>
            </w:pPr>
            <w:r>
              <w:rPr>
                <w:b/>
                <w:bCs/>
                <w:color w:val="auto"/>
                <w:spacing w:val="-4"/>
                <w:sz w:val="18"/>
                <w:szCs w:val="18"/>
                <w:highlight w:val="none"/>
              </w:rPr>
              <w:t>零售业</w:t>
            </w:r>
          </w:p>
        </w:tc>
        <w:tc>
          <w:tcPr>
            <w:tcW w:w="1383" w:type="dxa"/>
            <w:vAlign w:val="top"/>
          </w:tcPr>
          <w:p w14:paraId="17070B24">
            <w:pPr>
              <w:pStyle w:val="20"/>
              <w:spacing w:before="79" w:line="221" w:lineRule="auto"/>
              <w:ind w:left="112"/>
              <w:rPr>
                <w:color w:val="auto"/>
                <w:sz w:val="18"/>
                <w:szCs w:val="18"/>
                <w:highlight w:val="none"/>
              </w:rPr>
            </w:pPr>
            <w:r>
              <w:rPr>
                <w:color w:val="auto"/>
                <w:spacing w:val="-2"/>
                <w:sz w:val="18"/>
                <w:szCs w:val="18"/>
                <w:highlight w:val="none"/>
              </w:rPr>
              <w:t>从业人员（X）</w:t>
            </w:r>
          </w:p>
        </w:tc>
        <w:tc>
          <w:tcPr>
            <w:tcW w:w="912" w:type="dxa"/>
            <w:vAlign w:val="top"/>
          </w:tcPr>
          <w:p w14:paraId="634678A7">
            <w:pPr>
              <w:pStyle w:val="20"/>
              <w:spacing w:before="79" w:line="223" w:lineRule="auto"/>
              <w:ind w:left="370"/>
              <w:rPr>
                <w:color w:val="auto"/>
                <w:sz w:val="18"/>
                <w:szCs w:val="18"/>
                <w:highlight w:val="none"/>
              </w:rPr>
            </w:pPr>
            <w:r>
              <w:rPr>
                <w:color w:val="auto"/>
                <w:sz w:val="18"/>
                <w:szCs w:val="18"/>
                <w:highlight w:val="none"/>
              </w:rPr>
              <w:t>人</w:t>
            </w:r>
          </w:p>
        </w:tc>
        <w:tc>
          <w:tcPr>
            <w:tcW w:w="1619" w:type="dxa"/>
            <w:vAlign w:val="top"/>
          </w:tcPr>
          <w:p w14:paraId="189A62C6">
            <w:pPr>
              <w:pStyle w:val="20"/>
              <w:spacing w:before="79" w:line="237" w:lineRule="auto"/>
              <w:ind w:left="368"/>
              <w:rPr>
                <w:color w:val="auto"/>
                <w:sz w:val="18"/>
                <w:szCs w:val="18"/>
                <w:highlight w:val="none"/>
              </w:rPr>
            </w:pPr>
            <w:r>
              <w:rPr>
                <w:color w:val="auto"/>
                <w:spacing w:val="-2"/>
                <w:sz w:val="18"/>
                <w:szCs w:val="18"/>
                <w:highlight w:val="none"/>
              </w:rPr>
              <w:t>50≤X＜300</w:t>
            </w:r>
          </w:p>
        </w:tc>
        <w:tc>
          <w:tcPr>
            <w:tcW w:w="1439" w:type="dxa"/>
            <w:vAlign w:val="top"/>
          </w:tcPr>
          <w:p w14:paraId="4532456B">
            <w:pPr>
              <w:pStyle w:val="20"/>
              <w:spacing w:before="79" w:line="237" w:lineRule="auto"/>
              <w:ind w:left="333"/>
              <w:rPr>
                <w:color w:val="auto"/>
                <w:sz w:val="18"/>
                <w:szCs w:val="18"/>
                <w:highlight w:val="none"/>
              </w:rPr>
            </w:pPr>
            <w:r>
              <w:rPr>
                <w:color w:val="auto"/>
                <w:spacing w:val="-3"/>
                <w:sz w:val="18"/>
                <w:szCs w:val="18"/>
                <w:highlight w:val="none"/>
              </w:rPr>
              <w:t>10≤X＜50</w:t>
            </w:r>
          </w:p>
        </w:tc>
        <w:tc>
          <w:tcPr>
            <w:tcW w:w="1235" w:type="dxa"/>
            <w:vAlign w:val="top"/>
          </w:tcPr>
          <w:p w14:paraId="0BA4673C">
            <w:pPr>
              <w:pStyle w:val="20"/>
              <w:spacing w:before="79"/>
              <w:ind w:left="395"/>
              <w:rPr>
                <w:color w:val="auto"/>
                <w:sz w:val="18"/>
                <w:szCs w:val="18"/>
                <w:highlight w:val="none"/>
              </w:rPr>
            </w:pPr>
            <w:r>
              <w:rPr>
                <w:color w:val="auto"/>
                <w:spacing w:val="-2"/>
                <w:sz w:val="18"/>
                <w:szCs w:val="18"/>
                <w:highlight w:val="none"/>
              </w:rPr>
              <w:t>X＜10</w:t>
            </w:r>
          </w:p>
        </w:tc>
      </w:tr>
      <w:tr w14:paraId="62A77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continue"/>
            <w:tcBorders>
              <w:top w:val="nil"/>
            </w:tcBorders>
            <w:vAlign w:val="top"/>
          </w:tcPr>
          <w:p w14:paraId="269B9994">
            <w:pPr>
              <w:rPr>
                <w:rFonts w:ascii="Arial"/>
                <w:color w:val="auto"/>
                <w:sz w:val="21"/>
                <w:highlight w:val="none"/>
              </w:rPr>
            </w:pPr>
          </w:p>
        </w:tc>
        <w:tc>
          <w:tcPr>
            <w:tcW w:w="1383" w:type="dxa"/>
            <w:vAlign w:val="top"/>
          </w:tcPr>
          <w:p w14:paraId="7E249125">
            <w:pPr>
              <w:pStyle w:val="20"/>
              <w:spacing w:before="79" w:line="220" w:lineRule="auto"/>
              <w:ind w:left="116"/>
              <w:rPr>
                <w:color w:val="auto"/>
                <w:sz w:val="18"/>
                <w:szCs w:val="18"/>
                <w:highlight w:val="none"/>
              </w:rPr>
            </w:pPr>
            <w:r>
              <w:rPr>
                <w:color w:val="auto"/>
                <w:spacing w:val="-2"/>
                <w:sz w:val="18"/>
                <w:szCs w:val="18"/>
                <w:highlight w:val="none"/>
              </w:rPr>
              <w:t>营业收入（Y）</w:t>
            </w:r>
          </w:p>
        </w:tc>
        <w:tc>
          <w:tcPr>
            <w:tcW w:w="912" w:type="dxa"/>
            <w:vAlign w:val="top"/>
          </w:tcPr>
          <w:p w14:paraId="6667F3BF">
            <w:pPr>
              <w:pStyle w:val="20"/>
              <w:spacing w:before="79"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6D06A3FC">
            <w:pPr>
              <w:pStyle w:val="20"/>
              <w:spacing w:before="79" w:line="237" w:lineRule="auto"/>
              <w:ind w:left="233"/>
              <w:rPr>
                <w:color w:val="auto"/>
                <w:sz w:val="18"/>
                <w:szCs w:val="18"/>
                <w:highlight w:val="none"/>
              </w:rPr>
            </w:pPr>
            <w:r>
              <w:rPr>
                <w:color w:val="auto"/>
                <w:spacing w:val="-1"/>
                <w:sz w:val="18"/>
                <w:szCs w:val="18"/>
                <w:highlight w:val="none"/>
              </w:rPr>
              <w:t>500≤Y＜20000</w:t>
            </w:r>
          </w:p>
        </w:tc>
        <w:tc>
          <w:tcPr>
            <w:tcW w:w="1439" w:type="dxa"/>
            <w:vAlign w:val="top"/>
          </w:tcPr>
          <w:p w14:paraId="43A5C4EE">
            <w:pPr>
              <w:pStyle w:val="20"/>
              <w:spacing w:before="79" w:line="237" w:lineRule="auto"/>
              <w:ind w:left="244"/>
              <w:rPr>
                <w:color w:val="auto"/>
                <w:sz w:val="18"/>
                <w:szCs w:val="18"/>
                <w:highlight w:val="none"/>
              </w:rPr>
            </w:pPr>
            <w:r>
              <w:rPr>
                <w:color w:val="auto"/>
                <w:spacing w:val="-3"/>
                <w:sz w:val="18"/>
                <w:szCs w:val="18"/>
                <w:highlight w:val="none"/>
              </w:rPr>
              <w:t>100≤Y＜500</w:t>
            </w:r>
          </w:p>
        </w:tc>
        <w:tc>
          <w:tcPr>
            <w:tcW w:w="1235" w:type="dxa"/>
            <w:vAlign w:val="top"/>
          </w:tcPr>
          <w:p w14:paraId="4EC23CA1">
            <w:pPr>
              <w:pStyle w:val="20"/>
              <w:spacing w:before="79"/>
              <w:ind w:left="349"/>
              <w:rPr>
                <w:color w:val="auto"/>
                <w:sz w:val="18"/>
                <w:szCs w:val="18"/>
                <w:highlight w:val="none"/>
              </w:rPr>
            </w:pPr>
            <w:r>
              <w:rPr>
                <w:color w:val="auto"/>
                <w:spacing w:val="-1"/>
                <w:sz w:val="18"/>
                <w:szCs w:val="18"/>
                <w:highlight w:val="none"/>
              </w:rPr>
              <w:t>Y＜100</w:t>
            </w:r>
          </w:p>
        </w:tc>
      </w:tr>
      <w:tr w14:paraId="2903F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restart"/>
            <w:tcBorders>
              <w:bottom w:val="nil"/>
            </w:tcBorders>
            <w:vAlign w:val="top"/>
          </w:tcPr>
          <w:p w14:paraId="524CFFC7">
            <w:pPr>
              <w:pStyle w:val="20"/>
              <w:spacing w:before="249" w:line="220" w:lineRule="auto"/>
              <w:ind w:left="409"/>
              <w:rPr>
                <w:color w:val="auto"/>
                <w:sz w:val="18"/>
                <w:szCs w:val="18"/>
                <w:highlight w:val="none"/>
              </w:rPr>
            </w:pPr>
            <w:r>
              <w:rPr>
                <w:b/>
                <w:bCs/>
                <w:color w:val="auto"/>
                <w:spacing w:val="-4"/>
                <w:sz w:val="18"/>
                <w:szCs w:val="18"/>
                <w:highlight w:val="none"/>
              </w:rPr>
              <w:t>交通运输业</w:t>
            </w:r>
          </w:p>
        </w:tc>
        <w:tc>
          <w:tcPr>
            <w:tcW w:w="1383" w:type="dxa"/>
            <w:vAlign w:val="top"/>
          </w:tcPr>
          <w:p w14:paraId="3C2F276F">
            <w:pPr>
              <w:pStyle w:val="20"/>
              <w:spacing w:before="78" w:line="221" w:lineRule="auto"/>
              <w:ind w:left="112"/>
              <w:rPr>
                <w:color w:val="auto"/>
                <w:sz w:val="18"/>
                <w:szCs w:val="18"/>
                <w:highlight w:val="none"/>
              </w:rPr>
            </w:pPr>
            <w:r>
              <w:rPr>
                <w:color w:val="auto"/>
                <w:spacing w:val="-2"/>
                <w:sz w:val="18"/>
                <w:szCs w:val="18"/>
                <w:highlight w:val="none"/>
              </w:rPr>
              <w:t>从业人员（X）</w:t>
            </w:r>
          </w:p>
        </w:tc>
        <w:tc>
          <w:tcPr>
            <w:tcW w:w="912" w:type="dxa"/>
            <w:vAlign w:val="top"/>
          </w:tcPr>
          <w:p w14:paraId="2A60A789">
            <w:pPr>
              <w:pStyle w:val="20"/>
              <w:spacing w:before="79" w:line="223" w:lineRule="auto"/>
              <w:ind w:left="370"/>
              <w:rPr>
                <w:color w:val="auto"/>
                <w:sz w:val="18"/>
                <w:szCs w:val="18"/>
                <w:highlight w:val="none"/>
              </w:rPr>
            </w:pPr>
            <w:r>
              <w:rPr>
                <w:color w:val="auto"/>
                <w:sz w:val="18"/>
                <w:szCs w:val="18"/>
                <w:highlight w:val="none"/>
              </w:rPr>
              <w:t>人</w:t>
            </w:r>
          </w:p>
        </w:tc>
        <w:tc>
          <w:tcPr>
            <w:tcW w:w="1619" w:type="dxa"/>
            <w:vAlign w:val="top"/>
          </w:tcPr>
          <w:p w14:paraId="408E11B4">
            <w:pPr>
              <w:pStyle w:val="20"/>
              <w:spacing w:before="78" w:line="237" w:lineRule="auto"/>
              <w:ind w:left="279"/>
              <w:rPr>
                <w:color w:val="auto"/>
                <w:sz w:val="18"/>
                <w:szCs w:val="18"/>
                <w:highlight w:val="none"/>
              </w:rPr>
            </w:pPr>
            <w:r>
              <w:rPr>
                <w:color w:val="auto"/>
                <w:spacing w:val="-1"/>
                <w:sz w:val="18"/>
                <w:szCs w:val="18"/>
                <w:highlight w:val="none"/>
              </w:rPr>
              <w:t>300≤X＜1000</w:t>
            </w:r>
          </w:p>
        </w:tc>
        <w:tc>
          <w:tcPr>
            <w:tcW w:w="1439" w:type="dxa"/>
            <w:vAlign w:val="top"/>
          </w:tcPr>
          <w:p w14:paraId="06B6D127">
            <w:pPr>
              <w:pStyle w:val="20"/>
              <w:spacing w:before="78" w:line="237" w:lineRule="auto"/>
              <w:ind w:left="278"/>
              <w:rPr>
                <w:color w:val="auto"/>
                <w:sz w:val="18"/>
                <w:szCs w:val="18"/>
                <w:highlight w:val="none"/>
              </w:rPr>
            </w:pPr>
            <w:r>
              <w:rPr>
                <w:color w:val="auto"/>
                <w:spacing w:val="-2"/>
                <w:sz w:val="18"/>
                <w:szCs w:val="18"/>
                <w:highlight w:val="none"/>
              </w:rPr>
              <w:t>20≤X＜300</w:t>
            </w:r>
          </w:p>
        </w:tc>
        <w:tc>
          <w:tcPr>
            <w:tcW w:w="1235" w:type="dxa"/>
            <w:vAlign w:val="top"/>
          </w:tcPr>
          <w:p w14:paraId="684DFB4D">
            <w:pPr>
              <w:pStyle w:val="20"/>
              <w:spacing w:before="79"/>
              <w:ind w:left="395"/>
              <w:rPr>
                <w:color w:val="auto"/>
                <w:sz w:val="18"/>
                <w:szCs w:val="18"/>
                <w:highlight w:val="none"/>
              </w:rPr>
            </w:pPr>
            <w:r>
              <w:rPr>
                <w:color w:val="auto"/>
                <w:spacing w:val="-2"/>
                <w:sz w:val="18"/>
                <w:szCs w:val="18"/>
                <w:highlight w:val="none"/>
              </w:rPr>
              <w:t>X＜20</w:t>
            </w:r>
          </w:p>
        </w:tc>
      </w:tr>
      <w:tr w14:paraId="4D6CC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706" w:type="dxa"/>
            <w:vMerge w:val="continue"/>
            <w:tcBorders>
              <w:top w:val="nil"/>
            </w:tcBorders>
            <w:vAlign w:val="top"/>
          </w:tcPr>
          <w:p w14:paraId="00DF0073">
            <w:pPr>
              <w:rPr>
                <w:rFonts w:ascii="Arial"/>
                <w:color w:val="auto"/>
                <w:sz w:val="21"/>
                <w:highlight w:val="none"/>
              </w:rPr>
            </w:pPr>
          </w:p>
        </w:tc>
        <w:tc>
          <w:tcPr>
            <w:tcW w:w="1383" w:type="dxa"/>
            <w:vAlign w:val="top"/>
          </w:tcPr>
          <w:p w14:paraId="4FE2A368">
            <w:pPr>
              <w:pStyle w:val="20"/>
              <w:spacing w:before="79" w:line="220" w:lineRule="auto"/>
              <w:ind w:left="116"/>
              <w:rPr>
                <w:color w:val="auto"/>
                <w:sz w:val="18"/>
                <w:szCs w:val="18"/>
                <w:highlight w:val="none"/>
              </w:rPr>
            </w:pPr>
            <w:r>
              <w:rPr>
                <w:color w:val="auto"/>
                <w:spacing w:val="-2"/>
                <w:sz w:val="18"/>
                <w:szCs w:val="18"/>
                <w:highlight w:val="none"/>
              </w:rPr>
              <w:t>营业收入（Y）</w:t>
            </w:r>
          </w:p>
        </w:tc>
        <w:tc>
          <w:tcPr>
            <w:tcW w:w="912" w:type="dxa"/>
            <w:vAlign w:val="top"/>
          </w:tcPr>
          <w:p w14:paraId="6A36DD88">
            <w:pPr>
              <w:pStyle w:val="20"/>
              <w:spacing w:before="78"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7E99ECA7">
            <w:pPr>
              <w:pStyle w:val="20"/>
              <w:spacing w:before="78" w:line="237" w:lineRule="auto"/>
              <w:ind w:left="188"/>
              <w:rPr>
                <w:color w:val="auto"/>
                <w:sz w:val="18"/>
                <w:szCs w:val="18"/>
                <w:highlight w:val="none"/>
              </w:rPr>
            </w:pPr>
            <w:r>
              <w:rPr>
                <w:color w:val="auto"/>
                <w:spacing w:val="-1"/>
                <w:sz w:val="18"/>
                <w:szCs w:val="18"/>
                <w:highlight w:val="none"/>
              </w:rPr>
              <w:t>3000≤Y＜30000</w:t>
            </w:r>
          </w:p>
        </w:tc>
        <w:tc>
          <w:tcPr>
            <w:tcW w:w="1439" w:type="dxa"/>
            <w:vAlign w:val="top"/>
          </w:tcPr>
          <w:p w14:paraId="57CF02EA">
            <w:pPr>
              <w:pStyle w:val="20"/>
              <w:spacing w:before="78" w:line="237" w:lineRule="auto"/>
              <w:ind w:left="187"/>
              <w:rPr>
                <w:color w:val="auto"/>
                <w:sz w:val="18"/>
                <w:szCs w:val="18"/>
                <w:highlight w:val="none"/>
              </w:rPr>
            </w:pPr>
            <w:r>
              <w:rPr>
                <w:color w:val="auto"/>
                <w:spacing w:val="-1"/>
                <w:sz w:val="18"/>
                <w:szCs w:val="18"/>
                <w:highlight w:val="none"/>
              </w:rPr>
              <w:t>200≤Y＜3000</w:t>
            </w:r>
          </w:p>
        </w:tc>
        <w:tc>
          <w:tcPr>
            <w:tcW w:w="1235" w:type="dxa"/>
            <w:vAlign w:val="top"/>
          </w:tcPr>
          <w:p w14:paraId="50C4B89E">
            <w:pPr>
              <w:pStyle w:val="20"/>
              <w:spacing w:before="79"/>
              <w:ind w:left="349"/>
              <w:rPr>
                <w:color w:val="auto"/>
                <w:sz w:val="18"/>
                <w:szCs w:val="18"/>
                <w:highlight w:val="none"/>
              </w:rPr>
            </w:pPr>
            <w:r>
              <w:rPr>
                <w:color w:val="auto"/>
                <w:spacing w:val="-1"/>
                <w:sz w:val="18"/>
                <w:szCs w:val="18"/>
                <w:highlight w:val="none"/>
              </w:rPr>
              <w:t>Y＜200</w:t>
            </w:r>
          </w:p>
        </w:tc>
      </w:tr>
      <w:tr w14:paraId="5AF91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restart"/>
            <w:tcBorders>
              <w:bottom w:val="nil"/>
            </w:tcBorders>
            <w:vAlign w:val="top"/>
          </w:tcPr>
          <w:p w14:paraId="226FE267">
            <w:pPr>
              <w:pStyle w:val="20"/>
              <w:spacing w:before="249" w:line="221" w:lineRule="auto"/>
              <w:ind w:left="587"/>
              <w:rPr>
                <w:color w:val="auto"/>
                <w:sz w:val="18"/>
                <w:szCs w:val="18"/>
                <w:highlight w:val="none"/>
              </w:rPr>
            </w:pPr>
            <w:r>
              <w:rPr>
                <w:b/>
                <w:bCs/>
                <w:color w:val="auto"/>
                <w:spacing w:val="-4"/>
                <w:sz w:val="18"/>
                <w:szCs w:val="18"/>
                <w:highlight w:val="none"/>
              </w:rPr>
              <w:t>仓储业</w:t>
            </w:r>
          </w:p>
        </w:tc>
        <w:tc>
          <w:tcPr>
            <w:tcW w:w="1383" w:type="dxa"/>
            <w:vAlign w:val="top"/>
          </w:tcPr>
          <w:p w14:paraId="5D97A3CA">
            <w:pPr>
              <w:pStyle w:val="20"/>
              <w:spacing w:before="79" w:line="221" w:lineRule="auto"/>
              <w:ind w:left="112"/>
              <w:rPr>
                <w:color w:val="auto"/>
                <w:sz w:val="18"/>
                <w:szCs w:val="18"/>
                <w:highlight w:val="none"/>
              </w:rPr>
            </w:pPr>
            <w:r>
              <w:rPr>
                <w:color w:val="auto"/>
                <w:spacing w:val="-2"/>
                <w:sz w:val="18"/>
                <w:szCs w:val="18"/>
                <w:highlight w:val="none"/>
              </w:rPr>
              <w:t>从业人员（X）</w:t>
            </w:r>
          </w:p>
        </w:tc>
        <w:tc>
          <w:tcPr>
            <w:tcW w:w="912" w:type="dxa"/>
            <w:vAlign w:val="top"/>
          </w:tcPr>
          <w:p w14:paraId="6891F2F5">
            <w:pPr>
              <w:pStyle w:val="20"/>
              <w:spacing w:before="79" w:line="223" w:lineRule="auto"/>
              <w:ind w:left="370"/>
              <w:rPr>
                <w:color w:val="auto"/>
                <w:sz w:val="18"/>
                <w:szCs w:val="18"/>
                <w:highlight w:val="none"/>
              </w:rPr>
            </w:pPr>
            <w:r>
              <w:rPr>
                <w:color w:val="auto"/>
                <w:sz w:val="18"/>
                <w:szCs w:val="18"/>
                <w:highlight w:val="none"/>
              </w:rPr>
              <w:t>人</w:t>
            </w:r>
          </w:p>
        </w:tc>
        <w:tc>
          <w:tcPr>
            <w:tcW w:w="1619" w:type="dxa"/>
            <w:vAlign w:val="top"/>
          </w:tcPr>
          <w:p w14:paraId="4826A427">
            <w:pPr>
              <w:pStyle w:val="20"/>
              <w:spacing w:before="79" w:line="237" w:lineRule="auto"/>
              <w:ind w:left="332"/>
              <w:rPr>
                <w:color w:val="auto"/>
                <w:sz w:val="18"/>
                <w:szCs w:val="18"/>
                <w:highlight w:val="none"/>
              </w:rPr>
            </w:pPr>
            <w:r>
              <w:rPr>
                <w:color w:val="auto"/>
                <w:spacing w:val="-3"/>
                <w:sz w:val="18"/>
                <w:szCs w:val="18"/>
                <w:highlight w:val="none"/>
              </w:rPr>
              <w:t>100≤X＜200</w:t>
            </w:r>
          </w:p>
        </w:tc>
        <w:tc>
          <w:tcPr>
            <w:tcW w:w="1439" w:type="dxa"/>
            <w:vAlign w:val="top"/>
          </w:tcPr>
          <w:p w14:paraId="46573164">
            <w:pPr>
              <w:pStyle w:val="20"/>
              <w:spacing w:before="79" w:line="237" w:lineRule="auto"/>
              <w:ind w:left="278"/>
              <w:rPr>
                <w:color w:val="auto"/>
                <w:sz w:val="18"/>
                <w:szCs w:val="18"/>
                <w:highlight w:val="none"/>
              </w:rPr>
            </w:pPr>
            <w:r>
              <w:rPr>
                <w:color w:val="auto"/>
                <w:spacing w:val="-2"/>
                <w:sz w:val="18"/>
                <w:szCs w:val="18"/>
                <w:highlight w:val="none"/>
              </w:rPr>
              <w:t>20≤X＜100</w:t>
            </w:r>
          </w:p>
        </w:tc>
        <w:tc>
          <w:tcPr>
            <w:tcW w:w="1235" w:type="dxa"/>
            <w:vAlign w:val="top"/>
          </w:tcPr>
          <w:p w14:paraId="70858CED">
            <w:pPr>
              <w:pStyle w:val="20"/>
              <w:spacing w:before="80"/>
              <w:ind w:left="395"/>
              <w:rPr>
                <w:color w:val="auto"/>
                <w:sz w:val="18"/>
                <w:szCs w:val="18"/>
                <w:highlight w:val="none"/>
              </w:rPr>
            </w:pPr>
            <w:r>
              <w:rPr>
                <w:color w:val="auto"/>
                <w:spacing w:val="-2"/>
                <w:sz w:val="18"/>
                <w:szCs w:val="18"/>
                <w:highlight w:val="none"/>
              </w:rPr>
              <w:t>X＜20</w:t>
            </w:r>
          </w:p>
        </w:tc>
      </w:tr>
      <w:tr w14:paraId="59D09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continue"/>
            <w:tcBorders>
              <w:top w:val="nil"/>
            </w:tcBorders>
            <w:vAlign w:val="top"/>
          </w:tcPr>
          <w:p w14:paraId="4282C2FD">
            <w:pPr>
              <w:rPr>
                <w:rFonts w:ascii="Arial"/>
                <w:color w:val="auto"/>
                <w:sz w:val="21"/>
                <w:highlight w:val="none"/>
              </w:rPr>
            </w:pPr>
          </w:p>
        </w:tc>
        <w:tc>
          <w:tcPr>
            <w:tcW w:w="1383" w:type="dxa"/>
            <w:vAlign w:val="top"/>
          </w:tcPr>
          <w:p w14:paraId="39865279">
            <w:pPr>
              <w:pStyle w:val="20"/>
              <w:spacing w:before="79" w:line="220" w:lineRule="auto"/>
              <w:ind w:left="116"/>
              <w:rPr>
                <w:color w:val="auto"/>
                <w:sz w:val="18"/>
                <w:szCs w:val="18"/>
                <w:highlight w:val="none"/>
              </w:rPr>
            </w:pPr>
            <w:r>
              <w:rPr>
                <w:color w:val="auto"/>
                <w:spacing w:val="-2"/>
                <w:sz w:val="18"/>
                <w:szCs w:val="18"/>
                <w:highlight w:val="none"/>
              </w:rPr>
              <w:t>营业收入（Y）</w:t>
            </w:r>
          </w:p>
        </w:tc>
        <w:tc>
          <w:tcPr>
            <w:tcW w:w="912" w:type="dxa"/>
            <w:vAlign w:val="top"/>
          </w:tcPr>
          <w:p w14:paraId="34B5CDB9">
            <w:pPr>
              <w:pStyle w:val="20"/>
              <w:spacing w:before="79"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75423C3F">
            <w:pPr>
              <w:pStyle w:val="20"/>
              <w:spacing w:before="79" w:line="237" w:lineRule="auto"/>
              <w:ind w:left="197"/>
              <w:rPr>
                <w:color w:val="auto"/>
                <w:sz w:val="18"/>
                <w:szCs w:val="18"/>
                <w:highlight w:val="none"/>
              </w:rPr>
            </w:pPr>
            <w:r>
              <w:rPr>
                <w:color w:val="auto"/>
                <w:spacing w:val="-2"/>
                <w:sz w:val="18"/>
                <w:szCs w:val="18"/>
                <w:highlight w:val="none"/>
              </w:rPr>
              <w:t>1000≤Y＜30000</w:t>
            </w:r>
          </w:p>
        </w:tc>
        <w:tc>
          <w:tcPr>
            <w:tcW w:w="1439" w:type="dxa"/>
            <w:vAlign w:val="top"/>
          </w:tcPr>
          <w:p w14:paraId="44119BCD">
            <w:pPr>
              <w:pStyle w:val="20"/>
              <w:spacing w:before="79" w:line="237" w:lineRule="auto"/>
              <w:ind w:left="198"/>
              <w:rPr>
                <w:color w:val="auto"/>
                <w:sz w:val="18"/>
                <w:szCs w:val="18"/>
                <w:highlight w:val="none"/>
              </w:rPr>
            </w:pPr>
            <w:r>
              <w:rPr>
                <w:color w:val="auto"/>
                <w:spacing w:val="-2"/>
                <w:sz w:val="18"/>
                <w:szCs w:val="18"/>
                <w:highlight w:val="none"/>
              </w:rPr>
              <w:t>100≤Y＜1000</w:t>
            </w:r>
          </w:p>
        </w:tc>
        <w:tc>
          <w:tcPr>
            <w:tcW w:w="1235" w:type="dxa"/>
            <w:vAlign w:val="top"/>
          </w:tcPr>
          <w:p w14:paraId="0D3FA519">
            <w:pPr>
              <w:pStyle w:val="20"/>
              <w:spacing w:before="79"/>
              <w:ind w:left="349"/>
              <w:rPr>
                <w:color w:val="auto"/>
                <w:sz w:val="18"/>
                <w:szCs w:val="18"/>
                <w:highlight w:val="none"/>
              </w:rPr>
            </w:pPr>
            <w:r>
              <w:rPr>
                <w:color w:val="auto"/>
                <w:spacing w:val="-1"/>
                <w:sz w:val="18"/>
                <w:szCs w:val="18"/>
                <w:highlight w:val="none"/>
              </w:rPr>
              <w:t>Y＜100</w:t>
            </w:r>
          </w:p>
        </w:tc>
      </w:tr>
      <w:tr w14:paraId="72E32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restart"/>
            <w:tcBorders>
              <w:bottom w:val="nil"/>
            </w:tcBorders>
            <w:vAlign w:val="top"/>
          </w:tcPr>
          <w:p w14:paraId="75F160E5">
            <w:pPr>
              <w:pStyle w:val="20"/>
              <w:spacing w:before="249" w:line="222" w:lineRule="auto"/>
              <w:ind w:left="601"/>
              <w:rPr>
                <w:color w:val="auto"/>
                <w:sz w:val="18"/>
                <w:szCs w:val="18"/>
                <w:highlight w:val="none"/>
              </w:rPr>
            </w:pPr>
            <w:r>
              <w:rPr>
                <w:b/>
                <w:bCs/>
                <w:color w:val="auto"/>
                <w:spacing w:val="-8"/>
                <w:sz w:val="18"/>
                <w:szCs w:val="18"/>
                <w:highlight w:val="none"/>
              </w:rPr>
              <w:t>邮政业</w:t>
            </w:r>
          </w:p>
        </w:tc>
        <w:tc>
          <w:tcPr>
            <w:tcW w:w="1383" w:type="dxa"/>
            <w:vAlign w:val="top"/>
          </w:tcPr>
          <w:p w14:paraId="52CE9F39">
            <w:pPr>
              <w:pStyle w:val="20"/>
              <w:spacing w:before="79" w:line="221" w:lineRule="auto"/>
              <w:ind w:left="112"/>
              <w:rPr>
                <w:color w:val="auto"/>
                <w:sz w:val="18"/>
                <w:szCs w:val="18"/>
                <w:highlight w:val="none"/>
              </w:rPr>
            </w:pPr>
            <w:r>
              <w:rPr>
                <w:color w:val="auto"/>
                <w:spacing w:val="-2"/>
                <w:sz w:val="18"/>
                <w:szCs w:val="18"/>
                <w:highlight w:val="none"/>
              </w:rPr>
              <w:t>从业人员（X）</w:t>
            </w:r>
          </w:p>
        </w:tc>
        <w:tc>
          <w:tcPr>
            <w:tcW w:w="912" w:type="dxa"/>
            <w:vAlign w:val="top"/>
          </w:tcPr>
          <w:p w14:paraId="3096BBA2">
            <w:pPr>
              <w:pStyle w:val="20"/>
              <w:spacing w:before="79" w:line="223" w:lineRule="auto"/>
              <w:ind w:left="370"/>
              <w:rPr>
                <w:color w:val="auto"/>
                <w:sz w:val="18"/>
                <w:szCs w:val="18"/>
                <w:highlight w:val="none"/>
              </w:rPr>
            </w:pPr>
            <w:r>
              <w:rPr>
                <w:color w:val="auto"/>
                <w:sz w:val="18"/>
                <w:szCs w:val="18"/>
                <w:highlight w:val="none"/>
              </w:rPr>
              <w:t>人</w:t>
            </w:r>
          </w:p>
        </w:tc>
        <w:tc>
          <w:tcPr>
            <w:tcW w:w="1619" w:type="dxa"/>
            <w:vAlign w:val="top"/>
          </w:tcPr>
          <w:p w14:paraId="15070BD9">
            <w:pPr>
              <w:pStyle w:val="20"/>
              <w:spacing w:before="79" w:line="237" w:lineRule="auto"/>
              <w:ind w:left="279"/>
              <w:rPr>
                <w:color w:val="auto"/>
                <w:sz w:val="18"/>
                <w:szCs w:val="18"/>
                <w:highlight w:val="none"/>
              </w:rPr>
            </w:pPr>
            <w:r>
              <w:rPr>
                <w:color w:val="auto"/>
                <w:spacing w:val="-1"/>
                <w:sz w:val="18"/>
                <w:szCs w:val="18"/>
                <w:highlight w:val="none"/>
              </w:rPr>
              <w:t>300≤X＜1000</w:t>
            </w:r>
          </w:p>
        </w:tc>
        <w:tc>
          <w:tcPr>
            <w:tcW w:w="1439" w:type="dxa"/>
            <w:vAlign w:val="top"/>
          </w:tcPr>
          <w:p w14:paraId="7E048D2B">
            <w:pPr>
              <w:pStyle w:val="20"/>
              <w:spacing w:before="79" w:line="237" w:lineRule="auto"/>
              <w:ind w:left="278"/>
              <w:rPr>
                <w:color w:val="auto"/>
                <w:sz w:val="18"/>
                <w:szCs w:val="18"/>
                <w:highlight w:val="none"/>
              </w:rPr>
            </w:pPr>
            <w:r>
              <w:rPr>
                <w:color w:val="auto"/>
                <w:spacing w:val="-2"/>
                <w:sz w:val="18"/>
                <w:szCs w:val="18"/>
                <w:highlight w:val="none"/>
              </w:rPr>
              <w:t>20≤X＜300</w:t>
            </w:r>
          </w:p>
        </w:tc>
        <w:tc>
          <w:tcPr>
            <w:tcW w:w="1235" w:type="dxa"/>
            <w:vAlign w:val="top"/>
          </w:tcPr>
          <w:p w14:paraId="60DFD5BD">
            <w:pPr>
              <w:pStyle w:val="20"/>
              <w:spacing w:before="79"/>
              <w:ind w:left="395"/>
              <w:rPr>
                <w:color w:val="auto"/>
                <w:sz w:val="18"/>
                <w:szCs w:val="18"/>
                <w:highlight w:val="none"/>
              </w:rPr>
            </w:pPr>
            <w:r>
              <w:rPr>
                <w:color w:val="auto"/>
                <w:spacing w:val="-2"/>
                <w:sz w:val="18"/>
                <w:szCs w:val="18"/>
                <w:highlight w:val="none"/>
              </w:rPr>
              <w:t>X＜20</w:t>
            </w:r>
          </w:p>
        </w:tc>
      </w:tr>
      <w:tr w14:paraId="0A496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continue"/>
            <w:tcBorders>
              <w:top w:val="nil"/>
            </w:tcBorders>
            <w:vAlign w:val="top"/>
          </w:tcPr>
          <w:p w14:paraId="7F7E1EBF">
            <w:pPr>
              <w:rPr>
                <w:rFonts w:ascii="Arial"/>
                <w:color w:val="auto"/>
                <w:sz w:val="21"/>
                <w:highlight w:val="none"/>
              </w:rPr>
            </w:pPr>
          </w:p>
        </w:tc>
        <w:tc>
          <w:tcPr>
            <w:tcW w:w="1383" w:type="dxa"/>
            <w:vAlign w:val="top"/>
          </w:tcPr>
          <w:p w14:paraId="3E7070A3">
            <w:pPr>
              <w:pStyle w:val="20"/>
              <w:spacing w:before="79" w:line="220" w:lineRule="auto"/>
              <w:ind w:left="116"/>
              <w:rPr>
                <w:color w:val="auto"/>
                <w:sz w:val="18"/>
                <w:szCs w:val="18"/>
                <w:highlight w:val="none"/>
              </w:rPr>
            </w:pPr>
            <w:r>
              <w:rPr>
                <w:color w:val="auto"/>
                <w:spacing w:val="-2"/>
                <w:sz w:val="18"/>
                <w:szCs w:val="18"/>
                <w:highlight w:val="none"/>
              </w:rPr>
              <w:t>营业收入（Y）</w:t>
            </w:r>
          </w:p>
        </w:tc>
        <w:tc>
          <w:tcPr>
            <w:tcW w:w="912" w:type="dxa"/>
            <w:vAlign w:val="top"/>
          </w:tcPr>
          <w:p w14:paraId="12D5EC90">
            <w:pPr>
              <w:pStyle w:val="20"/>
              <w:spacing w:before="78"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71A9685D">
            <w:pPr>
              <w:pStyle w:val="20"/>
              <w:spacing w:before="78" w:line="237" w:lineRule="auto"/>
              <w:ind w:left="186"/>
              <w:rPr>
                <w:color w:val="auto"/>
                <w:sz w:val="18"/>
                <w:szCs w:val="18"/>
                <w:highlight w:val="none"/>
              </w:rPr>
            </w:pPr>
            <w:r>
              <w:rPr>
                <w:color w:val="auto"/>
                <w:spacing w:val="-1"/>
                <w:sz w:val="18"/>
                <w:szCs w:val="18"/>
                <w:highlight w:val="none"/>
              </w:rPr>
              <w:t>2000≤Y＜30000</w:t>
            </w:r>
          </w:p>
        </w:tc>
        <w:tc>
          <w:tcPr>
            <w:tcW w:w="1439" w:type="dxa"/>
            <w:vAlign w:val="top"/>
          </w:tcPr>
          <w:p w14:paraId="49847BD6">
            <w:pPr>
              <w:pStyle w:val="20"/>
              <w:spacing w:before="78" w:line="237" w:lineRule="auto"/>
              <w:ind w:left="198"/>
              <w:rPr>
                <w:color w:val="auto"/>
                <w:sz w:val="18"/>
                <w:szCs w:val="18"/>
                <w:highlight w:val="none"/>
              </w:rPr>
            </w:pPr>
            <w:r>
              <w:rPr>
                <w:color w:val="auto"/>
                <w:spacing w:val="-2"/>
                <w:sz w:val="18"/>
                <w:szCs w:val="18"/>
                <w:highlight w:val="none"/>
              </w:rPr>
              <w:t>100≤Y＜2000</w:t>
            </w:r>
          </w:p>
        </w:tc>
        <w:tc>
          <w:tcPr>
            <w:tcW w:w="1235" w:type="dxa"/>
            <w:vAlign w:val="top"/>
          </w:tcPr>
          <w:p w14:paraId="18A17154">
            <w:pPr>
              <w:pStyle w:val="20"/>
              <w:spacing w:before="79"/>
              <w:ind w:left="349"/>
              <w:rPr>
                <w:color w:val="auto"/>
                <w:sz w:val="18"/>
                <w:szCs w:val="18"/>
                <w:highlight w:val="none"/>
              </w:rPr>
            </w:pPr>
            <w:r>
              <w:rPr>
                <w:color w:val="auto"/>
                <w:spacing w:val="-1"/>
                <w:sz w:val="18"/>
                <w:szCs w:val="18"/>
                <w:highlight w:val="none"/>
              </w:rPr>
              <w:t>Y＜100</w:t>
            </w:r>
          </w:p>
        </w:tc>
      </w:tr>
      <w:tr w14:paraId="7D5A1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restart"/>
            <w:tcBorders>
              <w:bottom w:val="nil"/>
            </w:tcBorders>
            <w:vAlign w:val="top"/>
          </w:tcPr>
          <w:p w14:paraId="377E3765">
            <w:pPr>
              <w:pStyle w:val="20"/>
              <w:spacing w:before="249" w:line="220" w:lineRule="auto"/>
              <w:ind w:left="587"/>
              <w:rPr>
                <w:color w:val="auto"/>
                <w:sz w:val="18"/>
                <w:szCs w:val="18"/>
                <w:highlight w:val="none"/>
              </w:rPr>
            </w:pPr>
            <w:r>
              <w:rPr>
                <w:b/>
                <w:bCs/>
                <w:color w:val="auto"/>
                <w:spacing w:val="-4"/>
                <w:sz w:val="18"/>
                <w:szCs w:val="18"/>
                <w:highlight w:val="none"/>
              </w:rPr>
              <w:t>住宿业</w:t>
            </w:r>
          </w:p>
        </w:tc>
        <w:tc>
          <w:tcPr>
            <w:tcW w:w="1383" w:type="dxa"/>
            <w:vAlign w:val="top"/>
          </w:tcPr>
          <w:p w14:paraId="6E221C0B">
            <w:pPr>
              <w:pStyle w:val="20"/>
              <w:spacing w:before="81" w:line="221" w:lineRule="auto"/>
              <w:ind w:left="112"/>
              <w:rPr>
                <w:color w:val="auto"/>
                <w:sz w:val="18"/>
                <w:szCs w:val="18"/>
                <w:highlight w:val="none"/>
              </w:rPr>
            </w:pPr>
            <w:r>
              <w:rPr>
                <w:color w:val="auto"/>
                <w:spacing w:val="-2"/>
                <w:sz w:val="18"/>
                <w:szCs w:val="18"/>
                <w:highlight w:val="none"/>
              </w:rPr>
              <w:t>从业人员（X）</w:t>
            </w:r>
          </w:p>
        </w:tc>
        <w:tc>
          <w:tcPr>
            <w:tcW w:w="912" w:type="dxa"/>
            <w:vAlign w:val="top"/>
          </w:tcPr>
          <w:p w14:paraId="73A847BD">
            <w:pPr>
              <w:pStyle w:val="20"/>
              <w:spacing w:before="81" w:line="223" w:lineRule="auto"/>
              <w:ind w:left="370"/>
              <w:rPr>
                <w:color w:val="auto"/>
                <w:sz w:val="18"/>
                <w:szCs w:val="18"/>
                <w:highlight w:val="none"/>
              </w:rPr>
            </w:pPr>
            <w:r>
              <w:rPr>
                <w:color w:val="auto"/>
                <w:sz w:val="18"/>
                <w:szCs w:val="18"/>
                <w:highlight w:val="none"/>
              </w:rPr>
              <w:t>人</w:t>
            </w:r>
          </w:p>
        </w:tc>
        <w:tc>
          <w:tcPr>
            <w:tcW w:w="1619" w:type="dxa"/>
            <w:vAlign w:val="top"/>
          </w:tcPr>
          <w:p w14:paraId="67ADC2E0">
            <w:pPr>
              <w:pStyle w:val="20"/>
              <w:spacing w:before="81" w:line="237" w:lineRule="auto"/>
              <w:ind w:left="332"/>
              <w:rPr>
                <w:color w:val="auto"/>
                <w:sz w:val="18"/>
                <w:szCs w:val="18"/>
                <w:highlight w:val="none"/>
              </w:rPr>
            </w:pPr>
            <w:r>
              <w:rPr>
                <w:color w:val="auto"/>
                <w:spacing w:val="-3"/>
                <w:sz w:val="18"/>
                <w:szCs w:val="18"/>
                <w:highlight w:val="none"/>
              </w:rPr>
              <w:t>100≤X＜300</w:t>
            </w:r>
          </w:p>
        </w:tc>
        <w:tc>
          <w:tcPr>
            <w:tcW w:w="1439" w:type="dxa"/>
            <w:vAlign w:val="top"/>
          </w:tcPr>
          <w:p w14:paraId="7BD96EA5">
            <w:pPr>
              <w:pStyle w:val="20"/>
              <w:spacing w:before="81" w:line="237" w:lineRule="auto"/>
              <w:ind w:left="289"/>
              <w:rPr>
                <w:color w:val="auto"/>
                <w:sz w:val="18"/>
                <w:szCs w:val="18"/>
                <w:highlight w:val="none"/>
              </w:rPr>
            </w:pPr>
            <w:r>
              <w:rPr>
                <w:color w:val="auto"/>
                <w:spacing w:val="-3"/>
                <w:sz w:val="18"/>
                <w:szCs w:val="18"/>
                <w:highlight w:val="none"/>
              </w:rPr>
              <w:t>10≤X＜100</w:t>
            </w:r>
          </w:p>
        </w:tc>
        <w:tc>
          <w:tcPr>
            <w:tcW w:w="1235" w:type="dxa"/>
            <w:vAlign w:val="top"/>
          </w:tcPr>
          <w:p w14:paraId="21793659">
            <w:pPr>
              <w:pStyle w:val="20"/>
              <w:spacing w:before="81"/>
              <w:ind w:left="395"/>
              <w:rPr>
                <w:color w:val="auto"/>
                <w:sz w:val="18"/>
                <w:szCs w:val="18"/>
                <w:highlight w:val="none"/>
              </w:rPr>
            </w:pPr>
            <w:r>
              <w:rPr>
                <w:color w:val="auto"/>
                <w:spacing w:val="-2"/>
                <w:sz w:val="18"/>
                <w:szCs w:val="18"/>
                <w:highlight w:val="none"/>
              </w:rPr>
              <w:t>X＜10</w:t>
            </w:r>
          </w:p>
        </w:tc>
      </w:tr>
      <w:tr w14:paraId="3FB33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continue"/>
            <w:tcBorders>
              <w:top w:val="nil"/>
            </w:tcBorders>
            <w:vAlign w:val="top"/>
          </w:tcPr>
          <w:p w14:paraId="37370D6A">
            <w:pPr>
              <w:rPr>
                <w:rFonts w:ascii="Arial"/>
                <w:color w:val="auto"/>
                <w:sz w:val="21"/>
                <w:highlight w:val="none"/>
              </w:rPr>
            </w:pPr>
          </w:p>
        </w:tc>
        <w:tc>
          <w:tcPr>
            <w:tcW w:w="1383" w:type="dxa"/>
            <w:vAlign w:val="top"/>
          </w:tcPr>
          <w:p w14:paraId="4688F814">
            <w:pPr>
              <w:pStyle w:val="20"/>
              <w:spacing w:before="81" w:line="220" w:lineRule="auto"/>
              <w:ind w:left="116"/>
              <w:rPr>
                <w:color w:val="auto"/>
                <w:sz w:val="18"/>
                <w:szCs w:val="18"/>
                <w:highlight w:val="none"/>
              </w:rPr>
            </w:pPr>
            <w:r>
              <w:rPr>
                <w:color w:val="auto"/>
                <w:spacing w:val="-2"/>
                <w:sz w:val="18"/>
                <w:szCs w:val="18"/>
                <w:highlight w:val="none"/>
              </w:rPr>
              <w:t>营业收入（Y）</w:t>
            </w:r>
          </w:p>
        </w:tc>
        <w:tc>
          <w:tcPr>
            <w:tcW w:w="912" w:type="dxa"/>
            <w:vAlign w:val="top"/>
          </w:tcPr>
          <w:p w14:paraId="3E4295F3">
            <w:pPr>
              <w:pStyle w:val="20"/>
              <w:spacing w:before="80"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75474212">
            <w:pPr>
              <w:pStyle w:val="20"/>
              <w:spacing w:before="80" w:line="237" w:lineRule="auto"/>
              <w:ind w:left="186"/>
              <w:rPr>
                <w:color w:val="auto"/>
                <w:sz w:val="18"/>
                <w:szCs w:val="18"/>
                <w:highlight w:val="none"/>
              </w:rPr>
            </w:pPr>
            <w:r>
              <w:rPr>
                <w:color w:val="auto"/>
                <w:spacing w:val="-1"/>
                <w:sz w:val="18"/>
                <w:szCs w:val="18"/>
                <w:highlight w:val="none"/>
              </w:rPr>
              <w:t>2000≤Y＜10000</w:t>
            </w:r>
          </w:p>
        </w:tc>
        <w:tc>
          <w:tcPr>
            <w:tcW w:w="1439" w:type="dxa"/>
            <w:vAlign w:val="top"/>
          </w:tcPr>
          <w:p w14:paraId="67DCDC99">
            <w:pPr>
              <w:pStyle w:val="20"/>
              <w:spacing w:before="80" w:line="237" w:lineRule="auto"/>
              <w:ind w:left="198"/>
              <w:rPr>
                <w:color w:val="auto"/>
                <w:sz w:val="18"/>
                <w:szCs w:val="18"/>
                <w:highlight w:val="none"/>
              </w:rPr>
            </w:pPr>
            <w:r>
              <w:rPr>
                <w:color w:val="auto"/>
                <w:spacing w:val="-2"/>
                <w:sz w:val="18"/>
                <w:szCs w:val="18"/>
                <w:highlight w:val="none"/>
              </w:rPr>
              <w:t>100≤Y＜2000</w:t>
            </w:r>
          </w:p>
        </w:tc>
        <w:tc>
          <w:tcPr>
            <w:tcW w:w="1235" w:type="dxa"/>
            <w:vAlign w:val="top"/>
          </w:tcPr>
          <w:p w14:paraId="7E40618B">
            <w:pPr>
              <w:pStyle w:val="20"/>
              <w:spacing w:before="81"/>
              <w:ind w:left="349"/>
              <w:rPr>
                <w:color w:val="auto"/>
                <w:sz w:val="18"/>
                <w:szCs w:val="18"/>
                <w:highlight w:val="none"/>
              </w:rPr>
            </w:pPr>
            <w:r>
              <w:rPr>
                <w:color w:val="auto"/>
                <w:spacing w:val="-1"/>
                <w:sz w:val="18"/>
                <w:szCs w:val="18"/>
                <w:highlight w:val="none"/>
              </w:rPr>
              <w:t>Y＜100</w:t>
            </w:r>
          </w:p>
        </w:tc>
      </w:tr>
      <w:tr w14:paraId="14DF6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restart"/>
            <w:tcBorders>
              <w:bottom w:val="nil"/>
            </w:tcBorders>
            <w:vAlign w:val="top"/>
          </w:tcPr>
          <w:p w14:paraId="2FF5D7C6">
            <w:pPr>
              <w:pStyle w:val="20"/>
              <w:spacing w:before="251" w:line="220" w:lineRule="auto"/>
              <w:ind w:left="589"/>
              <w:rPr>
                <w:color w:val="auto"/>
                <w:sz w:val="18"/>
                <w:szCs w:val="18"/>
                <w:highlight w:val="none"/>
              </w:rPr>
            </w:pPr>
            <w:r>
              <w:rPr>
                <w:b/>
                <w:bCs/>
                <w:color w:val="auto"/>
                <w:spacing w:val="-4"/>
                <w:sz w:val="18"/>
                <w:szCs w:val="18"/>
                <w:highlight w:val="none"/>
              </w:rPr>
              <w:t>餐饮业</w:t>
            </w:r>
          </w:p>
        </w:tc>
        <w:tc>
          <w:tcPr>
            <w:tcW w:w="1383" w:type="dxa"/>
            <w:vAlign w:val="top"/>
          </w:tcPr>
          <w:p w14:paraId="240259D9">
            <w:pPr>
              <w:pStyle w:val="20"/>
              <w:spacing w:before="80" w:line="221" w:lineRule="auto"/>
              <w:ind w:left="112"/>
              <w:rPr>
                <w:color w:val="auto"/>
                <w:sz w:val="18"/>
                <w:szCs w:val="18"/>
                <w:highlight w:val="none"/>
              </w:rPr>
            </w:pPr>
            <w:r>
              <w:rPr>
                <w:color w:val="auto"/>
                <w:spacing w:val="-2"/>
                <w:sz w:val="18"/>
                <w:szCs w:val="18"/>
                <w:highlight w:val="none"/>
              </w:rPr>
              <w:t>从业人员（X）</w:t>
            </w:r>
          </w:p>
        </w:tc>
        <w:tc>
          <w:tcPr>
            <w:tcW w:w="912" w:type="dxa"/>
            <w:vAlign w:val="top"/>
          </w:tcPr>
          <w:p w14:paraId="6AB97713">
            <w:pPr>
              <w:pStyle w:val="20"/>
              <w:spacing w:before="80" w:line="223" w:lineRule="auto"/>
              <w:ind w:left="370"/>
              <w:rPr>
                <w:color w:val="auto"/>
                <w:sz w:val="18"/>
                <w:szCs w:val="18"/>
                <w:highlight w:val="none"/>
              </w:rPr>
            </w:pPr>
            <w:r>
              <w:rPr>
                <w:color w:val="auto"/>
                <w:sz w:val="18"/>
                <w:szCs w:val="18"/>
                <w:highlight w:val="none"/>
              </w:rPr>
              <w:t>人</w:t>
            </w:r>
          </w:p>
        </w:tc>
        <w:tc>
          <w:tcPr>
            <w:tcW w:w="1619" w:type="dxa"/>
            <w:vAlign w:val="top"/>
          </w:tcPr>
          <w:p w14:paraId="09B41EE6">
            <w:pPr>
              <w:pStyle w:val="20"/>
              <w:spacing w:before="80" w:line="237" w:lineRule="auto"/>
              <w:ind w:left="332"/>
              <w:rPr>
                <w:color w:val="auto"/>
                <w:sz w:val="18"/>
                <w:szCs w:val="18"/>
                <w:highlight w:val="none"/>
              </w:rPr>
            </w:pPr>
            <w:r>
              <w:rPr>
                <w:color w:val="auto"/>
                <w:spacing w:val="-3"/>
                <w:sz w:val="18"/>
                <w:szCs w:val="18"/>
                <w:highlight w:val="none"/>
              </w:rPr>
              <w:t>100≤X＜300</w:t>
            </w:r>
          </w:p>
        </w:tc>
        <w:tc>
          <w:tcPr>
            <w:tcW w:w="1439" w:type="dxa"/>
            <w:vAlign w:val="top"/>
          </w:tcPr>
          <w:p w14:paraId="1A00698A">
            <w:pPr>
              <w:pStyle w:val="20"/>
              <w:spacing w:before="80" w:line="237" w:lineRule="auto"/>
              <w:ind w:left="289"/>
              <w:rPr>
                <w:color w:val="auto"/>
                <w:sz w:val="18"/>
                <w:szCs w:val="18"/>
                <w:highlight w:val="none"/>
              </w:rPr>
            </w:pPr>
            <w:r>
              <w:rPr>
                <w:color w:val="auto"/>
                <w:spacing w:val="-3"/>
                <w:sz w:val="18"/>
                <w:szCs w:val="18"/>
                <w:highlight w:val="none"/>
              </w:rPr>
              <w:t>10≤X＜100</w:t>
            </w:r>
          </w:p>
        </w:tc>
        <w:tc>
          <w:tcPr>
            <w:tcW w:w="1235" w:type="dxa"/>
            <w:vAlign w:val="top"/>
          </w:tcPr>
          <w:p w14:paraId="17D41F1F">
            <w:pPr>
              <w:pStyle w:val="20"/>
              <w:spacing w:before="81"/>
              <w:ind w:left="395"/>
              <w:rPr>
                <w:color w:val="auto"/>
                <w:sz w:val="18"/>
                <w:szCs w:val="18"/>
                <w:highlight w:val="none"/>
              </w:rPr>
            </w:pPr>
            <w:r>
              <w:rPr>
                <w:color w:val="auto"/>
                <w:spacing w:val="-2"/>
                <w:sz w:val="18"/>
                <w:szCs w:val="18"/>
                <w:highlight w:val="none"/>
              </w:rPr>
              <w:t>X＜10</w:t>
            </w:r>
          </w:p>
        </w:tc>
      </w:tr>
      <w:tr w14:paraId="3E3BA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continue"/>
            <w:tcBorders>
              <w:top w:val="nil"/>
            </w:tcBorders>
            <w:vAlign w:val="top"/>
          </w:tcPr>
          <w:p w14:paraId="35117A99">
            <w:pPr>
              <w:rPr>
                <w:rFonts w:ascii="Arial"/>
                <w:color w:val="auto"/>
                <w:sz w:val="21"/>
                <w:highlight w:val="none"/>
              </w:rPr>
            </w:pPr>
          </w:p>
        </w:tc>
        <w:tc>
          <w:tcPr>
            <w:tcW w:w="1383" w:type="dxa"/>
            <w:vAlign w:val="top"/>
          </w:tcPr>
          <w:p w14:paraId="772B31A3">
            <w:pPr>
              <w:pStyle w:val="20"/>
              <w:spacing w:before="80" w:line="220" w:lineRule="auto"/>
              <w:ind w:left="116"/>
              <w:rPr>
                <w:color w:val="auto"/>
                <w:sz w:val="18"/>
                <w:szCs w:val="18"/>
                <w:highlight w:val="none"/>
              </w:rPr>
            </w:pPr>
            <w:r>
              <w:rPr>
                <w:color w:val="auto"/>
                <w:spacing w:val="-2"/>
                <w:sz w:val="18"/>
                <w:szCs w:val="18"/>
                <w:highlight w:val="none"/>
              </w:rPr>
              <w:t>营业收入（Y）</w:t>
            </w:r>
          </w:p>
        </w:tc>
        <w:tc>
          <w:tcPr>
            <w:tcW w:w="912" w:type="dxa"/>
            <w:vAlign w:val="top"/>
          </w:tcPr>
          <w:p w14:paraId="565C35B9">
            <w:pPr>
              <w:pStyle w:val="20"/>
              <w:spacing w:before="80"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7D60E31E">
            <w:pPr>
              <w:pStyle w:val="20"/>
              <w:spacing w:before="80" w:line="237" w:lineRule="auto"/>
              <w:ind w:left="186"/>
              <w:rPr>
                <w:color w:val="auto"/>
                <w:sz w:val="18"/>
                <w:szCs w:val="18"/>
                <w:highlight w:val="none"/>
              </w:rPr>
            </w:pPr>
            <w:r>
              <w:rPr>
                <w:color w:val="auto"/>
                <w:spacing w:val="-1"/>
                <w:sz w:val="18"/>
                <w:szCs w:val="18"/>
                <w:highlight w:val="none"/>
              </w:rPr>
              <w:t>2000≤Y＜10000</w:t>
            </w:r>
          </w:p>
        </w:tc>
        <w:tc>
          <w:tcPr>
            <w:tcW w:w="1439" w:type="dxa"/>
            <w:vAlign w:val="top"/>
          </w:tcPr>
          <w:p w14:paraId="3C550179">
            <w:pPr>
              <w:pStyle w:val="20"/>
              <w:spacing w:before="80" w:line="237" w:lineRule="auto"/>
              <w:ind w:left="198"/>
              <w:rPr>
                <w:color w:val="auto"/>
                <w:sz w:val="18"/>
                <w:szCs w:val="18"/>
                <w:highlight w:val="none"/>
              </w:rPr>
            </w:pPr>
            <w:r>
              <w:rPr>
                <w:color w:val="auto"/>
                <w:spacing w:val="-2"/>
                <w:sz w:val="18"/>
                <w:szCs w:val="18"/>
                <w:highlight w:val="none"/>
              </w:rPr>
              <w:t>100≤Y＜2000</w:t>
            </w:r>
          </w:p>
        </w:tc>
        <w:tc>
          <w:tcPr>
            <w:tcW w:w="1235" w:type="dxa"/>
            <w:vAlign w:val="top"/>
          </w:tcPr>
          <w:p w14:paraId="49746DDF">
            <w:pPr>
              <w:pStyle w:val="20"/>
              <w:spacing w:before="81"/>
              <w:ind w:left="349"/>
              <w:rPr>
                <w:color w:val="auto"/>
                <w:sz w:val="18"/>
                <w:szCs w:val="18"/>
                <w:highlight w:val="none"/>
              </w:rPr>
            </w:pPr>
            <w:r>
              <w:rPr>
                <w:color w:val="auto"/>
                <w:spacing w:val="-1"/>
                <w:sz w:val="18"/>
                <w:szCs w:val="18"/>
                <w:highlight w:val="none"/>
              </w:rPr>
              <w:t>Y＜100</w:t>
            </w:r>
          </w:p>
        </w:tc>
      </w:tr>
      <w:tr w14:paraId="4280F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restart"/>
            <w:tcBorders>
              <w:bottom w:val="nil"/>
            </w:tcBorders>
            <w:vAlign w:val="top"/>
          </w:tcPr>
          <w:p w14:paraId="42917E1D">
            <w:pPr>
              <w:pStyle w:val="20"/>
              <w:spacing w:before="251" w:line="219" w:lineRule="auto"/>
              <w:ind w:left="405"/>
              <w:rPr>
                <w:color w:val="auto"/>
                <w:sz w:val="18"/>
                <w:szCs w:val="18"/>
                <w:highlight w:val="none"/>
              </w:rPr>
            </w:pPr>
            <w:r>
              <w:rPr>
                <w:b/>
                <w:bCs/>
                <w:color w:val="auto"/>
                <w:spacing w:val="-3"/>
                <w:sz w:val="18"/>
                <w:szCs w:val="18"/>
                <w:highlight w:val="none"/>
              </w:rPr>
              <w:t>信息传输业</w:t>
            </w:r>
          </w:p>
        </w:tc>
        <w:tc>
          <w:tcPr>
            <w:tcW w:w="1383" w:type="dxa"/>
            <w:vAlign w:val="top"/>
          </w:tcPr>
          <w:p w14:paraId="3C7FD331">
            <w:pPr>
              <w:pStyle w:val="20"/>
              <w:spacing w:before="80" w:line="221" w:lineRule="auto"/>
              <w:ind w:left="112"/>
              <w:rPr>
                <w:color w:val="auto"/>
                <w:sz w:val="18"/>
                <w:szCs w:val="18"/>
                <w:highlight w:val="none"/>
              </w:rPr>
            </w:pPr>
            <w:r>
              <w:rPr>
                <w:color w:val="auto"/>
                <w:spacing w:val="-2"/>
                <w:sz w:val="18"/>
                <w:szCs w:val="18"/>
                <w:highlight w:val="none"/>
              </w:rPr>
              <w:t>从业人员（X）</w:t>
            </w:r>
          </w:p>
        </w:tc>
        <w:tc>
          <w:tcPr>
            <w:tcW w:w="912" w:type="dxa"/>
            <w:vAlign w:val="top"/>
          </w:tcPr>
          <w:p w14:paraId="5DC935CD">
            <w:pPr>
              <w:pStyle w:val="20"/>
              <w:spacing w:before="80" w:line="223" w:lineRule="auto"/>
              <w:ind w:left="370"/>
              <w:rPr>
                <w:color w:val="auto"/>
                <w:sz w:val="18"/>
                <w:szCs w:val="18"/>
                <w:highlight w:val="none"/>
              </w:rPr>
            </w:pPr>
            <w:r>
              <w:rPr>
                <w:color w:val="auto"/>
                <w:sz w:val="18"/>
                <w:szCs w:val="18"/>
                <w:highlight w:val="none"/>
              </w:rPr>
              <w:t>人</w:t>
            </w:r>
          </w:p>
        </w:tc>
        <w:tc>
          <w:tcPr>
            <w:tcW w:w="1619" w:type="dxa"/>
            <w:vAlign w:val="top"/>
          </w:tcPr>
          <w:p w14:paraId="0649D9B6">
            <w:pPr>
              <w:pStyle w:val="20"/>
              <w:spacing w:before="80" w:line="237" w:lineRule="auto"/>
              <w:ind w:left="288"/>
              <w:rPr>
                <w:color w:val="auto"/>
                <w:sz w:val="18"/>
                <w:szCs w:val="18"/>
                <w:highlight w:val="none"/>
              </w:rPr>
            </w:pPr>
            <w:r>
              <w:rPr>
                <w:color w:val="auto"/>
                <w:spacing w:val="-2"/>
                <w:sz w:val="18"/>
                <w:szCs w:val="18"/>
                <w:highlight w:val="none"/>
              </w:rPr>
              <w:t>100≤X＜2000</w:t>
            </w:r>
          </w:p>
        </w:tc>
        <w:tc>
          <w:tcPr>
            <w:tcW w:w="1439" w:type="dxa"/>
            <w:vAlign w:val="top"/>
          </w:tcPr>
          <w:p w14:paraId="1D3A6CFD">
            <w:pPr>
              <w:pStyle w:val="20"/>
              <w:spacing w:before="80" w:line="237" w:lineRule="auto"/>
              <w:ind w:left="289"/>
              <w:rPr>
                <w:color w:val="auto"/>
                <w:sz w:val="18"/>
                <w:szCs w:val="18"/>
                <w:highlight w:val="none"/>
              </w:rPr>
            </w:pPr>
            <w:r>
              <w:rPr>
                <w:color w:val="auto"/>
                <w:spacing w:val="-3"/>
                <w:sz w:val="18"/>
                <w:szCs w:val="18"/>
                <w:highlight w:val="none"/>
              </w:rPr>
              <w:t>10≤X＜100</w:t>
            </w:r>
          </w:p>
        </w:tc>
        <w:tc>
          <w:tcPr>
            <w:tcW w:w="1235" w:type="dxa"/>
            <w:vAlign w:val="top"/>
          </w:tcPr>
          <w:p w14:paraId="192BAFDA">
            <w:pPr>
              <w:pStyle w:val="20"/>
              <w:spacing w:before="80"/>
              <w:ind w:left="395"/>
              <w:rPr>
                <w:color w:val="auto"/>
                <w:sz w:val="18"/>
                <w:szCs w:val="18"/>
                <w:highlight w:val="none"/>
              </w:rPr>
            </w:pPr>
            <w:r>
              <w:rPr>
                <w:color w:val="auto"/>
                <w:spacing w:val="-2"/>
                <w:sz w:val="18"/>
                <w:szCs w:val="18"/>
                <w:highlight w:val="none"/>
              </w:rPr>
              <w:t>X＜10</w:t>
            </w:r>
          </w:p>
        </w:tc>
      </w:tr>
      <w:tr w14:paraId="2DFDF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continue"/>
            <w:tcBorders>
              <w:top w:val="nil"/>
            </w:tcBorders>
            <w:vAlign w:val="top"/>
          </w:tcPr>
          <w:p w14:paraId="52D93559">
            <w:pPr>
              <w:rPr>
                <w:rFonts w:ascii="Arial"/>
                <w:color w:val="auto"/>
                <w:sz w:val="21"/>
                <w:highlight w:val="none"/>
              </w:rPr>
            </w:pPr>
          </w:p>
        </w:tc>
        <w:tc>
          <w:tcPr>
            <w:tcW w:w="1383" w:type="dxa"/>
            <w:vAlign w:val="top"/>
          </w:tcPr>
          <w:p w14:paraId="5EDE84CA">
            <w:pPr>
              <w:pStyle w:val="20"/>
              <w:spacing w:before="80" w:line="220" w:lineRule="auto"/>
              <w:ind w:left="116"/>
              <w:rPr>
                <w:color w:val="auto"/>
                <w:sz w:val="18"/>
                <w:szCs w:val="18"/>
                <w:highlight w:val="none"/>
              </w:rPr>
            </w:pPr>
            <w:r>
              <w:rPr>
                <w:color w:val="auto"/>
                <w:spacing w:val="-2"/>
                <w:sz w:val="18"/>
                <w:szCs w:val="18"/>
                <w:highlight w:val="none"/>
              </w:rPr>
              <w:t>营业收入（Y）</w:t>
            </w:r>
          </w:p>
        </w:tc>
        <w:tc>
          <w:tcPr>
            <w:tcW w:w="912" w:type="dxa"/>
            <w:vAlign w:val="top"/>
          </w:tcPr>
          <w:p w14:paraId="2C21B762">
            <w:pPr>
              <w:pStyle w:val="20"/>
              <w:spacing w:before="80"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086A0413">
            <w:pPr>
              <w:pStyle w:val="20"/>
              <w:spacing w:before="80" w:line="237" w:lineRule="auto"/>
              <w:ind w:left="152"/>
              <w:rPr>
                <w:color w:val="auto"/>
                <w:sz w:val="18"/>
                <w:szCs w:val="18"/>
                <w:highlight w:val="none"/>
              </w:rPr>
            </w:pPr>
            <w:r>
              <w:rPr>
                <w:color w:val="auto"/>
                <w:spacing w:val="-2"/>
                <w:sz w:val="18"/>
                <w:szCs w:val="18"/>
                <w:highlight w:val="none"/>
              </w:rPr>
              <w:t>1000≤Y＜100000</w:t>
            </w:r>
          </w:p>
        </w:tc>
        <w:tc>
          <w:tcPr>
            <w:tcW w:w="1439" w:type="dxa"/>
            <w:vAlign w:val="top"/>
          </w:tcPr>
          <w:p w14:paraId="7C3B28C1">
            <w:pPr>
              <w:pStyle w:val="20"/>
              <w:spacing w:before="80" w:line="237" w:lineRule="auto"/>
              <w:ind w:left="198"/>
              <w:rPr>
                <w:color w:val="auto"/>
                <w:sz w:val="18"/>
                <w:szCs w:val="18"/>
                <w:highlight w:val="none"/>
              </w:rPr>
            </w:pPr>
            <w:r>
              <w:rPr>
                <w:color w:val="auto"/>
                <w:spacing w:val="-2"/>
                <w:sz w:val="18"/>
                <w:szCs w:val="18"/>
                <w:highlight w:val="none"/>
              </w:rPr>
              <w:t>100≤Y＜1000</w:t>
            </w:r>
          </w:p>
        </w:tc>
        <w:tc>
          <w:tcPr>
            <w:tcW w:w="1235" w:type="dxa"/>
            <w:vAlign w:val="top"/>
          </w:tcPr>
          <w:p w14:paraId="7A53D502">
            <w:pPr>
              <w:pStyle w:val="20"/>
              <w:spacing w:before="80"/>
              <w:ind w:left="349"/>
              <w:rPr>
                <w:color w:val="auto"/>
                <w:sz w:val="18"/>
                <w:szCs w:val="18"/>
                <w:highlight w:val="none"/>
              </w:rPr>
            </w:pPr>
            <w:r>
              <w:rPr>
                <w:color w:val="auto"/>
                <w:spacing w:val="-1"/>
                <w:sz w:val="18"/>
                <w:szCs w:val="18"/>
                <w:highlight w:val="none"/>
              </w:rPr>
              <w:t>Y＜100</w:t>
            </w:r>
          </w:p>
        </w:tc>
      </w:tr>
      <w:tr w14:paraId="495EB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restart"/>
            <w:tcBorders>
              <w:bottom w:val="nil"/>
            </w:tcBorders>
            <w:vAlign w:val="top"/>
          </w:tcPr>
          <w:p w14:paraId="07101952">
            <w:pPr>
              <w:pStyle w:val="20"/>
              <w:spacing w:before="85" w:line="298" w:lineRule="auto"/>
              <w:ind w:left="677" w:right="129" w:hanging="541"/>
              <w:rPr>
                <w:color w:val="auto"/>
                <w:sz w:val="18"/>
                <w:szCs w:val="18"/>
                <w:highlight w:val="none"/>
              </w:rPr>
            </w:pPr>
            <w:r>
              <w:rPr>
                <w:b/>
                <w:bCs/>
                <w:color w:val="auto"/>
                <w:spacing w:val="-3"/>
                <w:sz w:val="18"/>
                <w:szCs w:val="18"/>
                <w:highlight w:val="none"/>
              </w:rPr>
              <w:t>软件和信息技术服</w:t>
            </w:r>
            <w:r>
              <w:rPr>
                <w:color w:val="auto"/>
                <w:spacing w:val="3"/>
                <w:sz w:val="18"/>
                <w:szCs w:val="18"/>
                <w:highlight w:val="none"/>
              </w:rPr>
              <w:t xml:space="preserve"> </w:t>
            </w:r>
            <w:r>
              <w:rPr>
                <w:b/>
                <w:bCs/>
                <w:color w:val="auto"/>
                <w:spacing w:val="-7"/>
                <w:sz w:val="18"/>
                <w:szCs w:val="18"/>
                <w:highlight w:val="none"/>
              </w:rPr>
              <w:t>务业</w:t>
            </w:r>
          </w:p>
        </w:tc>
        <w:tc>
          <w:tcPr>
            <w:tcW w:w="1383" w:type="dxa"/>
            <w:vAlign w:val="top"/>
          </w:tcPr>
          <w:p w14:paraId="03BE7678">
            <w:pPr>
              <w:pStyle w:val="20"/>
              <w:spacing w:before="79" w:line="221" w:lineRule="auto"/>
              <w:ind w:left="112"/>
              <w:rPr>
                <w:color w:val="auto"/>
                <w:sz w:val="18"/>
                <w:szCs w:val="18"/>
                <w:highlight w:val="none"/>
              </w:rPr>
            </w:pPr>
            <w:r>
              <w:rPr>
                <w:color w:val="auto"/>
                <w:spacing w:val="-2"/>
                <w:sz w:val="18"/>
                <w:szCs w:val="18"/>
                <w:highlight w:val="none"/>
              </w:rPr>
              <w:t>从业人员（X）</w:t>
            </w:r>
          </w:p>
        </w:tc>
        <w:tc>
          <w:tcPr>
            <w:tcW w:w="912" w:type="dxa"/>
            <w:vAlign w:val="top"/>
          </w:tcPr>
          <w:p w14:paraId="50521E6D">
            <w:pPr>
              <w:pStyle w:val="20"/>
              <w:spacing w:before="80" w:line="223" w:lineRule="auto"/>
              <w:ind w:left="370"/>
              <w:rPr>
                <w:color w:val="auto"/>
                <w:sz w:val="18"/>
                <w:szCs w:val="18"/>
                <w:highlight w:val="none"/>
              </w:rPr>
            </w:pPr>
            <w:r>
              <w:rPr>
                <w:color w:val="auto"/>
                <w:sz w:val="18"/>
                <w:szCs w:val="18"/>
                <w:highlight w:val="none"/>
              </w:rPr>
              <w:t>人</w:t>
            </w:r>
          </w:p>
        </w:tc>
        <w:tc>
          <w:tcPr>
            <w:tcW w:w="1619" w:type="dxa"/>
            <w:vAlign w:val="top"/>
          </w:tcPr>
          <w:p w14:paraId="74C7B5D3">
            <w:pPr>
              <w:pStyle w:val="20"/>
              <w:spacing w:before="79" w:line="237" w:lineRule="auto"/>
              <w:ind w:left="332"/>
              <w:rPr>
                <w:color w:val="auto"/>
                <w:sz w:val="18"/>
                <w:szCs w:val="18"/>
                <w:highlight w:val="none"/>
              </w:rPr>
            </w:pPr>
            <w:r>
              <w:rPr>
                <w:color w:val="auto"/>
                <w:spacing w:val="-3"/>
                <w:sz w:val="18"/>
                <w:szCs w:val="18"/>
                <w:highlight w:val="none"/>
              </w:rPr>
              <w:t>100≤X＜300</w:t>
            </w:r>
          </w:p>
        </w:tc>
        <w:tc>
          <w:tcPr>
            <w:tcW w:w="1439" w:type="dxa"/>
            <w:vAlign w:val="top"/>
          </w:tcPr>
          <w:p w14:paraId="6283F741">
            <w:pPr>
              <w:pStyle w:val="20"/>
              <w:spacing w:before="79" w:line="237" w:lineRule="auto"/>
              <w:ind w:left="289"/>
              <w:rPr>
                <w:color w:val="auto"/>
                <w:sz w:val="18"/>
                <w:szCs w:val="18"/>
                <w:highlight w:val="none"/>
              </w:rPr>
            </w:pPr>
            <w:r>
              <w:rPr>
                <w:color w:val="auto"/>
                <w:spacing w:val="-3"/>
                <w:sz w:val="18"/>
                <w:szCs w:val="18"/>
                <w:highlight w:val="none"/>
              </w:rPr>
              <w:t>10≤X＜100</w:t>
            </w:r>
          </w:p>
        </w:tc>
        <w:tc>
          <w:tcPr>
            <w:tcW w:w="1235" w:type="dxa"/>
            <w:vAlign w:val="top"/>
          </w:tcPr>
          <w:p w14:paraId="5FAC0A4D">
            <w:pPr>
              <w:pStyle w:val="20"/>
              <w:spacing w:before="80"/>
              <w:ind w:left="395"/>
              <w:rPr>
                <w:color w:val="auto"/>
                <w:sz w:val="18"/>
                <w:szCs w:val="18"/>
                <w:highlight w:val="none"/>
              </w:rPr>
            </w:pPr>
            <w:r>
              <w:rPr>
                <w:color w:val="auto"/>
                <w:spacing w:val="-2"/>
                <w:sz w:val="18"/>
                <w:szCs w:val="18"/>
                <w:highlight w:val="none"/>
              </w:rPr>
              <w:t>X＜10</w:t>
            </w:r>
          </w:p>
        </w:tc>
      </w:tr>
      <w:tr w14:paraId="06876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continue"/>
            <w:tcBorders>
              <w:top w:val="nil"/>
            </w:tcBorders>
            <w:vAlign w:val="top"/>
          </w:tcPr>
          <w:p w14:paraId="1B499EA9">
            <w:pPr>
              <w:rPr>
                <w:rFonts w:ascii="Arial"/>
                <w:color w:val="auto"/>
                <w:sz w:val="21"/>
                <w:highlight w:val="none"/>
              </w:rPr>
            </w:pPr>
          </w:p>
        </w:tc>
        <w:tc>
          <w:tcPr>
            <w:tcW w:w="1383" w:type="dxa"/>
            <w:vAlign w:val="top"/>
          </w:tcPr>
          <w:p w14:paraId="329F92BB">
            <w:pPr>
              <w:pStyle w:val="20"/>
              <w:spacing w:before="80" w:line="220" w:lineRule="auto"/>
              <w:ind w:left="116"/>
              <w:rPr>
                <w:color w:val="auto"/>
                <w:sz w:val="18"/>
                <w:szCs w:val="18"/>
                <w:highlight w:val="none"/>
              </w:rPr>
            </w:pPr>
            <w:r>
              <w:rPr>
                <w:color w:val="auto"/>
                <w:spacing w:val="-2"/>
                <w:sz w:val="18"/>
                <w:szCs w:val="18"/>
                <w:highlight w:val="none"/>
              </w:rPr>
              <w:t>营业收入（Y）</w:t>
            </w:r>
          </w:p>
        </w:tc>
        <w:tc>
          <w:tcPr>
            <w:tcW w:w="912" w:type="dxa"/>
            <w:vAlign w:val="top"/>
          </w:tcPr>
          <w:p w14:paraId="5AADCECA">
            <w:pPr>
              <w:pStyle w:val="20"/>
              <w:spacing w:before="79"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20784FB7">
            <w:pPr>
              <w:pStyle w:val="20"/>
              <w:spacing w:before="79" w:line="237" w:lineRule="auto"/>
              <w:ind w:left="197"/>
              <w:rPr>
                <w:color w:val="auto"/>
                <w:sz w:val="18"/>
                <w:szCs w:val="18"/>
                <w:highlight w:val="none"/>
              </w:rPr>
            </w:pPr>
            <w:r>
              <w:rPr>
                <w:color w:val="auto"/>
                <w:spacing w:val="-2"/>
                <w:sz w:val="18"/>
                <w:szCs w:val="18"/>
                <w:highlight w:val="none"/>
              </w:rPr>
              <w:t>1000≤Y＜10000</w:t>
            </w:r>
          </w:p>
        </w:tc>
        <w:tc>
          <w:tcPr>
            <w:tcW w:w="1439" w:type="dxa"/>
            <w:vAlign w:val="top"/>
          </w:tcPr>
          <w:p w14:paraId="3EAF4A59">
            <w:pPr>
              <w:pStyle w:val="20"/>
              <w:spacing w:before="79" w:line="237" w:lineRule="auto"/>
              <w:ind w:left="234"/>
              <w:rPr>
                <w:color w:val="auto"/>
                <w:sz w:val="18"/>
                <w:szCs w:val="18"/>
                <w:highlight w:val="none"/>
              </w:rPr>
            </w:pPr>
            <w:r>
              <w:rPr>
                <w:color w:val="auto"/>
                <w:spacing w:val="-2"/>
                <w:sz w:val="18"/>
                <w:szCs w:val="18"/>
                <w:highlight w:val="none"/>
              </w:rPr>
              <w:t>50≤Y＜1000</w:t>
            </w:r>
          </w:p>
        </w:tc>
        <w:tc>
          <w:tcPr>
            <w:tcW w:w="1235" w:type="dxa"/>
            <w:vAlign w:val="top"/>
          </w:tcPr>
          <w:p w14:paraId="3B9744ED">
            <w:pPr>
              <w:pStyle w:val="20"/>
              <w:spacing w:before="80"/>
              <w:ind w:left="394"/>
              <w:rPr>
                <w:color w:val="auto"/>
                <w:sz w:val="18"/>
                <w:szCs w:val="18"/>
                <w:highlight w:val="none"/>
              </w:rPr>
            </w:pPr>
            <w:r>
              <w:rPr>
                <w:color w:val="auto"/>
                <w:spacing w:val="-2"/>
                <w:sz w:val="18"/>
                <w:szCs w:val="18"/>
                <w:highlight w:val="none"/>
              </w:rPr>
              <w:t>Y＜50</w:t>
            </w:r>
          </w:p>
        </w:tc>
      </w:tr>
      <w:tr w14:paraId="13DEC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restart"/>
            <w:tcBorders>
              <w:bottom w:val="nil"/>
            </w:tcBorders>
            <w:vAlign w:val="top"/>
          </w:tcPr>
          <w:p w14:paraId="69881FF6">
            <w:pPr>
              <w:pStyle w:val="20"/>
              <w:spacing w:before="250" w:line="220" w:lineRule="auto"/>
              <w:ind w:left="226"/>
              <w:rPr>
                <w:color w:val="auto"/>
                <w:sz w:val="18"/>
                <w:szCs w:val="18"/>
                <w:highlight w:val="none"/>
              </w:rPr>
            </w:pPr>
            <w:r>
              <w:rPr>
                <w:b/>
                <w:bCs/>
                <w:color w:val="auto"/>
                <w:spacing w:val="-3"/>
                <w:sz w:val="18"/>
                <w:szCs w:val="18"/>
                <w:highlight w:val="none"/>
              </w:rPr>
              <w:t>房地产开发经营</w:t>
            </w:r>
          </w:p>
        </w:tc>
        <w:tc>
          <w:tcPr>
            <w:tcW w:w="1383" w:type="dxa"/>
            <w:vAlign w:val="top"/>
          </w:tcPr>
          <w:p w14:paraId="7EF6D50B">
            <w:pPr>
              <w:pStyle w:val="20"/>
              <w:spacing w:before="79" w:line="220" w:lineRule="auto"/>
              <w:ind w:left="116"/>
              <w:rPr>
                <w:color w:val="auto"/>
                <w:sz w:val="18"/>
                <w:szCs w:val="18"/>
                <w:highlight w:val="none"/>
              </w:rPr>
            </w:pPr>
            <w:r>
              <w:rPr>
                <w:color w:val="auto"/>
                <w:spacing w:val="-2"/>
                <w:sz w:val="18"/>
                <w:szCs w:val="18"/>
                <w:highlight w:val="none"/>
              </w:rPr>
              <w:t>营业收入（Y）</w:t>
            </w:r>
          </w:p>
        </w:tc>
        <w:tc>
          <w:tcPr>
            <w:tcW w:w="912" w:type="dxa"/>
            <w:vAlign w:val="top"/>
          </w:tcPr>
          <w:p w14:paraId="0B88D74F">
            <w:pPr>
              <w:pStyle w:val="20"/>
              <w:spacing w:before="79"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3D713B87">
            <w:pPr>
              <w:pStyle w:val="20"/>
              <w:spacing w:before="79" w:line="237" w:lineRule="auto"/>
              <w:ind w:left="152"/>
              <w:rPr>
                <w:color w:val="auto"/>
                <w:sz w:val="18"/>
                <w:szCs w:val="18"/>
                <w:highlight w:val="none"/>
              </w:rPr>
            </w:pPr>
            <w:r>
              <w:rPr>
                <w:color w:val="auto"/>
                <w:spacing w:val="-2"/>
                <w:sz w:val="18"/>
                <w:szCs w:val="18"/>
                <w:highlight w:val="none"/>
              </w:rPr>
              <w:t>1000≤Y＜200000</w:t>
            </w:r>
          </w:p>
        </w:tc>
        <w:tc>
          <w:tcPr>
            <w:tcW w:w="1439" w:type="dxa"/>
            <w:vAlign w:val="top"/>
          </w:tcPr>
          <w:p w14:paraId="0DCEF1FE">
            <w:pPr>
              <w:pStyle w:val="20"/>
              <w:spacing w:before="79" w:line="237" w:lineRule="auto"/>
              <w:ind w:left="198"/>
              <w:rPr>
                <w:color w:val="auto"/>
                <w:sz w:val="18"/>
                <w:szCs w:val="18"/>
                <w:highlight w:val="none"/>
              </w:rPr>
            </w:pPr>
            <w:r>
              <w:rPr>
                <w:color w:val="auto"/>
                <w:spacing w:val="-2"/>
                <w:sz w:val="18"/>
                <w:szCs w:val="18"/>
                <w:highlight w:val="none"/>
              </w:rPr>
              <w:t>100≤X＜1000</w:t>
            </w:r>
          </w:p>
        </w:tc>
        <w:tc>
          <w:tcPr>
            <w:tcW w:w="1235" w:type="dxa"/>
            <w:vAlign w:val="top"/>
          </w:tcPr>
          <w:p w14:paraId="20AD5313">
            <w:pPr>
              <w:pStyle w:val="20"/>
              <w:spacing w:before="80"/>
              <w:ind w:left="349"/>
              <w:rPr>
                <w:color w:val="auto"/>
                <w:sz w:val="18"/>
                <w:szCs w:val="18"/>
                <w:highlight w:val="none"/>
              </w:rPr>
            </w:pPr>
            <w:r>
              <w:rPr>
                <w:color w:val="auto"/>
                <w:spacing w:val="-1"/>
                <w:sz w:val="18"/>
                <w:szCs w:val="18"/>
                <w:highlight w:val="none"/>
              </w:rPr>
              <w:t>X＜100</w:t>
            </w:r>
          </w:p>
        </w:tc>
      </w:tr>
      <w:tr w14:paraId="66D41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continue"/>
            <w:tcBorders>
              <w:top w:val="nil"/>
            </w:tcBorders>
            <w:vAlign w:val="top"/>
          </w:tcPr>
          <w:p w14:paraId="4266F963">
            <w:pPr>
              <w:rPr>
                <w:rFonts w:ascii="Arial"/>
                <w:color w:val="auto"/>
                <w:sz w:val="21"/>
                <w:highlight w:val="none"/>
              </w:rPr>
            </w:pPr>
          </w:p>
        </w:tc>
        <w:tc>
          <w:tcPr>
            <w:tcW w:w="1383" w:type="dxa"/>
            <w:vAlign w:val="top"/>
          </w:tcPr>
          <w:p w14:paraId="5797894D">
            <w:pPr>
              <w:pStyle w:val="20"/>
              <w:spacing w:before="79" w:line="220" w:lineRule="auto"/>
              <w:ind w:left="118"/>
              <w:rPr>
                <w:color w:val="auto"/>
                <w:sz w:val="18"/>
                <w:szCs w:val="18"/>
                <w:highlight w:val="none"/>
              </w:rPr>
            </w:pPr>
            <w:r>
              <w:rPr>
                <w:color w:val="auto"/>
                <w:spacing w:val="-3"/>
                <w:sz w:val="18"/>
                <w:szCs w:val="18"/>
                <w:highlight w:val="none"/>
              </w:rPr>
              <w:t>资产总额（Z）</w:t>
            </w:r>
          </w:p>
        </w:tc>
        <w:tc>
          <w:tcPr>
            <w:tcW w:w="912" w:type="dxa"/>
            <w:vAlign w:val="top"/>
          </w:tcPr>
          <w:p w14:paraId="265649B6">
            <w:pPr>
              <w:pStyle w:val="20"/>
              <w:spacing w:before="79"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729F5242">
            <w:pPr>
              <w:pStyle w:val="20"/>
              <w:spacing w:before="79" w:line="237" w:lineRule="auto"/>
              <w:ind w:left="188"/>
              <w:rPr>
                <w:color w:val="auto"/>
                <w:sz w:val="18"/>
                <w:szCs w:val="18"/>
                <w:highlight w:val="none"/>
              </w:rPr>
            </w:pPr>
            <w:r>
              <w:rPr>
                <w:color w:val="auto"/>
                <w:spacing w:val="-1"/>
                <w:sz w:val="18"/>
                <w:szCs w:val="18"/>
                <w:highlight w:val="none"/>
              </w:rPr>
              <w:t>5000≤Z＜10000</w:t>
            </w:r>
          </w:p>
        </w:tc>
        <w:tc>
          <w:tcPr>
            <w:tcW w:w="1439" w:type="dxa"/>
            <w:vAlign w:val="top"/>
          </w:tcPr>
          <w:p w14:paraId="50A7FD48">
            <w:pPr>
              <w:pStyle w:val="20"/>
              <w:spacing w:before="79" w:line="237" w:lineRule="auto"/>
              <w:ind w:left="141"/>
              <w:rPr>
                <w:color w:val="auto"/>
                <w:sz w:val="18"/>
                <w:szCs w:val="18"/>
                <w:highlight w:val="none"/>
              </w:rPr>
            </w:pPr>
            <w:r>
              <w:rPr>
                <w:color w:val="auto"/>
                <w:spacing w:val="-1"/>
                <w:sz w:val="18"/>
                <w:szCs w:val="18"/>
                <w:highlight w:val="none"/>
              </w:rPr>
              <w:t>2000≤Y＜5000</w:t>
            </w:r>
          </w:p>
        </w:tc>
        <w:tc>
          <w:tcPr>
            <w:tcW w:w="1235" w:type="dxa"/>
            <w:vAlign w:val="top"/>
          </w:tcPr>
          <w:p w14:paraId="11044657">
            <w:pPr>
              <w:pStyle w:val="20"/>
              <w:spacing w:before="79"/>
              <w:ind w:left="303"/>
              <w:rPr>
                <w:color w:val="auto"/>
                <w:sz w:val="18"/>
                <w:szCs w:val="18"/>
                <w:highlight w:val="none"/>
              </w:rPr>
            </w:pPr>
            <w:r>
              <w:rPr>
                <w:color w:val="auto"/>
                <w:spacing w:val="-1"/>
                <w:sz w:val="18"/>
                <w:szCs w:val="18"/>
                <w:highlight w:val="none"/>
              </w:rPr>
              <w:t>Y＜2000</w:t>
            </w:r>
          </w:p>
        </w:tc>
      </w:tr>
      <w:tr w14:paraId="51C0E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706" w:type="dxa"/>
            <w:vMerge w:val="restart"/>
            <w:tcBorders>
              <w:bottom w:val="nil"/>
            </w:tcBorders>
            <w:vAlign w:val="top"/>
          </w:tcPr>
          <w:p w14:paraId="77F255B1">
            <w:pPr>
              <w:pStyle w:val="20"/>
              <w:spacing w:before="249" w:line="220" w:lineRule="auto"/>
              <w:ind w:left="496"/>
              <w:rPr>
                <w:color w:val="auto"/>
                <w:sz w:val="18"/>
                <w:szCs w:val="18"/>
                <w:highlight w:val="none"/>
              </w:rPr>
            </w:pPr>
            <w:r>
              <w:rPr>
                <w:b/>
                <w:bCs/>
                <w:color w:val="auto"/>
                <w:spacing w:val="-4"/>
                <w:sz w:val="18"/>
                <w:szCs w:val="18"/>
                <w:highlight w:val="none"/>
              </w:rPr>
              <w:t>物业管理</w:t>
            </w:r>
          </w:p>
        </w:tc>
        <w:tc>
          <w:tcPr>
            <w:tcW w:w="1383" w:type="dxa"/>
            <w:vAlign w:val="top"/>
          </w:tcPr>
          <w:p w14:paraId="1E0A2F8C">
            <w:pPr>
              <w:pStyle w:val="20"/>
              <w:spacing w:before="79" w:line="221" w:lineRule="auto"/>
              <w:ind w:left="112"/>
              <w:rPr>
                <w:color w:val="auto"/>
                <w:sz w:val="18"/>
                <w:szCs w:val="18"/>
                <w:highlight w:val="none"/>
              </w:rPr>
            </w:pPr>
            <w:r>
              <w:rPr>
                <w:color w:val="auto"/>
                <w:spacing w:val="-2"/>
                <w:sz w:val="18"/>
                <w:szCs w:val="18"/>
                <w:highlight w:val="none"/>
              </w:rPr>
              <w:t>从业人员（X）</w:t>
            </w:r>
          </w:p>
        </w:tc>
        <w:tc>
          <w:tcPr>
            <w:tcW w:w="912" w:type="dxa"/>
            <w:vAlign w:val="top"/>
          </w:tcPr>
          <w:p w14:paraId="374A4B78">
            <w:pPr>
              <w:pStyle w:val="20"/>
              <w:spacing w:before="79" w:line="223" w:lineRule="auto"/>
              <w:ind w:left="370"/>
              <w:rPr>
                <w:color w:val="auto"/>
                <w:sz w:val="18"/>
                <w:szCs w:val="18"/>
                <w:highlight w:val="none"/>
              </w:rPr>
            </w:pPr>
            <w:r>
              <w:rPr>
                <w:color w:val="auto"/>
                <w:sz w:val="18"/>
                <w:szCs w:val="18"/>
                <w:highlight w:val="none"/>
              </w:rPr>
              <w:t>人</w:t>
            </w:r>
          </w:p>
        </w:tc>
        <w:tc>
          <w:tcPr>
            <w:tcW w:w="1619" w:type="dxa"/>
            <w:vAlign w:val="top"/>
          </w:tcPr>
          <w:p w14:paraId="37E4E8B2">
            <w:pPr>
              <w:pStyle w:val="20"/>
              <w:spacing w:before="79" w:line="237" w:lineRule="auto"/>
              <w:ind w:left="279"/>
              <w:rPr>
                <w:color w:val="auto"/>
                <w:sz w:val="18"/>
                <w:szCs w:val="18"/>
                <w:highlight w:val="none"/>
              </w:rPr>
            </w:pPr>
            <w:r>
              <w:rPr>
                <w:color w:val="auto"/>
                <w:spacing w:val="-1"/>
                <w:sz w:val="18"/>
                <w:szCs w:val="18"/>
                <w:highlight w:val="none"/>
              </w:rPr>
              <w:t>300≤X＜1000</w:t>
            </w:r>
          </w:p>
        </w:tc>
        <w:tc>
          <w:tcPr>
            <w:tcW w:w="1439" w:type="dxa"/>
            <w:vAlign w:val="top"/>
          </w:tcPr>
          <w:p w14:paraId="2BF78140">
            <w:pPr>
              <w:pStyle w:val="20"/>
              <w:spacing w:before="79" w:line="237" w:lineRule="auto"/>
              <w:ind w:left="244"/>
              <w:rPr>
                <w:color w:val="auto"/>
                <w:sz w:val="18"/>
                <w:szCs w:val="18"/>
                <w:highlight w:val="none"/>
              </w:rPr>
            </w:pPr>
            <w:r>
              <w:rPr>
                <w:color w:val="auto"/>
                <w:spacing w:val="-3"/>
                <w:sz w:val="18"/>
                <w:szCs w:val="18"/>
                <w:highlight w:val="none"/>
              </w:rPr>
              <w:t>100≤X＜300</w:t>
            </w:r>
          </w:p>
        </w:tc>
        <w:tc>
          <w:tcPr>
            <w:tcW w:w="1235" w:type="dxa"/>
            <w:vAlign w:val="top"/>
          </w:tcPr>
          <w:p w14:paraId="385CB55B">
            <w:pPr>
              <w:pStyle w:val="20"/>
              <w:spacing w:before="79"/>
              <w:ind w:left="349"/>
              <w:rPr>
                <w:color w:val="auto"/>
                <w:sz w:val="18"/>
                <w:szCs w:val="18"/>
                <w:highlight w:val="none"/>
              </w:rPr>
            </w:pPr>
            <w:r>
              <w:rPr>
                <w:color w:val="auto"/>
                <w:spacing w:val="-1"/>
                <w:sz w:val="18"/>
                <w:szCs w:val="18"/>
                <w:highlight w:val="none"/>
              </w:rPr>
              <w:t>X＜100</w:t>
            </w:r>
          </w:p>
        </w:tc>
      </w:tr>
      <w:tr w14:paraId="371C2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continue"/>
            <w:tcBorders>
              <w:top w:val="nil"/>
            </w:tcBorders>
            <w:vAlign w:val="top"/>
          </w:tcPr>
          <w:p w14:paraId="67D6E07B">
            <w:pPr>
              <w:rPr>
                <w:rFonts w:ascii="Arial"/>
                <w:color w:val="auto"/>
                <w:sz w:val="21"/>
                <w:highlight w:val="none"/>
              </w:rPr>
            </w:pPr>
          </w:p>
        </w:tc>
        <w:tc>
          <w:tcPr>
            <w:tcW w:w="1383" w:type="dxa"/>
            <w:vAlign w:val="top"/>
          </w:tcPr>
          <w:p w14:paraId="7A0891B9">
            <w:pPr>
              <w:pStyle w:val="20"/>
              <w:spacing w:before="80" w:line="220" w:lineRule="auto"/>
              <w:ind w:left="116"/>
              <w:rPr>
                <w:color w:val="auto"/>
                <w:sz w:val="18"/>
                <w:szCs w:val="18"/>
                <w:highlight w:val="none"/>
              </w:rPr>
            </w:pPr>
            <w:r>
              <w:rPr>
                <w:color w:val="auto"/>
                <w:spacing w:val="-2"/>
                <w:sz w:val="18"/>
                <w:szCs w:val="18"/>
                <w:highlight w:val="none"/>
              </w:rPr>
              <w:t>营业收入（Y）</w:t>
            </w:r>
          </w:p>
        </w:tc>
        <w:tc>
          <w:tcPr>
            <w:tcW w:w="912" w:type="dxa"/>
            <w:vAlign w:val="top"/>
          </w:tcPr>
          <w:p w14:paraId="325988EF">
            <w:pPr>
              <w:pStyle w:val="20"/>
              <w:spacing w:before="79"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5C89CFB4">
            <w:pPr>
              <w:pStyle w:val="20"/>
              <w:spacing w:before="79" w:line="237" w:lineRule="auto"/>
              <w:ind w:left="243"/>
              <w:rPr>
                <w:color w:val="auto"/>
                <w:sz w:val="18"/>
                <w:szCs w:val="18"/>
                <w:highlight w:val="none"/>
              </w:rPr>
            </w:pPr>
            <w:r>
              <w:rPr>
                <w:color w:val="auto"/>
                <w:spacing w:val="-2"/>
                <w:sz w:val="18"/>
                <w:szCs w:val="18"/>
                <w:highlight w:val="none"/>
              </w:rPr>
              <w:t>1000≤Y＜5000</w:t>
            </w:r>
          </w:p>
        </w:tc>
        <w:tc>
          <w:tcPr>
            <w:tcW w:w="1439" w:type="dxa"/>
            <w:vAlign w:val="top"/>
          </w:tcPr>
          <w:p w14:paraId="03D31697">
            <w:pPr>
              <w:pStyle w:val="20"/>
              <w:spacing w:before="79" w:line="237" w:lineRule="auto"/>
              <w:ind w:left="189"/>
              <w:rPr>
                <w:color w:val="auto"/>
                <w:sz w:val="18"/>
                <w:szCs w:val="18"/>
                <w:highlight w:val="none"/>
              </w:rPr>
            </w:pPr>
            <w:r>
              <w:rPr>
                <w:color w:val="auto"/>
                <w:spacing w:val="-1"/>
                <w:sz w:val="18"/>
                <w:szCs w:val="18"/>
                <w:highlight w:val="none"/>
              </w:rPr>
              <w:t>500≤Y＜1000</w:t>
            </w:r>
          </w:p>
        </w:tc>
        <w:tc>
          <w:tcPr>
            <w:tcW w:w="1235" w:type="dxa"/>
            <w:vAlign w:val="top"/>
          </w:tcPr>
          <w:p w14:paraId="519A443C">
            <w:pPr>
              <w:pStyle w:val="20"/>
              <w:spacing w:before="80"/>
              <w:ind w:left="349"/>
              <w:rPr>
                <w:color w:val="auto"/>
                <w:sz w:val="18"/>
                <w:szCs w:val="18"/>
                <w:highlight w:val="none"/>
              </w:rPr>
            </w:pPr>
            <w:r>
              <w:rPr>
                <w:color w:val="auto"/>
                <w:spacing w:val="-1"/>
                <w:sz w:val="18"/>
                <w:szCs w:val="18"/>
                <w:highlight w:val="none"/>
              </w:rPr>
              <w:t>Y＜500</w:t>
            </w:r>
          </w:p>
        </w:tc>
      </w:tr>
      <w:tr w14:paraId="40D82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restart"/>
            <w:tcBorders>
              <w:bottom w:val="nil"/>
            </w:tcBorders>
            <w:vAlign w:val="top"/>
          </w:tcPr>
          <w:p w14:paraId="3786DA73">
            <w:pPr>
              <w:pStyle w:val="20"/>
              <w:spacing w:before="250" w:line="220" w:lineRule="auto"/>
              <w:ind w:left="135"/>
              <w:rPr>
                <w:color w:val="auto"/>
                <w:sz w:val="18"/>
                <w:szCs w:val="18"/>
                <w:highlight w:val="none"/>
              </w:rPr>
            </w:pPr>
            <w:r>
              <w:rPr>
                <w:b/>
                <w:bCs/>
                <w:color w:val="auto"/>
                <w:spacing w:val="-3"/>
                <w:sz w:val="18"/>
                <w:szCs w:val="18"/>
                <w:highlight w:val="none"/>
              </w:rPr>
              <w:t>租赁和商务服务业</w:t>
            </w:r>
          </w:p>
        </w:tc>
        <w:tc>
          <w:tcPr>
            <w:tcW w:w="1383" w:type="dxa"/>
            <w:vAlign w:val="top"/>
          </w:tcPr>
          <w:p w14:paraId="52463922">
            <w:pPr>
              <w:pStyle w:val="20"/>
              <w:spacing w:before="82" w:line="221" w:lineRule="auto"/>
              <w:ind w:left="112"/>
              <w:rPr>
                <w:color w:val="auto"/>
                <w:sz w:val="18"/>
                <w:szCs w:val="18"/>
                <w:highlight w:val="none"/>
              </w:rPr>
            </w:pPr>
            <w:r>
              <w:rPr>
                <w:color w:val="auto"/>
                <w:spacing w:val="-2"/>
                <w:sz w:val="18"/>
                <w:szCs w:val="18"/>
                <w:highlight w:val="none"/>
              </w:rPr>
              <w:t>从业人员（X）</w:t>
            </w:r>
          </w:p>
        </w:tc>
        <w:tc>
          <w:tcPr>
            <w:tcW w:w="912" w:type="dxa"/>
            <w:vAlign w:val="top"/>
          </w:tcPr>
          <w:p w14:paraId="3289A15E">
            <w:pPr>
              <w:pStyle w:val="20"/>
              <w:spacing w:before="82" w:line="223" w:lineRule="auto"/>
              <w:ind w:left="370"/>
              <w:rPr>
                <w:color w:val="auto"/>
                <w:sz w:val="18"/>
                <w:szCs w:val="18"/>
                <w:highlight w:val="none"/>
              </w:rPr>
            </w:pPr>
            <w:r>
              <w:rPr>
                <w:color w:val="auto"/>
                <w:sz w:val="18"/>
                <w:szCs w:val="18"/>
                <w:highlight w:val="none"/>
              </w:rPr>
              <w:t>人</w:t>
            </w:r>
          </w:p>
        </w:tc>
        <w:tc>
          <w:tcPr>
            <w:tcW w:w="1619" w:type="dxa"/>
            <w:vAlign w:val="top"/>
          </w:tcPr>
          <w:p w14:paraId="717543AF">
            <w:pPr>
              <w:pStyle w:val="20"/>
              <w:spacing w:before="82" w:line="237" w:lineRule="auto"/>
              <w:ind w:left="332"/>
              <w:rPr>
                <w:color w:val="auto"/>
                <w:sz w:val="18"/>
                <w:szCs w:val="18"/>
                <w:highlight w:val="none"/>
              </w:rPr>
            </w:pPr>
            <w:r>
              <w:rPr>
                <w:color w:val="auto"/>
                <w:spacing w:val="-3"/>
                <w:sz w:val="18"/>
                <w:szCs w:val="18"/>
                <w:highlight w:val="none"/>
              </w:rPr>
              <w:t>100≤X＜300</w:t>
            </w:r>
          </w:p>
        </w:tc>
        <w:tc>
          <w:tcPr>
            <w:tcW w:w="1439" w:type="dxa"/>
            <w:vAlign w:val="top"/>
          </w:tcPr>
          <w:p w14:paraId="79056084">
            <w:pPr>
              <w:pStyle w:val="20"/>
              <w:spacing w:before="82" w:line="237" w:lineRule="auto"/>
              <w:ind w:left="289"/>
              <w:rPr>
                <w:color w:val="auto"/>
                <w:sz w:val="18"/>
                <w:szCs w:val="18"/>
                <w:highlight w:val="none"/>
              </w:rPr>
            </w:pPr>
            <w:r>
              <w:rPr>
                <w:color w:val="auto"/>
                <w:spacing w:val="-3"/>
                <w:sz w:val="18"/>
                <w:szCs w:val="18"/>
                <w:highlight w:val="none"/>
              </w:rPr>
              <w:t>10≤X＜100</w:t>
            </w:r>
          </w:p>
        </w:tc>
        <w:tc>
          <w:tcPr>
            <w:tcW w:w="1235" w:type="dxa"/>
            <w:vAlign w:val="top"/>
          </w:tcPr>
          <w:p w14:paraId="0AEE034A">
            <w:pPr>
              <w:pStyle w:val="20"/>
              <w:spacing w:before="82"/>
              <w:ind w:left="395"/>
              <w:rPr>
                <w:color w:val="auto"/>
                <w:sz w:val="18"/>
                <w:szCs w:val="18"/>
                <w:highlight w:val="none"/>
              </w:rPr>
            </w:pPr>
            <w:r>
              <w:rPr>
                <w:color w:val="auto"/>
                <w:spacing w:val="-2"/>
                <w:sz w:val="18"/>
                <w:szCs w:val="18"/>
                <w:highlight w:val="none"/>
              </w:rPr>
              <w:t>X＜10</w:t>
            </w:r>
          </w:p>
        </w:tc>
      </w:tr>
      <w:tr w14:paraId="5A886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706" w:type="dxa"/>
            <w:vMerge w:val="continue"/>
            <w:tcBorders>
              <w:top w:val="nil"/>
            </w:tcBorders>
            <w:vAlign w:val="top"/>
          </w:tcPr>
          <w:p w14:paraId="3CB6C91D">
            <w:pPr>
              <w:rPr>
                <w:rFonts w:ascii="Arial"/>
                <w:color w:val="auto"/>
                <w:sz w:val="21"/>
                <w:highlight w:val="none"/>
              </w:rPr>
            </w:pPr>
          </w:p>
        </w:tc>
        <w:tc>
          <w:tcPr>
            <w:tcW w:w="1383" w:type="dxa"/>
            <w:vAlign w:val="top"/>
          </w:tcPr>
          <w:p w14:paraId="66CB9E13">
            <w:pPr>
              <w:pStyle w:val="20"/>
              <w:spacing w:before="82" w:line="220" w:lineRule="auto"/>
              <w:ind w:left="118"/>
              <w:rPr>
                <w:color w:val="auto"/>
                <w:sz w:val="18"/>
                <w:szCs w:val="18"/>
                <w:highlight w:val="none"/>
              </w:rPr>
            </w:pPr>
            <w:r>
              <w:rPr>
                <w:color w:val="auto"/>
                <w:spacing w:val="-3"/>
                <w:sz w:val="18"/>
                <w:szCs w:val="18"/>
                <w:highlight w:val="none"/>
              </w:rPr>
              <w:t>资产总额（Z）</w:t>
            </w:r>
          </w:p>
        </w:tc>
        <w:tc>
          <w:tcPr>
            <w:tcW w:w="912" w:type="dxa"/>
            <w:vAlign w:val="top"/>
          </w:tcPr>
          <w:p w14:paraId="6BC2ABD4">
            <w:pPr>
              <w:pStyle w:val="20"/>
              <w:spacing w:before="81" w:line="221" w:lineRule="auto"/>
              <w:ind w:left="284"/>
              <w:rPr>
                <w:color w:val="auto"/>
                <w:sz w:val="18"/>
                <w:szCs w:val="18"/>
                <w:highlight w:val="none"/>
              </w:rPr>
            </w:pPr>
            <w:r>
              <w:rPr>
                <w:color w:val="auto"/>
                <w:spacing w:val="-6"/>
                <w:sz w:val="18"/>
                <w:szCs w:val="18"/>
                <w:highlight w:val="none"/>
              </w:rPr>
              <w:t>万元</w:t>
            </w:r>
          </w:p>
        </w:tc>
        <w:tc>
          <w:tcPr>
            <w:tcW w:w="1619" w:type="dxa"/>
            <w:vAlign w:val="top"/>
          </w:tcPr>
          <w:p w14:paraId="3EF4BA23">
            <w:pPr>
              <w:pStyle w:val="20"/>
              <w:spacing w:before="81" w:line="237" w:lineRule="auto"/>
              <w:ind w:left="139"/>
              <w:rPr>
                <w:color w:val="auto"/>
                <w:sz w:val="18"/>
                <w:szCs w:val="18"/>
                <w:highlight w:val="none"/>
              </w:rPr>
            </w:pPr>
            <w:r>
              <w:rPr>
                <w:color w:val="auto"/>
                <w:spacing w:val="-1"/>
                <w:sz w:val="18"/>
                <w:szCs w:val="18"/>
                <w:highlight w:val="none"/>
              </w:rPr>
              <w:t>8000≤Z＜120000</w:t>
            </w:r>
          </w:p>
        </w:tc>
        <w:tc>
          <w:tcPr>
            <w:tcW w:w="1439" w:type="dxa"/>
            <w:vAlign w:val="top"/>
          </w:tcPr>
          <w:p w14:paraId="03496ED2">
            <w:pPr>
              <w:pStyle w:val="20"/>
              <w:spacing w:before="81" w:line="237" w:lineRule="auto"/>
              <w:ind w:left="198"/>
              <w:rPr>
                <w:color w:val="auto"/>
                <w:sz w:val="18"/>
                <w:szCs w:val="18"/>
                <w:highlight w:val="none"/>
              </w:rPr>
            </w:pPr>
            <w:r>
              <w:rPr>
                <w:color w:val="auto"/>
                <w:spacing w:val="-2"/>
                <w:sz w:val="18"/>
                <w:szCs w:val="18"/>
                <w:highlight w:val="none"/>
              </w:rPr>
              <w:t>100≤Z＜8000</w:t>
            </w:r>
          </w:p>
        </w:tc>
        <w:tc>
          <w:tcPr>
            <w:tcW w:w="1235" w:type="dxa"/>
            <w:vAlign w:val="top"/>
          </w:tcPr>
          <w:p w14:paraId="37DD2155">
            <w:pPr>
              <w:pStyle w:val="20"/>
              <w:spacing w:before="82"/>
              <w:ind w:left="349"/>
              <w:rPr>
                <w:color w:val="auto"/>
                <w:sz w:val="18"/>
                <w:szCs w:val="18"/>
                <w:highlight w:val="none"/>
              </w:rPr>
            </w:pPr>
            <w:r>
              <w:rPr>
                <w:color w:val="auto"/>
                <w:spacing w:val="-1"/>
                <w:sz w:val="18"/>
                <w:szCs w:val="18"/>
                <w:highlight w:val="none"/>
              </w:rPr>
              <w:t>Y＜100</w:t>
            </w:r>
          </w:p>
        </w:tc>
      </w:tr>
      <w:tr w14:paraId="7D03F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706" w:type="dxa"/>
            <w:vAlign w:val="top"/>
          </w:tcPr>
          <w:p w14:paraId="6F70C202">
            <w:pPr>
              <w:pStyle w:val="20"/>
              <w:spacing w:before="82" w:line="220" w:lineRule="auto"/>
              <w:ind w:left="226"/>
              <w:rPr>
                <w:color w:val="auto"/>
                <w:sz w:val="18"/>
                <w:szCs w:val="18"/>
                <w:highlight w:val="none"/>
              </w:rPr>
            </w:pPr>
            <w:r>
              <w:rPr>
                <w:b/>
                <w:bCs/>
                <w:color w:val="auto"/>
                <w:spacing w:val="-3"/>
                <w:sz w:val="18"/>
                <w:szCs w:val="18"/>
                <w:highlight w:val="none"/>
              </w:rPr>
              <w:t>其他未列明行业</w:t>
            </w:r>
          </w:p>
        </w:tc>
        <w:tc>
          <w:tcPr>
            <w:tcW w:w="1383" w:type="dxa"/>
            <w:vAlign w:val="top"/>
          </w:tcPr>
          <w:p w14:paraId="58E8315D">
            <w:pPr>
              <w:pStyle w:val="20"/>
              <w:spacing w:before="81" w:line="221" w:lineRule="auto"/>
              <w:ind w:left="112"/>
              <w:rPr>
                <w:color w:val="auto"/>
                <w:sz w:val="18"/>
                <w:szCs w:val="18"/>
                <w:highlight w:val="none"/>
              </w:rPr>
            </w:pPr>
            <w:r>
              <w:rPr>
                <w:color w:val="auto"/>
                <w:spacing w:val="-2"/>
                <w:sz w:val="18"/>
                <w:szCs w:val="18"/>
                <w:highlight w:val="none"/>
              </w:rPr>
              <w:t>从业人员（X）</w:t>
            </w:r>
          </w:p>
        </w:tc>
        <w:tc>
          <w:tcPr>
            <w:tcW w:w="912" w:type="dxa"/>
            <w:vAlign w:val="top"/>
          </w:tcPr>
          <w:p w14:paraId="00B0B206">
            <w:pPr>
              <w:pStyle w:val="20"/>
              <w:spacing w:before="81" w:line="223" w:lineRule="auto"/>
              <w:ind w:left="370"/>
              <w:rPr>
                <w:color w:val="auto"/>
                <w:sz w:val="18"/>
                <w:szCs w:val="18"/>
                <w:highlight w:val="none"/>
              </w:rPr>
            </w:pPr>
            <w:r>
              <w:rPr>
                <w:color w:val="auto"/>
                <w:sz w:val="18"/>
                <w:szCs w:val="18"/>
                <w:highlight w:val="none"/>
              </w:rPr>
              <w:t>人</w:t>
            </w:r>
          </w:p>
        </w:tc>
        <w:tc>
          <w:tcPr>
            <w:tcW w:w="1619" w:type="dxa"/>
            <w:vAlign w:val="top"/>
          </w:tcPr>
          <w:p w14:paraId="79D80C9A">
            <w:pPr>
              <w:pStyle w:val="20"/>
              <w:spacing w:before="81" w:line="237" w:lineRule="auto"/>
              <w:ind w:left="332"/>
              <w:rPr>
                <w:color w:val="auto"/>
                <w:sz w:val="18"/>
                <w:szCs w:val="18"/>
                <w:highlight w:val="none"/>
              </w:rPr>
            </w:pPr>
            <w:r>
              <w:rPr>
                <w:color w:val="auto"/>
                <w:spacing w:val="-3"/>
                <w:sz w:val="18"/>
                <w:szCs w:val="18"/>
                <w:highlight w:val="none"/>
              </w:rPr>
              <w:t>100≤X＜300</w:t>
            </w:r>
          </w:p>
        </w:tc>
        <w:tc>
          <w:tcPr>
            <w:tcW w:w="1439" w:type="dxa"/>
            <w:vAlign w:val="top"/>
          </w:tcPr>
          <w:p w14:paraId="4311AA4B">
            <w:pPr>
              <w:pStyle w:val="20"/>
              <w:spacing w:before="81" w:line="237" w:lineRule="auto"/>
              <w:ind w:left="289"/>
              <w:rPr>
                <w:color w:val="auto"/>
                <w:sz w:val="18"/>
                <w:szCs w:val="18"/>
                <w:highlight w:val="none"/>
              </w:rPr>
            </w:pPr>
            <w:r>
              <w:rPr>
                <w:color w:val="auto"/>
                <w:spacing w:val="-3"/>
                <w:sz w:val="18"/>
                <w:szCs w:val="18"/>
                <w:highlight w:val="none"/>
              </w:rPr>
              <w:t>10≤X＜100</w:t>
            </w:r>
          </w:p>
        </w:tc>
        <w:tc>
          <w:tcPr>
            <w:tcW w:w="1235" w:type="dxa"/>
            <w:vAlign w:val="top"/>
          </w:tcPr>
          <w:p w14:paraId="27A2E77B">
            <w:pPr>
              <w:pStyle w:val="20"/>
              <w:spacing w:before="82"/>
              <w:ind w:left="395"/>
              <w:rPr>
                <w:color w:val="auto"/>
                <w:sz w:val="18"/>
                <w:szCs w:val="18"/>
                <w:highlight w:val="none"/>
              </w:rPr>
            </w:pPr>
            <w:r>
              <w:rPr>
                <w:color w:val="auto"/>
                <w:spacing w:val="-2"/>
                <w:sz w:val="18"/>
                <w:szCs w:val="18"/>
                <w:highlight w:val="none"/>
              </w:rPr>
              <w:t>X＜10</w:t>
            </w:r>
          </w:p>
        </w:tc>
      </w:tr>
    </w:tbl>
    <w:p w14:paraId="1E6A325D">
      <w:pPr>
        <w:spacing w:before="142" w:line="460" w:lineRule="auto"/>
        <w:ind w:left="11" w:firstLine="523"/>
        <w:jc w:val="both"/>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说明：上述标准参照《关于印发中小企业划型标准规定的通知》</w:t>
      </w:r>
      <w:r>
        <w:rPr>
          <w:rFonts w:ascii="宋体" w:hAnsi="宋体" w:eastAsia="宋体" w:cs="宋体"/>
          <w:color w:val="auto"/>
          <w:spacing w:val="6"/>
          <w:sz w:val="20"/>
          <w:szCs w:val="20"/>
          <w:highlight w:val="none"/>
        </w:rPr>
        <w:t>（工信部联企业[2011]300</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号</w:t>
      </w:r>
      <w:r>
        <w:rPr>
          <w:rFonts w:ascii="宋体" w:hAnsi="宋体" w:eastAsia="宋体" w:cs="宋体"/>
          <w:color w:val="auto"/>
          <w:spacing w:val="-1"/>
          <w:sz w:val="20"/>
          <w:szCs w:val="20"/>
          <w:highlight w:val="none"/>
        </w:rPr>
        <w:t>），</w:t>
      </w:r>
      <w:r>
        <w:rPr>
          <w:rFonts w:ascii="宋体" w:hAnsi="宋体" w:eastAsia="宋体" w:cs="宋体"/>
          <w:color w:val="auto"/>
          <w:spacing w:val="8"/>
          <w:sz w:val="20"/>
          <w:szCs w:val="20"/>
          <w:highlight w:val="none"/>
        </w:rPr>
        <w:t>大型、中型和小型企业须同时满足所列指标的下限，否则下划一档；微型企业只须满足所</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列指标中的一项即可。</w:t>
      </w:r>
    </w:p>
    <w:p w14:paraId="3EF06CBD">
      <w:pPr>
        <w:spacing w:line="460" w:lineRule="auto"/>
        <w:rPr>
          <w:rFonts w:ascii="宋体" w:hAnsi="宋体" w:eastAsia="宋体" w:cs="宋体"/>
          <w:color w:val="auto"/>
          <w:sz w:val="20"/>
          <w:szCs w:val="20"/>
          <w:highlight w:val="none"/>
        </w:rPr>
        <w:sectPr>
          <w:headerReference r:id="rId15" w:type="default"/>
          <w:footerReference r:id="rId16" w:type="default"/>
          <w:pgSz w:w="11905" w:h="16839"/>
          <w:pgMar w:top="960" w:right="1586" w:bottom="1055" w:left="1587" w:header="945" w:footer="819" w:gutter="0"/>
          <w:pgNumType w:fmt="decimal"/>
          <w:cols w:space="720" w:num="1"/>
        </w:sectPr>
      </w:pPr>
    </w:p>
    <w:p w14:paraId="693774BE">
      <w:pPr>
        <w:spacing w:before="140" w:line="223" w:lineRule="auto"/>
        <w:ind w:left="3110"/>
        <w:outlineLvl w:val="0"/>
        <w:rPr>
          <w:rFonts w:ascii="宋体" w:hAnsi="宋体" w:eastAsia="宋体" w:cs="宋体"/>
          <w:color w:val="auto"/>
          <w:sz w:val="36"/>
          <w:szCs w:val="36"/>
          <w:highlight w:val="none"/>
        </w:rPr>
      </w:pPr>
      <w:bookmarkStart w:id="3" w:name="_Toc18396"/>
      <w:r>
        <w:rPr>
          <w:rFonts w:ascii="宋体" w:hAnsi="宋体" w:eastAsia="宋体" w:cs="宋体"/>
          <w:b/>
          <w:bCs/>
          <w:color w:val="auto"/>
          <w:spacing w:val="4"/>
          <w:sz w:val="36"/>
          <w:szCs w:val="36"/>
          <w:highlight w:val="none"/>
        </w:rPr>
        <w:t>第三章</w:t>
      </w:r>
      <w:r>
        <w:rPr>
          <w:rFonts w:ascii="宋体" w:hAnsi="宋体" w:eastAsia="宋体" w:cs="宋体"/>
          <w:color w:val="auto"/>
          <w:spacing w:val="4"/>
          <w:sz w:val="36"/>
          <w:szCs w:val="36"/>
          <w:highlight w:val="none"/>
        </w:rPr>
        <w:t xml:space="preserve"> </w:t>
      </w:r>
      <w:r>
        <w:rPr>
          <w:rFonts w:ascii="宋体" w:hAnsi="宋体" w:eastAsia="宋体" w:cs="宋体"/>
          <w:b/>
          <w:bCs/>
          <w:color w:val="auto"/>
          <w:spacing w:val="4"/>
          <w:sz w:val="36"/>
          <w:szCs w:val="36"/>
          <w:highlight w:val="none"/>
        </w:rPr>
        <w:t>供应商须知</w:t>
      </w:r>
      <w:bookmarkEnd w:id="3"/>
    </w:p>
    <w:p w14:paraId="1263995C">
      <w:pPr>
        <w:spacing w:before="201" w:line="225" w:lineRule="auto"/>
        <w:ind w:left="3141"/>
        <w:jc w:val="both"/>
        <w:outlineLvl w:val="1"/>
        <w:rPr>
          <w:rFonts w:ascii="宋体" w:hAnsi="宋体" w:eastAsia="宋体" w:cs="宋体"/>
          <w:color w:val="auto"/>
          <w:sz w:val="28"/>
          <w:szCs w:val="28"/>
          <w:highlight w:val="none"/>
        </w:rPr>
      </w:pPr>
      <w:bookmarkStart w:id="4" w:name="_Toc25135"/>
      <w:r>
        <w:rPr>
          <w:rFonts w:ascii="宋体" w:hAnsi="宋体" w:eastAsia="宋体" w:cs="宋体"/>
          <w:color w:val="auto"/>
          <w:spacing w:val="8"/>
          <w:sz w:val="28"/>
          <w:szCs w:val="28"/>
          <w:highlight w:val="none"/>
        </w:rPr>
        <w:t>第一节 供应商须知前附表</w:t>
      </w:r>
      <w:bookmarkEnd w:id="4"/>
    </w:p>
    <w:p w14:paraId="23543AF2">
      <w:pPr>
        <w:spacing w:line="112" w:lineRule="exact"/>
        <w:rPr>
          <w:color w:val="auto"/>
          <w:highlight w:val="none"/>
        </w:rPr>
      </w:pPr>
    </w:p>
    <w:tbl>
      <w:tblPr>
        <w:tblStyle w:val="19"/>
        <w:tblW w:w="99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2258"/>
        <w:gridCol w:w="6829"/>
      </w:tblGrid>
      <w:tr w14:paraId="00F2A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47" w:type="dxa"/>
            <w:vAlign w:val="top"/>
          </w:tcPr>
          <w:p w14:paraId="4F6D0C16">
            <w:pPr>
              <w:pStyle w:val="20"/>
              <w:spacing w:before="145" w:line="228" w:lineRule="auto"/>
              <w:ind w:left="121"/>
              <w:rPr>
                <w:color w:val="auto"/>
                <w:highlight w:val="none"/>
              </w:rPr>
            </w:pPr>
            <w:r>
              <w:rPr>
                <w:b/>
                <w:bCs/>
                <w:color w:val="auto"/>
                <w:spacing w:val="5"/>
                <w:highlight w:val="none"/>
              </w:rPr>
              <w:t>条款号</w:t>
            </w:r>
          </w:p>
        </w:tc>
        <w:tc>
          <w:tcPr>
            <w:tcW w:w="2258" w:type="dxa"/>
            <w:vAlign w:val="top"/>
          </w:tcPr>
          <w:p w14:paraId="19FA316C">
            <w:pPr>
              <w:pStyle w:val="20"/>
              <w:spacing w:before="145" w:line="228" w:lineRule="auto"/>
              <w:ind w:left="797"/>
              <w:rPr>
                <w:color w:val="auto"/>
                <w:highlight w:val="none"/>
              </w:rPr>
            </w:pPr>
            <w:r>
              <w:rPr>
                <w:b/>
                <w:bCs/>
                <w:color w:val="auto"/>
                <w:spacing w:val="6"/>
                <w:highlight w:val="none"/>
              </w:rPr>
              <w:t>条款内容</w:t>
            </w:r>
          </w:p>
        </w:tc>
        <w:tc>
          <w:tcPr>
            <w:tcW w:w="6829" w:type="dxa"/>
            <w:vAlign w:val="top"/>
          </w:tcPr>
          <w:p w14:paraId="10DE526C">
            <w:pPr>
              <w:pStyle w:val="20"/>
              <w:spacing w:before="144" w:line="230" w:lineRule="auto"/>
              <w:ind w:left="2909"/>
              <w:rPr>
                <w:color w:val="auto"/>
                <w:highlight w:val="none"/>
              </w:rPr>
            </w:pPr>
            <w:r>
              <w:rPr>
                <w:b/>
                <w:bCs/>
                <w:color w:val="auto"/>
                <w:spacing w:val="5"/>
                <w:highlight w:val="none"/>
              </w:rPr>
              <w:t>具体要求</w:t>
            </w:r>
          </w:p>
        </w:tc>
      </w:tr>
      <w:tr w14:paraId="7E2FB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47" w:type="dxa"/>
            <w:vAlign w:val="top"/>
          </w:tcPr>
          <w:p w14:paraId="747EC498">
            <w:pPr>
              <w:pStyle w:val="20"/>
              <w:spacing w:before="141" w:line="234" w:lineRule="auto"/>
              <w:ind w:left="285"/>
              <w:rPr>
                <w:color w:val="auto"/>
                <w:highlight w:val="none"/>
              </w:rPr>
            </w:pPr>
            <w:r>
              <w:rPr>
                <w:color w:val="auto"/>
                <w:spacing w:val="1"/>
                <w:highlight w:val="none"/>
              </w:rPr>
              <w:t>3.1</w:t>
            </w:r>
          </w:p>
        </w:tc>
        <w:tc>
          <w:tcPr>
            <w:tcW w:w="2258" w:type="dxa"/>
            <w:vAlign w:val="top"/>
          </w:tcPr>
          <w:p w14:paraId="49455DBA">
            <w:pPr>
              <w:pStyle w:val="20"/>
              <w:spacing w:before="140" w:line="228" w:lineRule="auto"/>
              <w:ind w:left="481"/>
              <w:rPr>
                <w:color w:val="auto"/>
                <w:highlight w:val="none"/>
              </w:rPr>
            </w:pPr>
            <w:r>
              <w:rPr>
                <w:color w:val="auto"/>
                <w:spacing w:val="8"/>
                <w:highlight w:val="none"/>
              </w:rPr>
              <w:t>供应商资格条件</w:t>
            </w:r>
          </w:p>
        </w:tc>
        <w:tc>
          <w:tcPr>
            <w:tcW w:w="6829" w:type="dxa"/>
            <w:vAlign w:val="top"/>
          </w:tcPr>
          <w:p w14:paraId="5AEA6B0D">
            <w:pPr>
              <w:pStyle w:val="20"/>
              <w:spacing w:before="141" w:line="227" w:lineRule="auto"/>
              <w:ind w:left="111"/>
              <w:rPr>
                <w:color w:val="auto"/>
                <w:highlight w:val="none"/>
              </w:rPr>
            </w:pPr>
            <w:r>
              <w:rPr>
                <w:color w:val="auto"/>
                <w:spacing w:val="8"/>
                <w:highlight w:val="none"/>
              </w:rPr>
              <w:t>供应商资格条件要求详见公告。</w:t>
            </w:r>
          </w:p>
        </w:tc>
      </w:tr>
      <w:tr w14:paraId="040A6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47" w:type="dxa"/>
            <w:vAlign w:val="top"/>
          </w:tcPr>
          <w:p w14:paraId="4E7E9CCC">
            <w:pPr>
              <w:pStyle w:val="20"/>
              <w:spacing w:before="141" w:line="234" w:lineRule="auto"/>
              <w:ind w:left="285"/>
              <w:rPr>
                <w:color w:val="auto"/>
                <w:highlight w:val="none"/>
              </w:rPr>
            </w:pPr>
            <w:r>
              <w:rPr>
                <w:color w:val="auto"/>
                <w:spacing w:val="1"/>
                <w:highlight w:val="none"/>
              </w:rPr>
              <w:t>5.1</w:t>
            </w:r>
          </w:p>
        </w:tc>
        <w:tc>
          <w:tcPr>
            <w:tcW w:w="2258" w:type="dxa"/>
            <w:vAlign w:val="top"/>
          </w:tcPr>
          <w:p w14:paraId="6FBB36A5">
            <w:pPr>
              <w:pStyle w:val="20"/>
              <w:spacing w:before="141" w:line="229" w:lineRule="auto"/>
              <w:ind w:left="275"/>
              <w:rPr>
                <w:color w:val="auto"/>
                <w:highlight w:val="none"/>
              </w:rPr>
            </w:pPr>
            <w:r>
              <w:rPr>
                <w:color w:val="auto"/>
                <w:spacing w:val="8"/>
                <w:highlight w:val="none"/>
              </w:rPr>
              <w:t>是否接受联合体竞标</w:t>
            </w:r>
          </w:p>
        </w:tc>
        <w:tc>
          <w:tcPr>
            <w:tcW w:w="6829" w:type="dxa"/>
            <w:vAlign w:val="top"/>
          </w:tcPr>
          <w:p w14:paraId="5056C5B0">
            <w:pPr>
              <w:pStyle w:val="20"/>
              <w:spacing w:before="142" w:line="228" w:lineRule="auto"/>
              <w:ind w:left="115"/>
              <w:rPr>
                <w:color w:val="auto"/>
                <w:highlight w:val="none"/>
              </w:rPr>
            </w:pPr>
            <w:r>
              <w:rPr>
                <w:color w:val="auto"/>
                <w:spacing w:val="8"/>
                <w:highlight w:val="none"/>
              </w:rPr>
              <w:t>不允许联合体投标</w:t>
            </w:r>
          </w:p>
        </w:tc>
      </w:tr>
      <w:tr w14:paraId="5695B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47" w:type="dxa"/>
            <w:vAlign w:val="top"/>
          </w:tcPr>
          <w:p w14:paraId="015FB7E8">
            <w:pPr>
              <w:pStyle w:val="20"/>
              <w:spacing w:before="142" w:line="233" w:lineRule="auto"/>
              <w:ind w:left="285"/>
              <w:rPr>
                <w:color w:val="auto"/>
                <w:highlight w:val="none"/>
              </w:rPr>
            </w:pPr>
            <w:r>
              <w:rPr>
                <w:color w:val="auto"/>
                <w:spacing w:val="1"/>
                <w:highlight w:val="none"/>
              </w:rPr>
              <w:t>5.2</w:t>
            </w:r>
          </w:p>
        </w:tc>
        <w:tc>
          <w:tcPr>
            <w:tcW w:w="2258" w:type="dxa"/>
            <w:vAlign w:val="top"/>
          </w:tcPr>
          <w:p w14:paraId="430F033B">
            <w:pPr>
              <w:pStyle w:val="20"/>
              <w:spacing w:before="142" w:line="229" w:lineRule="auto"/>
              <w:ind w:left="481"/>
              <w:rPr>
                <w:color w:val="auto"/>
                <w:highlight w:val="none"/>
              </w:rPr>
            </w:pPr>
            <w:r>
              <w:rPr>
                <w:color w:val="auto"/>
                <w:spacing w:val="8"/>
                <w:highlight w:val="none"/>
              </w:rPr>
              <w:t>联合体竞标要求</w:t>
            </w:r>
          </w:p>
        </w:tc>
        <w:tc>
          <w:tcPr>
            <w:tcW w:w="6829" w:type="dxa"/>
            <w:vAlign w:val="top"/>
          </w:tcPr>
          <w:p w14:paraId="350214C8">
            <w:pPr>
              <w:pStyle w:val="20"/>
              <w:spacing w:before="142" w:line="229" w:lineRule="auto"/>
              <w:ind w:left="113"/>
              <w:rPr>
                <w:color w:val="auto"/>
                <w:highlight w:val="none"/>
              </w:rPr>
            </w:pPr>
            <w:r>
              <w:rPr>
                <w:color w:val="auto"/>
                <w:highlight w:val="none"/>
              </w:rPr>
              <w:t>无</w:t>
            </w:r>
          </w:p>
        </w:tc>
      </w:tr>
      <w:tr w14:paraId="28359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47" w:type="dxa"/>
            <w:vAlign w:val="top"/>
          </w:tcPr>
          <w:p w14:paraId="5AB68AD7">
            <w:pPr>
              <w:pStyle w:val="20"/>
              <w:spacing w:before="142" w:line="233" w:lineRule="auto"/>
              <w:ind w:left="282"/>
              <w:rPr>
                <w:color w:val="auto"/>
                <w:highlight w:val="none"/>
              </w:rPr>
            </w:pPr>
            <w:r>
              <w:rPr>
                <w:color w:val="auto"/>
                <w:spacing w:val="1"/>
                <w:highlight w:val="none"/>
              </w:rPr>
              <w:t>6.1</w:t>
            </w:r>
          </w:p>
        </w:tc>
        <w:tc>
          <w:tcPr>
            <w:tcW w:w="2258" w:type="dxa"/>
            <w:vAlign w:val="top"/>
          </w:tcPr>
          <w:p w14:paraId="68A8A0D6">
            <w:pPr>
              <w:pStyle w:val="20"/>
              <w:spacing w:before="142" w:line="228" w:lineRule="auto"/>
              <w:ind w:left="590"/>
              <w:rPr>
                <w:color w:val="auto"/>
                <w:highlight w:val="none"/>
              </w:rPr>
            </w:pPr>
            <w:r>
              <w:rPr>
                <w:color w:val="auto"/>
                <w:spacing w:val="7"/>
                <w:highlight w:val="none"/>
              </w:rPr>
              <w:t>是否允许分包</w:t>
            </w:r>
          </w:p>
        </w:tc>
        <w:tc>
          <w:tcPr>
            <w:tcW w:w="6829" w:type="dxa"/>
            <w:vAlign w:val="top"/>
          </w:tcPr>
          <w:p w14:paraId="54020856">
            <w:pPr>
              <w:pStyle w:val="20"/>
              <w:spacing w:before="142" w:line="228" w:lineRule="auto"/>
              <w:ind w:left="115"/>
              <w:rPr>
                <w:color w:val="auto"/>
                <w:highlight w:val="none"/>
              </w:rPr>
            </w:pPr>
            <w:r>
              <w:rPr>
                <w:color w:val="auto"/>
                <w:spacing w:val="7"/>
                <w:highlight w:val="none"/>
              </w:rPr>
              <w:t>不允许分包</w:t>
            </w:r>
          </w:p>
        </w:tc>
      </w:tr>
      <w:tr w14:paraId="15DCE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847" w:type="dxa"/>
            <w:vAlign w:val="top"/>
          </w:tcPr>
          <w:p w14:paraId="6630C481">
            <w:pPr>
              <w:spacing w:line="241" w:lineRule="auto"/>
              <w:rPr>
                <w:rFonts w:ascii="Arial"/>
                <w:color w:val="auto"/>
                <w:sz w:val="21"/>
                <w:highlight w:val="none"/>
              </w:rPr>
            </w:pPr>
          </w:p>
          <w:p w14:paraId="1BD5AC29">
            <w:pPr>
              <w:spacing w:line="241" w:lineRule="auto"/>
              <w:rPr>
                <w:rFonts w:ascii="Arial"/>
                <w:color w:val="auto"/>
                <w:sz w:val="21"/>
                <w:highlight w:val="none"/>
              </w:rPr>
            </w:pPr>
          </w:p>
          <w:p w14:paraId="20961538">
            <w:pPr>
              <w:spacing w:line="241" w:lineRule="auto"/>
              <w:rPr>
                <w:rFonts w:ascii="Arial"/>
                <w:color w:val="auto"/>
                <w:sz w:val="21"/>
                <w:highlight w:val="none"/>
              </w:rPr>
            </w:pPr>
          </w:p>
          <w:p w14:paraId="5895050D">
            <w:pPr>
              <w:spacing w:line="241" w:lineRule="auto"/>
              <w:rPr>
                <w:rFonts w:ascii="Arial"/>
                <w:color w:val="auto"/>
                <w:sz w:val="21"/>
                <w:highlight w:val="none"/>
              </w:rPr>
            </w:pPr>
          </w:p>
          <w:p w14:paraId="089FD345">
            <w:pPr>
              <w:spacing w:line="241" w:lineRule="auto"/>
              <w:rPr>
                <w:rFonts w:ascii="Arial"/>
                <w:color w:val="auto"/>
                <w:sz w:val="21"/>
                <w:highlight w:val="none"/>
              </w:rPr>
            </w:pPr>
          </w:p>
          <w:p w14:paraId="234CD6BE">
            <w:pPr>
              <w:spacing w:line="241" w:lineRule="auto"/>
              <w:rPr>
                <w:rFonts w:ascii="Arial"/>
                <w:color w:val="auto"/>
                <w:sz w:val="21"/>
                <w:highlight w:val="none"/>
              </w:rPr>
            </w:pPr>
          </w:p>
          <w:p w14:paraId="6D900039">
            <w:pPr>
              <w:spacing w:line="241" w:lineRule="auto"/>
              <w:rPr>
                <w:rFonts w:ascii="Arial"/>
                <w:color w:val="auto"/>
                <w:sz w:val="21"/>
                <w:highlight w:val="none"/>
              </w:rPr>
            </w:pPr>
          </w:p>
          <w:p w14:paraId="2306CA53">
            <w:pPr>
              <w:spacing w:line="242" w:lineRule="auto"/>
              <w:rPr>
                <w:rFonts w:ascii="Arial"/>
                <w:color w:val="auto"/>
                <w:sz w:val="21"/>
                <w:highlight w:val="none"/>
              </w:rPr>
            </w:pPr>
          </w:p>
          <w:p w14:paraId="2DCFA03A">
            <w:pPr>
              <w:spacing w:line="242" w:lineRule="auto"/>
              <w:rPr>
                <w:rFonts w:ascii="Arial"/>
                <w:color w:val="auto"/>
                <w:sz w:val="21"/>
                <w:highlight w:val="none"/>
              </w:rPr>
            </w:pPr>
          </w:p>
          <w:p w14:paraId="61E7D920">
            <w:pPr>
              <w:spacing w:line="242" w:lineRule="auto"/>
              <w:rPr>
                <w:rFonts w:ascii="Arial"/>
                <w:color w:val="auto"/>
                <w:sz w:val="21"/>
                <w:highlight w:val="none"/>
              </w:rPr>
            </w:pPr>
          </w:p>
          <w:p w14:paraId="54E82244">
            <w:pPr>
              <w:spacing w:line="242" w:lineRule="auto"/>
              <w:rPr>
                <w:rFonts w:ascii="Arial"/>
                <w:color w:val="auto"/>
                <w:sz w:val="21"/>
                <w:highlight w:val="none"/>
              </w:rPr>
            </w:pPr>
          </w:p>
          <w:p w14:paraId="0518FB2F">
            <w:pPr>
              <w:spacing w:line="242" w:lineRule="auto"/>
              <w:rPr>
                <w:rFonts w:ascii="Arial"/>
                <w:color w:val="auto"/>
                <w:sz w:val="21"/>
                <w:highlight w:val="none"/>
              </w:rPr>
            </w:pPr>
          </w:p>
          <w:p w14:paraId="0C12EE33">
            <w:pPr>
              <w:spacing w:line="242" w:lineRule="auto"/>
              <w:rPr>
                <w:rFonts w:ascii="Arial"/>
                <w:color w:val="auto"/>
                <w:sz w:val="21"/>
                <w:highlight w:val="none"/>
              </w:rPr>
            </w:pPr>
          </w:p>
          <w:p w14:paraId="04F972F7">
            <w:pPr>
              <w:spacing w:line="242" w:lineRule="auto"/>
              <w:rPr>
                <w:rFonts w:ascii="Arial"/>
                <w:color w:val="auto"/>
                <w:sz w:val="21"/>
                <w:highlight w:val="none"/>
              </w:rPr>
            </w:pPr>
          </w:p>
          <w:p w14:paraId="75365EA5">
            <w:pPr>
              <w:spacing w:line="242" w:lineRule="auto"/>
              <w:rPr>
                <w:rFonts w:ascii="Arial"/>
                <w:color w:val="auto"/>
                <w:sz w:val="21"/>
                <w:highlight w:val="none"/>
              </w:rPr>
            </w:pPr>
          </w:p>
          <w:p w14:paraId="002B075C">
            <w:pPr>
              <w:spacing w:line="242" w:lineRule="auto"/>
              <w:rPr>
                <w:rFonts w:ascii="Arial"/>
                <w:color w:val="auto"/>
                <w:sz w:val="21"/>
                <w:highlight w:val="none"/>
              </w:rPr>
            </w:pPr>
          </w:p>
          <w:p w14:paraId="2118B3FE">
            <w:pPr>
              <w:spacing w:line="242" w:lineRule="auto"/>
              <w:rPr>
                <w:rFonts w:ascii="Arial"/>
                <w:color w:val="auto"/>
                <w:sz w:val="21"/>
                <w:highlight w:val="none"/>
              </w:rPr>
            </w:pPr>
          </w:p>
          <w:p w14:paraId="6831FEF7">
            <w:pPr>
              <w:spacing w:line="242" w:lineRule="auto"/>
              <w:rPr>
                <w:rFonts w:ascii="Arial"/>
                <w:color w:val="auto"/>
                <w:sz w:val="21"/>
                <w:highlight w:val="none"/>
              </w:rPr>
            </w:pPr>
          </w:p>
          <w:p w14:paraId="40AC0148">
            <w:pPr>
              <w:spacing w:line="242" w:lineRule="auto"/>
              <w:rPr>
                <w:rFonts w:ascii="Arial"/>
                <w:color w:val="auto"/>
                <w:sz w:val="21"/>
                <w:highlight w:val="none"/>
              </w:rPr>
            </w:pPr>
          </w:p>
          <w:p w14:paraId="63834BDC">
            <w:pPr>
              <w:spacing w:line="242" w:lineRule="auto"/>
              <w:rPr>
                <w:rFonts w:ascii="Arial"/>
                <w:color w:val="auto"/>
                <w:sz w:val="21"/>
                <w:highlight w:val="none"/>
              </w:rPr>
            </w:pPr>
          </w:p>
          <w:p w14:paraId="6D1018A9">
            <w:pPr>
              <w:spacing w:line="242" w:lineRule="auto"/>
              <w:rPr>
                <w:rFonts w:ascii="Arial"/>
                <w:color w:val="auto"/>
                <w:sz w:val="21"/>
                <w:highlight w:val="none"/>
              </w:rPr>
            </w:pPr>
          </w:p>
          <w:p w14:paraId="7CC6ACB3">
            <w:pPr>
              <w:spacing w:line="242" w:lineRule="auto"/>
              <w:rPr>
                <w:rFonts w:ascii="Arial"/>
                <w:color w:val="auto"/>
                <w:sz w:val="21"/>
                <w:highlight w:val="none"/>
              </w:rPr>
            </w:pPr>
          </w:p>
          <w:p w14:paraId="3841209F">
            <w:pPr>
              <w:pStyle w:val="20"/>
              <w:spacing w:before="65" w:line="269" w:lineRule="exact"/>
              <w:ind w:left="138"/>
              <w:rPr>
                <w:color w:val="auto"/>
                <w:highlight w:val="none"/>
              </w:rPr>
            </w:pPr>
            <w:r>
              <w:rPr>
                <w:color w:val="auto"/>
                <w:spacing w:val="1"/>
                <w:position w:val="1"/>
                <w:highlight w:val="none"/>
              </w:rPr>
              <w:t>12.1.1</w:t>
            </w:r>
          </w:p>
        </w:tc>
        <w:tc>
          <w:tcPr>
            <w:tcW w:w="2258" w:type="dxa"/>
            <w:vMerge w:val="restart"/>
            <w:vAlign w:val="top"/>
          </w:tcPr>
          <w:p w14:paraId="6B0ADF7B">
            <w:pPr>
              <w:spacing w:line="241" w:lineRule="auto"/>
              <w:rPr>
                <w:rFonts w:ascii="Arial"/>
                <w:color w:val="auto"/>
                <w:sz w:val="21"/>
                <w:highlight w:val="none"/>
              </w:rPr>
            </w:pPr>
          </w:p>
          <w:p w14:paraId="203F73B2">
            <w:pPr>
              <w:spacing w:line="241" w:lineRule="auto"/>
              <w:rPr>
                <w:rFonts w:ascii="Arial"/>
                <w:color w:val="auto"/>
                <w:sz w:val="21"/>
                <w:highlight w:val="none"/>
              </w:rPr>
            </w:pPr>
          </w:p>
          <w:p w14:paraId="0B61FCE2">
            <w:pPr>
              <w:spacing w:line="241" w:lineRule="auto"/>
              <w:rPr>
                <w:rFonts w:ascii="Arial"/>
                <w:color w:val="auto"/>
                <w:sz w:val="21"/>
                <w:highlight w:val="none"/>
              </w:rPr>
            </w:pPr>
          </w:p>
          <w:p w14:paraId="18BE9E32">
            <w:pPr>
              <w:spacing w:line="241" w:lineRule="auto"/>
              <w:rPr>
                <w:rFonts w:ascii="Arial"/>
                <w:color w:val="auto"/>
                <w:sz w:val="21"/>
                <w:highlight w:val="none"/>
              </w:rPr>
            </w:pPr>
          </w:p>
          <w:p w14:paraId="139B2E6F">
            <w:pPr>
              <w:spacing w:line="241" w:lineRule="auto"/>
              <w:rPr>
                <w:rFonts w:ascii="Arial"/>
                <w:color w:val="auto"/>
                <w:sz w:val="21"/>
                <w:highlight w:val="none"/>
              </w:rPr>
            </w:pPr>
          </w:p>
          <w:p w14:paraId="45D5F15F">
            <w:pPr>
              <w:spacing w:line="241" w:lineRule="auto"/>
              <w:rPr>
                <w:rFonts w:ascii="Arial"/>
                <w:color w:val="auto"/>
                <w:sz w:val="21"/>
                <w:highlight w:val="none"/>
              </w:rPr>
            </w:pPr>
          </w:p>
          <w:p w14:paraId="18D7B7A9">
            <w:pPr>
              <w:spacing w:line="242" w:lineRule="auto"/>
              <w:rPr>
                <w:rFonts w:ascii="Arial"/>
                <w:color w:val="auto"/>
                <w:sz w:val="21"/>
                <w:highlight w:val="none"/>
              </w:rPr>
            </w:pPr>
          </w:p>
          <w:p w14:paraId="76616450">
            <w:pPr>
              <w:spacing w:line="242" w:lineRule="auto"/>
              <w:rPr>
                <w:rFonts w:ascii="Arial"/>
                <w:color w:val="auto"/>
                <w:sz w:val="21"/>
                <w:highlight w:val="none"/>
              </w:rPr>
            </w:pPr>
          </w:p>
          <w:p w14:paraId="768BE62D">
            <w:pPr>
              <w:spacing w:line="242" w:lineRule="auto"/>
              <w:rPr>
                <w:rFonts w:ascii="Arial"/>
                <w:color w:val="auto"/>
                <w:sz w:val="21"/>
                <w:highlight w:val="none"/>
              </w:rPr>
            </w:pPr>
          </w:p>
          <w:p w14:paraId="5ABCB7EC">
            <w:pPr>
              <w:spacing w:line="242" w:lineRule="auto"/>
              <w:rPr>
                <w:rFonts w:ascii="Arial"/>
                <w:color w:val="auto"/>
                <w:sz w:val="21"/>
                <w:highlight w:val="none"/>
              </w:rPr>
            </w:pPr>
          </w:p>
          <w:p w14:paraId="55FC70C6">
            <w:pPr>
              <w:spacing w:line="242" w:lineRule="auto"/>
              <w:rPr>
                <w:rFonts w:ascii="Arial"/>
                <w:color w:val="auto"/>
                <w:sz w:val="21"/>
                <w:highlight w:val="none"/>
              </w:rPr>
            </w:pPr>
          </w:p>
          <w:p w14:paraId="6DA2FF78">
            <w:pPr>
              <w:spacing w:line="242" w:lineRule="auto"/>
              <w:rPr>
                <w:rFonts w:ascii="Arial"/>
                <w:color w:val="auto"/>
                <w:sz w:val="21"/>
                <w:highlight w:val="none"/>
              </w:rPr>
            </w:pPr>
          </w:p>
          <w:p w14:paraId="267CE0A5">
            <w:pPr>
              <w:spacing w:line="242" w:lineRule="auto"/>
              <w:rPr>
                <w:rFonts w:ascii="Arial"/>
                <w:color w:val="auto"/>
                <w:sz w:val="21"/>
                <w:highlight w:val="none"/>
              </w:rPr>
            </w:pPr>
          </w:p>
          <w:p w14:paraId="55097979">
            <w:pPr>
              <w:spacing w:line="242" w:lineRule="auto"/>
              <w:rPr>
                <w:rFonts w:ascii="Arial"/>
                <w:color w:val="auto"/>
                <w:sz w:val="21"/>
                <w:highlight w:val="none"/>
              </w:rPr>
            </w:pPr>
          </w:p>
          <w:p w14:paraId="14C60298">
            <w:pPr>
              <w:spacing w:line="242" w:lineRule="auto"/>
              <w:rPr>
                <w:rFonts w:ascii="Arial"/>
                <w:color w:val="auto"/>
                <w:sz w:val="21"/>
                <w:highlight w:val="none"/>
              </w:rPr>
            </w:pPr>
          </w:p>
          <w:p w14:paraId="5133DD05">
            <w:pPr>
              <w:spacing w:line="242" w:lineRule="auto"/>
              <w:rPr>
                <w:rFonts w:ascii="Arial"/>
                <w:color w:val="auto"/>
                <w:sz w:val="21"/>
                <w:highlight w:val="none"/>
              </w:rPr>
            </w:pPr>
          </w:p>
          <w:p w14:paraId="5D0FA857">
            <w:pPr>
              <w:spacing w:line="242" w:lineRule="auto"/>
              <w:rPr>
                <w:rFonts w:ascii="Arial"/>
                <w:color w:val="auto"/>
                <w:sz w:val="21"/>
                <w:highlight w:val="none"/>
              </w:rPr>
            </w:pPr>
          </w:p>
          <w:p w14:paraId="09E00B41">
            <w:pPr>
              <w:spacing w:line="242" w:lineRule="auto"/>
              <w:rPr>
                <w:rFonts w:ascii="Arial"/>
                <w:color w:val="auto"/>
                <w:sz w:val="21"/>
                <w:highlight w:val="none"/>
              </w:rPr>
            </w:pPr>
          </w:p>
          <w:p w14:paraId="2C85990B">
            <w:pPr>
              <w:spacing w:line="242" w:lineRule="auto"/>
              <w:rPr>
                <w:rFonts w:ascii="Arial"/>
                <w:color w:val="auto"/>
                <w:sz w:val="21"/>
                <w:highlight w:val="none"/>
              </w:rPr>
            </w:pPr>
          </w:p>
          <w:p w14:paraId="78DC7859">
            <w:pPr>
              <w:spacing w:line="242" w:lineRule="auto"/>
              <w:rPr>
                <w:rFonts w:ascii="Arial"/>
                <w:color w:val="auto"/>
                <w:sz w:val="21"/>
                <w:highlight w:val="none"/>
              </w:rPr>
            </w:pPr>
          </w:p>
          <w:p w14:paraId="22EA3EC6">
            <w:pPr>
              <w:spacing w:line="242" w:lineRule="auto"/>
              <w:rPr>
                <w:rFonts w:ascii="Arial"/>
                <w:color w:val="auto"/>
                <w:sz w:val="21"/>
                <w:highlight w:val="none"/>
              </w:rPr>
            </w:pPr>
          </w:p>
          <w:p w14:paraId="3A58C2C2">
            <w:pPr>
              <w:spacing w:line="242" w:lineRule="auto"/>
              <w:rPr>
                <w:rFonts w:ascii="Arial"/>
                <w:color w:val="auto"/>
                <w:sz w:val="21"/>
                <w:highlight w:val="none"/>
              </w:rPr>
            </w:pPr>
          </w:p>
          <w:p w14:paraId="23D63C51">
            <w:pPr>
              <w:pStyle w:val="20"/>
              <w:spacing w:before="65" w:line="228" w:lineRule="auto"/>
              <w:ind w:left="382"/>
              <w:rPr>
                <w:color w:val="auto"/>
                <w:highlight w:val="none"/>
              </w:rPr>
            </w:pPr>
            <w:r>
              <w:rPr>
                <w:b/>
                <w:bCs/>
                <w:color w:val="auto"/>
                <w:spacing w:val="6"/>
                <w:highlight w:val="none"/>
              </w:rPr>
              <w:t>资格证明文件组成</w:t>
            </w:r>
          </w:p>
        </w:tc>
        <w:tc>
          <w:tcPr>
            <w:tcW w:w="6829" w:type="dxa"/>
            <w:vMerge w:val="restart"/>
            <w:vAlign w:val="top"/>
          </w:tcPr>
          <w:p w14:paraId="022FB7C2">
            <w:pPr>
              <w:pStyle w:val="20"/>
              <w:spacing w:before="144" w:line="381" w:lineRule="auto"/>
              <w:ind w:left="112" w:right="108" w:firstLine="14"/>
              <w:rPr>
                <w:rFonts w:ascii="宋体" w:hAnsi="宋体" w:eastAsia="宋体" w:cs="宋体"/>
                <w:color w:val="auto"/>
                <w:spacing w:val="6"/>
                <w:highlight w:val="none"/>
              </w:rPr>
            </w:pPr>
            <w:r>
              <w:rPr>
                <w:color w:val="auto"/>
                <w:spacing w:val="6"/>
                <w:highlight w:val="none"/>
              </w:rPr>
              <w:t>1.供应商为法人或者其他组织的提供其营业执照等证明文件（如营业执</w:t>
            </w:r>
            <w:r>
              <w:rPr>
                <w:color w:val="auto"/>
                <w:spacing w:val="10"/>
                <w:highlight w:val="none"/>
              </w:rPr>
              <w:t xml:space="preserve"> </w:t>
            </w:r>
            <w:r>
              <w:rPr>
                <w:color w:val="auto"/>
                <w:spacing w:val="9"/>
                <w:highlight w:val="none"/>
              </w:rPr>
              <w:t>照或者事业单位法人证书或者执业许可证等</w:t>
            </w:r>
            <w:r>
              <w:rPr>
                <w:color w:val="auto"/>
                <w:spacing w:val="-22"/>
                <w:highlight w:val="none"/>
              </w:rPr>
              <w:t>），</w:t>
            </w:r>
            <w:r>
              <w:rPr>
                <w:color w:val="auto"/>
                <w:spacing w:val="9"/>
                <w:highlight w:val="none"/>
              </w:rPr>
              <w:t>供应商为自然人的提供</w:t>
            </w:r>
            <w:r>
              <w:rPr>
                <w:color w:val="auto"/>
                <w:highlight w:val="none"/>
              </w:rPr>
              <w:t xml:space="preserve"> </w:t>
            </w:r>
            <w:r>
              <w:rPr>
                <w:rFonts w:ascii="宋体" w:hAnsi="宋体" w:eastAsia="宋体" w:cs="宋体"/>
                <w:color w:val="auto"/>
                <w:spacing w:val="6"/>
                <w:highlight w:val="none"/>
              </w:rPr>
              <w:t>其身份证复印件；（</w:t>
            </w:r>
            <w:r>
              <w:rPr>
                <w:rFonts w:ascii="宋体" w:hAnsi="宋体" w:eastAsia="宋体" w:cs="宋体"/>
                <w:b/>
                <w:bCs/>
                <w:color w:val="auto"/>
                <w:spacing w:val="6"/>
                <w:highlight w:val="none"/>
              </w:rPr>
              <w:t>必须提供，否则按无效响应处理</w:t>
            </w:r>
            <w:r>
              <w:rPr>
                <w:rFonts w:ascii="宋体" w:hAnsi="宋体" w:eastAsia="宋体" w:cs="宋体"/>
                <w:color w:val="auto"/>
                <w:spacing w:val="6"/>
                <w:highlight w:val="none"/>
              </w:rPr>
              <w:t>）</w:t>
            </w:r>
          </w:p>
          <w:p w14:paraId="77DA5D68">
            <w:pPr>
              <w:pStyle w:val="20"/>
              <w:spacing w:before="144" w:line="381" w:lineRule="auto"/>
              <w:ind w:left="112" w:right="108" w:firstLine="14"/>
              <w:rPr>
                <w:color w:val="auto"/>
                <w:highlight w:val="none"/>
              </w:rPr>
            </w:pPr>
            <w:r>
              <w:rPr>
                <w:rFonts w:ascii="宋体" w:hAnsi="宋体" w:eastAsia="宋体" w:cs="宋体"/>
                <w:color w:val="auto"/>
                <w:spacing w:val="6"/>
                <w:highlight w:val="none"/>
              </w:rPr>
              <w:t>2.供应商依法缴纳税收的相关材料：[202</w:t>
            </w:r>
            <w:r>
              <w:rPr>
                <w:rFonts w:hint="eastAsia" w:cs="宋体"/>
                <w:color w:val="auto"/>
                <w:spacing w:val="6"/>
                <w:highlight w:val="none"/>
                <w:lang w:val="en-US" w:eastAsia="zh-CN"/>
              </w:rPr>
              <w:t>5</w:t>
            </w:r>
            <w:r>
              <w:rPr>
                <w:rFonts w:ascii="宋体" w:hAnsi="宋体" w:eastAsia="宋体" w:cs="宋体"/>
                <w:color w:val="auto"/>
                <w:spacing w:val="6"/>
                <w:highlight w:val="none"/>
              </w:rPr>
              <w:t>年</w:t>
            </w:r>
            <w:r>
              <w:rPr>
                <w:rFonts w:hint="eastAsia" w:cs="宋体"/>
                <w:color w:val="auto"/>
                <w:spacing w:val="6"/>
                <w:highlight w:val="none"/>
                <w:lang w:val="en-US" w:eastAsia="zh-CN"/>
              </w:rPr>
              <w:t>12</w:t>
            </w:r>
            <w:r>
              <w:rPr>
                <w:rFonts w:ascii="宋体" w:hAnsi="宋体" w:eastAsia="宋体" w:cs="宋体"/>
                <w:color w:val="auto"/>
                <w:spacing w:val="6"/>
                <w:highlight w:val="none"/>
              </w:rPr>
              <w:t>月至202</w:t>
            </w:r>
            <w:r>
              <w:rPr>
                <w:rFonts w:hint="eastAsia" w:cs="宋体"/>
                <w:color w:val="auto"/>
                <w:spacing w:val="6"/>
                <w:highlight w:val="none"/>
                <w:lang w:val="en-US" w:eastAsia="zh-CN"/>
              </w:rPr>
              <w:t>6</w:t>
            </w:r>
            <w:r>
              <w:rPr>
                <w:rFonts w:ascii="宋体" w:hAnsi="宋体" w:eastAsia="宋体" w:cs="宋体"/>
                <w:color w:val="auto"/>
                <w:spacing w:val="6"/>
                <w:highlight w:val="none"/>
              </w:rPr>
              <w:t>年</w:t>
            </w:r>
            <w:r>
              <w:rPr>
                <w:rFonts w:hint="eastAsia" w:cs="宋体"/>
                <w:color w:val="auto"/>
                <w:spacing w:val="6"/>
                <w:highlight w:val="none"/>
                <w:lang w:val="en-US" w:eastAsia="zh-CN"/>
              </w:rPr>
              <w:t>5</w:t>
            </w:r>
            <w:r>
              <w:rPr>
                <w:rFonts w:ascii="宋体" w:hAnsi="宋体" w:eastAsia="宋体" w:cs="宋体"/>
                <w:color w:val="auto"/>
                <w:spacing w:val="6"/>
                <w:highlight w:val="none"/>
              </w:rPr>
              <w:t>月]任意</w:t>
            </w:r>
            <w:r>
              <w:rPr>
                <w:color w:val="auto"/>
                <w:spacing w:val="9"/>
                <w:highlight w:val="none"/>
              </w:rPr>
              <w:t>连续3个月的依法缴纳税收的凭据复印件；依法免税的供应商</w:t>
            </w:r>
            <w:r>
              <w:rPr>
                <w:rFonts w:hint="eastAsia"/>
                <w:color w:val="auto"/>
                <w:spacing w:val="9"/>
                <w:highlight w:val="none"/>
                <w:lang w:eastAsia="zh-CN"/>
              </w:rPr>
              <w:t>，</w:t>
            </w:r>
            <w:r>
              <w:rPr>
                <w:color w:val="auto"/>
                <w:spacing w:val="9"/>
                <w:highlight w:val="none"/>
              </w:rPr>
              <w:t>必须提供相 应文件证明其依法免税。从取得营业执照时间起到投标文件</w:t>
            </w:r>
            <w:r>
              <w:rPr>
                <w:color w:val="auto"/>
                <w:spacing w:val="7"/>
                <w:highlight w:val="none"/>
              </w:rPr>
              <w:t>提交截止时间为止不足要求月数的，只需提供从取得营业执照起的依法</w:t>
            </w:r>
            <w:r>
              <w:rPr>
                <w:color w:val="auto"/>
                <w:spacing w:val="9"/>
                <w:highlight w:val="none"/>
              </w:rPr>
              <w:t>缴纳税收相应证明文件</w:t>
            </w:r>
            <w:r>
              <w:rPr>
                <w:color w:val="auto"/>
                <w:spacing w:val="6"/>
                <w:highlight w:val="none"/>
              </w:rPr>
              <w:t>）；（</w:t>
            </w:r>
            <w:r>
              <w:rPr>
                <w:b/>
                <w:bCs/>
                <w:color w:val="auto"/>
                <w:spacing w:val="9"/>
                <w:highlight w:val="none"/>
              </w:rPr>
              <w:t>必须提供，否则按无效响应处理</w:t>
            </w:r>
            <w:r>
              <w:rPr>
                <w:color w:val="auto"/>
                <w:spacing w:val="9"/>
                <w:highlight w:val="none"/>
              </w:rPr>
              <w:t>）</w:t>
            </w:r>
          </w:p>
          <w:p w14:paraId="32D4FF3F">
            <w:pPr>
              <w:pStyle w:val="20"/>
              <w:spacing w:before="136" w:line="333" w:lineRule="auto"/>
              <w:ind w:left="111" w:right="108" w:firstLine="5"/>
              <w:rPr>
                <w:color w:val="auto"/>
                <w:highlight w:val="none"/>
              </w:rPr>
            </w:pPr>
            <w:r>
              <w:rPr>
                <w:color w:val="auto"/>
                <w:spacing w:val="5"/>
                <w:highlight w:val="none"/>
              </w:rPr>
              <w:t>3.供应商依法缴纳社会保障资金的相关材料：[</w:t>
            </w:r>
            <w:r>
              <w:rPr>
                <w:rFonts w:ascii="宋体" w:hAnsi="宋体" w:eastAsia="宋体" w:cs="宋体"/>
                <w:color w:val="auto"/>
                <w:spacing w:val="6"/>
                <w:highlight w:val="none"/>
              </w:rPr>
              <w:t>202</w:t>
            </w:r>
            <w:r>
              <w:rPr>
                <w:rFonts w:hint="eastAsia" w:cs="宋体"/>
                <w:color w:val="auto"/>
                <w:spacing w:val="6"/>
                <w:highlight w:val="none"/>
                <w:lang w:val="en-US" w:eastAsia="zh-CN"/>
              </w:rPr>
              <w:t>5</w:t>
            </w:r>
            <w:r>
              <w:rPr>
                <w:rFonts w:ascii="宋体" w:hAnsi="宋体" w:eastAsia="宋体" w:cs="宋体"/>
                <w:color w:val="auto"/>
                <w:spacing w:val="6"/>
                <w:highlight w:val="none"/>
              </w:rPr>
              <w:t>年</w:t>
            </w:r>
            <w:r>
              <w:rPr>
                <w:rFonts w:hint="eastAsia" w:cs="宋体"/>
                <w:color w:val="auto"/>
                <w:spacing w:val="6"/>
                <w:highlight w:val="none"/>
                <w:lang w:val="en-US" w:eastAsia="zh-CN"/>
              </w:rPr>
              <w:t>12</w:t>
            </w:r>
            <w:r>
              <w:rPr>
                <w:rFonts w:ascii="宋体" w:hAnsi="宋体" w:eastAsia="宋体" w:cs="宋体"/>
                <w:color w:val="auto"/>
                <w:spacing w:val="6"/>
                <w:highlight w:val="none"/>
              </w:rPr>
              <w:t>月至202</w:t>
            </w:r>
            <w:r>
              <w:rPr>
                <w:rFonts w:hint="eastAsia" w:cs="宋体"/>
                <w:color w:val="auto"/>
                <w:spacing w:val="6"/>
                <w:highlight w:val="none"/>
                <w:lang w:val="en-US" w:eastAsia="zh-CN"/>
              </w:rPr>
              <w:t>6</w:t>
            </w:r>
            <w:r>
              <w:rPr>
                <w:rFonts w:ascii="宋体" w:hAnsi="宋体" w:eastAsia="宋体" w:cs="宋体"/>
                <w:color w:val="auto"/>
                <w:spacing w:val="6"/>
                <w:highlight w:val="none"/>
              </w:rPr>
              <w:t>年</w:t>
            </w:r>
            <w:r>
              <w:rPr>
                <w:rFonts w:hint="eastAsia" w:cs="宋体"/>
                <w:color w:val="auto"/>
                <w:spacing w:val="6"/>
                <w:highlight w:val="none"/>
                <w:lang w:val="en-US" w:eastAsia="zh-CN"/>
              </w:rPr>
              <w:t>5</w:t>
            </w:r>
            <w:r>
              <w:rPr>
                <w:rFonts w:ascii="宋体" w:hAnsi="宋体" w:eastAsia="宋体" w:cs="宋体"/>
                <w:color w:val="auto"/>
                <w:spacing w:val="6"/>
                <w:highlight w:val="none"/>
              </w:rPr>
              <w:t>月</w:t>
            </w:r>
            <w:r>
              <w:rPr>
                <w:color w:val="auto"/>
                <w:spacing w:val="9"/>
                <w:highlight w:val="none"/>
              </w:rPr>
              <w:t>]任意连续3个月的依法缴纳社会保</w:t>
            </w:r>
            <w:r>
              <w:rPr>
                <w:color w:val="auto"/>
                <w:spacing w:val="8"/>
                <w:highlight w:val="none"/>
              </w:rPr>
              <w:t>障资金的缴费凭证（专用收</w:t>
            </w:r>
            <w:r>
              <w:rPr>
                <w:color w:val="auto"/>
                <w:highlight w:val="none"/>
              </w:rPr>
              <w:t xml:space="preserve"> </w:t>
            </w:r>
            <w:r>
              <w:rPr>
                <w:color w:val="auto"/>
                <w:spacing w:val="7"/>
                <w:highlight w:val="none"/>
              </w:rPr>
              <w:t>据或者社会保险缴纳清单）复印件；依法不需要缴纳社</w:t>
            </w:r>
            <w:r>
              <w:rPr>
                <w:color w:val="auto"/>
                <w:spacing w:val="6"/>
                <w:highlight w:val="none"/>
              </w:rPr>
              <w:t>会保障资金的</w:t>
            </w:r>
            <w:r>
              <w:rPr>
                <w:color w:val="auto"/>
                <w:spacing w:val="7"/>
                <w:highlight w:val="none"/>
              </w:rPr>
              <w:t>供应商，必须提供相应文件证明不需要缴纳社会保障资金</w:t>
            </w:r>
            <w:r>
              <w:rPr>
                <w:color w:val="auto"/>
                <w:spacing w:val="6"/>
                <w:highlight w:val="none"/>
              </w:rPr>
              <w:t>。从取得营</w:t>
            </w:r>
            <w:r>
              <w:rPr>
                <w:color w:val="auto"/>
                <w:spacing w:val="10"/>
                <w:highlight w:val="none"/>
              </w:rPr>
              <w:t>业执照时间起到响应文件提交截止时间为止</w:t>
            </w:r>
            <w:r>
              <w:rPr>
                <w:color w:val="auto"/>
                <w:spacing w:val="9"/>
                <w:highlight w:val="none"/>
              </w:rPr>
              <w:t>不足要求月数的只需提供</w:t>
            </w:r>
            <w:r>
              <w:rPr>
                <w:color w:val="auto"/>
                <w:spacing w:val="10"/>
                <w:highlight w:val="none"/>
              </w:rPr>
              <w:t>从取得营业执照起的依法缴纳社会保障资金的相应证明文件</w:t>
            </w:r>
            <w:r>
              <w:rPr>
                <w:color w:val="auto"/>
                <w:spacing w:val="-39"/>
                <w:highlight w:val="none"/>
              </w:rPr>
              <w:t>；（</w:t>
            </w:r>
            <w:r>
              <w:rPr>
                <w:b/>
                <w:bCs/>
                <w:color w:val="auto"/>
                <w:spacing w:val="10"/>
                <w:highlight w:val="none"/>
              </w:rPr>
              <w:t>必须提</w:t>
            </w:r>
            <w:r>
              <w:rPr>
                <w:b/>
                <w:bCs/>
                <w:color w:val="auto"/>
                <w:spacing w:val="7"/>
                <w:highlight w:val="none"/>
              </w:rPr>
              <w:t>供，否则按无效响应处理</w:t>
            </w:r>
            <w:r>
              <w:rPr>
                <w:color w:val="auto"/>
                <w:spacing w:val="7"/>
                <w:highlight w:val="none"/>
              </w:rPr>
              <w:t>）</w:t>
            </w:r>
          </w:p>
          <w:p w14:paraId="4B32BBB6">
            <w:pPr>
              <w:snapToGrid w:val="0"/>
              <w:spacing w:line="360" w:lineRule="auto"/>
              <w:jc w:val="left"/>
              <w:rPr>
                <w:rFonts w:ascii="宋体" w:hAnsi="宋体" w:eastAsia="宋体" w:cs="宋体"/>
                <w:color w:val="auto"/>
                <w:spacing w:val="7"/>
                <w:highlight w:val="none"/>
              </w:rPr>
            </w:pPr>
            <w:r>
              <w:rPr>
                <w:rFonts w:ascii="宋体" w:hAnsi="宋体" w:eastAsia="宋体" w:cs="宋体"/>
                <w:color w:val="auto"/>
                <w:spacing w:val="7"/>
                <w:highlight w:val="none"/>
              </w:rPr>
              <w:t>4.</w:t>
            </w:r>
            <w:r>
              <w:rPr>
                <w:rFonts w:hint="eastAsia" w:ascii="宋体" w:hAnsi="宋体" w:cs="宋体"/>
                <w:color w:val="auto"/>
                <w:szCs w:val="21"/>
                <w:highlight w:val="none"/>
              </w:rPr>
              <w:t>供应商财务状况报告[</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4或2025</w:t>
            </w:r>
            <w:r>
              <w:rPr>
                <w:rFonts w:hint="eastAsia" w:ascii="宋体" w:hAnsi="宋体" w:cs="宋体"/>
                <w:color w:val="auto"/>
                <w:szCs w:val="21"/>
                <w:highlight w:val="none"/>
                <w:u w:val="single"/>
              </w:rPr>
              <w:t>年</w:t>
            </w:r>
            <w:r>
              <w:rPr>
                <w:rFonts w:hint="eastAsia" w:ascii="宋体" w:hAnsi="宋体" w:cs="宋体"/>
                <w:color w:val="auto"/>
                <w:szCs w:val="21"/>
                <w:highlight w:val="none"/>
              </w:rPr>
              <w:t>的财务报表]复印件，供应商成立不满一年的应提供截标之日</w:t>
            </w:r>
            <w:r>
              <w:rPr>
                <w:rFonts w:hint="eastAsia" w:ascii="宋体" w:hAnsi="宋体" w:eastAsia="宋体" w:cs="宋体"/>
                <w:color w:val="auto"/>
                <w:szCs w:val="21"/>
                <w:highlight w:val="none"/>
                <w:lang w:eastAsia="zh-CN"/>
              </w:rPr>
              <w:t>止前</w:t>
            </w:r>
            <w:r>
              <w:rPr>
                <w:rFonts w:hint="eastAsia" w:ascii="宋体" w:hAnsi="宋体" w:cs="宋体"/>
                <w:color w:val="auto"/>
                <w:szCs w:val="21"/>
                <w:highlight w:val="none"/>
              </w:rPr>
              <w:t>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或供应商开户行出具的银行资信证明文件复印件。</w:t>
            </w:r>
            <w:r>
              <w:rPr>
                <w:rFonts w:ascii="宋体" w:hAnsi="宋体" w:eastAsia="宋体" w:cs="宋体"/>
                <w:b/>
                <w:bCs/>
                <w:color w:val="auto"/>
                <w:spacing w:val="7"/>
                <w:highlight w:val="none"/>
              </w:rPr>
              <w:t>（必须提供，否则按无效响应处理）</w:t>
            </w:r>
          </w:p>
          <w:p w14:paraId="778FECF4">
            <w:pPr>
              <w:pStyle w:val="20"/>
              <w:spacing w:before="163" w:line="308" w:lineRule="auto"/>
              <w:ind w:left="114" w:right="108" w:firstLine="1"/>
              <w:rPr>
                <w:b/>
                <w:bCs/>
                <w:color w:val="auto"/>
                <w:highlight w:val="none"/>
              </w:rPr>
            </w:pPr>
            <w:r>
              <w:rPr>
                <w:color w:val="auto"/>
                <w:spacing w:val="9"/>
                <w:highlight w:val="none"/>
              </w:rPr>
              <w:t>5.供应商直接控股、管理关系信息表</w:t>
            </w:r>
            <w:r>
              <w:rPr>
                <w:color w:val="auto"/>
                <w:spacing w:val="-26"/>
                <w:highlight w:val="none"/>
              </w:rPr>
              <w:t>；</w:t>
            </w:r>
            <w:r>
              <w:rPr>
                <w:b/>
                <w:bCs/>
                <w:color w:val="auto"/>
                <w:spacing w:val="-26"/>
                <w:highlight w:val="none"/>
              </w:rPr>
              <w:t>（</w:t>
            </w:r>
            <w:r>
              <w:rPr>
                <w:b/>
                <w:bCs/>
                <w:color w:val="auto"/>
                <w:spacing w:val="9"/>
                <w:highlight w:val="none"/>
              </w:rPr>
              <w:t>必须提供，否则按</w:t>
            </w:r>
            <w:r>
              <w:rPr>
                <w:b/>
                <w:bCs/>
                <w:color w:val="auto"/>
                <w:spacing w:val="8"/>
                <w:highlight w:val="none"/>
              </w:rPr>
              <w:t>无效响应处</w:t>
            </w:r>
            <w:r>
              <w:rPr>
                <w:b/>
                <w:bCs/>
                <w:color w:val="auto"/>
                <w:spacing w:val="1"/>
                <w:highlight w:val="none"/>
              </w:rPr>
              <w:t xml:space="preserve"> </w:t>
            </w:r>
            <w:r>
              <w:rPr>
                <w:b/>
                <w:bCs/>
                <w:color w:val="auto"/>
                <w:spacing w:val="-1"/>
                <w:highlight w:val="none"/>
              </w:rPr>
              <w:t>理）</w:t>
            </w:r>
          </w:p>
          <w:p w14:paraId="234A1D89">
            <w:pPr>
              <w:pStyle w:val="20"/>
              <w:spacing w:before="149" w:line="228" w:lineRule="auto"/>
              <w:ind w:left="113"/>
              <w:rPr>
                <w:color w:val="auto"/>
                <w:highlight w:val="none"/>
              </w:rPr>
            </w:pPr>
            <w:r>
              <w:rPr>
                <w:color w:val="auto"/>
                <w:spacing w:val="9"/>
                <w:highlight w:val="none"/>
              </w:rPr>
              <w:t>6、资格声明函</w:t>
            </w:r>
            <w:r>
              <w:rPr>
                <w:color w:val="auto"/>
                <w:spacing w:val="-3"/>
                <w:highlight w:val="none"/>
              </w:rPr>
              <w:t>；</w:t>
            </w:r>
            <w:r>
              <w:rPr>
                <w:b/>
                <w:bCs/>
                <w:color w:val="auto"/>
                <w:spacing w:val="-3"/>
                <w:highlight w:val="none"/>
              </w:rPr>
              <w:t>（</w:t>
            </w:r>
            <w:r>
              <w:rPr>
                <w:b/>
                <w:bCs/>
                <w:color w:val="auto"/>
                <w:spacing w:val="9"/>
                <w:highlight w:val="none"/>
              </w:rPr>
              <w:t>必须提供，否则按无效响应处理）</w:t>
            </w:r>
          </w:p>
          <w:p w14:paraId="6ACF3F7E">
            <w:pPr>
              <w:pStyle w:val="20"/>
              <w:spacing w:before="162" w:line="340" w:lineRule="auto"/>
              <w:ind w:left="111" w:right="108" w:firstLine="5"/>
              <w:rPr>
                <w:color w:val="auto"/>
                <w:spacing w:val="10"/>
                <w:highlight w:val="none"/>
              </w:rPr>
            </w:pPr>
            <w:r>
              <w:rPr>
                <w:color w:val="auto"/>
                <w:spacing w:val="10"/>
                <w:highlight w:val="none"/>
              </w:rPr>
              <w:t>7.符合特定资格条件的有关证明材料</w:t>
            </w:r>
            <w:r>
              <w:rPr>
                <w:color w:val="auto"/>
                <w:spacing w:val="-6"/>
                <w:highlight w:val="none"/>
              </w:rPr>
              <w:t>：（</w:t>
            </w:r>
            <w:r>
              <w:rPr>
                <w:color w:val="auto"/>
                <w:spacing w:val="10"/>
                <w:highlight w:val="none"/>
              </w:rPr>
              <w:t>1）具备建筑工程施工总承包</w:t>
            </w:r>
            <w:r>
              <w:rPr>
                <w:color w:val="auto"/>
                <w:spacing w:val="1"/>
                <w:highlight w:val="none"/>
              </w:rPr>
              <w:t xml:space="preserve"> </w:t>
            </w:r>
            <w:r>
              <w:rPr>
                <w:color w:val="auto"/>
                <w:spacing w:val="7"/>
                <w:highlight w:val="none"/>
              </w:rPr>
              <w:t>叁级（含）以上资质，并在人员、设备、资金等方面具有相应的施工能</w:t>
            </w:r>
            <w:r>
              <w:rPr>
                <w:color w:val="auto"/>
                <w:spacing w:val="1"/>
                <w:highlight w:val="none"/>
              </w:rPr>
              <w:t xml:space="preserve"> </w:t>
            </w:r>
            <w:r>
              <w:rPr>
                <w:color w:val="auto"/>
                <w:spacing w:val="10"/>
                <w:highlight w:val="none"/>
              </w:rPr>
              <w:t>力的供应商</w:t>
            </w:r>
            <w:r>
              <w:rPr>
                <w:color w:val="auto"/>
                <w:spacing w:val="3"/>
                <w:highlight w:val="none"/>
              </w:rPr>
              <w:t>；（</w:t>
            </w:r>
            <w:r>
              <w:rPr>
                <w:color w:val="auto"/>
                <w:spacing w:val="10"/>
                <w:highlight w:val="none"/>
              </w:rPr>
              <w:t>2）项目经理要求为供应商本企业人员，须具备建筑工</w:t>
            </w:r>
            <w:r>
              <w:rPr>
                <w:color w:val="auto"/>
                <w:spacing w:val="1"/>
                <w:highlight w:val="none"/>
              </w:rPr>
              <w:t xml:space="preserve"> </w:t>
            </w:r>
            <w:r>
              <w:rPr>
                <w:color w:val="auto"/>
                <w:spacing w:val="7"/>
                <w:highlight w:val="none"/>
              </w:rPr>
              <w:t>程专业注册建造师二级以上（含二级）执业资格和持有有效的省级或省</w:t>
            </w:r>
          </w:p>
          <w:p w14:paraId="3468C9D6">
            <w:pPr>
              <w:pStyle w:val="20"/>
              <w:spacing w:before="36" w:line="377" w:lineRule="auto"/>
              <w:ind w:left="111" w:right="15" w:firstLine="3"/>
              <w:rPr>
                <w:color w:val="auto"/>
                <w:highlight w:val="none"/>
              </w:rPr>
            </w:pPr>
            <w:r>
              <w:rPr>
                <w:color w:val="auto"/>
                <w:highlight w:val="none"/>
              </w:rPr>
              <w:t>级以上建设行政主管部门颁发的《安全生产考核合格证书（建安 B 证）》</w:t>
            </w:r>
            <w:r>
              <w:rPr>
                <w:color w:val="auto"/>
                <w:spacing w:val="7"/>
                <w:highlight w:val="none"/>
              </w:rPr>
              <w:t xml:space="preserve"> 且未在其他在施建设工程项目中任职。拟派本项目专职安全员持有有效</w:t>
            </w:r>
            <w:r>
              <w:rPr>
                <w:color w:val="auto"/>
                <w:highlight w:val="none"/>
              </w:rPr>
              <w:t xml:space="preserve">  </w:t>
            </w:r>
            <w:r>
              <w:rPr>
                <w:color w:val="auto"/>
                <w:spacing w:val="9"/>
                <w:highlight w:val="none"/>
              </w:rPr>
              <w:t>的省级或省级以上建设行政主管部门颁发的《安全生产考核合格证书</w:t>
            </w:r>
            <w:r>
              <w:rPr>
                <w:color w:val="auto"/>
                <w:spacing w:val="6"/>
                <w:highlight w:val="none"/>
              </w:rPr>
              <w:t xml:space="preserve">   （建安C证</w:t>
            </w:r>
            <w:r>
              <w:rPr>
                <w:rFonts w:hint="eastAsia"/>
                <w:color w:val="auto"/>
                <w:spacing w:val="6"/>
                <w:highlight w:val="none"/>
                <w:lang w:val="en-US" w:eastAsia="zh-CN"/>
              </w:rPr>
              <w:t>)</w:t>
            </w:r>
            <w:r>
              <w:rPr>
                <w:color w:val="auto"/>
                <w:spacing w:val="6"/>
                <w:highlight w:val="none"/>
              </w:rPr>
              <w:t>》，人数不少于1人</w:t>
            </w:r>
            <w:r>
              <w:rPr>
                <w:color w:val="auto"/>
                <w:spacing w:val="6"/>
                <w:sz w:val="19"/>
                <w:szCs w:val="19"/>
                <w:highlight w:val="none"/>
              </w:rPr>
              <w:t>。</w:t>
            </w:r>
            <w:r>
              <w:rPr>
                <w:color w:val="auto"/>
                <w:spacing w:val="6"/>
                <w:highlight w:val="none"/>
              </w:rPr>
              <w:t>（</w:t>
            </w:r>
            <w:r>
              <w:rPr>
                <w:b/>
                <w:bCs/>
                <w:color w:val="auto"/>
                <w:spacing w:val="6"/>
                <w:highlight w:val="none"/>
              </w:rPr>
              <w:t>必</w:t>
            </w:r>
            <w:r>
              <w:rPr>
                <w:b/>
                <w:bCs/>
                <w:color w:val="auto"/>
                <w:spacing w:val="5"/>
                <w:highlight w:val="none"/>
              </w:rPr>
              <w:t>须提供，否则按无效响应处</w:t>
            </w:r>
            <w:r>
              <w:rPr>
                <w:b/>
                <w:bCs/>
                <w:color w:val="auto"/>
                <w:spacing w:val="-1"/>
                <w:highlight w:val="none"/>
              </w:rPr>
              <w:t>理</w:t>
            </w:r>
            <w:r>
              <w:rPr>
                <w:color w:val="auto"/>
                <w:spacing w:val="-1"/>
                <w:highlight w:val="none"/>
              </w:rPr>
              <w:t>）</w:t>
            </w:r>
          </w:p>
          <w:p w14:paraId="2681342C">
            <w:pPr>
              <w:pStyle w:val="20"/>
              <w:spacing w:line="227" w:lineRule="auto"/>
              <w:ind w:left="112"/>
              <w:rPr>
                <w:color w:val="auto"/>
                <w:highlight w:val="none"/>
              </w:rPr>
            </w:pPr>
            <w:r>
              <w:rPr>
                <w:color w:val="auto"/>
                <w:spacing w:val="9"/>
                <w:highlight w:val="none"/>
              </w:rPr>
              <w:t>8.中小企业声明函</w:t>
            </w:r>
            <w:r>
              <w:rPr>
                <w:color w:val="auto"/>
                <w:spacing w:val="-3"/>
                <w:highlight w:val="none"/>
              </w:rPr>
              <w:t>；（</w:t>
            </w:r>
            <w:r>
              <w:rPr>
                <w:b/>
                <w:bCs/>
                <w:color w:val="auto"/>
                <w:spacing w:val="9"/>
                <w:highlight w:val="none"/>
              </w:rPr>
              <w:t>必须提供，否则按无效响应处理</w:t>
            </w:r>
            <w:r>
              <w:rPr>
                <w:color w:val="auto"/>
                <w:spacing w:val="9"/>
                <w:highlight w:val="none"/>
              </w:rPr>
              <w:t>）</w:t>
            </w:r>
          </w:p>
          <w:p w14:paraId="55A1B2E6">
            <w:pPr>
              <w:pStyle w:val="20"/>
              <w:spacing w:before="161" w:line="303" w:lineRule="auto"/>
              <w:ind w:left="111" w:right="236"/>
              <w:rPr>
                <w:color w:val="auto"/>
                <w:highlight w:val="none"/>
              </w:rPr>
            </w:pPr>
            <w:r>
              <w:rPr>
                <w:color w:val="auto"/>
                <w:spacing w:val="9"/>
                <w:highlight w:val="none"/>
              </w:rPr>
              <w:t>9.除谈判文件规定必须提供以外，供应商认为需要提供的其他证明材</w:t>
            </w:r>
            <w:r>
              <w:rPr>
                <w:color w:val="auto"/>
                <w:spacing w:val="10"/>
                <w:highlight w:val="none"/>
              </w:rPr>
              <w:t xml:space="preserve"> </w:t>
            </w:r>
            <w:r>
              <w:rPr>
                <w:color w:val="auto"/>
                <w:highlight w:val="none"/>
              </w:rPr>
              <w:t>料；</w:t>
            </w:r>
          </w:p>
          <w:p w14:paraId="0999C465">
            <w:pPr>
              <w:pStyle w:val="20"/>
              <w:spacing w:before="161" w:line="303" w:lineRule="auto"/>
              <w:ind w:left="111" w:right="236"/>
              <w:rPr>
                <w:color w:val="auto"/>
                <w:spacing w:val="10"/>
                <w:highlight w:val="none"/>
              </w:rPr>
            </w:pPr>
            <w:r>
              <w:rPr>
                <w:b/>
                <w:bCs/>
                <w:color w:val="auto"/>
                <w:spacing w:val="-2"/>
                <w:highlight w:val="none"/>
              </w:rPr>
              <w:t>注：</w:t>
            </w:r>
            <w:r>
              <w:rPr>
                <w:b/>
                <w:bCs/>
                <w:color w:val="auto"/>
                <w:spacing w:val="6"/>
                <w:highlight w:val="none"/>
              </w:rPr>
              <w:t>1.以上标明“必须提供</w:t>
            </w:r>
            <w:r>
              <w:rPr>
                <w:color w:val="auto"/>
                <w:spacing w:val="-58"/>
                <w:highlight w:val="none"/>
              </w:rPr>
              <w:t xml:space="preserve"> </w:t>
            </w:r>
            <w:r>
              <w:rPr>
                <w:b/>
                <w:bCs/>
                <w:color w:val="auto"/>
                <w:spacing w:val="6"/>
                <w:highlight w:val="none"/>
              </w:rPr>
              <w:t>”的材料属于复印件的扫描件的，必须加</w:t>
            </w:r>
            <w:r>
              <w:rPr>
                <w:color w:val="auto"/>
                <w:highlight w:val="none"/>
              </w:rPr>
              <w:t xml:space="preserve"> </w:t>
            </w:r>
            <w:r>
              <w:rPr>
                <w:b/>
                <w:bCs/>
                <w:color w:val="auto"/>
                <w:spacing w:val="7"/>
                <w:highlight w:val="none"/>
              </w:rPr>
              <w:t>盖供应商电子公章，</w:t>
            </w:r>
            <w:r>
              <w:rPr>
                <w:rFonts w:hint="eastAsia"/>
                <w:b/>
                <w:bCs/>
                <w:color w:val="auto"/>
                <w:spacing w:val="7"/>
                <w:highlight w:val="none"/>
                <w:lang w:eastAsia="zh-CN"/>
              </w:rPr>
              <w:t>否则按无效响应处理</w:t>
            </w:r>
            <w:r>
              <w:rPr>
                <w:b/>
                <w:bCs/>
                <w:color w:val="auto"/>
                <w:spacing w:val="7"/>
                <w:highlight w:val="none"/>
              </w:rPr>
              <w:t>。</w:t>
            </w:r>
          </w:p>
        </w:tc>
      </w:tr>
      <w:tr w14:paraId="46C18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1" w:hRule="atLeast"/>
        </w:trPr>
        <w:tc>
          <w:tcPr>
            <w:tcW w:w="847" w:type="dxa"/>
            <w:vAlign w:val="top"/>
          </w:tcPr>
          <w:p w14:paraId="5DC07CB5">
            <w:pPr>
              <w:pStyle w:val="20"/>
              <w:spacing w:before="65" w:line="269" w:lineRule="exact"/>
              <w:ind w:left="138"/>
              <w:rPr>
                <w:color w:val="auto"/>
                <w:spacing w:val="1"/>
                <w:position w:val="1"/>
                <w:highlight w:val="none"/>
              </w:rPr>
            </w:pPr>
          </w:p>
        </w:tc>
        <w:tc>
          <w:tcPr>
            <w:tcW w:w="2258" w:type="dxa"/>
            <w:vMerge w:val="continue"/>
            <w:vAlign w:val="top"/>
          </w:tcPr>
          <w:p w14:paraId="191177ED">
            <w:pPr>
              <w:pStyle w:val="20"/>
              <w:spacing w:before="65" w:line="228" w:lineRule="auto"/>
              <w:ind w:left="382"/>
              <w:rPr>
                <w:b/>
                <w:bCs/>
                <w:color w:val="auto"/>
                <w:spacing w:val="6"/>
                <w:highlight w:val="none"/>
              </w:rPr>
            </w:pPr>
          </w:p>
        </w:tc>
        <w:tc>
          <w:tcPr>
            <w:tcW w:w="6829" w:type="dxa"/>
            <w:vMerge w:val="continue"/>
            <w:vAlign w:val="top"/>
          </w:tcPr>
          <w:p w14:paraId="2D65F174">
            <w:pPr>
              <w:pStyle w:val="20"/>
              <w:spacing w:before="161" w:line="303" w:lineRule="auto"/>
              <w:ind w:left="111" w:right="236"/>
              <w:rPr>
                <w:color w:val="auto"/>
                <w:spacing w:val="10"/>
                <w:highlight w:val="none"/>
              </w:rPr>
            </w:pPr>
          </w:p>
        </w:tc>
      </w:tr>
      <w:tr w14:paraId="3153A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47" w:type="dxa"/>
            <w:shd w:val="clear" w:color="auto" w:fill="auto"/>
            <w:vAlign w:val="top"/>
          </w:tcPr>
          <w:p w14:paraId="7800693E">
            <w:pPr>
              <w:spacing w:line="242" w:lineRule="auto"/>
              <w:rPr>
                <w:rFonts w:ascii="Arial"/>
                <w:color w:val="auto"/>
                <w:sz w:val="21"/>
                <w:highlight w:val="none"/>
              </w:rPr>
            </w:pPr>
          </w:p>
          <w:p w14:paraId="6076B999">
            <w:pPr>
              <w:spacing w:line="242" w:lineRule="auto"/>
              <w:rPr>
                <w:rFonts w:ascii="Arial"/>
                <w:color w:val="auto"/>
                <w:sz w:val="21"/>
                <w:highlight w:val="none"/>
              </w:rPr>
            </w:pPr>
          </w:p>
          <w:p w14:paraId="7D064CBE">
            <w:pPr>
              <w:spacing w:line="242" w:lineRule="auto"/>
              <w:rPr>
                <w:rFonts w:ascii="Arial"/>
                <w:color w:val="auto"/>
                <w:sz w:val="21"/>
                <w:highlight w:val="none"/>
              </w:rPr>
            </w:pPr>
          </w:p>
          <w:p w14:paraId="34849B8D">
            <w:pPr>
              <w:spacing w:line="242" w:lineRule="auto"/>
              <w:rPr>
                <w:rFonts w:ascii="Arial"/>
                <w:color w:val="auto"/>
                <w:sz w:val="21"/>
                <w:highlight w:val="none"/>
              </w:rPr>
            </w:pPr>
          </w:p>
          <w:p w14:paraId="0297D7A8">
            <w:pPr>
              <w:spacing w:line="242" w:lineRule="auto"/>
              <w:rPr>
                <w:rFonts w:ascii="Arial"/>
                <w:color w:val="auto"/>
                <w:sz w:val="21"/>
                <w:highlight w:val="none"/>
              </w:rPr>
            </w:pPr>
          </w:p>
          <w:p w14:paraId="5AD528E8">
            <w:pPr>
              <w:spacing w:line="242" w:lineRule="auto"/>
              <w:rPr>
                <w:rFonts w:ascii="Arial"/>
                <w:color w:val="auto"/>
                <w:sz w:val="21"/>
                <w:highlight w:val="none"/>
              </w:rPr>
            </w:pPr>
          </w:p>
          <w:p w14:paraId="078AB45D">
            <w:pPr>
              <w:spacing w:line="242" w:lineRule="auto"/>
              <w:rPr>
                <w:rFonts w:ascii="Arial"/>
                <w:color w:val="auto"/>
                <w:sz w:val="21"/>
                <w:highlight w:val="none"/>
              </w:rPr>
            </w:pPr>
          </w:p>
          <w:p w14:paraId="1C049D08">
            <w:pPr>
              <w:spacing w:line="242" w:lineRule="auto"/>
              <w:rPr>
                <w:rFonts w:ascii="Arial"/>
                <w:color w:val="auto"/>
                <w:sz w:val="21"/>
                <w:highlight w:val="none"/>
              </w:rPr>
            </w:pPr>
          </w:p>
          <w:p w14:paraId="3C7C2461">
            <w:pPr>
              <w:spacing w:line="242" w:lineRule="auto"/>
              <w:rPr>
                <w:rFonts w:ascii="Arial"/>
                <w:color w:val="auto"/>
                <w:sz w:val="21"/>
                <w:highlight w:val="none"/>
              </w:rPr>
            </w:pPr>
          </w:p>
          <w:p w14:paraId="59AD957D">
            <w:pPr>
              <w:spacing w:line="242" w:lineRule="auto"/>
              <w:rPr>
                <w:rFonts w:ascii="Arial"/>
                <w:color w:val="auto"/>
                <w:sz w:val="21"/>
                <w:highlight w:val="none"/>
              </w:rPr>
            </w:pPr>
          </w:p>
          <w:p w14:paraId="12F89E26">
            <w:pPr>
              <w:spacing w:line="242" w:lineRule="auto"/>
              <w:rPr>
                <w:rFonts w:ascii="Arial"/>
                <w:color w:val="auto"/>
                <w:sz w:val="21"/>
                <w:highlight w:val="none"/>
              </w:rPr>
            </w:pPr>
          </w:p>
          <w:p w14:paraId="020594B7">
            <w:pPr>
              <w:spacing w:line="242" w:lineRule="auto"/>
              <w:rPr>
                <w:rFonts w:ascii="Arial"/>
                <w:color w:val="auto"/>
                <w:sz w:val="21"/>
                <w:highlight w:val="none"/>
              </w:rPr>
            </w:pPr>
          </w:p>
          <w:p w14:paraId="5886AF6B">
            <w:pPr>
              <w:spacing w:line="242" w:lineRule="auto"/>
              <w:rPr>
                <w:rFonts w:ascii="Arial"/>
                <w:color w:val="auto"/>
                <w:sz w:val="21"/>
                <w:highlight w:val="none"/>
              </w:rPr>
            </w:pPr>
          </w:p>
          <w:p w14:paraId="2DA89BEE">
            <w:pPr>
              <w:spacing w:line="243" w:lineRule="auto"/>
              <w:rPr>
                <w:rFonts w:ascii="Arial"/>
                <w:color w:val="auto"/>
                <w:sz w:val="21"/>
                <w:highlight w:val="none"/>
              </w:rPr>
            </w:pPr>
          </w:p>
          <w:p w14:paraId="58158F7F">
            <w:pPr>
              <w:spacing w:line="243" w:lineRule="auto"/>
              <w:rPr>
                <w:rFonts w:ascii="Arial"/>
                <w:color w:val="auto"/>
                <w:sz w:val="21"/>
                <w:highlight w:val="none"/>
              </w:rPr>
            </w:pPr>
          </w:p>
          <w:p w14:paraId="083A1BDD">
            <w:pPr>
              <w:spacing w:line="243" w:lineRule="auto"/>
              <w:rPr>
                <w:rFonts w:ascii="Arial"/>
                <w:color w:val="auto"/>
                <w:sz w:val="21"/>
                <w:highlight w:val="none"/>
              </w:rPr>
            </w:pPr>
          </w:p>
          <w:p w14:paraId="3EA61F92">
            <w:pPr>
              <w:spacing w:line="243" w:lineRule="auto"/>
              <w:rPr>
                <w:rFonts w:ascii="Arial"/>
                <w:color w:val="auto"/>
                <w:sz w:val="21"/>
                <w:highlight w:val="none"/>
              </w:rPr>
            </w:pPr>
          </w:p>
          <w:p w14:paraId="0796A8CC">
            <w:pPr>
              <w:spacing w:line="243" w:lineRule="auto"/>
              <w:rPr>
                <w:rFonts w:ascii="Arial"/>
                <w:color w:val="auto"/>
                <w:sz w:val="21"/>
                <w:highlight w:val="none"/>
              </w:rPr>
            </w:pPr>
          </w:p>
          <w:p w14:paraId="3BE4E663">
            <w:pPr>
              <w:spacing w:line="243" w:lineRule="auto"/>
              <w:rPr>
                <w:rFonts w:ascii="Arial"/>
                <w:color w:val="auto"/>
                <w:sz w:val="21"/>
                <w:highlight w:val="none"/>
              </w:rPr>
            </w:pPr>
          </w:p>
          <w:p w14:paraId="1B26E5F6">
            <w:pPr>
              <w:spacing w:line="243" w:lineRule="auto"/>
              <w:rPr>
                <w:rFonts w:ascii="Arial"/>
                <w:color w:val="auto"/>
                <w:sz w:val="21"/>
                <w:highlight w:val="none"/>
              </w:rPr>
            </w:pPr>
          </w:p>
          <w:p w14:paraId="76CC76C8">
            <w:pPr>
              <w:pStyle w:val="20"/>
              <w:spacing w:before="65" w:line="268" w:lineRule="exact"/>
              <w:ind w:left="138" w:leftChars="0"/>
              <w:rPr>
                <w:rFonts w:ascii="宋体" w:hAnsi="宋体" w:eastAsia="宋体" w:cs="宋体"/>
                <w:snapToGrid w:val="0"/>
                <w:color w:val="auto"/>
                <w:kern w:val="0"/>
                <w:sz w:val="20"/>
                <w:szCs w:val="20"/>
                <w:highlight w:val="none"/>
                <w:lang w:val="en-US" w:eastAsia="en-US" w:bidi="ar-SA"/>
              </w:rPr>
            </w:pPr>
            <w:r>
              <w:rPr>
                <w:color w:val="auto"/>
                <w:spacing w:val="1"/>
                <w:position w:val="1"/>
                <w:highlight w:val="none"/>
              </w:rPr>
              <w:t>12.1.2</w:t>
            </w:r>
          </w:p>
        </w:tc>
        <w:tc>
          <w:tcPr>
            <w:tcW w:w="2258" w:type="dxa"/>
            <w:shd w:val="clear" w:color="auto" w:fill="auto"/>
            <w:vAlign w:val="top"/>
          </w:tcPr>
          <w:p w14:paraId="6808A0BA">
            <w:pPr>
              <w:spacing w:line="242" w:lineRule="auto"/>
              <w:rPr>
                <w:rFonts w:ascii="Arial"/>
                <w:color w:val="auto"/>
                <w:sz w:val="21"/>
                <w:highlight w:val="none"/>
              </w:rPr>
            </w:pPr>
          </w:p>
          <w:p w14:paraId="6823CA84">
            <w:pPr>
              <w:spacing w:line="242" w:lineRule="auto"/>
              <w:rPr>
                <w:rFonts w:ascii="Arial"/>
                <w:color w:val="auto"/>
                <w:sz w:val="21"/>
                <w:highlight w:val="none"/>
              </w:rPr>
            </w:pPr>
          </w:p>
          <w:p w14:paraId="28D7A952">
            <w:pPr>
              <w:spacing w:line="242" w:lineRule="auto"/>
              <w:rPr>
                <w:rFonts w:ascii="Arial"/>
                <w:color w:val="auto"/>
                <w:sz w:val="21"/>
                <w:highlight w:val="none"/>
              </w:rPr>
            </w:pPr>
          </w:p>
          <w:p w14:paraId="4C3CDDC7">
            <w:pPr>
              <w:spacing w:line="242" w:lineRule="auto"/>
              <w:rPr>
                <w:rFonts w:ascii="Arial"/>
                <w:color w:val="auto"/>
                <w:sz w:val="21"/>
                <w:highlight w:val="none"/>
              </w:rPr>
            </w:pPr>
          </w:p>
          <w:p w14:paraId="1DAD8DB2">
            <w:pPr>
              <w:spacing w:line="242" w:lineRule="auto"/>
              <w:rPr>
                <w:rFonts w:ascii="Arial"/>
                <w:color w:val="auto"/>
                <w:sz w:val="21"/>
                <w:highlight w:val="none"/>
              </w:rPr>
            </w:pPr>
          </w:p>
          <w:p w14:paraId="7ED5B029">
            <w:pPr>
              <w:spacing w:line="242" w:lineRule="auto"/>
              <w:rPr>
                <w:rFonts w:ascii="Arial"/>
                <w:color w:val="auto"/>
                <w:sz w:val="21"/>
                <w:highlight w:val="none"/>
              </w:rPr>
            </w:pPr>
          </w:p>
          <w:p w14:paraId="2E51CA62">
            <w:pPr>
              <w:spacing w:line="242" w:lineRule="auto"/>
              <w:rPr>
                <w:rFonts w:ascii="Arial"/>
                <w:color w:val="auto"/>
                <w:sz w:val="21"/>
                <w:highlight w:val="none"/>
              </w:rPr>
            </w:pPr>
          </w:p>
          <w:p w14:paraId="238E4726">
            <w:pPr>
              <w:spacing w:line="242" w:lineRule="auto"/>
              <w:rPr>
                <w:rFonts w:ascii="Arial"/>
                <w:color w:val="auto"/>
                <w:sz w:val="21"/>
                <w:highlight w:val="none"/>
              </w:rPr>
            </w:pPr>
          </w:p>
          <w:p w14:paraId="57D7AD76">
            <w:pPr>
              <w:spacing w:line="242" w:lineRule="auto"/>
              <w:rPr>
                <w:rFonts w:ascii="Arial"/>
                <w:color w:val="auto"/>
                <w:sz w:val="21"/>
                <w:highlight w:val="none"/>
              </w:rPr>
            </w:pPr>
          </w:p>
          <w:p w14:paraId="4C827B45">
            <w:pPr>
              <w:spacing w:line="242" w:lineRule="auto"/>
              <w:rPr>
                <w:rFonts w:ascii="Arial"/>
                <w:color w:val="auto"/>
                <w:sz w:val="21"/>
                <w:highlight w:val="none"/>
              </w:rPr>
            </w:pPr>
          </w:p>
          <w:p w14:paraId="39719BDB">
            <w:pPr>
              <w:spacing w:line="242" w:lineRule="auto"/>
              <w:rPr>
                <w:rFonts w:ascii="Arial"/>
                <w:color w:val="auto"/>
                <w:sz w:val="21"/>
                <w:highlight w:val="none"/>
              </w:rPr>
            </w:pPr>
          </w:p>
          <w:p w14:paraId="10A473CA">
            <w:pPr>
              <w:spacing w:line="242" w:lineRule="auto"/>
              <w:rPr>
                <w:rFonts w:ascii="Arial"/>
                <w:color w:val="auto"/>
                <w:sz w:val="21"/>
                <w:highlight w:val="none"/>
              </w:rPr>
            </w:pPr>
          </w:p>
          <w:p w14:paraId="30E4A611">
            <w:pPr>
              <w:spacing w:line="242" w:lineRule="auto"/>
              <w:rPr>
                <w:rFonts w:ascii="Arial"/>
                <w:color w:val="auto"/>
                <w:sz w:val="21"/>
                <w:highlight w:val="none"/>
              </w:rPr>
            </w:pPr>
          </w:p>
          <w:p w14:paraId="37E8737E">
            <w:pPr>
              <w:spacing w:line="243" w:lineRule="auto"/>
              <w:rPr>
                <w:rFonts w:ascii="Arial"/>
                <w:color w:val="auto"/>
                <w:sz w:val="21"/>
                <w:highlight w:val="none"/>
              </w:rPr>
            </w:pPr>
          </w:p>
          <w:p w14:paraId="5285477B">
            <w:pPr>
              <w:spacing w:line="243" w:lineRule="auto"/>
              <w:rPr>
                <w:rFonts w:ascii="Arial"/>
                <w:color w:val="auto"/>
                <w:sz w:val="21"/>
                <w:highlight w:val="none"/>
              </w:rPr>
            </w:pPr>
          </w:p>
          <w:p w14:paraId="7B833B66">
            <w:pPr>
              <w:spacing w:line="243" w:lineRule="auto"/>
              <w:rPr>
                <w:rFonts w:ascii="Arial"/>
                <w:color w:val="auto"/>
                <w:sz w:val="21"/>
                <w:highlight w:val="none"/>
              </w:rPr>
            </w:pPr>
          </w:p>
          <w:p w14:paraId="05EEC2A2">
            <w:pPr>
              <w:spacing w:line="243" w:lineRule="auto"/>
              <w:rPr>
                <w:rFonts w:ascii="Arial"/>
                <w:color w:val="auto"/>
                <w:sz w:val="21"/>
                <w:highlight w:val="none"/>
              </w:rPr>
            </w:pPr>
          </w:p>
          <w:p w14:paraId="146614AE">
            <w:pPr>
              <w:spacing w:line="243" w:lineRule="auto"/>
              <w:rPr>
                <w:rFonts w:ascii="Arial"/>
                <w:color w:val="auto"/>
                <w:sz w:val="21"/>
                <w:highlight w:val="none"/>
              </w:rPr>
            </w:pPr>
          </w:p>
          <w:p w14:paraId="106F1A56">
            <w:pPr>
              <w:spacing w:line="243" w:lineRule="auto"/>
              <w:rPr>
                <w:rFonts w:ascii="Arial"/>
                <w:color w:val="auto"/>
                <w:sz w:val="21"/>
                <w:highlight w:val="none"/>
              </w:rPr>
            </w:pPr>
          </w:p>
          <w:p w14:paraId="01393459">
            <w:pPr>
              <w:spacing w:line="243" w:lineRule="auto"/>
              <w:rPr>
                <w:rFonts w:ascii="Arial"/>
                <w:color w:val="auto"/>
                <w:sz w:val="21"/>
                <w:highlight w:val="none"/>
              </w:rPr>
            </w:pPr>
          </w:p>
          <w:p w14:paraId="4AF16501">
            <w:pPr>
              <w:pStyle w:val="20"/>
              <w:spacing w:before="65" w:line="228" w:lineRule="auto"/>
              <w:ind w:left="588" w:leftChars="0"/>
              <w:rPr>
                <w:rFonts w:ascii="宋体" w:hAnsi="宋体" w:eastAsia="宋体" w:cs="宋体"/>
                <w:snapToGrid w:val="0"/>
                <w:color w:val="auto"/>
                <w:kern w:val="0"/>
                <w:sz w:val="20"/>
                <w:szCs w:val="20"/>
                <w:highlight w:val="none"/>
                <w:lang w:val="en-US" w:eastAsia="en-US" w:bidi="ar-SA"/>
              </w:rPr>
            </w:pPr>
            <w:r>
              <w:rPr>
                <w:b/>
                <w:bCs/>
                <w:color w:val="auto"/>
                <w:spacing w:val="6"/>
                <w:highlight w:val="none"/>
              </w:rPr>
              <w:t>商务技术文件</w:t>
            </w:r>
          </w:p>
        </w:tc>
        <w:tc>
          <w:tcPr>
            <w:tcW w:w="6829" w:type="dxa"/>
            <w:shd w:val="clear" w:color="auto" w:fill="auto"/>
            <w:vAlign w:val="top"/>
          </w:tcPr>
          <w:p w14:paraId="729581DF">
            <w:pPr>
              <w:pStyle w:val="20"/>
              <w:spacing w:before="142" w:line="303" w:lineRule="auto"/>
              <w:ind w:left="114" w:right="108" w:firstLine="12"/>
              <w:rPr>
                <w:color w:val="auto"/>
                <w:highlight w:val="none"/>
              </w:rPr>
            </w:pPr>
            <w:r>
              <w:rPr>
                <w:color w:val="auto"/>
                <w:spacing w:val="8"/>
                <w:highlight w:val="none"/>
              </w:rPr>
              <w:t>1.无串通竞标行为的承诺函</w:t>
            </w:r>
            <w:r>
              <w:rPr>
                <w:color w:val="auto"/>
                <w:spacing w:val="-37"/>
                <w:highlight w:val="none"/>
              </w:rPr>
              <w:t>；（</w:t>
            </w:r>
            <w:r>
              <w:rPr>
                <w:rFonts w:hint="eastAsia"/>
                <w:b/>
                <w:bCs/>
                <w:color w:val="auto"/>
                <w:spacing w:val="8"/>
                <w:highlight w:val="none"/>
                <w:lang w:eastAsia="zh-CN"/>
              </w:rPr>
              <w:t>必须提供，否则按无效响应处理</w:t>
            </w:r>
            <w:r>
              <w:rPr>
                <w:color w:val="auto"/>
                <w:spacing w:val="-2"/>
                <w:highlight w:val="none"/>
              </w:rPr>
              <w:t>）</w:t>
            </w:r>
          </w:p>
          <w:p w14:paraId="5CF3E9C1">
            <w:pPr>
              <w:pStyle w:val="20"/>
              <w:spacing w:before="142" w:line="299" w:lineRule="auto"/>
              <w:ind w:left="145" w:right="108" w:hanging="31"/>
              <w:rPr>
                <w:color w:val="auto"/>
                <w:highlight w:val="none"/>
              </w:rPr>
            </w:pPr>
            <w:r>
              <w:rPr>
                <w:color w:val="auto"/>
                <w:spacing w:val="10"/>
                <w:highlight w:val="none"/>
              </w:rPr>
              <w:t>2.法定代表人身份证明书及法定代表人有效身份证正反面复印件</w:t>
            </w:r>
            <w:r>
              <w:rPr>
                <w:color w:val="auto"/>
                <w:spacing w:val="-44"/>
                <w:highlight w:val="none"/>
              </w:rPr>
              <w:t>；（</w:t>
            </w:r>
            <w:r>
              <w:rPr>
                <w:b/>
                <w:bCs/>
                <w:color w:val="auto"/>
                <w:spacing w:val="10"/>
                <w:highlight w:val="none"/>
              </w:rPr>
              <w:t>除</w:t>
            </w:r>
            <w:r>
              <w:rPr>
                <w:color w:val="auto"/>
                <w:spacing w:val="1"/>
                <w:highlight w:val="none"/>
              </w:rPr>
              <w:t xml:space="preserve"> </w:t>
            </w:r>
            <w:r>
              <w:rPr>
                <w:b/>
                <w:bCs/>
                <w:color w:val="auto"/>
                <w:spacing w:val="6"/>
                <w:highlight w:val="none"/>
              </w:rPr>
              <w:t>自然人竞标外必须提供，</w:t>
            </w:r>
            <w:r>
              <w:rPr>
                <w:rFonts w:hint="eastAsia"/>
                <w:b/>
                <w:bCs/>
                <w:color w:val="auto"/>
                <w:spacing w:val="6"/>
                <w:highlight w:val="none"/>
                <w:lang w:eastAsia="zh-CN"/>
              </w:rPr>
              <w:t>否则按无效响应处理</w:t>
            </w:r>
            <w:r>
              <w:rPr>
                <w:color w:val="auto"/>
                <w:spacing w:val="6"/>
                <w:highlight w:val="none"/>
              </w:rPr>
              <w:t>）</w:t>
            </w:r>
          </w:p>
          <w:p w14:paraId="08283504">
            <w:pPr>
              <w:pStyle w:val="20"/>
              <w:spacing w:before="151" w:line="299" w:lineRule="auto"/>
              <w:ind w:left="111" w:right="108" w:firstLine="4"/>
              <w:rPr>
                <w:color w:val="auto"/>
                <w:highlight w:val="none"/>
              </w:rPr>
            </w:pPr>
            <w:r>
              <w:rPr>
                <w:color w:val="auto"/>
                <w:spacing w:val="10"/>
                <w:highlight w:val="none"/>
              </w:rPr>
              <w:t>3.法定代表人授权委托书及委托代理人有效身份证正反面复印件</w:t>
            </w:r>
            <w:r>
              <w:rPr>
                <w:color w:val="auto"/>
                <w:spacing w:val="-45"/>
                <w:highlight w:val="none"/>
              </w:rPr>
              <w:t>；（</w:t>
            </w:r>
            <w:r>
              <w:rPr>
                <w:b/>
                <w:bCs/>
                <w:color w:val="auto"/>
                <w:spacing w:val="10"/>
                <w:highlight w:val="none"/>
              </w:rPr>
              <w:t>委</w:t>
            </w:r>
            <w:r>
              <w:rPr>
                <w:color w:val="auto"/>
                <w:spacing w:val="1"/>
                <w:highlight w:val="none"/>
              </w:rPr>
              <w:t xml:space="preserve"> </w:t>
            </w:r>
            <w:r>
              <w:rPr>
                <w:b/>
                <w:bCs/>
                <w:color w:val="auto"/>
                <w:spacing w:val="7"/>
                <w:highlight w:val="none"/>
              </w:rPr>
              <w:t>托时必须提供，</w:t>
            </w:r>
            <w:r>
              <w:rPr>
                <w:rFonts w:hint="eastAsia"/>
                <w:b/>
                <w:bCs/>
                <w:color w:val="auto"/>
                <w:spacing w:val="7"/>
                <w:highlight w:val="none"/>
                <w:lang w:eastAsia="zh-CN"/>
              </w:rPr>
              <w:t>否则按无效响应处理</w:t>
            </w:r>
            <w:r>
              <w:rPr>
                <w:color w:val="auto"/>
                <w:spacing w:val="7"/>
                <w:highlight w:val="none"/>
              </w:rPr>
              <w:t>）</w:t>
            </w:r>
          </w:p>
          <w:p w14:paraId="431F6019">
            <w:pPr>
              <w:pStyle w:val="20"/>
              <w:spacing w:before="153" w:line="228" w:lineRule="auto"/>
              <w:ind w:left="111"/>
              <w:rPr>
                <w:color w:val="auto"/>
                <w:highlight w:val="none"/>
              </w:rPr>
            </w:pPr>
            <w:r>
              <w:rPr>
                <w:color w:val="auto"/>
                <w:spacing w:val="9"/>
                <w:highlight w:val="none"/>
              </w:rPr>
              <w:t>4.商务条款偏离表</w:t>
            </w:r>
            <w:r>
              <w:rPr>
                <w:color w:val="auto"/>
                <w:spacing w:val="-4"/>
                <w:highlight w:val="none"/>
              </w:rPr>
              <w:t>；（</w:t>
            </w:r>
            <w:r>
              <w:rPr>
                <w:b/>
                <w:bCs/>
                <w:color w:val="auto"/>
                <w:spacing w:val="9"/>
                <w:highlight w:val="none"/>
              </w:rPr>
              <w:t>必须提供，</w:t>
            </w:r>
            <w:r>
              <w:rPr>
                <w:rFonts w:hint="eastAsia"/>
                <w:b/>
                <w:bCs/>
                <w:color w:val="auto"/>
                <w:spacing w:val="9"/>
                <w:highlight w:val="none"/>
                <w:lang w:eastAsia="zh-CN"/>
              </w:rPr>
              <w:t>否则按无效响应处理</w:t>
            </w:r>
            <w:r>
              <w:rPr>
                <w:color w:val="auto"/>
                <w:spacing w:val="9"/>
                <w:highlight w:val="none"/>
              </w:rPr>
              <w:t>）</w:t>
            </w:r>
          </w:p>
          <w:p w14:paraId="54439E8E">
            <w:pPr>
              <w:pStyle w:val="20"/>
              <w:spacing w:before="151" w:line="228" w:lineRule="auto"/>
              <w:ind w:left="116"/>
              <w:rPr>
                <w:color w:val="auto"/>
                <w:highlight w:val="none"/>
              </w:rPr>
            </w:pPr>
            <w:r>
              <w:rPr>
                <w:color w:val="auto"/>
                <w:spacing w:val="9"/>
                <w:highlight w:val="none"/>
              </w:rPr>
              <w:t>5.企业概况表</w:t>
            </w:r>
            <w:r>
              <w:rPr>
                <w:color w:val="auto"/>
                <w:spacing w:val="-7"/>
                <w:highlight w:val="none"/>
              </w:rPr>
              <w:t>；</w:t>
            </w:r>
            <w:r>
              <w:rPr>
                <w:b/>
                <w:bCs/>
                <w:color w:val="auto"/>
                <w:spacing w:val="-7"/>
                <w:highlight w:val="none"/>
              </w:rPr>
              <w:t>（</w:t>
            </w:r>
            <w:r>
              <w:rPr>
                <w:b/>
                <w:bCs/>
                <w:color w:val="auto"/>
                <w:spacing w:val="9"/>
                <w:highlight w:val="none"/>
              </w:rPr>
              <w:t>必须提供，</w:t>
            </w:r>
            <w:r>
              <w:rPr>
                <w:rFonts w:hint="eastAsia"/>
                <w:b/>
                <w:bCs/>
                <w:color w:val="auto"/>
                <w:spacing w:val="9"/>
                <w:highlight w:val="none"/>
                <w:lang w:eastAsia="zh-CN"/>
              </w:rPr>
              <w:t>否则按无效响应处理</w:t>
            </w:r>
            <w:r>
              <w:rPr>
                <w:b/>
                <w:bCs/>
                <w:color w:val="auto"/>
                <w:spacing w:val="8"/>
                <w:highlight w:val="none"/>
              </w:rPr>
              <w:t>）</w:t>
            </w:r>
          </w:p>
          <w:p w14:paraId="240BCB02">
            <w:pPr>
              <w:pStyle w:val="20"/>
              <w:spacing w:before="153" w:line="228" w:lineRule="auto"/>
              <w:ind w:left="113"/>
              <w:rPr>
                <w:color w:val="auto"/>
                <w:highlight w:val="none"/>
              </w:rPr>
            </w:pPr>
            <w:r>
              <w:rPr>
                <w:color w:val="auto"/>
                <w:spacing w:val="9"/>
                <w:highlight w:val="none"/>
              </w:rPr>
              <w:t>6.供应商类似的业绩证明文件</w:t>
            </w:r>
            <w:r>
              <w:rPr>
                <w:color w:val="auto"/>
                <w:spacing w:val="-2"/>
                <w:highlight w:val="none"/>
              </w:rPr>
              <w:t>；</w:t>
            </w:r>
            <w:r>
              <w:rPr>
                <w:b/>
                <w:bCs/>
                <w:color w:val="auto"/>
                <w:spacing w:val="-2"/>
                <w:highlight w:val="none"/>
              </w:rPr>
              <w:t>（</w:t>
            </w:r>
            <w:r>
              <w:rPr>
                <w:b/>
                <w:bCs/>
                <w:color w:val="auto"/>
                <w:spacing w:val="9"/>
                <w:highlight w:val="none"/>
              </w:rPr>
              <w:t>如有，请提供）</w:t>
            </w:r>
          </w:p>
          <w:p w14:paraId="7DC5ED22">
            <w:pPr>
              <w:pStyle w:val="20"/>
              <w:spacing w:before="154" w:line="228" w:lineRule="auto"/>
              <w:ind w:left="116"/>
              <w:rPr>
                <w:color w:val="auto"/>
                <w:highlight w:val="none"/>
              </w:rPr>
            </w:pPr>
            <w:r>
              <w:rPr>
                <w:color w:val="auto"/>
                <w:spacing w:val="9"/>
                <w:highlight w:val="none"/>
              </w:rPr>
              <w:t>7.技术需求偏离表</w:t>
            </w:r>
            <w:r>
              <w:rPr>
                <w:color w:val="auto"/>
                <w:spacing w:val="-6"/>
                <w:highlight w:val="none"/>
              </w:rPr>
              <w:t>；</w:t>
            </w:r>
            <w:r>
              <w:rPr>
                <w:b/>
                <w:bCs/>
                <w:color w:val="auto"/>
                <w:spacing w:val="-6"/>
                <w:highlight w:val="none"/>
              </w:rPr>
              <w:t>（</w:t>
            </w:r>
            <w:r>
              <w:rPr>
                <w:b/>
                <w:bCs/>
                <w:color w:val="auto"/>
                <w:spacing w:val="9"/>
                <w:highlight w:val="none"/>
              </w:rPr>
              <w:t>必须提供，</w:t>
            </w:r>
            <w:r>
              <w:rPr>
                <w:rFonts w:hint="eastAsia"/>
                <w:b/>
                <w:bCs/>
                <w:color w:val="auto"/>
                <w:spacing w:val="9"/>
                <w:highlight w:val="none"/>
                <w:lang w:eastAsia="zh-CN"/>
              </w:rPr>
              <w:t>否则按无效响应处理</w:t>
            </w:r>
            <w:r>
              <w:rPr>
                <w:b/>
                <w:bCs/>
                <w:color w:val="auto"/>
                <w:spacing w:val="8"/>
                <w:highlight w:val="none"/>
              </w:rPr>
              <w:t>）</w:t>
            </w:r>
          </w:p>
          <w:p w14:paraId="414D1C4B">
            <w:pPr>
              <w:pStyle w:val="20"/>
              <w:spacing w:before="151" w:line="228" w:lineRule="auto"/>
              <w:ind w:left="112"/>
              <w:rPr>
                <w:color w:val="auto"/>
                <w:highlight w:val="none"/>
              </w:rPr>
            </w:pPr>
            <w:r>
              <w:rPr>
                <w:color w:val="auto"/>
                <w:spacing w:val="9"/>
                <w:highlight w:val="none"/>
              </w:rPr>
              <w:t>8.施工组织设计</w:t>
            </w:r>
            <w:r>
              <w:rPr>
                <w:color w:val="auto"/>
                <w:spacing w:val="-6"/>
                <w:highlight w:val="none"/>
              </w:rPr>
              <w:t>；</w:t>
            </w:r>
            <w:r>
              <w:rPr>
                <w:b/>
                <w:bCs/>
                <w:color w:val="auto"/>
                <w:spacing w:val="-6"/>
                <w:highlight w:val="none"/>
              </w:rPr>
              <w:t>（</w:t>
            </w:r>
            <w:r>
              <w:rPr>
                <w:b/>
                <w:bCs/>
                <w:color w:val="auto"/>
                <w:spacing w:val="9"/>
                <w:highlight w:val="none"/>
              </w:rPr>
              <w:t>必须提供，</w:t>
            </w:r>
            <w:r>
              <w:rPr>
                <w:rFonts w:hint="eastAsia"/>
                <w:b/>
                <w:bCs/>
                <w:color w:val="auto"/>
                <w:spacing w:val="9"/>
                <w:highlight w:val="none"/>
                <w:lang w:eastAsia="zh-CN"/>
              </w:rPr>
              <w:t>否则按无效响应处理</w:t>
            </w:r>
            <w:r>
              <w:rPr>
                <w:b/>
                <w:bCs/>
                <w:color w:val="auto"/>
                <w:spacing w:val="9"/>
                <w:highlight w:val="none"/>
              </w:rPr>
              <w:t>）</w:t>
            </w:r>
          </w:p>
          <w:p w14:paraId="18A3D829">
            <w:pPr>
              <w:pStyle w:val="20"/>
              <w:spacing w:before="154" w:line="299" w:lineRule="auto"/>
              <w:ind w:left="112" w:right="111"/>
              <w:rPr>
                <w:color w:val="auto"/>
                <w:highlight w:val="none"/>
              </w:rPr>
            </w:pPr>
            <w:r>
              <w:rPr>
                <w:color w:val="auto"/>
                <w:spacing w:val="20"/>
                <w:highlight w:val="none"/>
              </w:rPr>
              <w:t>9.项目管理机构及主要人员简历表（格式后附</w:t>
            </w:r>
            <w:r>
              <w:rPr>
                <w:rFonts w:hint="eastAsia"/>
                <w:color w:val="auto"/>
                <w:spacing w:val="20"/>
                <w:highlight w:val="none"/>
                <w:lang w:eastAsia="zh-CN"/>
              </w:rPr>
              <w:t>）；</w:t>
            </w:r>
            <w:r>
              <w:rPr>
                <w:b/>
                <w:bCs/>
                <w:color w:val="auto"/>
                <w:spacing w:val="-6"/>
                <w:highlight w:val="none"/>
              </w:rPr>
              <w:t>（</w:t>
            </w:r>
            <w:r>
              <w:rPr>
                <w:b/>
                <w:bCs/>
                <w:color w:val="auto"/>
                <w:spacing w:val="20"/>
                <w:highlight w:val="none"/>
              </w:rPr>
              <w:t>包括以下材料</w:t>
            </w:r>
            <w:r>
              <w:rPr>
                <w:color w:val="auto"/>
                <w:highlight w:val="none"/>
              </w:rPr>
              <w:t xml:space="preserve"> </w:t>
            </w:r>
            <w:r>
              <w:rPr>
                <w:b/>
                <w:bCs/>
                <w:color w:val="auto"/>
                <w:spacing w:val="7"/>
                <w:highlight w:val="none"/>
              </w:rPr>
              <w:t>均按要求必须提供，</w:t>
            </w:r>
            <w:r>
              <w:rPr>
                <w:rFonts w:hint="eastAsia"/>
                <w:b/>
                <w:bCs/>
                <w:color w:val="auto"/>
                <w:spacing w:val="7"/>
                <w:highlight w:val="none"/>
                <w:lang w:eastAsia="zh-CN"/>
              </w:rPr>
              <w:t>否则按无效响应处理</w:t>
            </w:r>
            <w:r>
              <w:rPr>
                <w:b/>
                <w:bCs/>
                <w:color w:val="auto"/>
                <w:spacing w:val="7"/>
                <w:highlight w:val="none"/>
              </w:rPr>
              <w:t>）</w:t>
            </w:r>
          </w:p>
          <w:p w14:paraId="2024D7D2">
            <w:pPr>
              <w:pStyle w:val="20"/>
              <w:spacing w:before="152" w:line="228" w:lineRule="auto"/>
              <w:ind w:left="112"/>
              <w:rPr>
                <w:color w:val="auto"/>
                <w:highlight w:val="none"/>
              </w:rPr>
            </w:pPr>
            <w:r>
              <w:rPr>
                <w:color w:val="auto"/>
                <w:spacing w:val="9"/>
                <w:highlight w:val="none"/>
              </w:rPr>
              <w:t>9.1</w:t>
            </w:r>
            <w:r>
              <w:rPr>
                <w:color w:val="auto"/>
                <w:spacing w:val="-36"/>
                <w:highlight w:val="none"/>
              </w:rPr>
              <w:t xml:space="preserve"> </w:t>
            </w:r>
            <w:r>
              <w:rPr>
                <w:color w:val="auto"/>
                <w:spacing w:val="9"/>
                <w:highlight w:val="none"/>
              </w:rPr>
              <w:t>项目经理简历表</w:t>
            </w:r>
            <w:r>
              <w:rPr>
                <w:color w:val="auto"/>
                <w:spacing w:val="-2"/>
                <w:highlight w:val="none"/>
              </w:rPr>
              <w:t>；（</w:t>
            </w:r>
            <w:r>
              <w:rPr>
                <w:color w:val="auto"/>
                <w:spacing w:val="9"/>
                <w:highlight w:val="none"/>
              </w:rPr>
              <w:t>按资格要求提供有效的证书复印件）</w:t>
            </w:r>
          </w:p>
          <w:p w14:paraId="4BD3CB93">
            <w:pPr>
              <w:pStyle w:val="20"/>
              <w:spacing w:before="153" w:line="228" w:lineRule="auto"/>
              <w:ind w:left="112"/>
              <w:rPr>
                <w:color w:val="auto"/>
                <w:highlight w:val="none"/>
              </w:rPr>
            </w:pPr>
            <w:r>
              <w:rPr>
                <w:color w:val="auto"/>
                <w:spacing w:val="9"/>
                <w:highlight w:val="none"/>
              </w:rPr>
              <w:t>9.2</w:t>
            </w:r>
            <w:r>
              <w:rPr>
                <w:color w:val="auto"/>
                <w:spacing w:val="-37"/>
                <w:highlight w:val="none"/>
              </w:rPr>
              <w:t xml:space="preserve"> </w:t>
            </w:r>
            <w:r>
              <w:rPr>
                <w:color w:val="auto"/>
                <w:spacing w:val="9"/>
                <w:highlight w:val="none"/>
              </w:rPr>
              <w:t>项目技术负责人简历表</w:t>
            </w:r>
            <w:r>
              <w:rPr>
                <w:color w:val="auto"/>
                <w:spacing w:val="1"/>
                <w:highlight w:val="none"/>
              </w:rPr>
              <w:t>；（</w:t>
            </w:r>
            <w:r>
              <w:rPr>
                <w:color w:val="auto"/>
                <w:spacing w:val="9"/>
                <w:highlight w:val="none"/>
              </w:rPr>
              <w:t>附中级及以上技术职称证书复印件）</w:t>
            </w:r>
          </w:p>
          <w:p w14:paraId="1590D9D4">
            <w:pPr>
              <w:pStyle w:val="20"/>
              <w:spacing w:before="155" w:line="334" w:lineRule="auto"/>
              <w:ind w:left="111" w:right="108"/>
              <w:rPr>
                <w:color w:val="auto"/>
                <w:highlight w:val="none"/>
              </w:rPr>
            </w:pPr>
            <w:r>
              <w:rPr>
                <w:color w:val="auto"/>
                <w:spacing w:val="9"/>
                <w:highlight w:val="none"/>
              </w:rPr>
              <w:t>9.3</w:t>
            </w:r>
            <w:r>
              <w:rPr>
                <w:color w:val="auto"/>
                <w:spacing w:val="-25"/>
                <w:highlight w:val="none"/>
              </w:rPr>
              <w:t xml:space="preserve"> </w:t>
            </w:r>
            <w:r>
              <w:rPr>
                <w:color w:val="auto"/>
                <w:spacing w:val="9"/>
                <w:highlight w:val="none"/>
              </w:rPr>
              <w:t>项目管理机构配备情况表；</w:t>
            </w:r>
            <w:r>
              <w:rPr>
                <w:color w:val="auto"/>
                <w:spacing w:val="-46"/>
                <w:highlight w:val="none"/>
              </w:rPr>
              <w:t xml:space="preserve"> </w:t>
            </w:r>
            <w:r>
              <w:rPr>
                <w:color w:val="auto"/>
                <w:spacing w:val="9"/>
                <w:highlight w:val="none"/>
              </w:rPr>
              <w:t>[附安全员（具备有效专职安全生产管</w:t>
            </w:r>
            <w:r>
              <w:rPr>
                <w:color w:val="auto"/>
                <w:highlight w:val="none"/>
              </w:rPr>
              <w:t xml:space="preserve"> </w:t>
            </w:r>
            <w:r>
              <w:rPr>
                <w:color w:val="auto"/>
                <w:spacing w:val="6"/>
                <w:highlight w:val="none"/>
              </w:rPr>
              <w:t>理人员安全生产考核合格</w:t>
            </w:r>
            <w:r>
              <w:rPr>
                <w:color w:val="auto"/>
                <w:spacing w:val="-28"/>
                <w:highlight w:val="none"/>
              </w:rPr>
              <w:t xml:space="preserve"> </w:t>
            </w:r>
            <w:r>
              <w:rPr>
                <w:color w:val="auto"/>
                <w:spacing w:val="6"/>
                <w:highlight w:val="none"/>
              </w:rPr>
              <w:t>C</w:t>
            </w:r>
            <w:r>
              <w:rPr>
                <w:color w:val="auto"/>
                <w:spacing w:val="-40"/>
                <w:highlight w:val="none"/>
              </w:rPr>
              <w:t xml:space="preserve"> </w:t>
            </w:r>
            <w:r>
              <w:rPr>
                <w:color w:val="auto"/>
                <w:spacing w:val="6"/>
                <w:highlight w:val="none"/>
              </w:rPr>
              <w:t>类证书）、施工员、质量员、材料员应具有</w:t>
            </w:r>
            <w:r>
              <w:rPr>
                <w:color w:val="auto"/>
                <w:highlight w:val="none"/>
              </w:rPr>
              <w:t xml:space="preserve"> </w:t>
            </w:r>
            <w:r>
              <w:rPr>
                <w:color w:val="auto"/>
                <w:spacing w:val="7"/>
                <w:highlight w:val="none"/>
              </w:rPr>
              <w:t>相应施工现场专业人员职业培训合格证书，且拟投入的项目管理人员符</w:t>
            </w:r>
            <w:r>
              <w:rPr>
                <w:color w:val="auto"/>
                <w:spacing w:val="1"/>
                <w:highlight w:val="none"/>
              </w:rPr>
              <w:t xml:space="preserve"> </w:t>
            </w:r>
            <w:r>
              <w:rPr>
                <w:color w:val="auto"/>
                <w:spacing w:val="9"/>
                <w:highlight w:val="none"/>
              </w:rPr>
              <w:t>合国家及广西壮族自治区的规定]</w:t>
            </w:r>
          </w:p>
          <w:p w14:paraId="20873FF3">
            <w:pPr>
              <w:pStyle w:val="20"/>
              <w:spacing w:before="151" w:line="299" w:lineRule="auto"/>
              <w:ind w:left="113" w:right="111" w:firstLine="13"/>
              <w:rPr>
                <w:color w:val="auto"/>
                <w:highlight w:val="none"/>
              </w:rPr>
            </w:pPr>
            <w:r>
              <w:rPr>
                <w:color w:val="auto"/>
                <w:spacing w:val="9"/>
                <w:highlight w:val="none"/>
              </w:rPr>
              <w:t>10.建设工程项目管理承诺书（格式后附</w:t>
            </w:r>
            <w:r>
              <w:rPr>
                <w:color w:val="auto"/>
                <w:spacing w:val="2"/>
                <w:highlight w:val="none"/>
              </w:rPr>
              <w:t>）</w:t>
            </w:r>
            <w:r>
              <w:rPr>
                <w:b/>
                <w:bCs/>
                <w:color w:val="auto"/>
                <w:spacing w:val="2"/>
                <w:highlight w:val="none"/>
              </w:rPr>
              <w:t>（</w:t>
            </w:r>
            <w:r>
              <w:rPr>
                <w:b/>
                <w:bCs/>
                <w:color w:val="auto"/>
                <w:spacing w:val="9"/>
                <w:highlight w:val="none"/>
              </w:rPr>
              <w:t>必须提供，否则按无效响应处理</w:t>
            </w:r>
            <w:r>
              <w:rPr>
                <w:b/>
                <w:bCs/>
                <w:color w:val="auto"/>
                <w:spacing w:val="5"/>
                <w:highlight w:val="none"/>
              </w:rPr>
              <w:t>）</w:t>
            </w:r>
          </w:p>
          <w:p w14:paraId="0C8676A3">
            <w:pPr>
              <w:pStyle w:val="20"/>
              <w:keepNext w:val="0"/>
              <w:keepLines w:val="0"/>
              <w:pageBreakBefore w:val="0"/>
              <w:widowControl/>
              <w:kinsoku w:val="0"/>
              <w:wordWrap/>
              <w:overflowPunct/>
              <w:topLinePunct w:val="0"/>
              <w:autoSpaceDE w:val="0"/>
              <w:autoSpaceDN w:val="0"/>
              <w:bidi w:val="0"/>
              <w:adjustRightInd w:val="0"/>
              <w:snapToGrid w:val="0"/>
              <w:spacing w:before="154" w:line="300" w:lineRule="auto"/>
              <w:ind w:left="113" w:right="113" w:firstLine="17"/>
              <w:textAlignment w:val="baseline"/>
              <w:rPr>
                <w:rFonts w:ascii="宋体" w:hAnsi="宋体" w:eastAsia="宋体" w:cs="宋体"/>
                <w:snapToGrid w:val="0"/>
                <w:color w:val="auto"/>
                <w:kern w:val="0"/>
                <w:sz w:val="20"/>
                <w:szCs w:val="20"/>
                <w:highlight w:val="none"/>
                <w:lang w:val="en-US" w:eastAsia="en-US" w:bidi="ar-SA"/>
              </w:rPr>
            </w:pPr>
            <w:r>
              <w:rPr>
                <w:color w:val="auto"/>
                <w:spacing w:val="7"/>
                <w:highlight w:val="none"/>
              </w:rPr>
              <w:t>11.供应商认为需要提供的其他有关资料。</w:t>
            </w:r>
            <w:r>
              <w:rPr>
                <w:b/>
                <w:bCs/>
                <w:color w:val="auto"/>
                <w:spacing w:val="7"/>
                <w:highlight w:val="none"/>
              </w:rPr>
              <w:t>（如有请提供）</w:t>
            </w:r>
            <w:r>
              <w:rPr>
                <w:color w:val="auto"/>
                <w:spacing w:val="12"/>
                <w:highlight w:val="none"/>
              </w:rPr>
              <w:t xml:space="preserve"> </w:t>
            </w:r>
            <w:r>
              <w:rPr>
                <w:b/>
                <w:bCs/>
                <w:color w:val="auto"/>
                <w:spacing w:val="-2"/>
                <w:highlight w:val="none"/>
              </w:rPr>
              <w:t>注：</w:t>
            </w:r>
            <w:r>
              <w:rPr>
                <w:b/>
                <w:bCs/>
                <w:color w:val="auto"/>
                <w:spacing w:val="4"/>
                <w:highlight w:val="none"/>
              </w:rPr>
              <w:t>1.法定代表人授权委托书必须由法定代表人及委托代理人签字，并</w:t>
            </w:r>
            <w:r>
              <w:rPr>
                <w:color w:val="auto"/>
                <w:spacing w:val="6"/>
                <w:highlight w:val="none"/>
              </w:rPr>
              <w:t xml:space="preserve"> </w:t>
            </w:r>
            <w:r>
              <w:rPr>
                <w:b/>
                <w:bCs/>
                <w:color w:val="auto"/>
                <w:spacing w:val="7"/>
                <w:highlight w:val="none"/>
              </w:rPr>
              <w:t>加盖供应商公章，</w:t>
            </w:r>
            <w:r>
              <w:rPr>
                <w:rFonts w:hint="eastAsia"/>
                <w:b/>
                <w:bCs/>
                <w:color w:val="auto"/>
                <w:spacing w:val="7"/>
                <w:highlight w:val="none"/>
                <w:lang w:eastAsia="zh-CN"/>
              </w:rPr>
              <w:t>否则按无效响应处理</w:t>
            </w:r>
            <w:r>
              <w:rPr>
                <w:b/>
                <w:bCs/>
                <w:color w:val="auto"/>
                <w:spacing w:val="7"/>
                <w:highlight w:val="none"/>
              </w:rPr>
              <w:t>。</w:t>
            </w:r>
            <w:r>
              <w:rPr>
                <w:b/>
                <w:bCs/>
                <w:color w:val="auto"/>
                <w:spacing w:val="4"/>
                <w:highlight w:val="none"/>
              </w:rPr>
              <w:t>2.以上标明“必须提供</w:t>
            </w:r>
            <w:r>
              <w:rPr>
                <w:color w:val="auto"/>
                <w:spacing w:val="-70"/>
                <w:highlight w:val="none"/>
              </w:rPr>
              <w:t xml:space="preserve"> </w:t>
            </w:r>
            <w:r>
              <w:rPr>
                <w:b/>
                <w:bCs/>
                <w:color w:val="auto"/>
                <w:spacing w:val="4"/>
                <w:highlight w:val="none"/>
              </w:rPr>
              <w:t>”的材料属于复印</w:t>
            </w:r>
            <w:r>
              <w:rPr>
                <w:b/>
                <w:bCs/>
                <w:color w:val="auto"/>
                <w:spacing w:val="3"/>
                <w:highlight w:val="none"/>
              </w:rPr>
              <w:t>件的，必须加盖供应商电</w:t>
            </w:r>
            <w:r>
              <w:rPr>
                <w:b/>
                <w:bCs/>
                <w:color w:val="auto"/>
                <w:spacing w:val="7"/>
                <w:highlight w:val="none"/>
              </w:rPr>
              <w:t>子公章，</w:t>
            </w:r>
            <w:r>
              <w:rPr>
                <w:rFonts w:hint="eastAsia"/>
                <w:b/>
                <w:bCs/>
                <w:color w:val="auto"/>
                <w:spacing w:val="7"/>
                <w:highlight w:val="none"/>
                <w:lang w:eastAsia="zh-CN"/>
              </w:rPr>
              <w:t>否则按无效响应处理</w:t>
            </w:r>
            <w:r>
              <w:rPr>
                <w:b/>
                <w:bCs/>
                <w:color w:val="auto"/>
                <w:spacing w:val="7"/>
                <w:highlight w:val="none"/>
              </w:rPr>
              <w:t>。</w:t>
            </w:r>
          </w:p>
        </w:tc>
      </w:tr>
      <w:tr w14:paraId="05511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3" w:hRule="atLeast"/>
        </w:trPr>
        <w:tc>
          <w:tcPr>
            <w:tcW w:w="847" w:type="dxa"/>
            <w:shd w:val="clear" w:color="auto" w:fill="auto"/>
            <w:vAlign w:val="top"/>
          </w:tcPr>
          <w:p w14:paraId="5A8E27BA">
            <w:pPr>
              <w:spacing w:line="267" w:lineRule="auto"/>
              <w:rPr>
                <w:rFonts w:ascii="Arial"/>
                <w:color w:val="auto"/>
                <w:sz w:val="21"/>
                <w:highlight w:val="none"/>
              </w:rPr>
            </w:pPr>
          </w:p>
          <w:p w14:paraId="7B7FED4D">
            <w:pPr>
              <w:spacing w:line="267" w:lineRule="auto"/>
              <w:rPr>
                <w:rFonts w:ascii="Arial"/>
                <w:color w:val="auto"/>
                <w:sz w:val="21"/>
                <w:highlight w:val="none"/>
              </w:rPr>
            </w:pPr>
          </w:p>
          <w:p w14:paraId="303930CE">
            <w:pPr>
              <w:spacing w:line="268" w:lineRule="auto"/>
              <w:rPr>
                <w:rFonts w:ascii="Arial"/>
                <w:color w:val="auto"/>
                <w:sz w:val="21"/>
                <w:highlight w:val="none"/>
              </w:rPr>
            </w:pPr>
          </w:p>
          <w:p w14:paraId="17E4BBCE">
            <w:pPr>
              <w:spacing w:line="268" w:lineRule="auto"/>
              <w:rPr>
                <w:rFonts w:ascii="Arial"/>
                <w:color w:val="auto"/>
                <w:sz w:val="21"/>
                <w:highlight w:val="none"/>
              </w:rPr>
            </w:pPr>
          </w:p>
          <w:p w14:paraId="651D1F0D">
            <w:pPr>
              <w:pStyle w:val="20"/>
              <w:spacing w:before="65" w:line="269" w:lineRule="exact"/>
              <w:ind w:left="138" w:leftChars="0"/>
              <w:rPr>
                <w:color w:val="auto"/>
                <w:spacing w:val="1"/>
                <w:position w:val="1"/>
                <w:highlight w:val="none"/>
              </w:rPr>
            </w:pPr>
            <w:r>
              <w:rPr>
                <w:color w:val="auto"/>
                <w:spacing w:val="1"/>
                <w:position w:val="1"/>
                <w:highlight w:val="none"/>
              </w:rPr>
              <w:t>12.1.3</w:t>
            </w:r>
          </w:p>
        </w:tc>
        <w:tc>
          <w:tcPr>
            <w:tcW w:w="2258" w:type="dxa"/>
            <w:shd w:val="clear" w:color="auto" w:fill="auto"/>
            <w:vAlign w:val="top"/>
          </w:tcPr>
          <w:p w14:paraId="0282562B">
            <w:pPr>
              <w:spacing w:line="267" w:lineRule="auto"/>
              <w:rPr>
                <w:rFonts w:ascii="Arial"/>
                <w:color w:val="auto"/>
                <w:sz w:val="21"/>
                <w:highlight w:val="none"/>
              </w:rPr>
            </w:pPr>
          </w:p>
          <w:p w14:paraId="57968AD7">
            <w:pPr>
              <w:spacing w:line="267" w:lineRule="auto"/>
              <w:rPr>
                <w:rFonts w:ascii="Arial"/>
                <w:color w:val="auto"/>
                <w:sz w:val="21"/>
                <w:highlight w:val="none"/>
              </w:rPr>
            </w:pPr>
          </w:p>
          <w:p w14:paraId="487542EE">
            <w:pPr>
              <w:spacing w:line="268" w:lineRule="auto"/>
              <w:rPr>
                <w:rFonts w:ascii="Arial"/>
                <w:color w:val="auto"/>
                <w:sz w:val="21"/>
                <w:highlight w:val="none"/>
              </w:rPr>
            </w:pPr>
          </w:p>
          <w:p w14:paraId="22C30337">
            <w:pPr>
              <w:spacing w:line="268" w:lineRule="auto"/>
              <w:rPr>
                <w:rFonts w:ascii="Arial"/>
                <w:color w:val="auto"/>
                <w:sz w:val="21"/>
                <w:highlight w:val="none"/>
              </w:rPr>
            </w:pPr>
          </w:p>
          <w:p w14:paraId="1CB98E86">
            <w:pPr>
              <w:pStyle w:val="20"/>
              <w:spacing w:before="65" w:line="227" w:lineRule="auto"/>
              <w:ind w:left="793" w:leftChars="0"/>
              <w:rPr>
                <w:b/>
                <w:bCs/>
                <w:color w:val="auto"/>
                <w:spacing w:val="6"/>
                <w:highlight w:val="none"/>
              </w:rPr>
            </w:pPr>
            <w:r>
              <w:rPr>
                <w:b/>
                <w:bCs/>
                <w:color w:val="auto"/>
                <w:spacing w:val="6"/>
                <w:highlight w:val="none"/>
              </w:rPr>
              <w:t>报价文件</w:t>
            </w:r>
          </w:p>
        </w:tc>
        <w:tc>
          <w:tcPr>
            <w:tcW w:w="6829" w:type="dxa"/>
            <w:shd w:val="clear" w:color="auto" w:fill="auto"/>
            <w:vAlign w:val="top"/>
          </w:tcPr>
          <w:p w14:paraId="538C285D">
            <w:pPr>
              <w:pStyle w:val="20"/>
              <w:spacing w:before="140" w:line="228" w:lineRule="auto"/>
              <w:ind w:left="127"/>
              <w:rPr>
                <w:color w:val="auto"/>
                <w:highlight w:val="none"/>
              </w:rPr>
            </w:pPr>
            <w:r>
              <w:rPr>
                <w:color w:val="auto"/>
                <w:spacing w:val="8"/>
                <w:highlight w:val="none"/>
              </w:rPr>
              <w:t>1.响应函</w:t>
            </w:r>
            <w:r>
              <w:rPr>
                <w:color w:val="auto"/>
                <w:spacing w:val="-4"/>
                <w:highlight w:val="none"/>
              </w:rPr>
              <w:t>；</w:t>
            </w:r>
            <w:r>
              <w:rPr>
                <w:b/>
                <w:bCs/>
                <w:color w:val="auto"/>
                <w:spacing w:val="-4"/>
                <w:highlight w:val="none"/>
              </w:rPr>
              <w:t>（</w:t>
            </w:r>
            <w:r>
              <w:rPr>
                <w:b/>
                <w:bCs/>
                <w:color w:val="auto"/>
                <w:spacing w:val="8"/>
                <w:highlight w:val="none"/>
              </w:rPr>
              <w:t>必须提供，否则作无效响应处理）</w:t>
            </w:r>
          </w:p>
          <w:p w14:paraId="10BF5C9B">
            <w:pPr>
              <w:pStyle w:val="20"/>
              <w:spacing w:before="154" w:line="227" w:lineRule="auto"/>
              <w:ind w:left="114"/>
              <w:rPr>
                <w:color w:val="auto"/>
                <w:highlight w:val="none"/>
              </w:rPr>
            </w:pPr>
            <w:r>
              <w:rPr>
                <w:color w:val="auto"/>
                <w:spacing w:val="9"/>
                <w:highlight w:val="none"/>
              </w:rPr>
              <w:t>2.响应报价表</w:t>
            </w:r>
            <w:r>
              <w:rPr>
                <w:color w:val="auto"/>
                <w:spacing w:val="-6"/>
                <w:highlight w:val="none"/>
              </w:rPr>
              <w:t>；</w:t>
            </w:r>
            <w:r>
              <w:rPr>
                <w:b/>
                <w:bCs/>
                <w:color w:val="auto"/>
                <w:spacing w:val="-6"/>
                <w:highlight w:val="none"/>
              </w:rPr>
              <w:t>（</w:t>
            </w:r>
            <w:r>
              <w:rPr>
                <w:b/>
                <w:bCs/>
                <w:color w:val="auto"/>
                <w:spacing w:val="9"/>
                <w:highlight w:val="none"/>
              </w:rPr>
              <w:t>必须提供，否则作无效响应处理）</w:t>
            </w:r>
          </w:p>
          <w:p w14:paraId="70DD07D6">
            <w:pPr>
              <w:pStyle w:val="20"/>
              <w:spacing w:before="152" w:line="227" w:lineRule="auto"/>
              <w:ind w:left="116"/>
              <w:rPr>
                <w:color w:val="auto"/>
                <w:highlight w:val="none"/>
              </w:rPr>
            </w:pPr>
            <w:r>
              <w:rPr>
                <w:color w:val="auto"/>
                <w:spacing w:val="9"/>
                <w:highlight w:val="none"/>
              </w:rPr>
              <w:t>3.已标价工程量清单</w:t>
            </w:r>
            <w:r>
              <w:rPr>
                <w:color w:val="auto"/>
                <w:spacing w:val="-7"/>
                <w:highlight w:val="none"/>
              </w:rPr>
              <w:t>；</w:t>
            </w:r>
            <w:r>
              <w:rPr>
                <w:b/>
                <w:bCs/>
                <w:color w:val="auto"/>
                <w:spacing w:val="-7"/>
                <w:highlight w:val="none"/>
              </w:rPr>
              <w:t>（</w:t>
            </w:r>
            <w:r>
              <w:rPr>
                <w:b/>
                <w:bCs/>
                <w:color w:val="auto"/>
                <w:spacing w:val="9"/>
                <w:highlight w:val="none"/>
              </w:rPr>
              <w:t>必须提供，</w:t>
            </w:r>
            <w:r>
              <w:rPr>
                <w:rFonts w:hint="eastAsia"/>
                <w:b/>
                <w:bCs/>
                <w:color w:val="auto"/>
                <w:spacing w:val="9"/>
                <w:highlight w:val="none"/>
                <w:lang w:eastAsia="zh-CN"/>
              </w:rPr>
              <w:t>否则按无效响应处理</w:t>
            </w:r>
            <w:r>
              <w:rPr>
                <w:b/>
                <w:bCs/>
                <w:color w:val="auto"/>
                <w:spacing w:val="9"/>
                <w:highlight w:val="none"/>
              </w:rPr>
              <w:t>）</w:t>
            </w:r>
          </w:p>
          <w:p w14:paraId="677FE784">
            <w:pPr>
              <w:pStyle w:val="20"/>
              <w:spacing w:before="154" w:line="228" w:lineRule="auto"/>
              <w:ind w:left="111"/>
              <w:rPr>
                <w:color w:val="auto"/>
                <w:highlight w:val="none"/>
              </w:rPr>
            </w:pPr>
            <w:r>
              <w:rPr>
                <w:color w:val="auto"/>
                <w:spacing w:val="8"/>
                <w:highlight w:val="none"/>
              </w:rPr>
              <w:t>4.供应商认为需要提供的其他有关资料。</w:t>
            </w:r>
          </w:p>
          <w:p w14:paraId="40FBF975">
            <w:pPr>
              <w:pStyle w:val="20"/>
              <w:spacing w:before="154" w:line="301" w:lineRule="auto"/>
              <w:ind w:left="121" w:leftChars="0" w:right="111" w:rightChars="0" w:hanging="10" w:firstLineChars="0"/>
              <w:rPr>
                <w:color w:val="auto"/>
                <w:spacing w:val="7"/>
                <w:highlight w:val="none"/>
              </w:rPr>
            </w:pPr>
            <w:r>
              <w:rPr>
                <w:b/>
                <w:bCs/>
                <w:color w:val="auto"/>
                <w:spacing w:val="11"/>
                <w:highlight w:val="none"/>
              </w:rPr>
              <w:t>注：1.上述材料必须在规定盖章处加盖供应商电子公章，否则作无效</w:t>
            </w:r>
            <w:r>
              <w:rPr>
                <w:color w:val="auto"/>
                <w:spacing w:val="9"/>
                <w:highlight w:val="none"/>
              </w:rPr>
              <w:t xml:space="preserve"> </w:t>
            </w:r>
            <w:r>
              <w:rPr>
                <w:b/>
                <w:bCs/>
                <w:color w:val="auto"/>
                <w:spacing w:val="2"/>
                <w:highlight w:val="none"/>
              </w:rPr>
              <w:t>响应处理。</w:t>
            </w:r>
          </w:p>
        </w:tc>
      </w:tr>
      <w:tr w14:paraId="045D8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8" w:hRule="atLeast"/>
        </w:trPr>
        <w:tc>
          <w:tcPr>
            <w:tcW w:w="847" w:type="dxa"/>
            <w:shd w:val="clear" w:color="auto" w:fill="auto"/>
            <w:vAlign w:val="top"/>
          </w:tcPr>
          <w:p w14:paraId="1F9C4E68">
            <w:pPr>
              <w:spacing w:line="283" w:lineRule="auto"/>
              <w:rPr>
                <w:rFonts w:ascii="Arial"/>
                <w:color w:val="auto"/>
                <w:sz w:val="21"/>
                <w:highlight w:val="none"/>
              </w:rPr>
            </w:pPr>
          </w:p>
          <w:p w14:paraId="4564F479">
            <w:pPr>
              <w:spacing w:line="283" w:lineRule="auto"/>
              <w:rPr>
                <w:rFonts w:ascii="Arial"/>
                <w:color w:val="auto"/>
                <w:sz w:val="21"/>
                <w:highlight w:val="none"/>
              </w:rPr>
            </w:pPr>
          </w:p>
          <w:p w14:paraId="395511F0">
            <w:pPr>
              <w:spacing w:line="283" w:lineRule="auto"/>
              <w:rPr>
                <w:rFonts w:ascii="Arial"/>
                <w:color w:val="auto"/>
                <w:sz w:val="21"/>
                <w:highlight w:val="none"/>
              </w:rPr>
            </w:pPr>
          </w:p>
          <w:p w14:paraId="79CC6860">
            <w:pPr>
              <w:spacing w:line="284" w:lineRule="auto"/>
              <w:rPr>
                <w:rFonts w:ascii="Arial"/>
                <w:color w:val="auto"/>
                <w:sz w:val="21"/>
                <w:highlight w:val="none"/>
              </w:rPr>
            </w:pPr>
          </w:p>
          <w:p w14:paraId="4925D545">
            <w:pPr>
              <w:pStyle w:val="20"/>
              <w:spacing w:before="65" w:line="268" w:lineRule="exact"/>
              <w:ind w:left="241" w:leftChars="0"/>
              <w:rPr>
                <w:rFonts w:ascii="宋体" w:hAnsi="宋体" w:eastAsia="宋体" w:cs="宋体"/>
                <w:snapToGrid w:val="0"/>
                <w:color w:val="auto"/>
                <w:kern w:val="0"/>
                <w:sz w:val="20"/>
                <w:szCs w:val="20"/>
                <w:highlight w:val="none"/>
                <w:lang w:val="en-US" w:eastAsia="en-US" w:bidi="ar-SA"/>
              </w:rPr>
            </w:pPr>
            <w:r>
              <w:rPr>
                <w:color w:val="auto"/>
                <w:spacing w:val="-1"/>
                <w:position w:val="1"/>
                <w:highlight w:val="none"/>
              </w:rPr>
              <w:t>12.2</w:t>
            </w:r>
          </w:p>
        </w:tc>
        <w:tc>
          <w:tcPr>
            <w:tcW w:w="2258" w:type="dxa"/>
            <w:shd w:val="clear" w:color="auto" w:fill="auto"/>
            <w:vAlign w:val="top"/>
          </w:tcPr>
          <w:p w14:paraId="7B544833">
            <w:pPr>
              <w:spacing w:line="283" w:lineRule="auto"/>
              <w:rPr>
                <w:rFonts w:ascii="Arial"/>
                <w:color w:val="auto"/>
                <w:sz w:val="21"/>
                <w:highlight w:val="none"/>
              </w:rPr>
            </w:pPr>
          </w:p>
          <w:p w14:paraId="524B7F3E">
            <w:pPr>
              <w:spacing w:line="283" w:lineRule="auto"/>
              <w:rPr>
                <w:rFonts w:ascii="Arial"/>
                <w:color w:val="auto"/>
                <w:sz w:val="21"/>
                <w:highlight w:val="none"/>
              </w:rPr>
            </w:pPr>
          </w:p>
          <w:p w14:paraId="4E9C4B59">
            <w:pPr>
              <w:spacing w:line="283" w:lineRule="auto"/>
              <w:rPr>
                <w:rFonts w:ascii="Arial"/>
                <w:color w:val="auto"/>
                <w:sz w:val="21"/>
                <w:highlight w:val="none"/>
              </w:rPr>
            </w:pPr>
          </w:p>
          <w:p w14:paraId="3858F91C">
            <w:pPr>
              <w:spacing w:line="284" w:lineRule="auto"/>
              <w:rPr>
                <w:rFonts w:ascii="Arial"/>
                <w:color w:val="auto"/>
                <w:sz w:val="21"/>
                <w:highlight w:val="none"/>
              </w:rPr>
            </w:pPr>
          </w:p>
          <w:p w14:paraId="7EA15CBB">
            <w:pPr>
              <w:pStyle w:val="20"/>
              <w:spacing w:before="65" w:line="228" w:lineRule="auto"/>
              <w:ind w:left="283" w:leftChars="0"/>
              <w:rPr>
                <w:rFonts w:ascii="宋体" w:hAnsi="宋体" w:eastAsia="宋体" w:cs="宋体"/>
                <w:snapToGrid w:val="0"/>
                <w:color w:val="auto"/>
                <w:kern w:val="0"/>
                <w:sz w:val="20"/>
                <w:szCs w:val="20"/>
                <w:highlight w:val="none"/>
                <w:lang w:val="en-US" w:eastAsia="en-US" w:bidi="ar-SA"/>
              </w:rPr>
            </w:pPr>
            <w:r>
              <w:rPr>
                <w:color w:val="auto"/>
                <w:spacing w:val="7"/>
                <w:highlight w:val="none"/>
              </w:rPr>
              <w:t>响应文件电子版要求</w:t>
            </w:r>
          </w:p>
        </w:tc>
        <w:tc>
          <w:tcPr>
            <w:tcW w:w="6829" w:type="dxa"/>
            <w:shd w:val="clear" w:color="auto" w:fill="auto"/>
            <w:vAlign w:val="top"/>
          </w:tcPr>
          <w:p w14:paraId="12421D5E">
            <w:pPr>
              <w:pStyle w:val="20"/>
              <w:spacing w:before="202" w:line="323" w:lineRule="auto"/>
              <w:ind w:left="117" w:right="108" w:firstLine="9"/>
              <w:rPr>
                <w:color w:val="auto"/>
                <w:highlight w:val="none"/>
              </w:rPr>
            </w:pPr>
            <w:r>
              <w:rPr>
                <w:color w:val="auto"/>
                <w:spacing w:val="8"/>
                <w:highlight w:val="none"/>
              </w:rPr>
              <w:t>1.响应文件电子版要求：按照本采购文件“第五章 响应文</w:t>
            </w:r>
            <w:r>
              <w:rPr>
                <w:color w:val="auto"/>
                <w:spacing w:val="7"/>
                <w:highlight w:val="none"/>
              </w:rPr>
              <w:t>件格式</w:t>
            </w:r>
            <w:r>
              <w:rPr>
                <w:color w:val="auto"/>
                <w:spacing w:val="-70"/>
                <w:highlight w:val="none"/>
              </w:rPr>
              <w:t xml:space="preserve"> </w:t>
            </w:r>
            <w:r>
              <w:rPr>
                <w:color w:val="auto"/>
                <w:spacing w:val="7"/>
                <w:highlight w:val="none"/>
              </w:rPr>
              <w:t>”编</w:t>
            </w:r>
            <w:r>
              <w:rPr>
                <w:color w:val="auto"/>
                <w:highlight w:val="none"/>
              </w:rPr>
              <w:t xml:space="preserve"> </w:t>
            </w:r>
            <w:r>
              <w:rPr>
                <w:color w:val="auto"/>
                <w:spacing w:val="7"/>
                <w:highlight w:val="none"/>
              </w:rPr>
              <w:t>写（第五章未附格式的，由供应商自行拟定</w:t>
            </w:r>
            <w:r>
              <w:rPr>
                <w:color w:val="auto"/>
                <w:spacing w:val="4"/>
                <w:highlight w:val="none"/>
              </w:rPr>
              <w:t>），</w:t>
            </w:r>
            <w:r>
              <w:rPr>
                <w:color w:val="auto"/>
                <w:spacing w:val="7"/>
                <w:highlight w:val="none"/>
              </w:rPr>
              <w:t>不可涂改并在规定加盖</w:t>
            </w:r>
            <w:r>
              <w:rPr>
                <w:color w:val="auto"/>
                <w:spacing w:val="1"/>
                <w:highlight w:val="none"/>
              </w:rPr>
              <w:t xml:space="preserve"> </w:t>
            </w:r>
            <w:r>
              <w:rPr>
                <w:color w:val="auto"/>
                <w:spacing w:val="8"/>
                <w:highlight w:val="none"/>
              </w:rPr>
              <w:t>公章处加盖电子公章，</w:t>
            </w:r>
            <w:r>
              <w:rPr>
                <w:rFonts w:hint="eastAsia"/>
                <w:b/>
                <w:bCs/>
                <w:color w:val="auto"/>
                <w:spacing w:val="8"/>
                <w:highlight w:val="none"/>
                <w:lang w:eastAsia="zh-CN"/>
              </w:rPr>
              <w:t>否则按无效响应处理</w:t>
            </w:r>
            <w:r>
              <w:rPr>
                <w:color w:val="auto"/>
                <w:spacing w:val="8"/>
                <w:highlight w:val="none"/>
              </w:rPr>
              <w:t>。</w:t>
            </w:r>
          </w:p>
          <w:p w14:paraId="7DAC5F81">
            <w:pPr>
              <w:pStyle w:val="20"/>
              <w:spacing w:before="151" w:line="323" w:lineRule="auto"/>
              <w:ind w:left="111" w:leftChars="0" w:right="108" w:rightChars="0" w:firstLine="2" w:firstLineChars="0"/>
              <w:rPr>
                <w:rFonts w:ascii="宋体" w:hAnsi="宋体" w:eastAsia="宋体" w:cs="宋体"/>
                <w:snapToGrid w:val="0"/>
                <w:color w:val="auto"/>
                <w:kern w:val="0"/>
                <w:sz w:val="20"/>
                <w:szCs w:val="20"/>
                <w:highlight w:val="none"/>
                <w:lang w:val="en-US" w:eastAsia="en-US" w:bidi="ar-SA"/>
              </w:rPr>
            </w:pPr>
            <w:r>
              <w:rPr>
                <w:color w:val="auto"/>
                <w:spacing w:val="8"/>
                <w:highlight w:val="none"/>
              </w:rPr>
              <w:t>2.响应文件电子版密封方式：</w:t>
            </w:r>
            <w:r>
              <w:rPr>
                <w:color w:val="auto"/>
                <w:spacing w:val="-49"/>
                <w:highlight w:val="none"/>
              </w:rPr>
              <w:t xml:space="preserve"> </w:t>
            </w:r>
            <w:r>
              <w:rPr>
                <w:color w:val="auto"/>
                <w:spacing w:val="8"/>
                <w:highlight w:val="none"/>
              </w:rPr>
              <w:t>电子响应文件通过平台有效</w:t>
            </w:r>
            <w:r>
              <w:rPr>
                <w:color w:val="auto"/>
                <w:spacing w:val="-38"/>
                <w:highlight w:val="none"/>
              </w:rPr>
              <w:t xml:space="preserve"> </w:t>
            </w:r>
            <w:r>
              <w:rPr>
                <w:color w:val="auto"/>
                <w:highlight w:val="none"/>
              </w:rPr>
              <w:t>CA</w:t>
            </w:r>
            <w:r>
              <w:rPr>
                <w:color w:val="auto"/>
                <w:spacing w:val="-40"/>
                <w:highlight w:val="none"/>
              </w:rPr>
              <w:t xml:space="preserve"> </w:t>
            </w:r>
            <w:r>
              <w:rPr>
                <w:color w:val="auto"/>
                <w:spacing w:val="8"/>
                <w:highlight w:val="none"/>
              </w:rPr>
              <w:t>加密后在</w:t>
            </w:r>
            <w:r>
              <w:rPr>
                <w:color w:val="auto"/>
                <w:highlight w:val="none"/>
              </w:rPr>
              <w:t xml:space="preserve"> </w:t>
            </w:r>
            <w:r>
              <w:rPr>
                <w:color w:val="auto"/>
                <w:spacing w:val="6"/>
                <w:highlight w:val="none"/>
              </w:rPr>
              <w:t>广西政府采购云平台投送。（操作方式见公告附件“</w:t>
            </w:r>
            <w:r>
              <w:rPr>
                <w:color w:val="auto"/>
                <w:spacing w:val="-65"/>
                <w:highlight w:val="none"/>
              </w:rPr>
              <w:t xml:space="preserve"> </w:t>
            </w:r>
            <w:r>
              <w:rPr>
                <w:color w:val="auto"/>
                <w:spacing w:val="6"/>
                <w:highlight w:val="none"/>
              </w:rPr>
              <w:t>电子响应文</w:t>
            </w:r>
            <w:r>
              <w:rPr>
                <w:color w:val="auto"/>
                <w:spacing w:val="5"/>
                <w:highlight w:val="none"/>
              </w:rPr>
              <w:t>件制作</w:t>
            </w:r>
            <w:r>
              <w:rPr>
                <w:color w:val="auto"/>
                <w:highlight w:val="none"/>
              </w:rPr>
              <w:t xml:space="preserve"> </w:t>
            </w:r>
            <w:r>
              <w:rPr>
                <w:color w:val="auto"/>
                <w:spacing w:val="5"/>
                <w:highlight w:val="none"/>
              </w:rPr>
              <w:t>与投送教程</w:t>
            </w:r>
            <w:r>
              <w:rPr>
                <w:color w:val="auto"/>
                <w:spacing w:val="-66"/>
                <w:highlight w:val="none"/>
              </w:rPr>
              <w:t xml:space="preserve"> </w:t>
            </w:r>
            <w:r>
              <w:rPr>
                <w:color w:val="auto"/>
                <w:spacing w:val="5"/>
                <w:highlight w:val="none"/>
              </w:rPr>
              <w:t>”</w:t>
            </w:r>
            <w:r>
              <w:rPr>
                <w:color w:val="auto"/>
                <w:spacing w:val="-12"/>
                <w:highlight w:val="none"/>
              </w:rPr>
              <w:t xml:space="preserve"> </w:t>
            </w:r>
            <w:r>
              <w:rPr>
                <w:color w:val="auto"/>
                <w:spacing w:val="5"/>
                <w:highlight w:val="none"/>
              </w:rPr>
              <w:t>）</w:t>
            </w:r>
          </w:p>
        </w:tc>
      </w:tr>
      <w:tr w14:paraId="55C9A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1" w:hRule="atLeast"/>
        </w:trPr>
        <w:tc>
          <w:tcPr>
            <w:tcW w:w="847" w:type="dxa"/>
            <w:shd w:val="clear" w:color="auto" w:fill="auto"/>
            <w:vAlign w:val="top"/>
          </w:tcPr>
          <w:p w14:paraId="5FDE9346">
            <w:pPr>
              <w:spacing w:line="337" w:lineRule="auto"/>
              <w:rPr>
                <w:rFonts w:ascii="Arial"/>
                <w:color w:val="auto"/>
                <w:sz w:val="21"/>
                <w:highlight w:val="none"/>
              </w:rPr>
            </w:pPr>
          </w:p>
          <w:p w14:paraId="56EB81BB">
            <w:pPr>
              <w:spacing w:line="337" w:lineRule="auto"/>
              <w:rPr>
                <w:rFonts w:ascii="Arial"/>
                <w:color w:val="auto"/>
                <w:sz w:val="21"/>
                <w:highlight w:val="none"/>
              </w:rPr>
            </w:pPr>
          </w:p>
          <w:p w14:paraId="2D715648">
            <w:pPr>
              <w:pStyle w:val="20"/>
              <w:spacing w:before="65" w:line="269" w:lineRule="exact"/>
              <w:ind w:left="241" w:leftChars="0"/>
              <w:rPr>
                <w:rFonts w:ascii="宋体" w:hAnsi="宋体" w:eastAsia="宋体" w:cs="宋体"/>
                <w:snapToGrid w:val="0"/>
                <w:color w:val="auto"/>
                <w:kern w:val="0"/>
                <w:sz w:val="20"/>
                <w:szCs w:val="20"/>
                <w:highlight w:val="none"/>
                <w:lang w:val="en-US" w:eastAsia="en-US" w:bidi="ar-SA"/>
              </w:rPr>
            </w:pPr>
            <w:r>
              <w:rPr>
                <w:color w:val="auto"/>
                <w:spacing w:val="-1"/>
                <w:position w:val="1"/>
                <w:highlight w:val="none"/>
              </w:rPr>
              <w:t>15.2</w:t>
            </w:r>
          </w:p>
        </w:tc>
        <w:tc>
          <w:tcPr>
            <w:tcW w:w="2258" w:type="dxa"/>
            <w:shd w:val="clear" w:color="auto" w:fill="auto"/>
            <w:vAlign w:val="top"/>
          </w:tcPr>
          <w:p w14:paraId="7636B91B">
            <w:pPr>
              <w:spacing w:line="337" w:lineRule="auto"/>
              <w:rPr>
                <w:rFonts w:ascii="Arial"/>
                <w:color w:val="auto"/>
                <w:sz w:val="21"/>
                <w:highlight w:val="none"/>
              </w:rPr>
            </w:pPr>
          </w:p>
          <w:p w14:paraId="5367647F">
            <w:pPr>
              <w:spacing w:line="337" w:lineRule="auto"/>
              <w:rPr>
                <w:rFonts w:ascii="Arial"/>
                <w:color w:val="auto"/>
                <w:sz w:val="21"/>
                <w:highlight w:val="none"/>
              </w:rPr>
            </w:pPr>
          </w:p>
          <w:p w14:paraId="23005A3D">
            <w:pPr>
              <w:pStyle w:val="20"/>
              <w:spacing w:before="65" w:line="227" w:lineRule="auto"/>
              <w:ind w:left="597" w:leftChars="0"/>
              <w:rPr>
                <w:rFonts w:ascii="宋体" w:hAnsi="宋体" w:eastAsia="宋体" w:cs="宋体"/>
                <w:snapToGrid w:val="0"/>
                <w:color w:val="auto"/>
                <w:kern w:val="0"/>
                <w:sz w:val="20"/>
                <w:szCs w:val="20"/>
                <w:highlight w:val="none"/>
                <w:lang w:val="en-US" w:eastAsia="en-US" w:bidi="ar-SA"/>
              </w:rPr>
            </w:pPr>
            <w:r>
              <w:rPr>
                <w:color w:val="auto"/>
                <w:spacing w:val="6"/>
                <w:highlight w:val="none"/>
              </w:rPr>
              <w:t>响应报价要求</w:t>
            </w:r>
          </w:p>
        </w:tc>
        <w:tc>
          <w:tcPr>
            <w:tcW w:w="6829" w:type="dxa"/>
            <w:shd w:val="clear" w:color="auto" w:fill="auto"/>
            <w:vAlign w:val="top"/>
          </w:tcPr>
          <w:p w14:paraId="4CA3D31E">
            <w:pPr>
              <w:pStyle w:val="20"/>
              <w:spacing w:before="142" w:line="335" w:lineRule="auto"/>
              <w:ind w:left="110" w:leftChars="0" w:right="108" w:rightChars="0" w:firstLine="4" w:firstLineChars="0"/>
              <w:jc w:val="both"/>
              <w:rPr>
                <w:rFonts w:ascii="宋体" w:hAnsi="宋体" w:eastAsia="宋体" w:cs="宋体"/>
                <w:snapToGrid w:val="0"/>
                <w:color w:val="auto"/>
                <w:kern w:val="0"/>
                <w:sz w:val="20"/>
                <w:szCs w:val="20"/>
                <w:highlight w:val="none"/>
                <w:lang w:val="en-US" w:eastAsia="en-US" w:bidi="ar-SA"/>
              </w:rPr>
            </w:pPr>
            <w:r>
              <w:rPr>
                <w:color w:val="auto"/>
                <w:spacing w:val="7"/>
                <w:highlight w:val="none"/>
              </w:rPr>
              <w:t>竞标报价必须包含满足本次竞标全部采购需求所应提供的内容，以</w:t>
            </w:r>
            <w:r>
              <w:rPr>
                <w:color w:val="auto"/>
                <w:spacing w:val="6"/>
                <w:highlight w:val="none"/>
              </w:rPr>
              <w:t>及伴</w:t>
            </w:r>
            <w:r>
              <w:rPr>
                <w:color w:val="auto"/>
                <w:highlight w:val="none"/>
              </w:rPr>
              <w:t xml:space="preserve"> </w:t>
            </w:r>
            <w:r>
              <w:rPr>
                <w:color w:val="auto"/>
                <w:spacing w:val="7"/>
                <w:highlight w:val="none"/>
              </w:rPr>
              <w:t>随的货物和工程的价格；包含竞标服务、货物、工程的成本、运输（含</w:t>
            </w:r>
            <w:r>
              <w:rPr>
                <w:color w:val="auto"/>
                <w:spacing w:val="2"/>
                <w:highlight w:val="none"/>
              </w:rPr>
              <w:t xml:space="preserve"> </w:t>
            </w:r>
            <w:r>
              <w:rPr>
                <w:color w:val="auto"/>
                <w:spacing w:val="7"/>
                <w:highlight w:val="none"/>
              </w:rPr>
              <w:t>保险）、安装、调试、检验、技术服务、培训、税费等所有费用。</w:t>
            </w:r>
            <w:r>
              <w:rPr>
                <w:b/>
                <w:bCs/>
                <w:color w:val="auto"/>
                <w:spacing w:val="6"/>
                <w:highlight w:val="none"/>
              </w:rPr>
              <w:t>（采</w:t>
            </w:r>
            <w:r>
              <w:rPr>
                <w:color w:val="auto"/>
                <w:highlight w:val="none"/>
              </w:rPr>
              <w:t xml:space="preserve"> </w:t>
            </w:r>
            <w:r>
              <w:rPr>
                <w:b/>
                <w:bCs/>
                <w:color w:val="auto"/>
                <w:spacing w:val="7"/>
                <w:highlight w:val="none"/>
              </w:rPr>
              <w:t>购需求另有约定的，从其约定。）</w:t>
            </w:r>
          </w:p>
        </w:tc>
      </w:tr>
      <w:tr w14:paraId="1AF13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47" w:type="dxa"/>
            <w:shd w:val="clear" w:color="auto" w:fill="auto"/>
            <w:vAlign w:val="top"/>
          </w:tcPr>
          <w:p w14:paraId="49A3C203">
            <w:pPr>
              <w:pStyle w:val="20"/>
              <w:spacing w:before="144" w:line="231" w:lineRule="auto"/>
              <w:ind w:left="241" w:leftChars="0"/>
              <w:rPr>
                <w:rFonts w:ascii="宋体" w:hAnsi="宋体" w:eastAsia="宋体" w:cs="宋体"/>
                <w:snapToGrid w:val="0"/>
                <w:color w:val="auto"/>
                <w:kern w:val="0"/>
                <w:sz w:val="20"/>
                <w:szCs w:val="20"/>
                <w:highlight w:val="none"/>
                <w:lang w:val="en-US" w:eastAsia="en-US" w:bidi="ar-SA"/>
              </w:rPr>
            </w:pPr>
            <w:r>
              <w:rPr>
                <w:color w:val="auto"/>
                <w:spacing w:val="-1"/>
                <w:highlight w:val="none"/>
              </w:rPr>
              <w:t>16.2</w:t>
            </w:r>
          </w:p>
        </w:tc>
        <w:tc>
          <w:tcPr>
            <w:tcW w:w="2258" w:type="dxa"/>
            <w:shd w:val="clear" w:color="auto" w:fill="auto"/>
            <w:vAlign w:val="top"/>
          </w:tcPr>
          <w:p w14:paraId="16871BB9">
            <w:pPr>
              <w:pStyle w:val="20"/>
              <w:spacing w:before="145" w:line="229" w:lineRule="auto"/>
              <w:ind w:left="694" w:leftChars="0"/>
              <w:rPr>
                <w:rFonts w:ascii="宋体" w:hAnsi="宋体" w:eastAsia="宋体" w:cs="宋体"/>
                <w:snapToGrid w:val="0"/>
                <w:color w:val="auto"/>
                <w:kern w:val="0"/>
                <w:sz w:val="20"/>
                <w:szCs w:val="20"/>
                <w:highlight w:val="none"/>
                <w:lang w:val="en-US" w:eastAsia="en-US" w:bidi="ar-SA"/>
              </w:rPr>
            </w:pPr>
            <w:r>
              <w:rPr>
                <w:color w:val="auto"/>
                <w:spacing w:val="7"/>
                <w:highlight w:val="none"/>
              </w:rPr>
              <w:t>竞标有效期</w:t>
            </w:r>
          </w:p>
        </w:tc>
        <w:tc>
          <w:tcPr>
            <w:tcW w:w="6829" w:type="dxa"/>
            <w:shd w:val="clear" w:color="auto" w:fill="auto"/>
            <w:vAlign w:val="top"/>
          </w:tcPr>
          <w:p w14:paraId="1F28DAFD">
            <w:pPr>
              <w:pStyle w:val="20"/>
              <w:spacing w:before="145" w:line="228" w:lineRule="auto"/>
              <w:ind w:left="146" w:leftChars="0"/>
              <w:rPr>
                <w:rFonts w:ascii="宋体" w:hAnsi="宋体" w:eastAsia="宋体" w:cs="宋体"/>
                <w:snapToGrid w:val="0"/>
                <w:color w:val="auto"/>
                <w:kern w:val="0"/>
                <w:sz w:val="20"/>
                <w:szCs w:val="20"/>
                <w:highlight w:val="none"/>
                <w:lang w:val="en-US" w:eastAsia="en-US" w:bidi="ar-SA"/>
              </w:rPr>
            </w:pPr>
            <w:r>
              <w:rPr>
                <w:color w:val="auto"/>
                <w:spacing w:val="3"/>
                <w:highlight w:val="none"/>
              </w:rPr>
              <w:t>自首次响应文件提交截止之日起</w:t>
            </w:r>
            <w:r>
              <w:rPr>
                <w:color w:val="auto"/>
                <w:spacing w:val="-21"/>
                <w:highlight w:val="none"/>
              </w:rPr>
              <w:t xml:space="preserve"> </w:t>
            </w:r>
            <w:r>
              <w:rPr>
                <w:color w:val="auto"/>
                <w:spacing w:val="3"/>
                <w:highlight w:val="none"/>
                <w:u w:val="single" w:color="auto"/>
              </w:rPr>
              <w:t>60 日历天</w:t>
            </w:r>
            <w:r>
              <w:rPr>
                <w:color w:val="auto"/>
                <w:spacing w:val="3"/>
                <w:highlight w:val="none"/>
              </w:rPr>
              <w:t>。</w:t>
            </w:r>
          </w:p>
        </w:tc>
      </w:tr>
      <w:tr w14:paraId="2FB51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847" w:type="dxa"/>
            <w:shd w:val="clear" w:color="auto" w:fill="auto"/>
            <w:vAlign w:val="top"/>
          </w:tcPr>
          <w:p w14:paraId="603C1FAB">
            <w:pPr>
              <w:pStyle w:val="20"/>
              <w:spacing w:before="145" w:line="230" w:lineRule="auto"/>
              <w:ind w:left="241" w:leftChars="0"/>
              <w:rPr>
                <w:rFonts w:ascii="宋体" w:hAnsi="宋体" w:eastAsia="宋体" w:cs="宋体"/>
                <w:snapToGrid w:val="0"/>
                <w:color w:val="auto"/>
                <w:kern w:val="0"/>
                <w:sz w:val="20"/>
                <w:szCs w:val="20"/>
                <w:highlight w:val="none"/>
                <w:lang w:val="en-US" w:eastAsia="en-US" w:bidi="ar-SA"/>
              </w:rPr>
            </w:pPr>
            <w:r>
              <w:rPr>
                <w:color w:val="auto"/>
                <w:spacing w:val="-1"/>
                <w:highlight w:val="none"/>
              </w:rPr>
              <w:t>17.1</w:t>
            </w:r>
          </w:p>
        </w:tc>
        <w:tc>
          <w:tcPr>
            <w:tcW w:w="2258" w:type="dxa"/>
            <w:shd w:val="clear" w:color="auto" w:fill="auto"/>
            <w:vAlign w:val="top"/>
          </w:tcPr>
          <w:p w14:paraId="337228AB">
            <w:pPr>
              <w:pStyle w:val="20"/>
              <w:spacing w:before="145" w:line="229" w:lineRule="auto"/>
              <w:ind w:left="691" w:leftChars="0"/>
              <w:rPr>
                <w:rFonts w:ascii="宋体" w:hAnsi="宋体" w:eastAsia="宋体" w:cs="宋体"/>
                <w:snapToGrid w:val="0"/>
                <w:color w:val="auto"/>
                <w:kern w:val="0"/>
                <w:sz w:val="20"/>
                <w:szCs w:val="20"/>
                <w:highlight w:val="none"/>
                <w:lang w:val="en-US" w:eastAsia="en-US" w:bidi="ar-SA"/>
              </w:rPr>
            </w:pPr>
            <w:r>
              <w:rPr>
                <w:color w:val="auto"/>
                <w:spacing w:val="8"/>
                <w:highlight w:val="none"/>
              </w:rPr>
              <w:t>磋商保证金</w:t>
            </w:r>
          </w:p>
        </w:tc>
        <w:tc>
          <w:tcPr>
            <w:tcW w:w="6829" w:type="dxa"/>
            <w:shd w:val="clear" w:color="auto" w:fill="auto"/>
            <w:vAlign w:val="top"/>
          </w:tcPr>
          <w:p w14:paraId="5C387658">
            <w:pPr>
              <w:pStyle w:val="20"/>
              <w:spacing w:before="145" w:line="228" w:lineRule="auto"/>
              <w:ind w:left="112" w:leftChars="0"/>
              <w:rPr>
                <w:rFonts w:ascii="宋体" w:hAnsi="宋体" w:eastAsia="宋体" w:cs="宋体"/>
                <w:snapToGrid w:val="0"/>
                <w:color w:val="auto"/>
                <w:kern w:val="0"/>
                <w:sz w:val="20"/>
                <w:szCs w:val="20"/>
                <w:highlight w:val="none"/>
                <w:lang w:val="en-US" w:eastAsia="en-US" w:bidi="ar-SA"/>
              </w:rPr>
            </w:pPr>
            <w:r>
              <w:rPr>
                <w:color w:val="auto"/>
                <w:spacing w:val="8"/>
                <w:highlight w:val="none"/>
              </w:rPr>
              <w:t>本项目不收取磋商保证金。</w:t>
            </w:r>
          </w:p>
        </w:tc>
      </w:tr>
      <w:tr w14:paraId="62BAF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847" w:type="dxa"/>
            <w:vMerge w:val="restart"/>
            <w:shd w:val="clear" w:color="auto" w:fill="auto"/>
            <w:vAlign w:val="top"/>
          </w:tcPr>
          <w:p w14:paraId="5326641A">
            <w:pPr>
              <w:spacing w:line="246" w:lineRule="auto"/>
              <w:rPr>
                <w:rFonts w:ascii="Arial"/>
                <w:color w:val="auto"/>
                <w:sz w:val="21"/>
                <w:highlight w:val="none"/>
              </w:rPr>
            </w:pPr>
          </w:p>
          <w:p w14:paraId="68DAAE39">
            <w:pPr>
              <w:spacing w:line="247" w:lineRule="auto"/>
              <w:rPr>
                <w:rFonts w:ascii="Arial"/>
                <w:color w:val="auto"/>
                <w:sz w:val="21"/>
                <w:highlight w:val="none"/>
              </w:rPr>
            </w:pPr>
          </w:p>
          <w:p w14:paraId="67BE21A4">
            <w:pPr>
              <w:pStyle w:val="20"/>
              <w:spacing w:before="65" w:line="268" w:lineRule="exact"/>
              <w:ind w:left="228" w:leftChars="0"/>
              <w:rPr>
                <w:color w:val="auto"/>
                <w:spacing w:val="-1"/>
                <w:highlight w:val="none"/>
              </w:rPr>
            </w:pPr>
            <w:r>
              <w:rPr>
                <w:color w:val="auto"/>
                <w:spacing w:val="2"/>
                <w:position w:val="1"/>
                <w:highlight w:val="none"/>
              </w:rPr>
              <w:t>20.1</w:t>
            </w:r>
          </w:p>
        </w:tc>
        <w:tc>
          <w:tcPr>
            <w:tcW w:w="2258" w:type="dxa"/>
            <w:shd w:val="clear" w:color="auto" w:fill="auto"/>
            <w:vAlign w:val="top"/>
          </w:tcPr>
          <w:p w14:paraId="722DC5C4">
            <w:pPr>
              <w:pStyle w:val="20"/>
              <w:spacing w:before="143" w:line="228" w:lineRule="auto"/>
              <w:ind w:left="170"/>
              <w:rPr>
                <w:color w:val="auto"/>
                <w:spacing w:val="8"/>
                <w:highlight w:val="none"/>
              </w:rPr>
            </w:pPr>
            <w:r>
              <w:rPr>
                <w:color w:val="auto"/>
                <w:spacing w:val="8"/>
                <w:highlight w:val="none"/>
              </w:rPr>
              <w:t>首次响应文件提交起止</w:t>
            </w:r>
            <w:r>
              <w:rPr>
                <w:color w:val="auto"/>
                <w:spacing w:val="-1"/>
                <w:highlight w:val="none"/>
              </w:rPr>
              <w:t>时间</w:t>
            </w:r>
          </w:p>
        </w:tc>
        <w:tc>
          <w:tcPr>
            <w:tcW w:w="6829" w:type="dxa"/>
            <w:shd w:val="clear" w:color="auto" w:fill="auto"/>
            <w:vAlign w:val="top"/>
          </w:tcPr>
          <w:p w14:paraId="528E1038">
            <w:pPr>
              <w:spacing w:line="278" w:lineRule="auto"/>
              <w:rPr>
                <w:rFonts w:ascii="Arial"/>
                <w:color w:val="auto"/>
                <w:sz w:val="21"/>
                <w:highlight w:val="none"/>
              </w:rPr>
            </w:pPr>
          </w:p>
          <w:p w14:paraId="613B83FB">
            <w:pPr>
              <w:pStyle w:val="20"/>
              <w:spacing w:before="65" w:line="227" w:lineRule="auto"/>
              <w:ind w:left="114" w:leftChars="0"/>
              <w:rPr>
                <w:color w:val="auto"/>
                <w:spacing w:val="8"/>
                <w:highlight w:val="none"/>
              </w:rPr>
            </w:pPr>
            <w:r>
              <w:rPr>
                <w:color w:val="auto"/>
                <w:spacing w:val="7"/>
                <w:highlight w:val="none"/>
              </w:rPr>
              <w:t>详见竞争性磋商公告。</w:t>
            </w:r>
          </w:p>
        </w:tc>
      </w:tr>
      <w:tr w14:paraId="5DE23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847" w:type="dxa"/>
            <w:vMerge w:val="continue"/>
            <w:shd w:val="clear" w:color="auto" w:fill="auto"/>
            <w:vAlign w:val="top"/>
          </w:tcPr>
          <w:p w14:paraId="75B5E489">
            <w:pPr>
              <w:rPr>
                <w:color w:val="auto"/>
                <w:spacing w:val="-1"/>
                <w:highlight w:val="none"/>
              </w:rPr>
            </w:pPr>
          </w:p>
        </w:tc>
        <w:tc>
          <w:tcPr>
            <w:tcW w:w="2258" w:type="dxa"/>
            <w:shd w:val="clear" w:color="auto" w:fill="auto"/>
            <w:vAlign w:val="top"/>
          </w:tcPr>
          <w:p w14:paraId="2510FD62">
            <w:pPr>
              <w:pStyle w:val="20"/>
              <w:spacing w:before="154" w:line="228" w:lineRule="auto"/>
              <w:ind w:left="170" w:leftChars="0"/>
              <w:rPr>
                <w:color w:val="auto"/>
                <w:spacing w:val="8"/>
                <w:highlight w:val="none"/>
              </w:rPr>
            </w:pPr>
            <w:r>
              <w:rPr>
                <w:color w:val="auto"/>
                <w:spacing w:val="8"/>
                <w:highlight w:val="none"/>
              </w:rPr>
              <w:t>首次响应文件提交地点</w:t>
            </w:r>
          </w:p>
        </w:tc>
        <w:tc>
          <w:tcPr>
            <w:tcW w:w="6829" w:type="dxa"/>
            <w:shd w:val="clear" w:color="auto" w:fill="auto"/>
            <w:vAlign w:val="top"/>
          </w:tcPr>
          <w:p w14:paraId="26908909">
            <w:pPr>
              <w:pStyle w:val="20"/>
              <w:spacing w:before="154" w:line="227" w:lineRule="auto"/>
              <w:ind w:left="114" w:leftChars="0"/>
              <w:rPr>
                <w:color w:val="auto"/>
                <w:spacing w:val="8"/>
                <w:highlight w:val="none"/>
              </w:rPr>
            </w:pPr>
            <w:r>
              <w:rPr>
                <w:color w:val="auto"/>
                <w:spacing w:val="7"/>
                <w:highlight w:val="none"/>
              </w:rPr>
              <w:t>详见竞争性磋商公告。</w:t>
            </w:r>
          </w:p>
        </w:tc>
      </w:tr>
      <w:tr w14:paraId="1C29F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847" w:type="dxa"/>
            <w:shd w:val="clear" w:color="auto" w:fill="auto"/>
            <w:vAlign w:val="top"/>
          </w:tcPr>
          <w:p w14:paraId="0A0AD91E">
            <w:pPr>
              <w:pStyle w:val="20"/>
              <w:spacing w:before="154" w:line="263" w:lineRule="exact"/>
              <w:ind w:left="228" w:leftChars="0"/>
              <w:rPr>
                <w:rFonts w:ascii="宋体" w:hAnsi="宋体" w:eastAsia="宋体" w:cs="宋体"/>
                <w:snapToGrid w:val="0"/>
                <w:color w:val="auto"/>
                <w:kern w:val="0"/>
                <w:sz w:val="20"/>
                <w:szCs w:val="20"/>
                <w:highlight w:val="none"/>
                <w:lang w:val="en-US" w:eastAsia="en-US" w:bidi="ar-SA"/>
              </w:rPr>
            </w:pPr>
            <w:r>
              <w:rPr>
                <w:color w:val="auto"/>
                <w:spacing w:val="2"/>
                <w:position w:val="1"/>
                <w:highlight w:val="none"/>
              </w:rPr>
              <w:t>20.6</w:t>
            </w:r>
          </w:p>
        </w:tc>
        <w:tc>
          <w:tcPr>
            <w:tcW w:w="2258" w:type="dxa"/>
            <w:shd w:val="clear" w:color="auto" w:fill="auto"/>
            <w:vAlign w:val="top"/>
          </w:tcPr>
          <w:p w14:paraId="1664F6FB">
            <w:pPr>
              <w:pStyle w:val="20"/>
              <w:spacing w:before="154" w:line="228" w:lineRule="auto"/>
              <w:ind w:left="589" w:leftChars="0"/>
              <w:rPr>
                <w:rFonts w:ascii="宋体" w:hAnsi="宋体" w:eastAsia="宋体" w:cs="宋体"/>
                <w:snapToGrid w:val="0"/>
                <w:color w:val="auto"/>
                <w:kern w:val="0"/>
                <w:sz w:val="20"/>
                <w:szCs w:val="20"/>
                <w:highlight w:val="none"/>
                <w:lang w:val="en-US" w:eastAsia="en-US" w:bidi="ar-SA"/>
              </w:rPr>
            </w:pPr>
            <w:r>
              <w:rPr>
                <w:color w:val="auto"/>
                <w:spacing w:val="7"/>
                <w:highlight w:val="none"/>
              </w:rPr>
              <w:t>备份响应文件</w:t>
            </w:r>
          </w:p>
        </w:tc>
        <w:tc>
          <w:tcPr>
            <w:tcW w:w="6829" w:type="dxa"/>
            <w:shd w:val="clear" w:color="auto" w:fill="auto"/>
            <w:vAlign w:val="top"/>
          </w:tcPr>
          <w:p w14:paraId="4183EBD0">
            <w:pPr>
              <w:pStyle w:val="20"/>
              <w:spacing w:before="153" w:line="228" w:lineRule="auto"/>
              <w:ind w:left="112" w:leftChars="0"/>
              <w:rPr>
                <w:rFonts w:ascii="宋体" w:hAnsi="宋体" w:eastAsia="宋体" w:cs="宋体"/>
                <w:snapToGrid w:val="0"/>
                <w:color w:val="auto"/>
                <w:kern w:val="0"/>
                <w:sz w:val="20"/>
                <w:szCs w:val="20"/>
                <w:highlight w:val="none"/>
                <w:lang w:val="en-US" w:eastAsia="en-US" w:bidi="ar-SA"/>
              </w:rPr>
            </w:pPr>
            <w:r>
              <w:rPr>
                <w:color w:val="auto"/>
                <w:spacing w:val="8"/>
                <w:highlight w:val="none"/>
              </w:rPr>
              <w:t>本项目不接受备份响应文件。</w:t>
            </w:r>
          </w:p>
        </w:tc>
      </w:tr>
      <w:tr w14:paraId="5266C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847" w:type="dxa"/>
            <w:shd w:val="clear" w:color="auto" w:fill="auto"/>
            <w:vAlign w:val="top"/>
          </w:tcPr>
          <w:p w14:paraId="2684A206">
            <w:pPr>
              <w:pStyle w:val="20"/>
              <w:spacing w:before="154" w:line="263" w:lineRule="exact"/>
              <w:ind w:left="228" w:leftChars="0"/>
              <w:rPr>
                <w:rFonts w:ascii="宋体" w:hAnsi="宋体" w:eastAsia="宋体" w:cs="宋体"/>
                <w:snapToGrid w:val="0"/>
                <w:color w:val="auto"/>
                <w:kern w:val="0"/>
                <w:sz w:val="20"/>
                <w:szCs w:val="20"/>
                <w:highlight w:val="none"/>
                <w:lang w:val="en-US" w:eastAsia="en-US" w:bidi="ar-SA"/>
              </w:rPr>
            </w:pPr>
            <w:r>
              <w:rPr>
                <w:color w:val="auto"/>
                <w:spacing w:val="2"/>
                <w:position w:val="1"/>
                <w:highlight w:val="none"/>
              </w:rPr>
              <w:t>20.6</w:t>
            </w:r>
          </w:p>
        </w:tc>
        <w:tc>
          <w:tcPr>
            <w:tcW w:w="2258" w:type="dxa"/>
            <w:shd w:val="clear" w:color="auto" w:fill="auto"/>
            <w:vAlign w:val="top"/>
          </w:tcPr>
          <w:p w14:paraId="1D14F43A">
            <w:pPr>
              <w:pStyle w:val="20"/>
              <w:spacing w:before="154" w:line="228" w:lineRule="auto"/>
              <w:ind w:left="589" w:leftChars="0"/>
              <w:rPr>
                <w:rFonts w:ascii="宋体" w:hAnsi="宋体" w:eastAsia="宋体" w:cs="宋体"/>
                <w:snapToGrid w:val="0"/>
                <w:color w:val="auto"/>
                <w:kern w:val="0"/>
                <w:sz w:val="20"/>
                <w:szCs w:val="20"/>
                <w:highlight w:val="none"/>
                <w:lang w:val="en-US" w:eastAsia="en-US" w:bidi="ar-SA"/>
              </w:rPr>
            </w:pPr>
            <w:r>
              <w:rPr>
                <w:color w:val="auto"/>
                <w:spacing w:val="7"/>
                <w:highlight w:val="none"/>
              </w:rPr>
              <w:t>备份响应文件</w:t>
            </w:r>
          </w:p>
        </w:tc>
        <w:tc>
          <w:tcPr>
            <w:tcW w:w="6829" w:type="dxa"/>
            <w:shd w:val="clear" w:color="auto" w:fill="auto"/>
            <w:vAlign w:val="top"/>
          </w:tcPr>
          <w:p w14:paraId="4B6C6FA0">
            <w:pPr>
              <w:pStyle w:val="20"/>
              <w:spacing w:before="153" w:line="228" w:lineRule="auto"/>
              <w:ind w:left="112" w:leftChars="0"/>
              <w:rPr>
                <w:rFonts w:ascii="宋体" w:hAnsi="宋体" w:eastAsia="宋体" w:cs="宋体"/>
                <w:snapToGrid w:val="0"/>
                <w:color w:val="auto"/>
                <w:kern w:val="0"/>
                <w:sz w:val="20"/>
                <w:szCs w:val="20"/>
                <w:highlight w:val="none"/>
                <w:lang w:val="en-US" w:eastAsia="en-US" w:bidi="ar-SA"/>
              </w:rPr>
            </w:pPr>
            <w:r>
              <w:rPr>
                <w:color w:val="auto"/>
                <w:spacing w:val="8"/>
                <w:highlight w:val="none"/>
              </w:rPr>
              <w:t>本项目不接受备份响应文件。</w:t>
            </w:r>
          </w:p>
        </w:tc>
      </w:tr>
      <w:tr w14:paraId="3010D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47" w:type="dxa"/>
            <w:shd w:val="clear" w:color="auto" w:fill="auto"/>
            <w:vAlign w:val="top"/>
          </w:tcPr>
          <w:p w14:paraId="6E4D17D7">
            <w:pPr>
              <w:pStyle w:val="20"/>
              <w:spacing w:before="154" w:line="263" w:lineRule="exact"/>
              <w:ind w:left="333" w:leftChars="0"/>
              <w:rPr>
                <w:rFonts w:ascii="宋体" w:hAnsi="宋体" w:eastAsia="宋体" w:cs="宋体"/>
                <w:snapToGrid w:val="0"/>
                <w:color w:val="auto"/>
                <w:kern w:val="0"/>
                <w:sz w:val="20"/>
                <w:szCs w:val="20"/>
                <w:highlight w:val="none"/>
                <w:lang w:val="en-US" w:eastAsia="en-US" w:bidi="ar-SA"/>
              </w:rPr>
            </w:pPr>
            <w:r>
              <w:rPr>
                <w:color w:val="auto"/>
                <w:spacing w:val="-1"/>
                <w:position w:val="1"/>
                <w:highlight w:val="none"/>
              </w:rPr>
              <w:t>21</w:t>
            </w:r>
          </w:p>
        </w:tc>
        <w:tc>
          <w:tcPr>
            <w:tcW w:w="2258" w:type="dxa"/>
            <w:shd w:val="clear" w:color="auto" w:fill="auto"/>
            <w:vAlign w:val="top"/>
          </w:tcPr>
          <w:p w14:paraId="2314CF77">
            <w:pPr>
              <w:pStyle w:val="20"/>
              <w:spacing w:before="154" w:line="228" w:lineRule="auto"/>
              <w:ind w:left="275" w:leftChars="0"/>
              <w:rPr>
                <w:rFonts w:ascii="宋体" w:hAnsi="宋体" w:eastAsia="宋体" w:cs="宋体"/>
                <w:snapToGrid w:val="0"/>
                <w:color w:val="auto"/>
                <w:kern w:val="0"/>
                <w:sz w:val="20"/>
                <w:szCs w:val="20"/>
                <w:highlight w:val="none"/>
                <w:lang w:val="en-US" w:eastAsia="en-US" w:bidi="ar-SA"/>
              </w:rPr>
            </w:pPr>
            <w:r>
              <w:rPr>
                <w:color w:val="auto"/>
                <w:spacing w:val="8"/>
                <w:highlight w:val="none"/>
              </w:rPr>
              <w:t>首次响应文件的退回</w:t>
            </w:r>
          </w:p>
        </w:tc>
        <w:tc>
          <w:tcPr>
            <w:tcW w:w="6829" w:type="dxa"/>
            <w:shd w:val="clear" w:color="auto" w:fill="auto"/>
            <w:vAlign w:val="top"/>
          </w:tcPr>
          <w:p w14:paraId="214C8A31">
            <w:pPr>
              <w:pStyle w:val="20"/>
              <w:spacing w:before="154" w:line="227" w:lineRule="auto"/>
              <w:ind w:left="114" w:leftChars="0"/>
              <w:rPr>
                <w:rFonts w:ascii="宋体" w:hAnsi="宋体" w:eastAsia="宋体" w:cs="宋体"/>
                <w:snapToGrid w:val="0"/>
                <w:color w:val="auto"/>
                <w:kern w:val="0"/>
                <w:sz w:val="20"/>
                <w:szCs w:val="20"/>
                <w:highlight w:val="none"/>
                <w:lang w:val="en-US" w:eastAsia="en-US" w:bidi="ar-SA"/>
              </w:rPr>
            </w:pPr>
            <w:r>
              <w:rPr>
                <w:color w:val="auto"/>
                <w:spacing w:val="7"/>
                <w:highlight w:val="none"/>
              </w:rPr>
              <w:t>详见竞争性磋商公告。</w:t>
            </w:r>
          </w:p>
        </w:tc>
      </w:tr>
      <w:tr w14:paraId="38B57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847" w:type="dxa"/>
            <w:vMerge w:val="restart"/>
            <w:shd w:val="clear" w:color="auto" w:fill="auto"/>
            <w:vAlign w:val="top"/>
          </w:tcPr>
          <w:p w14:paraId="709D6096">
            <w:pPr>
              <w:spacing w:line="269" w:lineRule="auto"/>
              <w:rPr>
                <w:rFonts w:ascii="Arial"/>
                <w:color w:val="auto"/>
                <w:sz w:val="21"/>
                <w:highlight w:val="none"/>
              </w:rPr>
            </w:pPr>
          </w:p>
          <w:p w14:paraId="205FBE11">
            <w:pPr>
              <w:spacing w:line="269" w:lineRule="auto"/>
              <w:rPr>
                <w:rFonts w:ascii="Arial"/>
                <w:color w:val="auto"/>
                <w:sz w:val="21"/>
                <w:highlight w:val="none"/>
              </w:rPr>
            </w:pPr>
          </w:p>
          <w:p w14:paraId="481F5E99">
            <w:pPr>
              <w:spacing w:line="270" w:lineRule="auto"/>
              <w:rPr>
                <w:rFonts w:ascii="Arial"/>
                <w:color w:val="auto"/>
                <w:sz w:val="21"/>
                <w:highlight w:val="none"/>
              </w:rPr>
            </w:pPr>
          </w:p>
          <w:p w14:paraId="6EDBEE75">
            <w:pPr>
              <w:spacing w:line="270" w:lineRule="auto"/>
              <w:rPr>
                <w:rFonts w:ascii="Arial"/>
                <w:color w:val="auto"/>
                <w:sz w:val="21"/>
                <w:highlight w:val="none"/>
              </w:rPr>
            </w:pPr>
          </w:p>
          <w:p w14:paraId="72E602DB">
            <w:pPr>
              <w:pStyle w:val="20"/>
              <w:spacing w:before="65" w:line="269" w:lineRule="exact"/>
              <w:ind w:left="228" w:leftChars="0"/>
              <w:rPr>
                <w:color w:val="auto"/>
                <w:spacing w:val="-1"/>
                <w:position w:val="1"/>
                <w:highlight w:val="none"/>
              </w:rPr>
            </w:pPr>
            <w:r>
              <w:rPr>
                <w:color w:val="auto"/>
                <w:spacing w:val="2"/>
                <w:position w:val="1"/>
                <w:highlight w:val="none"/>
              </w:rPr>
              <w:t>26.2</w:t>
            </w:r>
          </w:p>
        </w:tc>
        <w:tc>
          <w:tcPr>
            <w:tcW w:w="2258" w:type="dxa"/>
            <w:shd w:val="clear" w:color="auto" w:fill="auto"/>
            <w:vAlign w:val="top"/>
          </w:tcPr>
          <w:p w14:paraId="4A3E2953">
            <w:pPr>
              <w:spacing w:line="277" w:lineRule="auto"/>
              <w:rPr>
                <w:rFonts w:ascii="Arial"/>
                <w:color w:val="auto"/>
                <w:sz w:val="21"/>
                <w:highlight w:val="none"/>
              </w:rPr>
            </w:pPr>
          </w:p>
          <w:p w14:paraId="75785168">
            <w:pPr>
              <w:pStyle w:val="20"/>
              <w:spacing w:before="65" w:line="228" w:lineRule="auto"/>
              <w:ind w:left="700" w:leftChars="0"/>
              <w:rPr>
                <w:color w:val="auto"/>
                <w:spacing w:val="8"/>
                <w:highlight w:val="none"/>
              </w:rPr>
            </w:pPr>
            <w:r>
              <w:rPr>
                <w:color w:val="auto"/>
                <w:spacing w:val="6"/>
                <w:highlight w:val="none"/>
              </w:rPr>
              <w:t>负偏离要求</w:t>
            </w:r>
          </w:p>
        </w:tc>
        <w:tc>
          <w:tcPr>
            <w:tcW w:w="6829" w:type="dxa"/>
            <w:shd w:val="clear" w:color="auto" w:fill="auto"/>
            <w:vAlign w:val="top"/>
          </w:tcPr>
          <w:p w14:paraId="3EC8B581">
            <w:pPr>
              <w:pStyle w:val="20"/>
              <w:spacing w:before="145" w:line="300" w:lineRule="auto"/>
              <w:ind w:left="112" w:leftChars="0" w:right="2266" w:rightChars="0" w:firstLine="3" w:firstLineChars="0"/>
              <w:rPr>
                <w:color w:val="auto"/>
                <w:spacing w:val="7"/>
                <w:highlight w:val="none"/>
              </w:rPr>
            </w:pPr>
            <w:r>
              <w:rPr>
                <w:color w:val="auto"/>
                <w:spacing w:val="7"/>
                <w:highlight w:val="none"/>
              </w:rPr>
              <w:t>商务条款评审中允许负偏离的条款数为</w:t>
            </w:r>
            <w:r>
              <w:rPr>
                <w:color w:val="auto"/>
                <w:spacing w:val="7"/>
                <w:highlight w:val="none"/>
                <w:u w:val="single" w:color="auto"/>
              </w:rPr>
              <w:t xml:space="preserve"> 0 </w:t>
            </w:r>
            <w:r>
              <w:rPr>
                <w:color w:val="auto"/>
                <w:spacing w:val="7"/>
                <w:highlight w:val="none"/>
              </w:rPr>
              <w:t>项。</w:t>
            </w:r>
            <w:r>
              <w:rPr>
                <w:color w:val="auto"/>
                <w:spacing w:val="2"/>
                <w:highlight w:val="none"/>
              </w:rPr>
              <w:t xml:space="preserve"> </w:t>
            </w:r>
            <w:r>
              <w:rPr>
                <w:color w:val="auto"/>
                <w:spacing w:val="7"/>
                <w:highlight w:val="none"/>
              </w:rPr>
              <w:t>技术需求评审中允许负偏离的条款数为</w:t>
            </w:r>
            <w:r>
              <w:rPr>
                <w:color w:val="auto"/>
                <w:spacing w:val="7"/>
                <w:highlight w:val="none"/>
                <w:u w:val="single" w:color="auto"/>
              </w:rPr>
              <w:t xml:space="preserve"> 0 </w:t>
            </w:r>
            <w:r>
              <w:rPr>
                <w:color w:val="auto"/>
                <w:spacing w:val="7"/>
                <w:highlight w:val="none"/>
              </w:rPr>
              <w:t>项。</w:t>
            </w:r>
          </w:p>
        </w:tc>
      </w:tr>
      <w:tr w14:paraId="48F54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6" w:hRule="atLeast"/>
        </w:trPr>
        <w:tc>
          <w:tcPr>
            <w:tcW w:w="847" w:type="dxa"/>
            <w:vMerge w:val="continue"/>
            <w:shd w:val="clear" w:color="auto" w:fill="auto"/>
            <w:vAlign w:val="top"/>
          </w:tcPr>
          <w:p w14:paraId="7F6A2751">
            <w:pPr>
              <w:rPr>
                <w:color w:val="auto"/>
                <w:spacing w:val="-1"/>
                <w:position w:val="1"/>
                <w:highlight w:val="none"/>
              </w:rPr>
            </w:pPr>
          </w:p>
        </w:tc>
        <w:tc>
          <w:tcPr>
            <w:tcW w:w="2258" w:type="dxa"/>
            <w:shd w:val="clear" w:color="auto" w:fill="auto"/>
            <w:vAlign w:val="top"/>
          </w:tcPr>
          <w:p w14:paraId="6BA41F3E">
            <w:pPr>
              <w:spacing w:line="337" w:lineRule="auto"/>
              <w:rPr>
                <w:rFonts w:ascii="Arial"/>
                <w:color w:val="auto"/>
                <w:sz w:val="21"/>
                <w:highlight w:val="none"/>
              </w:rPr>
            </w:pPr>
          </w:p>
          <w:p w14:paraId="1E0C5DE4">
            <w:pPr>
              <w:spacing w:line="337" w:lineRule="auto"/>
              <w:rPr>
                <w:rFonts w:ascii="Arial"/>
                <w:color w:val="auto"/>
                <w:sz w:val="21"/>
                <w:highlight w:val="none"/>
              </w:rPr>
            </w:pPr>
          </w:p>
          <w:p w14:paraId="2EDB93B9">
            <w:pPr>
              <w:pStyle w:val="20"/>
              <w:spacing w:before="65" w:line="229" w:lineRule="auto"/>
              <w:ind w:left="691" w:leftChars="0"/>
              <w:rPr>
                <w:color w:val="auto"/>
                <w:spacing w:val="8"/>
                <w:highlight w:val="none"/>
              </w:rPr>
            </w:pPr>
            <w:r>
              <w:rPr>
                <w:color w:val="auto"/>
                <w:spacing w:val="8"/>
                <w:highlight w:val="none"/>
              </w:rPr>
              <w:t>磋商的顺序</w:t>
            </w:r>
          </w:p>
        </w:tc>
        <w:tc>
          <w:tcPr>
            <w:tcW w:w="6829" w:type="dxa"/>
            <w:shd w:val="clear" w:color="auto" w:fill="auto"/>
            <w:vAlign w:val="top"/>
          </w:tcPr>
          <w:p w14:paraId="4D2D1D63">
            <w:pPr>
              <w:pStyle w:val="20"/>
              <w:spacing w:before="144" w:line="369" w:lineRule="auto"/>
              <w:ind w:left="111" w:right="108" w:firstLine="22"/>
              <w:jc w:val="both"/>
              <w:rPr>
                <w:color w:val="auto"/>
                <w:highlight w:val="none"/>
              </w:rPr>
            </w:pPr>
            <w:r>
              <w:rPr>
                <w:color w:val="auto"/>
                <w:spacing w:val="6"/>
                <w:highlight w:val="none"/>
              </w:rPr>
              <w:t>□按照提交首次响应文件的顺序，通知磋商时，若某供应商不在通知现</w:t>
            </w:r>
            <w:r>
              <w:rPr>
                <w:color w:val="auto"/>
                <w:spacing w:val="10"/>
                <w:highlight w:val="none"/>
              </w:rPr>
              <w:t xml:space="preserve"> </w:t>
            </w:r>
            <w:r>
              <w:rPr>
                <w:color w:val="auto"/>
                <w:spacing w:val="7"/>
                <w:highlight w:val="none"/>
              </w:rPr>
              <w:t>场时，该供应商排序到最后磋商，按照签到的顺序由其下一位供应商先</w:t>
            </w:r>
            <w:r>
              <w:rPr>
                <w:color w:val="auto"/>
                <w:spacing w:val="1"/>
                <w:highlight w:val="none"/>
              </w:rPr>
              <w:t xml:space="preserve"> </w:t>
            </w:r>
            <w:r>
              <w:rPr>
                <w:color w:val="auto"/>
                <w:spacing w:val="6"/>
                <w:highlight w:val="none"/>
              </w:rPr>
              <w:t>参与磋商。</w:t>
            </w:r>
          </w:p>
          <w:p w14:paraId="01EC04A6">
            <w:pPr>
              <w:pStyle w:val="20"/>
              <w:spacing w:line="227" w:lineRule="auto"/>
              <w:ind w:left="120" w:leftChars="0"/>
              <w:rPr>
                <w:color w:val="auto"/>
                <w:spacing w:val="7"/>
                <w:highlight w:val="none"/>
              </w:rPr>
            </w:pPr>
            <w:r>
              <w:rPr>
                <w:rFonts w:ascii="MS PMincho" w:hAnsi="MS PMincho" w:eastAsia="MS PMincho" w:cs="MS PMincho"/>
                <w:color w:val="auto"/>
                <w:spacing w:val="5"/>
                <w:highlight w:val="none"/>
              </w:rPr>
              <w:t>☑</w:t>
            </w:r>
            <w:r>
              <w:rPr>
                <w:color w:val="auto"/>
                <w:spacing w:val="5"/>
                <w:highlight w:val="none"/>
              </w:rPr>
              <w:t>随机排序。</w:t>
            </w:r>
          </w:p>
        </w:tc>
      </w:tr>
      <w:tr w14:paraId="42088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847" w:type="dxa"/>
            <w:shd w:val="clear" w:color="auto" w:fill="auto"/>
            <w:vAlign w:val="top"/>
          </w:tcPr>
          <w:p w14:paraId="28FFBED0">
            <w:pPr>
              <w:pStyle w:val="20"/>
              <w:spacing w:before="144" w:line="231" w:lineRule="auto"/>
              <w:ind w:left="333" w:leftChars="0"/>
              <w:rPr>
                <w:color w:val="auto"/>
                <w:spacing w:val="-1"/>
                <w:position w:val="1"/>
                <w:highlight w:val="none"/>
              </w:rPr>
            </w:pPr>
            <w:r>
              <w:rPr>
                <w:color w:val="auto"/>
                <w:spacing w:val="-1"/>
                <w:highlight w:val="none"/>
              </w:rPr>
              <w:t>28</w:t>
            </w:r>
          </w:p>
        </w:tc>
        <w:tc>
          <w:tcPr>
            <w:tcW w:w="2258" w:type="dxa"/>
            <w:shd w:val="clear" w:color="auto" w:fill="auto"/>
            <w:vAlign w:val="top"/>
          </w:tcPr>
          <w:p w14:paraId="0ECE1B8B">
            <w:pPr>
              <w:pStyle w:val="20"/>
              <w:spacing w:before="144" w:line="229" w:lineRule="auto"/>
              <w:ind w:left="695" w:leftChars="0"/>
              <w:rPr>
                <w:color w:val="auto"/>
                <w:spacing w:val="8"/>
                <w:highlight w:val="none"/>
              </w:rPr>
            </w:pPr>
            <w:r>
              <w:rPr>
                <w:color w:val="auto"/>
                <w:spacing w:val="7"/>
                <w:highlight w:val="none"/>
              </w:rPr>
              <w:t>履约保证金</w:t>
            </w:r>
          </w:p>
        </w:tc>
        <w:tc>
          <w:tcPr>
            <w:tcW w:w="6829" w:type="dxa"/>
            <w:shd w:val="clear" w:color="auto" w:fill="auto"/>
            <w:vAlign w:val="top"/>
          </w:tcPr>
          <w:p w14:paraId="174D80D6">
            <w:pPr>
              <w:pStyle w:val="20"/>
              <w:spacing w:before="144" w:line="228" w:lineRule="auto"/>
              <w:ind w:left="112" w:leftChars="0"/>
              <w:rPr>
                <w:rFonts w:ascii="MS PMincho" w:hAnsi="MS PMincho" w:eastAsia="MS PMincho" w:cs="MS PMincho"/>
                <w:color w:val="auto"/>
                <w:spacing w:val="5"/>
                <w:highlight w:val="none"/>
              </w:rPr>
            </w:pPr>
            <w:r>
              <w:rPr>
                <w:color w:val="auto"/>
                <w:spacing w:val="9"/>
                <w:highlight w:val="none"/>
              </w:rPr>
              <w:t>本项目不收取履约保证金</w:t>
            </w:r>
          </w:p>
        </w:tc>
      </w:tr>
      <w:tr w14:paraId="78DC1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847" w:type="dxa"/>
            <w:shd w:val="clear" w:color="auto" w:fill="auto"/>
            <w:vAlign w:val="top"/>
          </w:tcPr>
          <w:p w14:paraId="2B4F5DB5">
            <w:pPr>
              <w:pStyle w:val="20"/>
              <w:spacing w:before="144" w:line="231" w:lineRule="auto"/>
              <w:ind w:left="228" w:leftChars="0"/>
              <w:rPr>
                <w:color w:val="auto"/>
                <w:spacing w:val="-1"/>
                <w:position w:val="1"/>
                <w:highlight w:val="none"/>
              </w:rPr>
            </w:pPr>
            <w:r>
              <w:rPr>
                <w:color w:val="auto"/>
                <w:spacing w:val="2"/>
                <w:highlight w:val="none"/>
              </w:rPr>
              <w:t>29.5</w:t>
            </w:r>
          </w:p>
        </w:tc>
        <w:tc>
          <w:tcPr>
            <w:tcW w:w="2258" w:type="dxa"/>
            <w:shd w:val="clear" w:color="auto" w:fill="auto"/>
            <w:vAlign w:val="top"/>
          </w:tcPr>
          <w:p w14:paraId="7EE96DB0">
            <w:pPr>
              <w:pStyle w:val="20"/>
              <w:spacing w:before="144" w:line="228" w:lineRule="auto"/>
              <w:ind w:left="272" w:leftChars="0"/>
              <w:rPr>
                <w:color w:val="auto"/>
                <w:spacing w:val="8"/>
                <w:highlight w:val="none"/>
              </w:rPr>
            </w:pPr>
            <w:r>
              <w:rPr>
                <w:color w:val="auto"/>
                <w:spacing w:val="8"/>
                <w:highlight w:val="none"/>
              </w:rPr>
              <w:t>签订合同携带的材料</w:t>
            </w:r>
          </w:p>
        </w:tc>
        <w:tc>
          <w:tcPr>
            <w:tcW w:w="6829" w:type="dxa"/>
            <w:shd w:val="clear" w:color="auto" w:fill="auto"/>
            <w:vAlign w:val="top"/>
          </w:tcPr>
          <w:p w14:paraId="0D5AB80A">
            <w:pPr>
              <w:pStyle w:val="20"/>
              <w:spacing w:before="144" w:line="228" w:lineRule="auto"/>
              <w:ind w:left="112" w:leftChars="0"/>
              <w:rPr>
                <w:rFonts w:ascii="MS PMincho" w:hAnsi="MS PMincho" w:eastAsia="MS PMincho" w:cs="MS PMincho"/>
                <w:color w:val="auto"/>
                <w:spacing w:val="5"/>
                <w:highlight w:val="none"/>
              </w:rPr>
            </w:pPr>
            <w:r>
              <w:rPr>
                <w:color w:val="auto"/>
                <w:spacing w:val="8"/>
                <w:highlight w:val="none"/>
              </w:rPr>
              <w:t>使用的有效</w:t>
            </w:r>
            <w:r>
              <w:rPr>
                <w:color w:val="auto"/>
                <w:spacing w:val="-27"/>
                <w:highlight w:val="none"/>
              </w:rPr>
              <w:t xml:space="preserve"> </w:t>
            </w:r>
            <w:r>
              <w:rPr>
                <w:color w:val="auto"/>
                <w:highlight w:val="none"/>
              </w:rPr>
              <w:t>CA</w:t>
            </w:r>
            <w:r>
              <w:rPr>
                <w:color w:val="auto"/>
                <w:spacing w:val="-40"/>
                <w:highlight w:val="none"/>
              </w:rPr>
              <w:t xml:space="preserve"> </w:t>
            </w:r>
            <w:r>
              <w:rPr>
                <w:color w:val="auto"/>
                <w:spacing w:val="8"/>
                <w:highlight w:val="none"/>
              </w:rPr>
              <w:t>证书加盖单位电子公章</w:t>
            </w:r>
          </w:p>
        </w:tc>
      </w:tr>
    </w:tbl>
    <w:p w14:paraId="3CECC66A">
      <w:pPr>
        <w:pStyle w:val="6"/>
        <w:spacing w:line="201" w:lineRule="exact"/>
        <w:rPr>
          <w:color w:val="auto"/>
          <w:sz w:val="17"/>
          <w:highlight w:val="none"/>
        </w:rPr>
      </w:pPr>
    </w:p>
    <w:p w14:paraId="147AF13A">
      <w:pPr>
        <w:spacing w:before="3"/>
        <w:rPr>
          <w:color w:val="auto"/>
          <w:highlight w:val="none"/>
        </w:rPr>
      </w:pPr>
    </w:p>
    <w:p w14:paraId="41BD7C72">
      <w:pPr>
        <w:spacing w:before="3"/>
        <w:rPr>
          <w:color w:val="auto"/>
          <w:highlight w:val="none"/>
        </w:rPr>
      </w:pPr>
    </w:p>
    <w:p w14:paraId="6B8E7247">
      <w:pPr>
        <w:spacing w:before="3"/>
        <w:rPr>
          <w:color w:val="auto"/>
          <w:highlight w:val="none"/>
        </w:rPr>
      </w:pPr>
    </w:p>
    <w:tbl>
      <w:tblPr>
        <w:tblStyle w:val="19"/>
        <w:tblW w:w="99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2426"/>
        <w:gridCol w:w="6645"/>
      </w:tblGrid>
      <w:tr w14:paraId="66A02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863" w:type="dxa"/>
            <w:vMerge w:val="restart"/>
            <w:tcBorders>
              <w:bottom w:val="nil"/>
            </w:tcBorders>
            <w:vAlign w:val="top"/>
          </w:tcPr>
          <w:p w14:paraId="7EB093A0">
            <w:pPr>
              <w:spacing w:line="282" w:lineRule="auto"/>
              <w:rPr>
                <w:rFonts w:ascii="Arial"/>
                <w:color w:val="auto"/>
                <w:sz w:val="21"/>
                <w:highlight w:val="none"/>
              </w:rPr>
            </w:pPr>
          </w:p>
          <w:p w14:paraId="4EDDCF2C">
            <w:pPr>
              <w:pStyle w:val="20"/>
              <w:spacing w:before="65" w:line="269" w:lineRule="exact"/>
              <w:ind w:left="229"/>
              <w:rPr>
                <w:color w:val="auto"/>
                <w:highlight w:val="none"/>
              </w:rPr>
            </w:pPr>
            <w:r>
              <w:rPr>
                <w:color w:val="auto"/>
                <w:spacing w:val="2"/>
                <w:position w:val="1"/>
                <w:highlight w:val="none"/>
              </w:rPr>
              <w:t>31.2</w:t>
            </w:r>
          </w:p>
        </w:tc>
        <w:tc>
          <w:tcPr>
            <w:tcW w:w="2426" w:type="dxa"/>
            <w:vAlign w:val="top"/>
          </w:tcPr>
          <w:p w14:paraId="497C106C">
            <w:pPr>
              <w:pStyle w:val="20"/>
              <w:spacing w:before="146" w:line="228" w:lineRule="auto"/>
              <w:ind w:left="480"/>
              <w:rPr>
                <w:color w:val="auto"/>
                <w:highlight w:val="none"/>
              </w:rPr>
            </w:pPr>
            <w:r>
              <w:rPr>
                <w:color w:val="auto"/>
                <w:spacing w:val="8"/>
                <w:highlight w:val="none"/>
              </w:rPr>
              <w:t>接收质疑函方式</w:t>
            </w:r>
          </w:p>
        </w:tc>
        <w:tc>
          <w:tcPr>
            <w:tcW w:w="6645" w:type="dxa"/>
            <w:vAlign w:val="top"/>
          </w:tcPr>
          <w:p w14:paraId="04183EFA">
            <w:pPr>
              <w:pStyle w:val="20"/>
              <w:spacing w:before="145" w:line="228" w:lineRule="auto"/>
              <w:ind w:left="135"/>
              <w:rPr>
                <w:color w:val="auto"/>
                <w:highlight w:val="none"/>
              </w:rPr>
            </w:pPr>
            <w:r>
              <w:rPr>
                <w:color w:val="auto"/>
                <w:spacing w:val="3"/>
                <w:highlight w:val="none"/>
              </w:rPr>
              <w:t>以书面形式</w:t>
            </w:r>
          </w:p>
        </w:tc>
      </w:tr>
      <w:tr w14:paraId="5945B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7" w:hRule="atLeast"/>
        </w:trPr>
        <w:tc>
          <w:tcPr>
            <w:tcW w:w="863" w:type="dxa"/>
            <w:vMerge w:val="continue"/>
            <w:tcBorders>
              <w:top w:val="nil"/>
              <w:bottom w:val="single" w:color="auto" w:sz="4" w:space="0"/>
            </w:tcBorders>
            <w:vAlign w:val="top"/>
          </w:tcPr>
          <w:p w14:paraId="0FF8B9D2">
            <w:pPr>
              <w:rPr>
                <w:rFonts w:ascii="Arial"/>
                <w:color w:val="auto"/>
                <w:sz w:val="21"/>
                <w:highlight w:val="none"/>
              </w:rPr>
            </w:pPr>
          </w:p>
        </w:tc>
        <w:tc>
          <w:tcPr>
            <w:tcW w:w="2426" w:type="dxa"/>
            <w:vAlign w:val="top"/>
          </w:tcPr>
          <w:p w14:paraId="41C8E28B">
            <w:pPr>
              <w:pStyle w:val="20"/>
              <w:spacing w:before="146" w:line="228" w:lineRule="auto"/>
              <w:rPr>
                <w:rFonts w:hint="eastAsia" w:eastAsia="宋体"/>
                <w:color w:val="auto"/>
                <w:highlight w:val="none"/>
                <w:lang w:val="en-US" w:eastAsia="zh-CN"/>
              </w:rPr>
            </w:pPr>
            <w:r>
              <w:rPr>
                <w:color w:val="auto"/>
                <w:spacing w:val="20"/>
                <w:highlight w:val="none"/>
              </w:rPr>
              <w:t>质疑联系部门及联系</w:t>
            </w:r>
            <w:r>
              <w:rPr>
                <w:rFonts w:hint="eastAsia"/>
                <w:color w:val="auto"/>
                <w:spacing w:val="20"/>
                <w:highlight w:val="none"/>
                <w:lang w:eastAsia="zh-CN"/>
              </w:rPr>
              <w:t>方式</w:t>
            </w:r>
          </w:p>
        </w:tc>
        <w:tc>
          <w:tcPr>
            <w:tcW w:w="6645" w:type="dxa"/>
            <w:vAlign w:val="top"/>
          </w:tcPr>
          <w:p w14:paraId="42930B56">
            <w:pPr>
              <w:pStyle w:val="20"/>
              <w:numPr>
                <w:ilvl w:val="0"/>
                <w:numId w:val="1"/>
              </w:numPr>
              <w:spacing w:before="129" w:line="231" w:lineRule="auto"/>
              <w:ind w:left="112"/>
              <w:rPr>
                <w:rFonts w:hint="eastAsia"/>
                <w:color w:val="auto"/>
                <w:spacing w:val="8"/>
                <w:highlight w:val="none"/>
                <w:u w:val="single" w:color="auto"/>
                <w:lang w:val="en-US" w:eastAsia="zh-CN"/>
              </w:rPr>
            </w:pPr>
            <w:r>
              <w:rPr>
                <w:color w:val="auto"/>
                <w:spacing w:val="8"/>
                <w:highlight w:val="none"/>
                <w:u w:val="single" w:color="auto"/>
              </w:rPr>
              <w:t>广西拓正工程造价咨询有限公司</w:t>
            </w:r>
            <w:r>
              <w:rPr>
                <w:rFonts w:hint="eastAsia"/>
                <w:color w:val="auto"/>
                <w:spacing w:val="8"/>
                <w:highlight w:val="none"/>
                <w:u w:val="single" w:color="auto"/>
                <w:lang w:val="en-US" w:eastAsia="zh-CN"/>
              </w:rPr>
              <w:t xml:space="preserve">  </w:t>
            </w:r>
          </w:p>
          <w:p w14:paraId="4A4A4610">
            <w:pPr>
              <w:pStyle w:val="20"/>
              <w:numPr>
                <w:ilvl w:val="0"/>
                <w:numId w:val="0"/>
              </w:numPr>
              <w:spacing w:before="129" w:line="231" w:lineRule="auto"/>
              <w:ind w:firstLine="212" w:firstLineChars="100"/>
              <w:rPr>
                <w:color w:val="auto"/>
                <w:highlight w:val="none"/>
              </w:rPr>
            </w:pPr>
            <w:r>
              <w:rPr>
                <w:color w:val="auto"/>
                <w:spacing w:val="6"/>
                <w:highlight w:val="none"/>
              </w:rPr>
              <w:t>联系电话：0771-5355015</w:t>
            </w:r>
          </w:p>
          <w:p w14:paraId="1831FF73">
            <w:pPr>
              <w:pStyle w:val="20"/>
              <w:spacing w:before="129" w:line="228" w:lineRule="auto"/>
              <w:ind w:left="111"/>
              <w:rPr>
                <w:color w:val="auto"/>
                <w:highlight w:val="none"/>
              </w:rPr>
            </w:pPr>
            <w:r>
              <w:rPr>
                <w:color w:val="auto"/>
                <w:spacing w:val="8"/>
                <w:highlight w:val="none"/>
              </w:rPr>
              <w:t>通讯地址：中国（广西）自由贸易试验区南宁片区五象大道401</w:t>
            </w:r>
            <w:r>
              <w:rPr>
                <w:color w:val="auto"/>
                <w:spacing w:val="7"/>
                <w:highlight w:val="none"/>
              </w:rPr>
              <w:t>号南宁</w:t>
            </w:r>
          </w:p>
          <w:p w14:paraId="79FF23BB">
            <w:pPr>
              <w:pStyle w:val="20"/>
              <w:spacing w:before="134" w:line="228" w:lineRule="auto"/>
              <w:ind w:left="111"/>
              <w:rPr>
                <w:color w:val="auto"/>
                <w:highlight w:val="none"/>
              </w:rPr>
            </w:pPr>
            <w:r>
              <w:rPr>
                <w:color w:val="auto"/>
                <w:spacing w:val="4"/>
                <w:highlight w:val="none"/>
              </w:rPr>
              <w:t>航洋信和广场1号楼二十四层2417号</w:t>
            </w:r>
          </w:p>
          <w:p w14:paraId="39915CD7">
            <w:pPr>
              <w:pStyle w:val="20"/>
              <w:spacing w:before="148" w:line="228" w:lineRule="auto"/>
              <w:ind w:left="122"/>
              <w:rPr>
                <w:color w:val="auto"/>
                <w:highlight w:val="none"/>
              </w:rPr>
            </w:pPr>
            <w:r>
              <w:rPr>
                <w:color w:val="auto"/>
                <w:spacing w:val="6"/>
                <w:highlight w:val="none"/>
              </w:rPr>
              <w:t>（2）</w:t>
            </w:r>
            <w:r>
              <w:rPr>
                <w:rFonts w:hint="eastAsia"/>
                <w:color w:val="auto"/>
                <w:spacing w:val="6"/>
                <w:highlight w:val="none"/>
                <w:lang w:eastAsia="zh-CN"/>
              </w:rPr>
              <w:t>横州市石塘镇芦村村委小学</w:t>
            </w:r>
            <w:r>
              <w:rPr>
                <w:color w:val="auto"/>
                <w:spacing w:val="6"/>
                <w:highlight w:val="none"/>
              </w:rPr>
              <w:t>；</w:t>
            </w:r>
          </w:p>
          <w:p w14:paraId="4054F843">
            <w:pPr>
              <w:pStyle w:val="20"/>
              <w:spacing w:before="151" w:line="231" w:lineRule="auto"/>
              <w:ind w:left="112"/>
              <w:rPr>
                <w:rFonts w:hint="default" w:eastAsia="宋体"/>
                <w:color w:val="auto"/>
                <w:highlight w:val="none"/>
                <w:lang w:val="en-US" w:eastAsia="zh-CN"/>
              </w:rPr>
            </w:pPr>
            <w:r>
              <w:rPr>
                <w:rFonts w:ascii="宋体" w:hAnsi="宋体" w:eastAsia="宋体" w:cs="宋体"/>
                <w:color w:val="auto"/>
                <w:spacing w:val="6"/>
                <w:sz w:val="20"/>
                <w:szCs w:val="20"/>
                <w:highlight w:val="none"/>
              </w:rPr>
              <w:t>联系电话：</w:t>
            </w:r>
            <w:r>
              <w:rPr>
                <w:rFonts w:hint="eastAsia" w:ascii="宋体" w:hAnsi="宋体" w:eastAsia="宋体" w:cs="宋体"/>
                <w:color w:val="auto"/>
                <w:spacing w:val="6"/>
                <w:sz w:val="20"/>
                <w:szCs w:val="20"/>
                <w:highlight w:val="none"/>
                <w:lang w:val="en-US" w:eastAsia="zh-CN"/>
              </w:rPr>
              <w:t>0771-7190030</w:t>
            </w:r>
          </w:p>
          <w:p w14:paraId="1BBAC5C1">
            <w:pPr>
              <w:pStyle w:val="20"/>
              <w:spacing w:before="146" w:line="227" w:lineRule="auto"/>
              <w:rPr>
                <w:color w:val="auto"/>
                <w:highlight w:val="none"/>
              </w:rPr>
            </w:pPr>
            <w:r>
              <w:rPr>
                <w:color w:val="auto"/>
                <w:spacing w:val="6"/>
                <w:highlight w:val="none"/>
              </w:rPr>
              <w:t>通讯地址：</w:t>
            </w:r>
            <w:r>
              <w:rPr>
                <w:rFonts w:hint="eastAsia"/>
                <w:color w:val="auto"/>
                <w:spacing w:val="6"/>
                <w:highlight w:val="none"/>
                <w:lang w:eastAsia="zh-CN"/>
              </w:rPr>
              <w:t>横州市石塘镇芦村村委小学</w:t>
            </w:r>
          </w:p>
        </w:tc>
      </w:tr>
      <w:tr w14:paraId="348A6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863" w:type="dxa"/>
            <w:tcBorders>
              <w:top w:val="single" w:color="auto" w:sz="4" w:space="0"/>
              <w:bottom w:val="single" w:color="auto" w:sz="4" w:space="0"/>
            </w:tcBorders>
            <w:vAlign w:val="top"/>
          </w:tcPr>
          <w:p w14:paraId="1FDC2DC8">
            <w:pPr>
              <w:pStyle w:val="20"/>
              <w:spacing w:before="65" w:line="269" w:lineRule="exact"/>
              <w:ind w:left="229"/>
              <w:rPr>
                <w:rFonts w:ascii="宋体" w:hAnsi="宋体" w:eastAsia="宋体" w:cs="宋体"/>
                <w:color w:val="auto"/>
                <w:spacing w:val="2"/>
                <w:position w:val="1"/>
                <w:highlight w:val="none"/>
              </w:rPr>
            </w:pPr>
          </w:p>
          <w:p w14:paraId="45C9EEAB">
            <w:pPr>
              <w:pStyle w:val="20"/>
              <w:spacing w:before="65" w:line="269" w:lineRule="exact"/>
              <w:ind w:left="229"/>
              <w:rPr>
                <w:rFonts w:hint="eastAsia" w:ascii="Arial" w:eastAsia="宋体"/>
                <w:color w:val="auto"/>
                <w:sz w:val="21"/>
                <w:highlight w:val="none"/>
                <w:lang w:eastAsia="zh-CN"/>
              </w:rPr>
            </w:pPr>
            <w:r>
              <w:rPr>
                <w:rFonts w:ascii="宋体" w:hAnsi="宋体" w:eastAsia="宋体" w:cs="宋体"/>
                <w:color w:val="auto"/>
                <w:spacing w:val="2"/>
                <w:position w:val="1"/>
                <w:highlight w:val="none"/>
              </w:rPr>
              <w:t>31.</w:t>
            </w:r>
            <w:r>
              <w:rPr>
                <w:rFonts w:hint="eastAsia" w:cs="宋体"/>
                <w:color w:val="auto"/>
                <w:spacing w:val="2"/>
                <w:position w:val="1"/>
                <w:highlight w:val="none"/>
                <w:lang w:val="en-US" w:eastAsia="zh-CN"/>
              </w:rPr>
              <w:t>2</w:t>
            </w:r>
          </w:p>
        </w:tc>
        <w:tc>
          <w:tcPr>
            <w:tcW w:w="2426" w:type="dxa"/>
            <w:shd w:val="clear" w:color="auto" w:fill="auto"/>
            <w:vAlign w:val="top"/>
          </w:tcPr>
          <w:p w14:paraId="5769D09E">
            <w:pPr>
              <w:pStyle w:val="20"/>
              <w:spacing w:before="142" w:line="228" w:lineRule="auto"/>
              <w:ind w:left="168"/>
              <w:rPr>
                <w:color w:val="auto"/>
                <w:highlight w:val="none"/>
              </w:rPr>
            </w:pPr>
            <w:r>
              <w:rPr>
                <w:color w:val="auto"/>
                <w:spacing w:val="8"/>
                <w:highlight w:val="none"/>
              </w:rPr>
              <w:t>现场提交质疑办理业务</w:t>
            </w:r>
          </w:p>
          <w:p w14:paraId="11292312">
            <w:pPr>
              <w:pStyle w:val="20"/>
              <w:spacing w:before="150" w:line="231" w:lineRule="auto"/>
              <w:ind w:left="1016" w:leftChars="0"/>
              <w:rPr>
                <w:rFonts w:ascii="宋体" w:hAnsi="宋体" w:eastAsia="宋体" w:cs="宋体"/>
                <w:snapToGrid w:val="0"/>
                <w:color w:val="auto"/>
                <w:kern w:val="0"/>
                <w:sz w:val="20"/>
                <w:szCs w:val="20"/>
                <w:highlight w:val="none"/>
                <w:lang w:val="en-US" w:eastAsia="en-US" w:bidi="ar-SA"/>
              </w:rPr>
            </w:pPr>
            <w:r>
              <w:rPr>
                <w:color w:val="auto"/>
                <w:spacing w:val="-1"/>
                <w:highlight w:val="none"/>
              </w:rPr>
              <w:t>时间</w:t>
            </w:r>
          </w:p>
        </w:tc>
        <w:tc>
          <w:tcPr>
            <w:tcW w:w="6645" w:type="dxa"/>
            <w:shd w:val="clear" w:color="auto" w:fill="auto"/>
            <w:vAlign w:val="top"/>
          </w:tcPr>
          <w:p w14:paraId="1A373AE4">
            <w:pPr>
              <w:pStyle w:val="20"/>
              <w:spacing w:before="141" w:line="301" w:lineRule="auto"/>
              <w:ind w:left="113" w:leftChars="0" w:right="107" w:rightChars="0" w:hanging="1" w:firstLineChars="0"/>
              <w:rPr>
                <w:rFonts w:ascii="宋体" w:hAnsi="宋体" w:eastAsia="宋体" w:cs="宋体"/>
                <w:snapToGrid w:val="0"/>
                <w:color w:val="auto"/>
                <w:kern w:val="0"/>
                <w:sz w:val="20"/>
                <w:szCs w:val="20"/>
                <w:highlight w:val="none"/>
                <w:lang w:val="en-US" w:eastAsia="en-US" w:bidi="ar-SA"/>
              </w:rPr>
            </w:pPr>
            <w:r>
              <w:rPr>
                <w:color w:val="auto"/>
                <w:spacing w:val="3"/>
                <w:highlight w:val="none"/>
              </w:rPr>
              <w:t>质疑期内每个工作日</w:t>
            </w:r>
            <w:r>
              <w:rPr>
                <w:color w:val="auto"/>
                <w:spacing w:val="-27"/>
                <w:highlight w:val="none"/>
              </w:rPr>
              <w:t xml:space="preserve"> </w:t>
            </w:r>
            <w:r>
              <w:rPr>
                <w:color w:val="auto"/>
                <w:spacing w:val="3"/>
                <w:highlight w:val="none"/>
                <w:u w:val="single" w:color="auto"/>
              </w:rPr>
              <w:t>9</w:t>
            </w:r>
            <w:r>
              <w:rPr>
                <w:color w:val="auto"/>
                <w:spacing w:val="-24"/>
                <w:highlight w:val="none"/>
                <w:u w:val="single" w:color="auto"/>
              </w:rPr>
              <w:t xml:space="preserve"> </w:t>
            </w:r>
            <w:r>
              <w:rPr>
                <w:color w:val="auto"/>
                <w:spacing w:val="3"/>
                <w:highlight w:val="none"/>
              </w:rPr>
              <w:t>时</w:t>
            </w:r>
            <w:r>
              <w:rPr>
                <w:color w:val="auto"/>
                <w:spacing w:val="-33"/>
                <w:highlight w:val="none"/>
              </w:rPr>
              <w:t xml:space="preserve"> </w:t>
            </w:r>
            <w:r>
              <w:rPr>
                <w:color w:val="auto"/>
                <w:spacing w:val="3"/>
                <w:highlight w:val="none"/>
                <w:u w:val="single" w:color="auto"/>
              </w:rPr>
              <w:t>00</w:t>
            </w:r>
            <w:r>
              <w:rPr>
                <w:color w:val="auto"/>
                <w:spacing w:val="-30"/>
                <w:highlight w:val="none"/>
                <w:u w:val="single" w:color="auto"/>
              </w:rPr>
              <w:t xml:space="preserve"> </w:t>
            </w:r>
            <w:r>
              <w:rPr>
                <w:color w:val="auto"/>
                <w:spacing w:val="3"/>
                <w:highlight w:val="none"/>
              </w:rPr>
              <w:t>分到</w:t>
            </w:r>
            <w:r>
              <w:rPr>
                <w:color w:val="auto"/>
                <w:spacing w:val="-19"/>
                <w:highlight w:val="none"/>
              </w:rPr>
              <w:t xml:space="preserve"> </w:t>
            </w:r>
            <w:r>
              <w:rPr>
                <w:color w:val="auto"/>
                <w:spacing w:val="3"/>
                <w:highlight w:val="none"/>
                <w:u w:val="single" w:color="auto"/>
              </w:rPr>
              <w:t>12</w:t>
            </w:r>
            <w:r>
              <w:rPr>
                <w:color w:val="auto"/>
                <w:spacing w:val="-26"/>
                <w:highlight w:val="none"/>
                <w:u w:val="single" w:color="auto"/>
              </w:rPr>
              <w:t xml:space="preserve"> </w:t>
            </w:r>
            <w:r>
              <w:rPr>
                <w:color w:val="auto"/>
                <w:spacing w:val="3"/>
                <w:highlight w:val="none"/>
              </w:rPr>
              <w:t>时</w:t>
            </w:r>
            <w:r>
              <w:rPr>
                <w:color w:val="auto"/>
                <w:spacing w:val="-33"/>
                <w:highlight w:val="none"/>
              </w:rPr>
              <w:t xml:space="preserve"> </w:t>
            </w:r>
            <w:r>
              <w:rPr>
                <w:color w:val="auto"/>
                <w:spacing w:val="3"/>
                <w:highlight w:val="none"/>
                <w:u w:val="single" w:color="auto"/>
              </w:rPr>
              <w:t>00</w:t>
            </w:r>
            <w:r>
              <w:rPr>
                <w:color w:val="auto"/>
                <w:spacing w:val="-30"/>
                <w:highlight w:val="none"/>
                <w:u w:val="single" w:color="auto"/>
              </w:rPr>
              <w:t xml:space="preserve"> </w:t>
            </w:r>
            <w:r>
              <w:rPr>
                <w:color w:val="auto"/>
                <w:spacing w:val="3"/>
                <w:highlight w:val="none"/>
              </w:rPr>
              <w:t>分，</w:t>
            </w:r>
            <w:r>
              <w:rPr>
                <w:color w:val="auto"/>
                <w:spacing w:val="3"/>
                <w:highlight w:val="none"/>
                <w:u w:val="single" w:color="auto"/>
              </w:rPr>
              <w:t>15</w:t>
            </w:r>
            <w:r>
              <w:rPr>
                <w:color w:val="auto"/>
                <w:spacing w:val="-26"/>
                <w:highlight w:val="none"/>
                <w:u w:val="single" w:color="auto"/>
              </w:rPr>
              <w:t xml:space="preserve"> </w:t>
            </w:r>
            <w:r>
              <w:rPr>
                <w:color w:val="auto"/>
                <w:spacing w:val="3"/>
                <w:highlight w:val="none"/>
              </w:rPr>
              <w:t>时</w:t>
            </w:r>
            <w:r>
              <w:rPr>
                <w:color w:val="auto"/>
                <w:spacing w:val="-30"/>
                <w:highlight w:val="none"/>
              </w:rPr>
              <w:t xml:space="preserve"> </w:t>
            </w:r>
            <w:r>
              <w:rPr>
                <w:color w:val="auto"/>
                <w:spacing w:val="3"/>
                <w:highlight w:val="none"/>
                <w:u w:val="single" w:color="auto"/>
              </w:rPr>
              <w:t>00</w:t>
            </w:r>
            <w:r>
              <w:rPr>
                <w:color w:val="auto"/>
                <w:spacing w:val="-33"/>
                <w:highlight w:val="none"/>
                <w:u w:val="single" w:color="auto"/>
              </w:rPr>
              <w:t xml:space="preserve"> </w:t>
            </w:r>
            <w:r>
              <w:rPr>
                <w:color w:val="auto"/>
                <w:spacing w:val="3"/>
                <w:highlight w:val="none"/>
              </w:rPr>
              <w:t>分到</w:t>
            </w:r>
            <w:r>
              <w:rPr>
                <w:color w:val="auto"/>
                <w:spacing w:val="-19"/>
                <w:highlight w:val="none"/>
              </w:rPr>
              <w:t xml:space="preserve"> </w:t>
            </w:r>
            <w:r>
              <w:rPr>
                <w:color w:val="auto"/>
                <w:spacing w:val="3"/>
                <w:highlight w:val="none"/>
                <w:u w:val="single" w:color="auto"/>
              </w:rPr>
              <w:t>17</w:t>
            </w:r>
            <w:r>
              <w:rPr>
                <w:color w:val="auto"/>
                <w:spacing w:val="-24"/>
                <w:highlight w:val="none"/>
                <w:u w:val="single" w:color="auto"/>
              </w:rPr>
              <w:t xml:space="preserve"> </w:t>
            </w:r>
            <w:r>
              <w:rPr>
                <w:color w:val="auto"/>
                <w:spacing w:val="3"/>
                <w:highlight w:val="none"/>
              </w:rPr>
              <w:t>时</w:t>
            </w:r>
            <w:r>
              <w:rPr>
                <w:color w:val="auto"/>
                <w:spacing w:val="-30"/>
                <w:highlight w:val="none"/>
              </w:rPr>
              <w:t xml:space="preserve"> </w:t>
            </w:r>
            <w:r>
              <w:rPr>
                <w:color w:val="auto"/>
                <w:spacing w:val="3"/>
                <w:highlight w:val="none"/>
                <w:u w:val="single" w:color="auto"/>
              </w:rPr>
              <w:t>30</w:t>
            </w:r>
            <w:r>
              <w:rPr>
                <w:color w:val="auto"/>
                <w:highlight w:val="none"/>
              </w:rPr>
              <w:t xml:space="preserve"> 分</w:t>
            </w:r>
          </w:p>
        </w:tc>
      </w:tr>
      <w:tr w14:paraId="7E519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6" w:hRule="atLeast"/>
        </w:trPr>
        <w:tc>
          <w:tcPr>
            <w:tcW w:w="863" w:type="dxa"/>
            <w:tcBorders>
              <w:top w:val="single" w:color="auto" w:sz="4" w:space="0"/>
              <w:bottom w:val="single" w:color="auto" w:sz="4" w:space="0"/>
            </w:tcBorders>
            <w:vAlign w:val="top"/>
          </w:tcPr>
          <w:p w14:paraId="3DD998BA">
            <w:pPr>
              <w:spacing w:line="267" w:lineRule="auto"/>
              <w:rPr>
                <w:rFonts w:ascii="Arial"/>
                <w:color w:val="auto"/>
                <w:sz w:val="21"/>
                <w:highlight w:val="none"/>
              </w:rPr>
            </w:pPr>
          </w:p>
          <w:p w14:paraId="7E0D2F72">
            <w:pPr>
              <w:spacing w:line="268" w:lineRule="auto"/>
              <w:rPr>
                <w:rFonts w:ascii="Arial"/>
                <w:color w:val="auto"/>
                <w:sz w:val="21"/>
                <w:highlight w:val="none"/>
              </w:rPr>
            </w:pPr>
          </w:p>
          <w:p w14:paraId="26CD5398">
            <w:pPr>
              <w:spacing w:line="268" w:lineRule="auto"/>
              <w:rPr>
                <w:rFonts w:ascii="Arial"/>
                <w:color w:val="auto"/>
                <w:sz w:val="21"/>
                <w:highlight w:val="none"/>
              </w:rPr>
            </w:pPr>
          </w:p>
          <w:p w14:paraId="7A582B99">
            <w:pPr>
              <w:spacing w:line="268" w:lineRule="auto"/>
              <w:rPr>
                <w:rFonts w:ascii="Arial"/>
                <w:color w:val="auto"/>
                <w:sz w:val="21"/>
                <w:highlight w:val="none"/>
              </w:rPr>
            </w:pPr>
          </w:p>
          <w:p w14:paraId="327892D3">
            <w:pPr>
              <w:pStyle w:val="20"/>
              <w:spacing w:before="65" w:line="268" w:lineRule="exact"/>
              <w:ind w:left="229" w:leftChars="0"/>
              <w:rPr>
                <w:rFonts w:ascii="宋体" w:hAnsi="宋体" w:eastAsia="宋体" w:cs="宋体"/>
                <w:color w:val="auto"/>
                <w:spacing w:val="2"/>
                <w:position w:val="1"/>
                <w:highlight w:val="none"/>
              </w:rPr>
            </w:pPr>
            <w:r>
              <w:rPr>
                <w:color w:val="auto"/>
                <w:spacing w:val="2"/>
                <w:position w:val="1"/>
                <w:highlight w:val="none"/>
              </w:rPr>
              <w:t>31.6</w:t>
            </w:r>
          </w:p>
        </w:tc>
        <w:tc>
          <w:tcPr>
            <w:tcW w:w="2426" w:type="dxa"/>
            <w:shd w:val="clear" w:color="auto" w:fill="auto"/>
            <w:vAlign w:val="top"/>
          </w:tcPr>
          <w:p w14:paraId="38DF356C">
            <w:pPr>
              <w:spacing w:line="267" w:lineRule="auto"/>
              <w:rPr>
                <w:rFonts w:ascii="Arial"/>
                <w:color w:val="auto"/>
                <w:sz w:val="21"/>
                <w:highlight w:val="none"/>
              </w:rPr>
            </w:pPr>
          </w:p>
          <w:p w14:paraId="09887569">
            <w:pPr>
              <w:spacing w:line="268" w:lineRule="auto"/>
              <w:rPr>
                <w:rFonts w:ascii="Arial"/>
                <w:color w:val="auto"/>
                <w:sz w:val="21"/>
                <w:highlight w:val="none"/>
              </w:rPr>
            </w:pPr>
          </w:p>
          <w:p w14:paraId="72758866">
            <w:pPr>
              <w:spacing w:line="268" w:lineRule="auto"/>
              <w:rPr>
                <w:rFonts w:ascii="Arial"/>
                <w:color w:val="auto"/>
                <w:sz w:val="21"/>
                <w:highlight w:val="none"/>
              </w:rPr>
            </w:pPr>
          </w:p>
          <w:p w14:paraId="62D754C8">
            <w:pPr>
              <w:spacing w:line="268" w:lineRule="auto"/>
              <w:rPr>
                <w:rFonts w:ascii="Arial"/>
                <w:color w:val="auto"/>
                <w:sz w:val="21"/>
                <w:highlight w:val="none"/>
              </w:rPr>
            </w:pPr>
          </w:p>
          <w:p w14:paraId="52DDD182">
            <w:pPr>
              <w:pStyle w:val="20"/>
              <w:spacing w:before="65" w:line="229" w:lineRule="auto"/>
              <w:ind w:left="114" w:leftChars="0"/>
              <w:rPr>
                <w:color w:val="auto"/>
                <w:spacing w:val="-1"/>
                <w:highlight w:val="none"/>
              </w:rPr>
            </w:pPr>
            <w:r>
              <w:rPr>
                <w:color w:val="auto"/>
                <w:spacing w:val="7"/>
                <w:highlight w:val="none"/>
              </w:rPr>
              <w:t>投诉受理方式</w:t>
            </w:r>
          </w:p>
        </w:tc>
        <w:tc>
          <w:tcPr>
            <w:tcW w:w="6645" w:type="dxa"/>
            <w:shd w:val="clear" w:color="auto" w:fill="auto"/>
            <w:vAlign w:val="top"/>
          </w:tcPr>
          <w:p w14:paraId="016D8178">
            <w:pPr>
              <w:pStyle w:val="20"/>
              <w:spacing w:before="140" w:line="300" w:lineRule="auto"/>
              <w:ind w:left="114" w:right="109" w:firstLine="12"/>
              <w:rPr>
                <w:color w:val="auto"/>
                <w:highlight w:val="none"/>
              </w:rPr>
            </w:pPr>
            <w:r>
              <w:rPr>
                <w:color w:val="auto"/>
                <w:spacing w:val="10"/>
                <w:highlight w:val="none"/>
              </w:rPr>
              <w:t>1、受理方式：纸质方式受理，投诉书正、副本（经</w:t>
            </w:r>
            <w:r>
              <w:rPr>
                <w:color w:val="auto"/>
                <w:spacing w:val="9"/>
                <w:highlight w:val="none"/>
              </w:rPr>
              <w:t>过质疑的事项才可</w:t>
            </w:r>
            <w:r>
              <w:rPr>
                <w:color w:val="auto"/>
                <w:highlight w:val="none"/>
              </w:rPr>
              <w:t xml:space="preserve"> </w:t>
            </w:r>
            <w:r>
              <w:rPr>
                <w:color w:val="auto"/>
                <w:spacing w:val="1"/>
                <w:highlight w:val="none"/>
              </w:rPr>
              <w:t>投诉）。</w:t>
            </w:r>
          </w:p>
          <w:p w14:paraId="26399E6B">
            <w:pPr>
              <w:pStyle w:val="20"/>
              <w:spacing w:before="152" w:line="230" w:lineRule="auto"/>
              <w:ind w:left="114"/>
              <w:rPr>
                <w:color w:val="auto"/>
                <w:highlight w:val="none"/>
              </w:rPr>
            </w:pPr>
            <w:r>
              <w:rPr>
                <w:color w:val="auto"/>
                <w:spacing w:val="6"/>
                <w:highlight w:val="none"/>
              </w:rPr>
              <w:t>2、邮寄地址：</w:t>
            </w:r>
          </w:p>
          <w:p w14:paraId="41D23948">
            <w:pPr>
              <w:pStyle w:val="20"/>
              <w:spacing w:before="149" w:line="228" w:lineRule="auto"/>
              <w:ind w:left="114"/>
              <w:rPr>
                <w:color w:val="auto"/>
                <w:highlight w:val="none"/>
              </w:rPr>
            </w:pPr>
            <w:r>
              <w:rPr>
                <w:color w:val="auto"/>
                <w:spacing w:val="9"/>
                <w:highlight w:val="none"/>
              </w:rPr>
              <w:t>名名称：横州市财政局政府采购监督管理办公室</w:t>
            </w:r>
          </w:p>
          <w:p w14:paraId="73F7CD84">
            <w:pPr>
              <w:pStyle w:val="20"/>
              <w:spacing w:before="153" w:line="228" w:lineRule="auto"/>
              <w:ind w:left="111"/>
              <w:rPr>
                <w:color w:val="auto"/>
                <w:highlight w:val="none"/>
              </w:rPr>
            </w:pPr>
            <w:r>
              <w:rPr>
                <w:color w:val="auto"/>
                <w:spacing w:val="7"/>
                <w:highlight w:val="none"/>
              </w:rPr>
              <w:t>地址：横县横州镇柳明路</w:t>
            </w:r>
            <w:r>
              <w:rPr>
                <w:color w:val="auto"/>
                <w:spacing w:val="-34"/>
                <w:highlight w:val="none"/>
              </w:rPr>
              <w:t xml:space="preserve"> </w:t>
            </w:r>
            <w:r>
              <w:rPr>
                <w:color w:val="auto"/>
                <w:spacing w:val="7"/>
                <w:highlight w:val="none"/>
              </w:rPr>
              <w:t>22</w:t>
            </w:r>
            <w:r>
              <w:rPr>
                <w:color w:val="auto"/>
                <w:spacing w:val="-35"/>
                <w:highlight w:val="none"/>
              </w:rPr>
              <w:t xml:space="preserve"> </w:t>
            </w:r>
            <w:r>
              <w:rPr>
                <w:color w:val="auto"/>
                <w:spacing w:val="7"/>
                <w:highlight w:val="none"/>
              </w:rPr>
              <w:t>号</w:t>
            </w:r>
          </w:p>
          <w:p w14:paraId="30451F65">
            <w:pPr>
              <w:pStyle w:val="20"/>
              <w:spacing w:before="153" w:line="231" w:lineRule="auto"/>
              <w:ind w:left="112" w:leftChars="0"/>
              <w:rPr>
                <w:color w:val="auto"/>
                <w:spacing w:val="3"/>
                <w:highlight w:val="none"/>
              </w:rPr>
            </w:pPr>
            <w:r>
              <w:rPr>
                <w:color w:val="auto"/>
                <w:spacing w:val="6"/>
                <w:highlight w:val="none"/>
              </w:rPr>
              <w:t>联系电话：0771-7233567</w:t>
            </w:r>
          </w:p>
        </w:tc>
      </w:tr>
      <w:tr w14:paraId="4EEEA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0" w:hRule="atLeast"/>
        </w:trPr>
        <w:tc>
          <w:tcPr>
            <w:tcW w:w="863" w:type="dxa"/>
            <w:tcBorders>
              <w:top w:val="single" w:color="auto" w:sz="4" w:space="0"/>
              <w:bottom w:val="single" w:color="auto" w:sz="4" w:space="0"/>
            </w:tcBorders>
            <w:vAlign w:val="top"/>
          </w:tcPr>
          <w:p w14:paraId="655839B8">
            <w:pPr>
              <w:spacing w:line="253" w:lineRule="auto"/>
              <w:rPr>
                <w:rFonts w:ascii="Arial"/>
                <w:color w:val="auto"/>
                <w:sz w:val="21"/>
                <w:highlight w:val="none"/>
              </w:rPr>
            </w:pPr>
          </w:p>
          <w:p w14:paraId="06DD9DC0">
            <w:pPr>
              <w:spacing w:line="253" w:lineRule="auto"/>
              <w:rPr>
                <w:rFonts w:ascii="Arial"/>
                <w:color w:val="auto"/>
                <w:sz w:val="21"/>
                <w:highlight w:val="none"/>
              </w:rPr>
            </w:pPr>
          </w:p>
          <w:p w14:paraId="773EE306">
            <w:pPr>
              <w:spacing w:line="253" w:lineRule="auto"/>
              <w:rPr>
                <w:rFonts w:ascii="Arial"/>
                <w:color w:val="auto"/>
                <w:sz w:val="21"/>
                <w:highlight w:val="none"/>
              </w:rPr>
            </w:pPr>
          </w:p>
          <w:p w14:paraId="5E133FD0">
            <w:pPr>
              <w:spacing w:line="254" w:lineRule="auto"/>
              <w:rPr>
                <w:rFonts w:ascii="Arial"/>
                <w:color w:val="auto"/>
                <w:sz w:val="21"/>
                <w:highlight w:val="none"/>
              </w:rPr>
            </w:pPr>
          </w:p>
          <w:p w14:paraId="3F4C8CF5">
            <w:pPr>
              <w:spacing w:line="254" w:lineRule="auto"/>
              <w:rPr>
                <w:rFonts w:ascii="Arial"/>
                <w:color w:val="auto"/>
                <w:sz w:val="21"/>
                <w:highlight w:val="none"/>
              </w:rPr>
            </w:pPr>
          </w:p>
          <w:p w14:paraId="38A74CE0">
            <w:pPr>
              <w:spacing w:line="254" w:lineRule="auto"/>
              <w:rPr>
                <w:rFonts w:ascii="Arial"/>
                <w:color w:val="auto"/>
                <w:sz w:val="21"/>
                <w:highlight w:val="none"/>
              </w:rPr>
            </w:pPr>
          </w:p>
          <w:p w14:paraId="6786B7BD">
            <w:pPr>
              <w:spacing w:line="254" w:lineRule="auto"/>
              <w:rPr>
                <w:rFonts w:ascii="Arial"/>
                <w:color w:val="auto"/>
                <w:sz w:val="21"/>
                <w:highlight w:val="none"/>
              </w:rPr>
            </w:pPr>
          </w:p>
          <w:p w14:paraId="3FA82947">
            <w:pPr>
              <w:spacing w:line="254" w:lineRule="auto"/>
              <w:rPr>
                <w:rFonts w:ascii="Arial"/>
                <w:color w:val="auto"/>
                <w:sz w:val="21"/>
                <w:highlight w:val="none"/>
              </w:rPr>
            </w:pPr>
          </w:p>
          <w:p w14:paraId="5C6C9A29">
            <w:pPr>
              <w:spacing w:line="254" w:lineRule="auto"/>
              <w:rPr>
                <w:rFonts w:ascii="Arial"/>
                <w:color w:val="auto"/>
                <w:sz w:val="21"/>
                <w:highlight w:val="none"/>
              </w:rPr>
            </w:pPr>
          </w:p>
          <w:p w14:paraId="6CC54651">
            <w:pPr>
              <w:spacing w:line="254" w:lineRule="auto"/>
              <w:rPr>
                <w:rFonts w:ascii="Arial"/>
                <w:color w:val="auto"/>
                <w:sz w:val="21"/>
                <w:highlight w:val="none"/>
              </w:rPr>
            </w:pPr>
          </w:p>
          <w:p w14:paraId="12DF0F9E">
            <w:pPr>
              <w:spacing w:line="254" w:lineRule="auto"/>
              <w:rPr>
                <w:rFonts w:ascii="Arial"/>
                <w:color w:val="auto"/>
                <w:sz w:val="21"/>
                <w:highlight w:val="none"/>
              </w:rPr>
            </w:pPr>
          </w:p>
          <w:p w14:paraId="45B49B66">
            <w:pPr>
              <w:pStyle w:val="20"/>
              <w:spacing w:before="65" w:line="269" w:lineRule="exact"/>
              <w:ind w:left="335" w:leftChars="0"/>
              <w:rPr>
                <w:color w:val="auto"/>
                <w:spacing w:val="2"/>
                <w:position w:val="1"/>
                <w:highlight w:val="none"/>
              </w:rPr>
            </w:pPr>
            <w:r>
              <w:rPr>
                <w:color w:val="auto"/>
                <w:spacing w:val="-2"/>
                <w:position w:val="1"/>
                <w:highlight w:val="none"/>
              </w:rPr>
              <w:t>33</w:t>
            </w:r>
          </w:p>
        </w:tc>
        <w:tc>
          <w:tcPr>
            <w:tcW w:w="2426" w:type="dxa"/>
            <w:shd w:val="clear" w:color="auto" w:fill="auto"/>
            <w:vAlign w:val="top"/>
          </w:tcPr>
          <w:p w14:paraId="127F6B1A">
            <w:pPr>
              <w:spacing w:line="253" w:lineRule="auto"/>
              <w:rPr>
                <w:rFonts w:ascii="Arial"/>
                <w:color w:val="auto"/>
                <w:sz w:val="21"/>
                <w:highlight w:val="none"/>
              </w:rPr>
            </w:pPr>
          </w:p>
          <w:p w14:paraId="669AC016">
            <w:pPr>
              <w:spacing w:line="253" w:lineRule="auto"/>
              <w:rPr>
                <w:rFonts w:ascii="Arial"/>
                <w:color w:val="auto"/>
                <w:sz w:val="21"/>
                <w:highlight w:val="none"/>
              </w:rPr>
            </w:pPr>
          </w:p>
          <w:p w14:paraId="145E7D2C">
            <w:pPr>
              <w:spacing w:line="253" w:lineRule="auto"/>
              <w:rPr>
                <w:rFonts w:ascii="Arial"/>
                <w:color w:val="auto"/>
                <w:sz w:val="21"/>
                <w:highlight w:val="none"/>
              </w:rPr>
            </w:pPr>
          </w:p>
          <w:p w14:paraId="414C245F">
            <w:pPr>
              <w:spacing w:line="254" w:lineRule="auto"/>
              <w:rPr>
                <w:rFonts w:ascii="Arial"/>
                <w:color w:val="auto"/>
                <w:sz w:val="21"/>
                <w:highlight w:val="none"/>
              </w:rPr>
            </w:pPr>
          </w:p>
          <w:p w14:paraId="31403616">
            <w:pPr>
              <w:spacing w:line="254" w:lineRule="auto"/>
              <w:rPr>
                <w:rFonts w:ascii="Arial"/>
                <w:color w:val="auto"/>
                <w:sz w:val="21"/>
                <w:highlight w:val="none"/>
              </w:rPr>
            </w:pPr>
          </w:p>
          <w:p w14:paraId="794C7268">
            <w:pPr>
              <w:spacing w:line="254" w:lineRule="auto"/>
              <w:rPr>
                <w:rFonts w:ascii="Arial"/>
                <w:color w:val="auto"/>
                <w:sz w:val="21"/>
                <w:highlight w:val="none"/>
              </w:rPr>
            </w:pPr>
          </w:p>
          <w:p w14:paraId="4A64E31B">
            <w:pPr>
              <w:spacing w:line="254" w:lineRule="auto"/>
              <w:rPr>
                <w:rFonts w:ascii="Arial"/>
                <w:color w:val="auto"/>
                <w:sz w:val="21"/>
                <w:highlight w:val="none"/>
              </w:rPr>
            </w:pPr>
          </w:p>
          <w:p w14:paraId="0DF5C470">
            <w:pPr>
              <w:spacing w:line="254" w:lineRule="auto"/>
              <w:rPr>
                <w:rFonts w:ascii="Arial"/>
                <w:color w:val="auto"/>
                <w:sz w:val="21"/>
                <w:highlight w:val="none"/>
              </w:rPr>
            </w:pPr>
          </w:p>
          <w:p w14:paraId="57207265">
            <w:pPr>
              <w:spacing w:line="254" w:lineRule="auto"/>
              <w:rPr>
                <w:rFonts w:ascii="Arial"/>
                <w:color w:val="auto"/>
                <w:sz w:val="21"/>
                <w:highlight w:val="none"/>
              </w:rPr>
            </w:pPr>
          </w:p>
          <w:p w14:paraId="259C7707">
            <w:pPr>
              <w:spacing w:line="254" w:lineRule="auto"/>
              <w:rPr>
                <w:rFonts w:ascii="Arial"/>
                <w:color w:val="auto"/>
                <w:sz w:val="21"/>
                <w:highlight w:val="none"/>
              </w:rPr>
            </w:pPr>
          </w:p>
          <w:p w14:paraId="3D8B2725">
            <w:pPr>
              <w:spacing w:line="254" w:lineRule="auto"/>
              <w:rPr>
                <w:rFonts w:ascii="Arial"/>
                <w:color w:val="auto"/>
                <w:sz w:val="21"/>
                <w:highlight w:val="none"/>
              </w:rPr>
            </w:pPr>
          </w:p>
          <w:p w14:paraId="2B9F7F27">
            <w:pPr>
              <w:pStyle w:val="20"/>
              <w:spacing w:before="65" w:line="228" w:lineRule="auto"/>
              <w:ind w:left="691" w:leftChars="0"/>
              <w:rPr>
                <w:color w:val="auto"/>
                <w:spacing w:val="7"/>
                <w:highlight w:val="none"/>
              </w:rPr>
            </w:pPr>
            <w:r>
              <w:rPr>
                <w:color w:val="auto"/>
                <w:spacing w:val="8"/>
                <w:highlight w:val="none"/>
              </w:rPr>
              <w:t>采购代理费</w:t>
            </w:r>
          </w:p>
        </w:tc>
        <w:tc>
          <w:tcPr>
            <w:tcW w:w="6645" w:type="dxa"/>
            <w:shd w:val="clear" w:color="auto" w:fill="auto"/>
            <w:vAlign w:val="top"/>
          </w:tcPr>
          <w:p w14:paraId="7178D672">
            <w:pPr>
              <w:pStyle w:val="20"/>
              <w:spacing w:before="142" w:line="228" w:lineRule="auto"/>
              <w:ind w:left="127"/>
              <w:rPr>
                <w:color w:val="auto"/>
                <w:highlight w:val="none"/>
              </w:rPr>
            </w:pPr>
            <w:r>
              <w:rPr>
                <w:color w:val="auto"/>
                <w:spacing w:val="6"/>
                <w:highlight w:val="none"/>
              </w:rPr>
              <w:t>1. 是否收取采购代理费：</w:t>
            </w:r>
          </w:p>
          <w:p w14:paraId="5031A779">
            <w:pPr>
              <w:pStyle w:val="20"/>
              <w:spacing w:before="154" w:line="229" w:lineRule="auto"/>
              <w:ind w:left="120"/>
              <w:rPr>
                <w:color w:val="auto"/>
                <w:highlight w:val="none"/>
              </w:rPr>
            </w:pPr>
            <w:r>
              <w:rPr>
                <w:rFonts w:ascii="MS PMincho" w:hAnsi="MS PMincho" w:eastAsia="MS PMincho" w:cs="MS PMincho"/>
                <w:color w:val="auto"/>
                <w:spacing w:val="-5"/>
                <w:highlight w:val="none"/>
              </w:rPr>
              <w:t>☑</w:t>
            </w:r>
            <w:r>
              <w:rPr>
                <w:color w:val="auto"/>
                <w:spacing w:val="-5"/>
                <w:highlight w:val="none"/>
              </w:rPr>
              <w:t>是</w:t>
            </w:r>
            <w:r>
              <w:rPr>
                <w:color w:val="auto"/>
                <w:spacing w:val="12"/>
                <w:highlight w:val="none"/>
              </w:rPr>
              <w:t xml:space="preserve">    </w:t>
            </w:r>
            <w:r>
              <w:rPr>
                <w:color w:val="auto"/>
                <w:spacing w:val="-5"/>
                <w:highlight w:val="none"/>
              </w:rPr>
              <w:t>□</w:t>
            </w:r>
            <w:r>
              <w:rPr>
                <w:color w:val="auto"/>
                <w:spacing w:val="26"/>
                <w:highlight w:val="none"/>
              </w:rPr>
              <w:t xml:space="preserve"> </w:t>
            </w:r>
            <w:r>
              <w:rPr>
                <w:color w:val="auto"/>
                <w:spacing w:val="-5"/>
                <w:highlight w:val="none"/>
              </w:rPr>
              <w:t>否</w:t>
            </w:r>
          </w:p>
          <w:p w14:paraId="40EC3956">
            <w:pPr>
              <w:pStyle w:val="20"/>
              <w:spacing w:before="152" w:line="228" w:lineRule="auto"/>
              <w:ind w:left="114"/>
              <w:rPr>
                <w:color w:val="auto"/>
                <w:highlight w:val="none"/>
              </w:rPr>
            </w:pPr>
            <w:r>
              <w:rPr>
                <w:color w:val="auto"/>
                <w:spacing w:val="7"/>
                <w:highlight w:val="none"/>
              </w:rPr>
              <w:t>2.采购代理费支付方式：</w:t>
            </w:r>
          </w:p>
          <w:p w14:paraId="36BEF381">
            <w:pPr>
              <w:pStyle w:val="20"/>
              <w:spacing w:before="151" w:line="370" w:lineRule="auto"/>
              <w:ind w:left="114" w:right="108" w:firstLine="5"/>
              <w:rPr>
                <w:color w:val="auto"/>
                <w:highlight w:val="none"/>
              </w:rPr>
            </w:pPr>
            <w:r>
              <w:rPr>
                <w:rFonts w:ascii="MS PMincho" w:hAnsi="MS PMincho" w:eastAsia="MS PMincho" w:cs="MS PMincho"/>
                <w:color w:val="auto"/>
                <w:spacing w:val="7"/>
                <w:highlight w:val="none"/>
              </w:rPr>
              <w:t>☑</w:t>
            </w:r>
            <w:r>
              <w:rPr>
                <w:color w:val="auto"/>
                <w:spacing w:val="7"/>
                <w:highlight w:val="none"/>
              </w:rPr>
              <w:t>本项目代理服务费由成交供应商领取成交通知书前，</w:t>
            </w:r>
            <w:r>
              <w:rPr>
                <w:color w:val="auto"/>
                <w:spacing w:val="6"/>
                <w:highlight w:val="none"/>
              </w:rPr>
              <w:t>一次性向采购代</w:t>
            </w:r>
            <w:r>
              <w:rPr>
                <w:color w:val="auto"/>
                <w:highlight w:val="none"/>
              </w:rPr>
              <w:t xml:space="preserve"> </w:t>
            </w:r>
            <w:r>
              <w:rPr>
                <w:color w:val="auto"/>
                <w:spacing w:val="6"/>
                <w:highlight w:val="none"/>
              </w:rPr>
              <w:t>理机构支付。</w:t>
            </w:r>
          </w:p>
          <w:p w14:paraId="449148AE">
            <w:pPr>
              <w:pStyle w:val="20"/>
              <w:spacing w:line="227" w:lineRule="auto"/>
              <w:ind w:left="133"/>
              <w:rPr>
                <w:color w:val="auto"/>
                <w:highlight w:val="none"/>
              </w:rPr>
            </w:pPr>
            <w:r>
              <w:rPr>
                <w:color w:val="auto"/>
                <w:spacing w:val="4"/>
                <w:highlight w:val="none"/>
              </w:rPr>
              <w:t>□采购人支付。</w:t>
            </w:r>
          </w:p>
          <w:p w14:paraId="20C7EAE6">
            <w:pPr>
              <w:pStyle w:val="20"/>
              <w:spacing w:before="150" w:line="343" w:lineRule="auto"/>
              <w:ind w:left="111" w:right="109" w:firstLine="4"/>
              <w:rPr>
                <w:color w:val="auto"/>
                <w:highlight w:val="none"/>
              </w:rPr>
            </w:pPr>
            <w:r>
              <w:rPr>
                <w:color w:val="auto"/>
                <w:spacing w:val="7"/>
                <w:highlight w:val="none"/>
              </w:rPr>
              <w:t>3.采购代理费收取标准：</w:t>
            </w:r>
            <w:r>
              <w:rPr>
                <w:color w:val="auto"/>
                <w:spacing w:val="7"/>
                <w:sz w:val="19"/>
                <w:szCs w:val="19"/>
                <w:highlight w:val="none"/>
              </w:rPr>
              <w:t>以分标</w:t>
            </w:r>
            <w:r>
              <w:rPr>
                <w:color w:val="auto"/>
                <w:spacing w:val="-15"/>
                <w:sz w:val="19"/>
                <w:szCs w:val="19"/>
                <w:highlight w:val="none"/>
              </w:rPr>
              <w:t xml:space="preserve"> </w:t>
            </w:r>
            <w:r>
              <w:rPr>
                <w:color w:val="auto"/>
                <w:spacing w:val="7"/>
                <w:sz w:val="19"/>
                <w:szCs w:val="19"/>
                <w:highlight w:val="none"/>
              </w:rPr>
              <w:t>(</w:t>
            </w:r>
            <w:r>
              <w:rPr>
                <w:rFonts w:ascii="MS PMincho" w:hAnsi="MS PMincho" w:eastAsia="MS PMincho" w:cs="MS PMincho"/>
                <w:color w:val="auto"/>
                <w:spacing w:val="7"/>
                <w:sz w:val="19"/>
                <w:szCs w:val="19"/>
                <w:highlight w:val="none"/>
              </w:rPr>
              <w:t>☑</w:t>
            </w:r>
            <w:r>
              <w:rPr>
                <w:color w:val="auto"/>
                <w:spacing w:val="7"/>
                <w:sz w:val="19"/>
                <w:szCs w:val="19"/>
                <w:highlight w:val="none"/>
              </w:rPr>
              <w:t>成交金额/□采购预算/□暂定中标金</w:t>
            </w:r>
            <w:r>
              <w:rPr>
                <w:color w:val="auto"/>
                <w:sz w:val="19"/>
                <w:szCs w:val="19"/>
                <w:highlight w:val="none"/>
              </w:rPr>
              <w:t xml:space="preserve"> </w:t>
            </w:r>
            <w:r>
              <w:rPr>
                <w:color w:val="auto"/>
                <w:spacing w:val="9"/>
                <w:sz w:val="19"/>
                <w:szCs w:val="19"/>
                <w:highlight w:val="none"/>
              </w:rPr>
              <w:t>额/□其他</w:t>
            </w:r>
            <w:r>
              <w:rPr>
                <w:color w:val="auto"/>
                <w:spacing w:val="9"/>
                <w:sz w:val="19"/>
                <w:szCs w:val="19"/>
                <w:highlight w:val="none"/>
                <w:u w:val="single" w:color="auto"/>
              </w:rPr>
              <w:t xml:space="preserve">   </w:t>
            </w:r>
            <w:r>
              <w:rPr>
                <w:color w:val="auto"/>
                <w:spacing w:val="-66"/>
                <w:sz w:val="19"/>
                <w:szCs w:val="19"/>
                <w:highlight w:val="none"/>
              </w:rPr>
              <w:t xml:space="preserve"> </w:t>
            </w:r>
            <w:r>
              <w:rPr>
                <w:color w:val="auto"/>
                <w:spacing w:val="9"/>
                <w:sz w:val="19"/>
                <w:szCs w:val="19"/>
                <w:highlight w:val="none"/>
              </w:rPr>
              <w:t>）为计费额，按</w:t>
            </w:r>
            <w:r>
              <w:rPr>
                <w:b/>
                <w:bCs/>
                <w:color w:val="auto"/>
                <w:spacing w:val="9"/>
                <w:sz w:val="19"/>
                <w:szCs w:val="19"/>
                <w:highlight w:val="none"/>
              </w:rPr>
              <w:t>工程类</w:t>
            </w:r>
            <w:r>
              <w:rPr>
                <w:color w:val="auto"/>
                <w:spacing w:val="9"/>
                <w:sz w:val="19"/>
                <w:szCs w:val="19"/>
                <w:highlight w:val="none"/>
              </w:rPr>
              <w:t>采用差额定率累进法计算出收</w:t>
            </w:r>
            <w:r>
              <w:rPr>
                <w:color w:val="auto"/>
                <w:spacing w:val="8"/>
                <w:sz w:val="19"/>
                <w:szCs w:val="19"/>
                <w:highlight w:val="none"/>
              </w:rPr>
              <w:t>费基准</w:t>
            </w:r>
            <w:r>
              <w:rPr>
                <w:color w:val="auto"/>
                <w:sz w:val="19"/>
                <w:szCs w:val="19"/>
                <w:highlight w:val="none"/>
              </w:rPr>
              <w:t xml:space="preserve"> </w:t>
            </w:r>
            <w:r>
              <w:rPr>
                <w:color w:val="auto"/>
                <w:spacing w:val="8"/>
                <w:sz w:val="19"/>
                <w:szCs w:val="19"/>
                <w:highlight w:val="none"/>
              </w:rPr>
              <w:t>价格，采购代理收费以 (□收费基准价格/</w:t>
            </w:r>
            <w:r>
              <w:rPr>
                <w:rFonts w:ascii="MS PMincho" w:hAnsi="MS PMincho" w:eastAsia="MS PMincho" w:cs="MS PMincho"/>
                <w:color w:val="auto"/>
                <w:spacing w:val="8"/>
                <w:sz w:val="19"/>
                <w:szCs w:val="19"/>
                <w:highlight w:val="none"/>
              </w:rPr>
              <w:t>☑</w:t>
            </w:r>
            <w:r>
              <w:rPr>
                <w:color w:val="auto"/>
                <w:spacing w:val="8"/>
                <w:sz w:val="19"/>
                <w:szCs w:val="19"/>
                <w:highlight w:val="none"/>
              </w:rPr>
              <w:t>收费基准价格下浮</w:t>
            </w:r>
            <w:r>
              <w:rPr>
                <w:color w:val="auto"/>
                <w:spacing w:val="8"/>
                <w:sz w:val="19"/>
                <w:szCs w:val="19"/>
                <w:highlight w:val="none"/>
                <w:u w:val="single" w:color="auto"/>
              </w:rPr>
              <w:t xml:space="preserve"> 20</w:t>
            </w:r>
            <w:r>
              <w:rPr>
                <w:color w:val="auto"/>
                <w:spacing w:val="-43"/>
                <w:sz w:val="19"/>
                <w:szCs w:val="19"/>
                <w:highlight w:val="none"/>
                <w:u w:val="single" w:color="auto"/>
              </w:rPr>
              <w:t xml:space="preserve"> </w:t>
            </w:r>
            <w:r>
              <w:rPr>
                <w:color w:val="auto"/>
                <w:spacing w:val="8"/>
                <w:sz w:val="19"/>
                <w:szCs w:val="19"/>
                <w:highlight w:val="none"/>
                <w:u w:val="single" w:color="auto"/>
              </w:rPr>
              <w:t>%</w:t>
            </w:r>
            <w:r>
              <w:rPr>
                <w:color w:val="auto"/>
                <w:spacing w:val="8"/>
                <w:sz w:val="19"/>
                <w:szCs w:val="19"/>
                <w:highlight w:val="none"/>
              </w:rPr>
              <w:t>/</w:t>
            </w:r>
            <w:r>
              <w:rPr>
                <w:color w:val="auto"/>
                <w:spacing w:val="7"/>
                <w:sz w:val="19"/>
                <w:szCs w:val="19"/>
                <w:highlight w:val="none"/>
              </w:rPr>
              <w:t>□收</w:t>
            </w:r>
            <w:r>
              <w:rPr>
                <w:color w:val="auto"/>
                <w:sz w:val="19"/>
                <w:szCs w:val="19"/>
                <w:highlight w:val="none"/>
              </w:rPr>
              <w:t xml:space="preserve"> </w:t>
            </w:r>
            <w:r>
              <w:rPr>
                <w:color w:val="auto"/>
                <w:spacing w:val="8"/>
                <w:sz w:val="19"/>
                <w:szCs w:val="19"/>
                <w:highlight w:val="none"/>
              </w:rPr>
              <w:t>费基准价格上浮</w:t>
            </w:r>
            <w:r>
              <w:rPr>
                <w:color w:val="auto"/>
                <w:spacing w:val="8"/>
                <w:sz w:val="19"/>
                <w:szCs w:val="19"/>
                <w:highlight w:val="none"/>
                <w:u w:val="single" w:color="auto"/>
              </w:rPr>
              <w:t xml:space="preserve">   %</w:t>
            </w:r>
            <w:r>
              <w:rPr>
                <w:color w:val="auto"/>
                <w:spacing w:val="8"/>
                <w:sz w:val="19"/>
                <w:szCs w:val="19"/>
                <w:highlight w:val="none"/>
              </w:rPr>
              <w:t>）收取</w:t>
            </w:r>
            <w:r>
              <w:rPr>
                <w:color w:val="auto"/>
                <w:spacing w:val="8"/>
                <w:highlight w:val="none"/>
              </w:rPr>
              <w:t>□固定采购代理收费</w:t>
            </w:r>
            <w:r>
              <w:rPr>
                <w:color w:val="auto"/>
                <w:spacing w:val="8"/>
                <w:highlight w:val="none"/>
                <w:u w:val="single" w:color="auto"/>
              </w:rPr>
              <w:t xml:space="preserve">  \</w:t>
            </w:r>
            <w:r>
              <w:rPr>
                <w:color w:val="auto"/>
                <w:spacing w:val="20"/>
                <w:highlight w:val="none"/>
                <w:u w:val="single" w:color="auto"/>
              </w:rPr>
              <w:t xml:space="preserve">  </w:t>
            </w:r>
            <w:r>
              <w:rPr>
                <w:color w:val="auto"/>
                <w:spacing w:val="8"/>
                <w:highlight w:val="none"/>
                <w:u w:val="single" w:color="auto"/>
              </w:rPr>
              <w:t>。</w:t>
            </w:r>
          </w:p>
          <w:p w14:paraId="36CA7ADF">
            <w:pPr>
              <w:pStyle w:val="20"/>
              <w:spacing w:before="153" w:line="228" w:lineRule="auto"/>
              <w:ind w:left="111"/>
              <w:rPr>
                <w:color w:val="auto"/>
                <w:highlight w:val="none"/>
              </w:rPr>
            </w:pPr>
            <w:r>
              <w:rPr>
                <w:color w:val="auto"/>
                <w:spacing w:val="8"/>
                <w:highlight w:val="none"/>
              </w:rPr>
              <w:t>4. 采购代理费收取银行账户</w:t>
            </w:r>
          </w:p>
          <w:p w14:paraId="1246D861">
            <w:pPr>
              <w:pStyle w:val="20"/>
              <w:spacing w:before="154" w:line="227" w:lineRule="auto"/>
              <w:ind w:left="115"/>
              <w:rPr>
                <w:color w:val="auto"/>
                <w:highlight w:val="none"/>
              </w:rPr>
            </w:pPr>
            <w:r>
              <w:rPr>
                <w:color w:val="auto"/>
                <w:spacing w:val="9"/>
                <w:highlight w:val="none"/>
              </w:rPr>
              <w:t>账户名称：广西拓正工程造价咨询有限公司</w:t>
            </w:r>
          </w:p>
          <w:p w14:paraId="55DF9C97">
            <w:pPr>
              <w:pStyle w:val="20"/>
              <w:spacing w:before="154" w:line="227" w:lineRule="auto"/>
              <w:ind w:left="115"/>
              <w:rPr>
                <w:color w:val="auto"/>
                <w:spacing w:val="9"/>
                <w:highlight w:val="none"/>
              </w:rPr>
            </w:pPr>
            <w:r>
              <w:rPr>
                <w:color w:val="auto"/>
                <w:spacing w:val="9"/>
                <w:highlight w:val="none"/>
              </w:rPr>
              <w:t>开户银行：4505 0160 4950 0000 1216</w:t>
            </w:r>
          </w:p>
          <w:p w14:paraId="146F5B79">
            <w:pPr>
              <w:pStyle w:val="20"/>
              <w:spacing w:before="154" w:line="227" w:lineRule="auto"/>
              <w:ind w:left="115"/>
              <w:rPr>
                <w:color w:val="auto"/>
                <w:spacing w:val="9"/>
                <w:highlight w:val="none"/>
              </w:rPr>
            </w:pPr>
            <w:r>
              <w:rPr>
                <w:color w:val="auto"/>
                <w:spacing w:val="9"/>
                <w:highlight w:val="none"/>
              </w:rPr>
              <w:t>银行账号：中国建设银行股份有限公司南宁江南支行</w:t>
            </w:r>
          </w:p>
          <w:p w14:paraId="6CA7700B">
            <w:pPr>
              <w:pStyle w:val="20"/>
              <w:spacing w:before="152" w:line="228" w:lineRule="auto"/>
              <w:ind w:left="114" w:leftChars="0"/>
              <w:rPr>
                <w:color w:val="auto"/>
                <w:spacing w:val="6"/>
                <w:highlight w:val="none"/>
              </w:rPr>
            </w:pPr>
            <w:r>
              <w:rPr>
                <w:color w:val="auto"/>
                <w:spacing w:val="9"/>
                <w:highlight w:val="none"/>
              </w:rPr>
              <w:t>备注信息：某项目编号或项目名称采购代理服务</w:t>
            </w:r>
            <w:r>
              <w:rPr>
                <w:color w:val="auto"/>
                <w:spacing w:val="8"/>
                <w:highlight w:val="none"/>
              </w:rPr>
              <w:t>费。</w:t>
            </w:r>
          </w:p>
        </w:tc>
      </w:tr>
    </w:tbl>
    <w:p w14:paraId="368E0032">
      <w:pPr>
        <w:pStyle w:val="6"/>
        <w:spacing w:line="185" w:lineRule="exact"/>
        <w:rPr>
          <w:color w:val="auto"/>
          <w:sz w:val="16"/>
          <w:highlight w:val="none"/>
        </w:rPr>
      </w:pPr>
    </w:p>
    <w:p w14:paraId="1B81DFFB">
      <w:pPr>
        <w:spacing w:line="185" w:lineRule="exact"/>
        <w:rPr>
          <w:color w:val="auto"/>
          <w:sz w:val="16"/>
          <w:szCs w:val="16"/>
          <w:highlight w:val="none"/>
        </w:rPr>
        <w:sectPr>
          <w:headerReference r:id="rId17" w:type="default"/>
          <w:footerReference r:id="rId18" w:type="default"/>
          <w:pgSz w:w="11905" w:h="16839"/>
          <w:pgMar w:top="400" w:right="983" w:bottom="1149" w:left="982" w:header="0" w:footer="913" w:gutter="0"/>
          <w:pgNumType w:fmt="decimal"/>
          <w:cols w:space="720" w:num="1"/>
        </w:sectPr>
      </w:pPr>
    </w:p>
    <w:p w14:paraId="7E5FE7F0">
      <w:pPr>
        <w:spacing w:before="3"/>
        <w:rPr>
          <w:color w:val="auto"/>
          <w:highlight w:val="none"/>
        </w:rPr>
      </w:pPr>
    </w:p>
    <w:p w14:paraId="379A0E62">
      <w:pPr>
        <w:spacing w:before="3"/>
        <w:rPr>
          <w:color w:val="auto"/>
          <w:highlight w:val="none"/>
        </w:rPr>
      </w:pPr>
    </w:p>
    <w:p w14:paraId="3F7269D6">
      <w:pPr>
        <w:spacing w:before="3"/>
        <w:rPr>
          <w:color w:val="auto"/>
          <w:highlight w:val="none"/>
        </w:rPr>
      </w:pPr>
    </w:p>
    <w:tbl>
      <w:tblPr>
        <w:tblStyle w:val="19"/>
        <w:tblW w:w="99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2426"/>
        <w:gridCol w:w="6645"/>
      </w:tblGrid>
      <w:tr w14:paraId="74A68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7" w:hRule="atLeast"/>
        </w:trPr>
        <w:tc>
          <w:tcPr>
            <w:tcW w:w="863" w:type="dxa"/>
            <w:vAlign w:val="top"/>
          </w:tcPr>
          <w:p w14:paraId="7D9BE21F">
            <w:pPr>
              <w:spacing w:line="254" w:lineRule="auto"/>
              <w:rPr>
                <w:rFonts w:ascii="Arial"/>
                <w:color w:val="auto"/>
                <w:sz w:val="21"/>
                <w:highlight w:val="none"/>
              </w:rPr>
            </w:pPr>
          </w:p>
          <w:p w14:paraId="5C120D11">
            <w:pPr>
              <w:spacing w:line="254" w:lineRule="auto"/>
              <w:rPr>
                <w:rFonts w:ascii="Arial"/>
                <w:color w:val="auto"/>
                <w:sz w:val="21"/>
                <w:highlight w:val="none"/>
              </w:rPr>
            </w:pPr>
          </w:p>
          <w:p w14:paraId="65C1A65C">
            <w:pPr>
              <w:spacing w:line="254" w:lineRule="auto"/>
              <w:rPr>
                <w:rFonts w:ascii="Arial"/>
                <w:color w:val="auto"/>
                <w:sz w:val="21"/>
                <w:highlight w:val="none"/>
              </w:rPr>
            </w:pPr>
          </w:p>
          <w:p w14:paraId="46DA40C5">
            <w:pPr>
              <w:spacing w:line="255" w:lineRule="auto"/>
              <w:rPr>
                <w:rFonts w:ascii="Arial"/>
                <w:color w:val="auto"/>
                <w:sz w:val="21"/>
                <w:highlight w:val="none"/>
              </w:rPr>
            </w:pPr>
          </w:p>
          <w:p w14:paraId="042AE28D">
            <w:pPr>
              <w:spacing w:line="255" w:lineRule="auto"/>
              <w:rPr>
                <w:rFonts w:ascii="Arial"/>
                <w:color w:val="auto"/>
                <w:sz w:val="21"/>
                <w:highlight w:val="none"/>
              </w:rPr>
            </w:pPr>
          </w:p>
          <w:p w14:paraId="7093E101">
            <w:pPr>
              <w:pStyle w:val="20"/>
              <w:spacing w:before="65" w:line="268" w:lineRule="exact"/>
              <w:ind w:left="229"/>
              <w:rPr>
                <w:color w:val="auto"/>
                <w:highlight w:val="none"/>
              </w:rPr>
            </w:pPr>
            <w:r>
              <w:rPr>
                <w:color w:val="auto"/>
                <w:spacing w:val="2"/>
                <w:position w:val="1"/>
                <w:highlight w:val="none"/>
              </w:rPr>
              <w:t>34.1</w:t>
            </w:r>
          </w:p>
        </w:tc>
        <w:tc>
          <w:tcPr>
            <w:tcW w:w="2426" w:type="dxa"/>
            <w:vAlign w:val="top"/>
          </w:tcPr>
          <w:p w14:paraId="13485E50">
            <w:pPr>
              <w:spacing w:line="254" w:lineRule="auto"/>
              <w:rPr>
                <w:rFonts w:ascii="Arial"/>
                <w:color w:val="auto"/>
                <w:sz w:val="21"/>
                <w:highlight w:val="none"/>
              </w:rPr>
            </w:pPr>
          </w:p>
          <w:p w14:paraId="7E42C3C8">
            <w:pPr>
              <w:spacing w:line="254" w:lineRule="auto"/>
              <w:rPr>
                <w:rFonts w:ascii="Arial"/>
                <w:color w:val="auto"/>
                <w:sz w:val="21"/>
                <w:highlight w:val="none"/>
              </w:rPr>
            </w:pPr>
          </w:p>
          <w:p w14:paraId="3A56C7A0">
            <w:pPr>
              <w:spacing w:line="254" w:lineRule="auto"/>
              <w:rPr>
                <w:rFonts w:ascii="Arial"/>
                <w:color w:val="auto"/>
                <w:sz w:val="21"/>
                <w:highlight w:val="none"/>
              </w:rPr>
            </w:pPr>
          </w:p>
          <w:p w14:paraId="54729836">
            <w:pPr>
              <w:spacing w:line="255" w:lineRule="auto"/>
              <w:rPr>
                <w:rFonts w:ascii="Arial"/>
                <w:color w:val="auto"/>
                <w:sz w:val="21"/>
                <w:highlight w:val="none"/>
              </w:rPr>
            </w:pPr>
          </w:p>
          <w:p w14:paraId="7ADCBFFB">
            <w:pPr>
              <w:spacing w:line="255" w:lineRule="auto"/>
              <w:rPr>
                <w:rFonts w:ascii="Arial"/>
                <w:color w:val="auto"/>
                <w:sz w:val="21"/>
                <w:highlight w:val="none"/>
              </w:rPr>
            </w:pPr>
          </w:p>
          <w:p w14:paraId="3DE41DCB">
            <w:pPr>
              <w:pStyle w:val="20"/>
              <w:spacing w:before="65" w:line="228" w:lineRule="auto"/>
              <w:ind w:left="1005"/>
              <w:rPr>
                <w:color w:val="auto"/>
                <w:highlight w:val="none"/>
              </w:rPr>
            </w:pPr>
            <w:r>
              <w:rPr>
                <w:color w:val="auto"/>
                <w:spacing w:val="5"/>
                <w:highlight w:val="none"/>
              </w:rPr>
              <w:t>解释</w:t>
            </w:r>
          </w:p>
        </w:tc>
        <w:tc>
          <w:tcPr>
            <w:tcW w:w="6645" w:type="dxa"/>
            <w:vAlign w:val="top"/>
          </w:tcPr>
          <w:p w14:paraId="6F68D41F">
            <w:pPr>
              <w:pStyle w:val="20"/>
              <w:spacing w:before="142" w:line="350" w:lineRule="auto"/>
              <w:ind w:left="111" w:right="21"/>
              <w:jc w:val="both"/>
              <w:rPr>
                <w:color w:val="auto"/>
                <w:spacing w:val="3"/>
                <w:highlight w:val="none"/>
              </w:rPr>
            </w:pPr>
            <w:r>
              <w:rPr>
                <w:b/>
                <w:bCs/>
                <w:color w:val="auto"/>
                <w:spacing w:val="7"/>
                <w:highlight w:val="none"/>
              </w:rPr>
              <w:t>解释权：</w:t>
            </w:r>
            <w:r>
              <w:rPr>
                <w:color w:val="auto"/>
                <w:spacing w:val="7"/>
                <w:highlight w:val="none"/>
              </w:rPr>
              <w:t>构成本磋商文件的各个组成文件应互为解释，</w:t>
            </w:r>
            <w:r>
              <w:rPr>
                <w:color w:val="auto"/>
                <w:spacing w:val="6"/>
                <w:highlight w:val="none"/>
              </w:rPr>
              <w:t>互为说明；除磋</w:t>
            </w:r>
            <w:r>
              <w:rPr>
                <w:color w:val="auto"/>
                <w:highlight w:val="none"/>
              </w:rPr>
              <w:t xml:space="preserve">  </w:t>
            </w:r>
            <w:r>
              <w:rPr>
                <w:color w:val="auto"/>
                <w:spacing w:val="7"/>
                <w:highlight w:val="none"/>
              </w:rPr>
              <w:t>商文件中有特别规定外，仅适用于竞标阶段的规定，按更正公告（澄清</w:t>
            </w:r>
            <w:r>
              <w:rPr>
                <w:color w:val="auto"/>
                <w:spacing w:val="1"/>
                <w:highlight w:val="none"/>
              </w:rPr>
              <w:t xml:space="preserve">  </w:t>
            </w:r>
            <w:r>
              <w:rPr>
                <w:color w:val="auto"/>
                <w:spacing w:val="7"/>
                <w:highlight w:val="none"/>
              </w:rPr>
              <w:t>公告）、竞争性磋商公告、供应商须知、采购需求、评审程序、评审方</w:t>
            </w:r>
            <w:r>
              <w:rPr>
                <w:color w:val="auto"/>
                <w:spacing w:val="1"/>
                <w:highlight w:val="none"/>
              </w:rPr>
              <w:t xml:space="preserve">  </w:t>
            </w:r>
            <w:r>
              <w:rPr>
                <w:color w:val="auto"/>
                <w:spacing w:val="7"/>
                <w:highlight w:val="none"/>
              </w:rPr>
              <w:t>法和评审标准、响应文件格式、合同文本的先后顺序解释；同一组成文</w:t>
            </w:r>
            <w:r>
              <w:rPr>
                <w:color w:val="auto"/>
                <w:spacing w:val="1"/>
                <w:highlight w:val="none"/>
              </w:rPr>
              <w:t xml:space="preserve">  </w:t>
            </w:r>
            <w:r>
              <w:rPr>
                <w:color w:val="auto"/>
                <w:spacing w:val="7"/>
                <w:highlight w:val="none"/>
              </w:rPr>
              <w:t>件中就同一事项的规定或者约定不一致的，以编排顺序在后者为准；同</w:t>
            </w:r>
            <w:r>
              <w:rPr>
                <w:color w:val="auto"/>
                <w:spacing w:val="1"/>
                <w:highlight w:val="none"/>
              </w:rPr>
              <w:t xml:space="preserve">  </w:t>
            </w:r>
            <w:r>
              <w:rPr>
                <w:color w:val="auto"/>
                <w:spacing w:val="7"/>
                <w:highlight w:val="none"/>
              </w:rPr>
              <w:t>一组成文件不同版本之间有不一致的，以形成时间在后者为准；更正公</w:t>
            </w:r>
            <w:r>
              <w:rPr>
                <w:color w:val="auto"/>
                <w:spacing w:val="1"/>
                <w:highlight w:val="none"/>
              </w:rPr>
              <w:t xml:space="preserve">  </w:t>
            </w:r>
            <w:r>
              <w:rPr>
                <w:color w:val="auto"/>
                <w:spacing w:val="3"/>
                <w:highlight w:val="none"/>
              </w:rPr>
              <w:t>告（澄清公告）与同步更新的磋商文件不一致时以更正公告（澄清公告）</w:t>
            </w:r>
          </w:p>
          <w:p w14:paraId="758A48A9">
            <w:pPr>
              <w:pStyle w:val="20"/>
              <w:spacing w:before="146" w:line="369" w:lineRule="auto"/>
              <w:ind w:left="119" w:right="108" w:hanging="5"/>
              <w:rPr>
                <w:color w:val="auto"/>
                <w:highlight w:val="none"/>
              </w:rPr>
            </w:pPr>
            <w:r>
              <w:rPr>
                <w:color w:val="auto"/>
                <w:spacing w:val="6"/>
                <w:highlight w:val="none"/>
              </w:rPr>
              <w:t>为准。按本款前述规定仍不能形成结论的，</w:t>
            </w:r>
            <w:r>
              <w:rPr>
                <w:b/>
                <w:bCs/>
                <w:color w:val="auto"/>
                <w:spacing w:val="6"/>
                <w:highlight w:val="none"/>
              </w:rPr>
              <w:t>由采购人或者采购代理机构</w:t>
            </w:r>
            <w:r>
              <w:rPr>
                <w:color w:val="auto"/>
                <w:spacing w:val="4"/>
                <w:highlight w:val="none"/>
              </w:rPr>
              <w:t xml:space="preserve"> </w:t>
            </w:r>
            <w:r>
              <w:rPr>
                <w:b/>
                <w:bCs/>
                <w:color w:val="auto"/>
                <w:spacing w:val="3"/>
                <w:highlight w:val="none"/>
              </w:rPr>
              <w:t>负责解释。</w:t>
            </w:r>
          </w:p>
          <w:p w14:paraId="4ED7F82A">
            <w:pPr>
              <w:pStyle w:val="20"/>
              <w:spacing w:line="228" w:lineRule="auto"/>
              <w:ind w:left="112"/>
              <w:rPr>
                <w:color w:val="auto"/>
                <w:highlight w:val="none"/>
              </w:rPr>
            </w:pPr>
            <w:r>
              <w:rPr>
                <w:b/>
                <w:bCs/>
                <w:color w:val="auto"/>
                <w:spacing w:val="4"/>
                <w:highlight w:val="none"/>
              </w:rPr>
              <w:t>法律责任：</w:t>
            </w:r>
          </w:p>
          <w:p w14:paraId="3AD1696C">
            <w:pPr>
              <w:pStyle w:val="20"/>
              <w:spacing w:before="152" w:line="334" w:lineRule="auto"/>
              <w:ind w:left="111" w:right="108" w:firstLine="15"/>
              <w:rPr>
                <w:color w:val="auto"/>
                <w:highlight w:val="none"/>
              </w:rPr>
            </w:pPr>
            <w:r>
              <w:rPr>
                <w:color w:val="auto"/>
                <w:spacing w:val="6"/>
                <w:highlight w:val="none"/>
              </w:rPr>
              <w:t>1.本采购文件根据《中华人民共和国政府采购法》、《中华人民共和国</w:t>
            </w:r>
            <w:r>
              <w:rPr>
                <w:color w:val="auto"/>
                <w:spacing w:val="10"/>
                <w:highlight w:val="none"/>
              </w:rPr>
              <w:t xml:space="preserve"> </w:t>
            </w:r>
            <w:r>
              <w:rPr>
                <w:color w:val="auto"/>
                <w:spacing w:val="7"/>
                <w:highlight w:val="none"/>
              </w:rPr>
              <w:t>民法典》；《中华人民共和国政府采购法实施条例》、《政府采购</w:t>
            </w:r>
            <w:r>
              <w:rPr>
                <w:color w:val="auto"/>
                <w:spacing w:val="6"/>
                <w:highlight w:val="none"/>
              </w:rPr>
              <w:t>竞争</w:t>
            </w:r>
            <w:r>
              <w:rPr>
                <w:color w:val="auto"/>
                <w:highlight w:val="none"/>
              </w:rPr>
              <w:t xml:space="preserve"> </w:t>
            </w:r>
            <w:r>
              <w:rPr>
                <w:color w:val="auto"/>
                <w:spacing w:val="7"/>
                <w:highlight w:val="none"/>
              </w:rPr>
              <w:t>性磋商采购方式管理暂行办法》等有关法律、法规编制，参与本项目的</w:t>
            </w:r>
            <w:r>
              <w:rPr>
                <w:color w:val="auto"/>
                <w:spacing w:val="1"/>
                <w:highlight w:val="none"/>
              </w:rPr>
              <w:t xml:space="preserve"> </w:t>
            </w:r>
            <w:r>
              <w:rPr>
                <w:color w:val="auto"/>
                <w:spacing w:val="9"/>
                <w:highlight w:val="none"/>
              </w:rPr>
              <w:t>各政府采购当事人依法享有上述法律法规所赋予的权利与义务。</w:t>
            </w:r>
          </w:p>
          <w:p w14:paraId="47CDA755">
            <w:pPr>
              <w:pStyle w:val="20"/>
              <w:spacing w:before="142" w:line="350" w:lineRule="auto"/>
              <w:ind w:left="111" w:right="21"/>
              <w:jc w:val="both"/>
              <w:rPr>
                <w:color w:val="auto"/>
                <w:spacing w:val="3"/>
                <w:highlight w:val="none"/>
              </w:rPr>
            </w:pPr>
            <w:r>
              <w:rPr>
                <w:b/>
                <w:bCs/>
                <w:color w:val="auto"/>
                <w:spacing w:val="11"/>
                <w:highlight w:val="none"/>
              </w:rPr>
              <w:t>2.本项目采购代理机构应严格按照广西政府采购云平台项目采购全流</w:t>
            </w:r>
            <w:r>
              <w:rPr>
                <w:color w:val="auto"/>
                <w:spacing w:val="9"/>
                <w:highlight w:val="none"/>
              </w:rPr>
              <w:t xml:space="preserve"> </w:t>
            </w:r>
            <w:r>
              <w:rPr>
                <w:b/>
                <w:bCs/>
                <w:color w:val="auto"/>
                <w:spacing w:val="12"/>
                <w:highlight w:val="none"/>
              </w:rPr>
              <w:t>程电子化电子开评标规程执行项目采购活动，代理机构</w:t>
            </w:r>
            <w:r>
              <w:rPr>
                <w:b/>
                <w:bCs/>
                <w:color w:val="auto"/>
                <w:spacing w:val="11"/>
                <w:highlight w:val="none"/>
              </w:rPr>
              <w:t>在广西政府采</w:t>
            </w:r>
            <w:r>
              <w:rPr>
                <w:color w:val="auto"/>
                <w:highlight w:val="none"/>
              </w:rPr>
              <w:t xml:space="preserve"> </w:t>
            </w:r>
            <w:r>
              <w:rPr>
                <w:b/>
                <w:bCs/>
                <w:color w:val="auto"/>
                <w:spacing w:val="10"/>
                <w:highlight w:val="none"/>
              </w:rPr>
              <w:t>购云平台的“项目管理</w:t>
            </w:r>
            <w:r>
              <w:rPr>
                <w:color w:val="auto"/>
                <w:spacing w:val="-68"/>
                <w:highlight w:val="none"/>
              </w:rPr>
              <w:t xml:space="preserve"> </w:t>
            </w:r>
            <w:r>
              <w:rPr>
                <w:b/>
                <w:bCs/>
                <w:color w:val="auto"/>
                <w:spacing w:val="10"/>
                <w:highlight w:val="none"/>
              </w:rPr>
              <w:t>”—“采购文件管理</w:t>
            </w:r>
            <w:r>
              <w:rPr>
                <w:color w:val="auto"/>
                <w:spacing w:val="-68"/>
                <w:highlight w:val="none"/>
              </w:rPr>
              <w:t xml:space="preserve"> </w:t>
            </w:r>
            <w:r>
              <w:rPr>
                <w:b/>
                <w:bCs/>
                <w:color w:val="auto"/>
                <w:spacing w:val="10"/>
                <w:highlight w:val="none"/>
              </w:rPr>
              <w:t>”内开</w:t>
            </w:r>
            <w:r>
              <w:rPr>
                <w:b/>
                <w:bCs/>
                <w:color w:val="auto"/>
                <w:spacing w:val="9"/>
                <w:highlight w:val="none"/>
              </w:rPr>
              <w:t>评标规则设置作为</w:t>
            </w:r>
            <w:r>
              <w:rPr>
                <w:color w:val="auto"/>
                <w:highlight w:val="none"/>
              </w:rPr>
              <w:t xml:space="preserve"> </w:t>
            </w:r>
            <w:r>
              <w:rPr>
                <w:b/>
                <w:bCs/>
                <w:color w:val="auto"/>
                <w:spacing w:val="12"/>
                <w:highlight w:val="none"/>
              </w:rPr>
              <w:t>本采购文件的组成部分，截标之后不可更改，因代理机</w:t>
            </w:r>
            <w:r>
              <w:rPr>
                <w:b/>
                <w:bCs/>
                <w:color w:val="auto"/>
                <w:spacing w:val="11"/>
                <w:highlight w:val="none"/>
              </w:rPr>
              <w:t>构开评标规则</w:t>
            </w:r>
            <w:r>
              <w:rPr>
                <w:color w:val="auto"/>
                <w:highlight w:val="none"/>
              </w:rPr>
              <w:t xml:space="preserve"> </w:t>
            </w:r>
            <w:r>
              <w:rPr>
                <w:b/>
                <w:bCs/>
                <w:color w:val="auto"/>
                <w:spacing w:val="10"/>
                <w:highlight w:val="none"/>
              </w:rPr>
              <w:t>设置错误导致采购活动无法开展下去的情况，</w:t>
            </w:r>
            <w:r>
              <w:rPr>
                <w:color w:val="auto"/>
                <w:spacing w:val="-46"/>
                <w:highlight w:val="none"/>
              </w:rPr>
              <w:t xml:space="preserve"> </w:t>
            </w:r>
            <w:r>
              <w:rPr>
                <w:b/>
                <w:bCs/>
                <w:color w:val="auto"/>
                <w:spacing w:val="10"/>
                <w:highlight w:val="none"/>
              </w:rPr>
              <w:t>由代理机构负责解释并</w:t>
            </w:r>
            <w:r>
              <w:rPr>
                <w:color w:val="auto"/>
                <w:highlight w:val="none"/>
              </w:rPr>
              <w:t xml:space="preserve"> </w:t>
            </w:r>
            <w:r>
              <w:rPr>
                <w:b/>
                <w:bCs/>
                <w:color w:val="auto"/>
                <w:spacing w:val="5"/>
                <w:highlight w:val="none"/>
              </w:rPr>
              <w:t>承担其后果。</w:t>
            </w:r>
          </w:p>
        </w:tc>
      </w:tr>
      <w:tr w14:paraId="05729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7" w:hRule="atLeast"/>
        </w:trPr>
        <w:tc>
          <w:tcPr>
            <w:tcW w:w="863" w:type="dxa"/>
            <w:vAlign w:val="top"/>
          </w:tcPr>
          <w:p w14:paraId="616690A2">
            <w:pPr>
              <w:spacing w:line="242" w:lineRule="auto"/>
              <w:rPr>
                <w:rFonts w:ascii="Arial"/>
                <w:color w:val="auto"/>
                <w:sz w:val="21"/>
                <w:highlight w:val="none"/>
              </w:rPr>
            </w:pPr>
          </w:p>
          <w:p w14:paraId="5F0C1B6C">
            <w:pPr>
              <w:spacing w:line="242" w:lineRule="auto"/>
              <w:rPr>
                <w:rFonts w:ascii="Arial"/>
                <w:color w:val="auto"/>
                <w:sz w:val="21"/>
                <w:highlight w:val="none"/>
              </w:rPr>
            </w:pPr>
          </w:p>
          <w:p w14:paraId="07E41756">
            <w:pPr>
              <w:spacing w:line="242" w:lineRule="auto"/>
              <w:rPr>
                <w:rFonts w:ascii="Arial"/>
                <w:color w:val="auto"/>
                <w:sz w:val="21"/>
                <w:highlight w:val="none"/>
              </w:rPr>
            </w:pPr>
          </w:p>
          <w:p w14:paraId="2854CFEF">
            <w:pPr>
              <w:spacing w:line="242" w:lineRule="auto"/>
              <w:rPr>
                <w:rFonts w:ascii="Arial"/>
                <w:color w:val="auto"/>
                <w:sz w:val="21"/>
                <w:highlight w:val="none"/>
              </w:rPr>
            </w:pPr>
          </w:p>
          <w:p w14:paraId="0F4B1F91">
            <w:pPr>
              <w:spacing w:line="242" w:lineRule="auto"/>
              <w:rPr>
                <w:rFonts w:ascii="Arial"/>
                <w:color w:val="auto"/>
                <w:sz w:val="21"/>
                <w:highlight w:val="none"/>
              </w:rPr>
            </w:pPr>
          </w:p>
          <w:p w14:paraId="1B5B398D">
            <w:pPr>
              <w:spacing w:line="242" w:lineRule="auto"/>
              <w:rPr>
                <w:rFonts w:ascii="Arial"/>
                <w:color w:val="auto"/>
                <w:sz w:val="21"/>
                <w:highlight w:val="none"/>
              </w:rPr>
            </w:pPr>
          </w:p>
          <w:p w14:paraId="2102DA3C">
            <w:pPr>
              <w:spacing w:line="242" w:lineRule="auto"/>
              <w:rPr>
                <w:rFonts w:ascii="Arial"/>
                <w:color w:val="auto"/>
                <w:sz w:val="21"/>
                <w:highlight w:val="none"/>
              </w:rPr>
            </w:pPr>
          </w:p>
          <w:p w14:paraId="22606B64">
            <w:pPr>
              <w:spacing w:line="242" w:lineRule="auto"/>
              <w:rPr>
                <w:rFonts w:ascii="Arial"/>
                <w:color w:val="auto"/>
                <w:sz w:val="21"/>
                <w:highlight w:val="none"/>
              </w:rPr>
            </w:pPr>
          </w:p>
          <w:p w14:paraId="0DA4A37B">
            <w:pPr>
              <w:spacing w:line="242" w:lineRule="auto"/>
              <w:rPr>
                <w:rFonts w:ascii="Arial"/>
                <w:color w:val="auto"/>
                <w:sz w:val="21"/>
                <w:highlight w:val="none"/>
              </w:rPr>
            </w:pPr>
          </w:p>
          <w:p w14:paraId="42A7D181">
            <w:pPr>
              <w:spacing w:line="242" w:lineRule="auto"/>
              <w:rPr>
                <w:rFonts w:ascii="Arial"/>
                <w:color w:val="auto"/>
                <w:sz w:val="21"/>
                <w:highlight w:val="none"/>
              </w:rPr>
            </w:pPr>
          </w:p>
          <w:p w14:paraId="152BDA03">
            <w:pPr>
              <w:spacing w:line="242" w:lineRule="auto"/>
              <w:rPr>
                <w:rFonts w:ascii="Arial"/>
                <w:color w:val="auto"/>
                <w:sz w:val="21"/>
                <w:highlight w:val="none"/>
              </w:rPr>
            </w:pPr>
          </w:p>
          <w:p w14:paraId="6053B7C7">
            <w:pPr>
              <w:pStyle w:val="20"/>
              <w:spacing w:before="65" w:line="269" w:lineRule="exact"/>
              <w:ind w:left="229" w:leftChars="0"/>
              <w:rPr>
                <w:color w:val="auto"/>
                <w:spacing w:val="2"/>
                <w:position w:val="1"/>
                <w:highlight w:val="none"/>
              </w:rPr>
            </w:pPr>
            <w:r>
              <w:rPr>
                <w:color w:val="auto"/>
                <w:spacing w:val="2"/>
                <w:position w:val="1"/>
                <w:highlight w:val="none"/>
              </w:rPr>
              <w:t>34.2</w:t>
            </w:r>
          </w:p>
        </w:tc>
        <w:tc>
          <w:tcPr>
            <w:tcW w:w="2426" w:type="dxa"/>
            <w:vAlign w:val="top"/>
          </w:tcPr>
          <w:p w14:paraId="7734288E">
            <w:pPr>
              <w:spacing w:line="242" w:lineRule="auto"/>
              <w:rPr>
                <w:rFonts w:ascii="Arial"/>
                <w:color w:val="auto"/>
                <w:sz w:val="21"/>
                <w:highlight w:val="none"/>
              </w:rPr>
            </w:pPr>
          </w:p>
          <w:p w14:paraId="5931B93C">
            <w:pPr>
              <w:spacing w:line="242" w:lineRule="auto"/>
              <w:rPr>
                <w:rFonts w:ascii="Arial"/>
                <w:color w:val="auto"/>
                <w:sz w:val="21"/>
                <w:highlight w:val="none"/>
              </w:rPr>
            </w:pPr>
          </w:p>
          <w:p w14:paraId="466A9480">
            <w:pPr>
              <w:spacing w:line="242" w:lineRule="auto"/>
              <w:rPr>
                <w:rFonts w:ascii="Arial"/>
                <w:color w:val="auto"/>
                <w:sz w:val="21"/>
                <w:highlight w:val="none"/>
              </w:rPr>
            </w:pPr>
          </w:p>
          <w:p w14:paraId="07A70CB6">
            <w:pPr>
              <w:spacing w:line="242" w:lineRule="auto"/>
              <w:rPr>
                <w:rFonts w:ascii="Arial"/>
                <w:color w:val="auto"/>
                <w:sz w:val="21"/>
                <w:highlight w:val="none"/>
              </w:rPr>
            </w:pPr>
          </w:p>
          <w:p w14:paraId="454992A6">
            <w:pPr>
              <w:spacing w:line="242" w:lineRule="auto"/>
              <w:rPr>
                <w:rFonts w:ascii="Arial"/>
                <w:color w:val="auto"/>
                <w:sz w:val="21"/>
                <w:highlight w:val="none"/>
              </w:rPr>
            </w:pPr>
          </w:p>
          <w:p w14:paraId="72F90148">
            <w:pPr>
              <w:spacing w:line="242" w:lineRule="auto"/>
              <w:rPr>
                <w:rFonts w:ascii="Arial"/>
                <w:color w:val="auto"/>
                <w:sz w:val="21"/>
                <w:highlight w:val="none"/>
              </w:rPr>
            </w:pPr>
          </w:p>
          <w:p w14:paraId="59C7A3D7">
            <w:pPr>
              <w:spacing w:line="242" w:lineRule="auto"/>
              <w:rPr>
                <w:rFonts w:ascii="Arial"/>
                <w:color w:val="auto"/>
                <w:sz w:val="21"/>
                <w:highlight w:val="none"/>
              </w:rPr>
            </w:pPr>
          </w:p>
          <w:p w14:paraId="20F0AE26">
            <w:pPr>
              <w:spacing w:line="242" w:lineRule="auto"/>
              <w:rPr>
                <w:rFonts w:ascii="Arial"/>
                <w:color w:val="auto"/>
                <w:sz w:val="21"/>
                <w:highlight w:val="none"/>
              </w:rPr>
            </w:pPr>
          </w:p>
          <w:p w14:paraId="70615667">
            <w:pPr>
              <w:spacing w:line="242" w:lineRule="auto"/>
              <w:rPr>
                <w:rFonts w:ascii="Arial"/>
                <w:color w:val="auto"/>
                <w:sz w:val="21"/>
                <w:highlight w:val="none"/>
              </w:rPr>
            </w:pPr>
          </w:p>
          <w:p w14:paraId="1DA49243">
            <w:pPr>
              <w:spacing w:line="242" w:lineRule="auto"/>
              <w:rPr>
                <w:rFonts w:ascii="Arial"/>
                <w:color w:val="auto"/>
                <w:sz w:val="21"/>
                <w:highlight w:val="none"/>
              </w:rPr>
            </w:pPr>
          </w:p>
          <w:p w14:paraId="6A93DAF5">
            <w:pPr>
              <w:spacing w:line="242" w:lineRule="auto"/>
              <w:rPr>
                <w:rFonts w:ascii="Arial"/>
                <w:color w:val="auto"/>
                <w:sz w:val="21"/>
                <w:highlight w:val="none"/>
              </w:rPr>
            </w:pPr>
          </w:p>
          <w:p w14:paraId="597E4D51">
            <w:pPr>
              <w:pStyle w:val="20"/>
              <w:spacing w:before="65" w:line="229" w:lineRule="auto"/>
              <w:ind w:left="1007" w:leftChars="0"/>
              <w:rPr>
                <w:color w:val="auto"/>
                <w:spacing w:val="5"/>
                <w:highlight w:val="none"/>
              </w:rPr>
            </w:pPr>
            <w:r>
              <w:rPr>
                <w:color w:val="auto"/>
                <w:spacing w:val="4"/>
                <w:highlight w:val="none"/>
              </w:rPr>
              <w:t>其他</w:t>
            </w:r>
          </w:p>
        </w:tc>
        <w:tc>
          <w:tcPr>
            <w:tcW w:w="6645" w:type="dxa"/>
            <w:vAlign w:val="top"/>
          </w:tcPr>
          <w:p w14:paraId="04503BCF">
            <w:pPr>
              <w:pStyle w:val="20"/>
              <w:spacing w:before="142" w:line="341" w:lineRule="auto"/>
              <w:ind w:left="111" w:right="52" w:firstLine="15"/>
              <w:rPr>
                <w:color w:val="auto"/>
                <w:highlight w:val="none"/>
              </w:rPr>
            </w:pPr>
            <w:r>
              <w:rPr>
                <w:color w:val="auto"/>
                <w:spacing w:val="1"/>
                <w:highlight w:val="none"/>
              </w:rPr>
              <w:t>1.本磋商文件中描述供应商的“公章</w:t>
            </w:r>
            <w:r>
              <w:rPr>
                <w:color w:val="auto"/>
                <w:spacing w:val="-70"/>
                <w:highlight w:val="none"/>
              </w:rPr>
              <w:t xml:space="preserve"> </w:t>
            </w:r>
            <w:r>
              <w:rPr>
                <w:color w:val="auto"/>
                <w:spacing w:val="1"/>
                <w:highlight w:val="none"/>
              </w:rPr>
              <w:t>”是指根据我国对公章的</w:t>
            </w:r>
            <w:r>
              <w:rPr>
                <w:color w:val="auto"/>
                <w:highlight w:val="none"/>
              </w:rPr>
              <w:t xml:space="preserve">管理规定， </w:t>
            </w:r>
            <w:r>
              <w:rPr>
                <w:color w:val="auto"/>
                <w:spacing w:val="9"/>
                <w:highlight w:val="none"/>
              </w:rPr>
              <w:t>用供应商法定主体行为名称制作的印章，除本磋商文件有特</w:t>
            </w:r>
            <w:r>
              <w:rPr>
                <w:color w:val="auto"/>
                <w:spacing w:val="8"/>
                <w:highlight w:val="none"/>
              </w:rPr>
              <w:t>殊规定外，</w:t>
            </w:r>
            <w:r>
              <w:rPr>
                <w:color w:val="auto"/>
                <w:highlight w:val="none"/>
              </w:rPr>
              <w:t xml:space="preserve"> </w:t>
            </w:r>
            <w:r>
              <w:rPr>
                <w:color w:val="auto"/>
                <w:spacing w:val="10"/>
                <w:highlight w:val="none"/>
              </w:rPr>
              <w:t>供应商的财务章、部门章、分公司章、工会章、合同章、竞标/投标专</w:t>
            </w:r>
            <w:r>
              <w:rPr>
                <w:color w:val="auto"/>
                <w:spacing w:val="8"/>
                <w:highlight w:val="none"/>
              </w:rPr>
              <w:t xml:space="preserve"> </w:t>
            </w:r>
            <w:r>
              <w:rPr>
                <w:color w:val="auto"/>
                <w:spacing w:val="7"/>
                <w:highlight w:val="none"/>
              </w:rPr>
              <w:t>用章、业务专用章及银行的转账章、现金收讫章、现金付讫章等其他形</w:t>
            </w:r>
            <w:r>
              <w:rPr>
                <w:color w:val="auto"/>
                <w:spacing w:val="1"/>
                <w:highlight w:val="none"/>
              </w:rPr>
              <w:t xml:space="preserve"> </w:t>
            </w:r>
            <w:r>
              <w:rPr>
                <w:color w:val="auto"/>
                <w:spacing w:val="8"/>
                <w:highlight w:val="none"/>
              </w:rPr>
              <w:t>式印章均不能代替公章。</w:t>
            </w:r>
          </w:p>
          <w:p w14:paraId="3C8B64A0">
            <w:pPr>
              <w:pStyle w:val="20"/>
              <w:spacing w:before="153" w:line="322" w:lineRule="auto"/>
              <w:ind w:left="111" w:right="108" w:firstLine="2"/>
              <w:rPr>
                <w:color w:val="auto"/>
                <w:highlight w:val="none"/>
              </w:rPr>
            </w:pPr>
            <w:r>
              <w:rPr>
                <w:color w:val="auto"/>
                <w:spacing w:val="7"/>
                <w:highlight w:val="none"/>
              </w:rPr>
              <w:t>2.供应商为其他组织或者自然人时，本磋商文件规</w:t>
            </w:r>
            <w:r>
              <w:rPr>
                <w:color w:val="auto"/>
                <w:spacing w:val="6"/>
                <w:highlight w:val="none"/>
              </w:rPr>
              <w:t>定的法定代表人指负</w:t>
            </w:r>
            <w:r>
              <w:rPr>
                <w:color w:val="auto"/>
                <w:highlight w:val="none"/>
              </w:rPr>
              <w:t xml:space="preserve"> </w:t>
            </w:r>
            <w:r>
              <w:rPr>
                <w:color w:val="auto"/>
                <w:spacing w:val="7"/>
                <w:highlight w:val="none"/>
              </w:rPr>
              <w:t>责人或者自然人。本磋商文件所称负责人是指参加竞标的其他组织营业</w:t>
            </w:r>
            <w:r>
              <w:rPr>
                <w:color w:val="auto"/>
                <w:spacing w:val="1"/>
                <w:highlight w:val="none"/>
              </w:rPr>
              <w:t xml:space="preserve"> </w:t>
            </w:r>
            <w:r>
              <w:rPr>
                <w:color w:val="auto"/>
                <w:spacing w:val="9"/>
                <w:highlight w:val="none"/>
              </w:rPr>
              <w:t>执照上的负责人，本磋商文件所称自然人指参与竞标的自然人本人。</w:t>
            </w:r>
          </w:p>
          <w:p w14:paraId="797FB447">
            <w:pPr>
              <w:pStyle w:val="20"/>
              <w:spacing w:before="153" w:line="322" w:lineRule="auto"/>
              <w:ind w:left="111" w:right="108" w:firstLine="4"/>
              <w:rPr>
                <w:color w:val="auto"/>
                <w:highlight w:val="none"/>
              </w:rPr>
            </w:pPr>
            <w:r>
              <w:rPr>
                <w:color w:val="auto"/>
                <w:spacing w:val="6"/>
                <w:highlight w:val="none"/>
              </w:rPr>
              <w:t>3.本磋商文件中描述供应商的“签字</w:t>
            </w:r>
            <w:r>
              <w:rPr>
                <w:color w:val="auto"/>
                <w:spacing w:val="-70"/>
                <w:highlight w:val="none"/>
              </w:rPr>
              <w:t xml:space="preserve"> </w:t>
            </w:r>
            <w:r>
              <w:rPr>
                <w:color w:val="auto"/>
                <w:spacing w:val="6"/>
                <w:highlight w:val="none"/>
              </w:rPr>
              <w:t>”是指供应商</w:t>
            </w:r>
            <w:r>
              <w:rPr>
                <w:color w:val="auto"/>
                <w:spacing w:val="5"/>
                <w:highlight w:val="none"/>
              </w:rPr>
              <w:t>的法定代表人或者委</w:t>
            </w:r>
            <w:r>
              <w:rPr>
                <w:color w:val="auto"/>
                <w:highlight w:val="none"/>
              </w:rPr>
              <w:t xml:space="preserve"> </w:t>
            </w:r>
            <w:r>
              <w:rPr>
                <w:color w:val="auto"/>
                <w:spacing w:val="7"/>
                <w:highlight w:val="none"/>
              </w:rPr>
              <w:t>托代理人亲自在文件规定签署处亲笔写上个人的名字的行为，私章、签</w:t>
            </w:r>
            <w:r>
              <w:rPr>
                <w:color w:val="auto"/>
                <w:spacing w:val="1"/>
                <w:highlight w:val="none"/>
              </w:rPr>
              <w:t xml:space="preserve"> </w:t>
            </w:r>
            <w:r>
              <w:rPr>
                <w:color w:val="auto"/>
                <w:spacing w:val="9"/>
                <w:highlight w:val="none"/>
              </w:rPr>
              <w:t>字章、印鉴、影印等其他形式均不能代替亲笔签字。</w:t>
            </w:r>
          </w:p>
          <w:p w14:paraId="72AD1DC4">
            <w:pPr>
              <w:pStyle w:val="20"/>
              <w:spacing w:before="153" w:line="228" w:lineRule="auto"/>
              <w:ind w:left="111"/>
              <w:rPr>
                <w:color w:val="auto"/>
                <w:highlight w:val="none"/>
              </w:rPr>
            </w:pPr>
            <w:r>
              <w:rPr>
                <w:color w:val="auto"/>
                <w:spacing w:val="7"/>
                <w:highlight w:val="none"/>
              </w:rPr>
              <w:t>4.</w:t>
            </w:r>
            <w:r>
              <w:rPr>
                <w:color w:val="auto"/>
                <w:spacing w:val="-43"/>
                <w:highlight w:val="none"/>
              </w:rPr>
              <w:t xml:space="preserve"> </w:t>
            </w:r>
            <w:r>
              <w:rPr>
                <w:color w:val="auto"/>
                <w:spacing w:val="7"/>
                <w:highlight w:val="none"/>
              </w:rPr>
              <w:t>自然人竞标的，磋商文件规定盖公章处由自然人摁手指指印。</w:t>
            </w:r>
          </w:p>
          <w:p w14:paraId="1D0A6F59">
            <w:pPr>
              <w:pStyle w:val="20"/>
              <w:spacing w:before="152" w:line="228" w:lineRule="auto"/>
              <w:ind w:left="116"/>
              <w:rPr>
                <w:color w:val="auto"/>
                <w:highlight w:val="none"/>
              </w:rPr>
            </w:pPr>
            <w:r>
              <w:rPr>
                <w:color w:val="auto"/>
                <w:spacing w:val="2"/>
                <w:highlight w:val="none"/>
              </w:rPr>
              <w:t>5.本磋商文件所称的“</w:t>
            </w:r>
            <w:r>
              <w:rPr>
                <w:color w:val="auto"/>
                <w:spacing w:val="-66"/>
                <w:highlight w:val="none"/>
              </w:rPr>
              <w:t xml:space="preserve"> </w:t>
            </w:r>
            <w:r>
              <w:rPr>
                <w:color w:val="auto"/>
                <w:spacing w:val="2"/>
                <w:highlight w:val="none"/>
              </w:rPr>
              <w:t>以上</w:t>
            </w:r>
            <w:r>
              <w:rPr>
                <w:color w:val="auto"/>
                <w:spacing w:val="-70"/>
                <w:highlight w:val="none"/>
              </w:rPr>
              <w:t xml:space="preserve"> </w:t>
            </w:r>
            <w:r>
              <w:rPr>
                <w:color w:val="auto"/>
                <w:spacing w:val="2"/>
                <w:highlight w:val="none"/>
              </w:rPr>
              <w:t>”“</w:t>
            </w:r>
            <w:r>
              <w:rPr>
                <w:color w:val="auto"/>
                <w:spacing w:val="-66"/>
                <w:highlight w:val="none"/>
              </w:rPr>
              <w:t xml:space="preserve"> </w:t>
            </w:r>
            <w:r>
              <w:rPr>
                <w:color w:val="auto"/>
                <w:spacing w:val="2"/>
                <w:highlight w:val="none"/>
              </w:rPr>
              <w:t>以下</w:t>
            </w:r>
            <w:r>
              <w:rPr>
                <w:color w:val="auto"/>
                <w:spacing w:val="-70"/>
                <w:highlight w:val="none"/>
              </w:rPr>
              <w:t xml:space="preserve"> </w:t>
            </w:r>
            <w:r>
              <w:rPr>
                <w:color w:val="auto"/>
                <w:spacing w:val="2"/>
                <w:highlight w:val="none"/>
              </w:rPr>
              <w:t>”“</w:t>
            </w:r>
            <w:r>
              <w:rPr>
                <w:color w:val="auto"/>
                <w:spacing w:val="-66"/>
                <w:highlight w:val="none"/>
              </w:rPr>
              <w:t xml:space="preserve"> </w:t>
            </w:r>
            <w:r>
              <w:rPr>
                <w:color w:val="auto"/>
                <w:spacing w:val="2"/>
                <w:highlight w:val="none"/>
              </w:rPr>
              <w:t>以内</w:t>
            </w:r>
            <w:r>
              <w:rPr>
                <w:color w:val="auto"/>
                <w:spacing w:val="-70"/>
                <w:highlight w:val="none"/>
              </w:rPr>
              <w:t xml:space="preserve"> </w:t>
            </w:r>
            <w:r>
              <w:rPr>
                <w:color w:val="auto"/>
                <w:spacing w:val="2"/>
                <w:highlight w:val="none"/>
              </w:rPr>
              <w:t>”“届满</w:t>
            </w:r>
            <w:r>
              <w:rPr>
                <w:color w:val="auto"/>
                <w:spacing w:val="-70"/>
                <w:highlight w:val="none"/>
              </w:rPr>
              <w:t xml:space="preserve"> </w:t>
            </w:r>
            <w:r>
              <w:rPr>
                <w:color w:val="auto"/>
                <w:spacing w:val="2"/>
                <w:highlight w:val="none"/>
              </w:rPr>
              <w:t>”，包括本数；</w:t>
            </w:r>
          </w:p>
          <w:p w14:paraId="21BCF00F">
            <w:pPr>
              <w:pStyle w:val="20"/>
              <w:spacing w:before="153" w:line="228" w:lineRule="auto"/>
              <w:ind w:left="111" w:leftChars="0"/>
              <w:outlineLvl w:val="1"/>
              <w:rPr>
                <w:b/>
                <w:bCs/>
                <w:color w:val="auto"/>
                <w:spacing w:val="11"/>
                <w:highlight w:val="none"/>
              </w:rPr>
            </w:pPr>
            <w:r>
              <w:rPr>
                <w:color w:val="auto"/>
                <w:spacing w:val="3"/>
                <w:highlight w:val="none"/>
              </w:rPr>
              <w:t>所称的“不满</w:t>
            </w:r>
            <w:r>
              <w:rPr>
                <w:color w:val="auto"/>
                <w:spacing w:val="-61"/>
                <w:highlight w:val="none"/>
              </w:rPr>
              <w:t xml:space="preserve"> </w:t>
            </w:r>
            <w:r>
              <w:rPr>
                <w:color w:val="auto"/>
                <w:spacing w:val="3"/>
                <w:highlight w:val="none"/>
              </w:rPr>
              <w:t>”“超过</w:t>
            </w:r>
            <w:r>
              <w:rPr>
                <w:color w:val="auto"/>
                <w:spacing w:val="-70"/>
                <w:highlight w:val="none"/>
              </w:rPr>
              <w:t xml:space="preserve"> </w:t>
            </w:r>
            <w:r>
              <w:rPr>
                <w:color w:val="auto"/>
                <w:spacing w:val="3"/>
                <w:highlight w:val="none"/>
              </w:rPr>
              <w:t>”“</w:t>
            </w:r>
            <w:r>
              <w:rPr>
                <w:color w:val="auto"/>
                <w:spacing w:val="-66"/>
                <w:highlight w:val="none"/>
              </w:rPr>
              <w:t xml:space="preserve"> </w:t>
            </w:r>
            <w:r>
              <w:rPr>
                <w:color w:val="auto"/>
                <w:spacing w:val="3"/>
                <w:highlight w:val="none"/>
              </w:rPr>
              <w:t>以外</w:t>
            </w:r>
            <w:r>
              <w:rPr>
                <w:color w:val="auto"/>
                <w:spacing w:val="-70"/>
                <w:highlight w:val="none"/>
              </w:rPr>
              <w:t xml:space="preserve"> </w:t>
            </w:r>
            <w:r>
              <w:rPr>
                <w:color w:val="auto"/>
                <w:spacing w:val="3"/>
                <w:highlight w:val="none"/>
              </w:rPr>
              <w:t>”，不包括本数。</w:t>
            </w:r>
          </w:p>
        </w:tc>
      </w:tr>
    </w:tbl>
    <w:p w14:paraId="653F3200">
      <w:pPr>
        <w:pStyle w:val="6"/>
        <w:rPr>
          <w:color w:val="auto"/>
          <w:highlight w:val="none"/>
        </w:rPr>
      </w:pPr>
    </w:p>
    <w:p w14:paraId="4C67EA5E">
      <w:pPr>
        <w:rPr>
          <w:color w:val="auto"/>
          <w:highlight w:val="none"/>
        </w:rPr>
        <w:sectPr>
          <w:footerReference r:id="rId19" w:type="default"/>
          <w:pgSz w:w="11905" w:h="16839"/>
          <w:pgMar w:top="400" w:right="983" w:bottom="1149" w:left="982" w:header="0" w:footer="913" w:gutter="0"/>
          <w:pgNumType w:fmt="decimal"/>
          <w:cols w:space="720" w:num="1"/>
        </w:sectPr>
      </w:pPr>
    </w:p>
    <w:p w14:paraId="15908EA7">
      <w:pPr>
        <w:spacing w:before="101" w:line="225" w:lineRule="auto"/>
        <w:ind w:left="2683"/>
        <w:rPr>
          <w:rFonts w:ascii="宋体" w:hAnsi="宋体" w:eastAsia="宋体" w:cs="宋体"/>
          <w:b/>
          <w:bCs/>
          <w:color w:val="auto"/>
          <w:spacing w:val="6"/>
          <w:sz w:val="31"/>
          <w:szCs w:val="31"/>
          <w:highlight w:val="none"/>
        </w:rPr>
      </w:pPr>
    </w:p>
    <w:p w14:paraId="26F6BDEB">
      <w:pPr>
        <w:spacing w:before="101" w:line="225" w:lineRule="auto"/>
        <w:ind w:left="2683"/>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第二节</w:t>
      </w:r>
      <w:r>
        <w:rPr>
          <w:rFonts w:ascii="宋体" w:hAnsi="宋体" w:eastAsia="宋体" w:cs="宋体"/>
          <w:color w:val="auto"/>
          <w:spacing w:val="6"/>
          <w:sz w:val="31"/>
          <w:szCs w:val="31"/>
          <w:highlight w:val="none"/>
        </w:rPr>
        <w:t xml:space="preserve"> </w:t>
      </w:r>
      <w:r>
        <w:rPr>
          <w:rFonts w:ascii="宋体" w:hAnsi="宋体" w:eastAsia="宋体" w:cs="宋体"/>
          <w:b/>
          <w:bCs/>
          <w:color w:val="auto"/>
          <w:spacing w:val="6"/>
          <w:sz w:val="31"/>
          <w:szCs w:val="31"/>
          <w:highlight w:val="none"/>
        </w:rPr>
        <w:t>供应商须知正文</w:t>
      </w:r>
    </w:p>
    <w:p w14:paraId="68328DF2">
      <w:pPr>
        <w:pStyle w:val="6"/>
        <w:spacing w:line="309" w:lineRule="auto"/>
        <w:rPr>
          <w:color w:val="auto"/>
          <w:highlight w:val="none"/>
        </w:rPr>
      </w:pPr>
    </w:p>
    <w:p w14:paraId="71AADD66">
      <w:pPr>
        <w:spacing w:before="101" w:line="226" w:lineRule="auto"/>
        <w:ind w:left="4054"/>
        <w:outlineLvl w:val="2"/>
        <w:rPr>
          <w:rFonts w:ascii="宋体" w:hAnsi="宋体" w:eastAsia="宋体" w:cs="宋体"/>
          <w:color w:val="auto"/>
          <w:sz w:val="31"/>
          <w:szCs w:val="31"/>
          <w:highlight w:val="none"/>
        </w:rPr>
      </w:pPr>
      <w:bookmarkStart w:id="5" w:name="_Toc17920"/>
      <w:r>
        <w:rPr>
          <w:rFonts w:ascii="宋体" w:hAnsi="宋体" w:eastAsia="宋体" w:cs="宋体"/>
          <w:b/>
          <w:bCs/>
          <w:color w:val="auto"/>
          <w:spacing w:val="3"/>
          <w:sz w:val="31"/>
          <w:szCs w:val="31"/>
          <w:highlight w:val="none"/>
        </w:rPr>
        <w:t>一、总则</w:t>
      </w:r>
      <w:bookmarkEnd w:id="5"/>
    </w:p>
    <w:p w14:paraId="0AC0B11D">
      <w:pPr>
        <w:spacing w:before="237" w:line="221" w:lineRule="auto"/>
        <w:ind w:left="439"/>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1.适用范围</w:t>
      </w:r>
    </w:p>
    <w:p w14:paraId="16F43C48">
      <w:pPr>
        <w:spacing w:before="223" w:line="401" w:lineRule="auto"/>
        <w:ind w:right="11" w:firstLine="436"/>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1.1</w:t>
      </w:r>
      <w:r>
        <w:rPr>
          <w:rFonts w:ascii="宋体" w:hAnsi="宋体" w:eastAsia="宋体" w:cs="宋体"/>
          <w:color w:val="auto"/>
          <w:spacing w:val="-39"/>
          <w:sz w:val="20"/>
          <w:szCs w:val="20"/>
          <w:highlight w:val="none"/>
        </w:rPr>
        <w:t xml:space="preserve"> </w:t>
      </w:r>
      <w:r>
        <w:rPr>
          <w:rFonts w:ascii="宋体" w:hAnsi="宋体" w:eastAsia="宋体" w:cs="宋体"/>
          <w:color w:val="auto"/>
          <w:spacing w:val="8"/>
          <w:sz w:val="20"/>
          <w:szCs w:val="20"/>
          <w:highlight w:val="none"/>
        </w:rPr>
        <w:t>本项目采购人、采购代理机构、供应商、磋商小组的相关行为均受《中华人</w:t>
      </w:r>
      <w:r>
        <w:rPr>
          <w:rFonts w:ascii="宋体" w:hAnsi="宋体" w:eastAsia="宋体" w:cs="宋体"/>
          <w:color w:val="auto"/>
          <w:spacing w:val="7"/>
          <w:sz w:val="20"/>
          <w:szCs w:val="20"/>
          <w:highlight w:val="none"/>
        </w:rPr>
        <w:t>民共和国政</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府采购法》《中华人民共和国政府采购法实施条例》《政府</w:t>
      </w:r>
      <w:r>
        <w:rPr>
          <w:rFonts w:ascii="宋体" w:hAnsi="宋体" w:eastAsia="宋体" w:cs="宋体"/>
          <w:color w:val="auto"/>
          <w:spacing w:val="7"/>
          <w:sz w:val="20"/>
          <w:szCs w:val="20"/>
          <w:highlight w:val="none"/>
        </w:rPr>
        <w:t>采购竞争性磋商采购方式管理暂行办</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法》《财政部关于政府采购竞争性磋商采购方式管理暂行办法有关</w:t>
      </w:r>
      <w:r>
        <w:rPr>
          <w:rFonts w:ascii="宋体" w:hAnsi="宋体" w:eastAsia="宋体" w:cs="宋体"/>
          <w:color w:val="auto"/>
          <w:spacing w:val="7"/>
          <w:sz w:val="20"/>
          <w:szCs w:val="20"/>
          <w:highlight w:val="none"/>
        </w:rPr>
        <w:t>问题的补充通知》及本项目本</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级和上级财政部门政府采购有关规定的约束和保护。</w:t>
      </w:r>
    </w:p>
    <w:p w14:paraId="776410DF">
      <w:pPr>
        <w:spacing w:before="247" w:line="344" w:lineRule="auto"/>
        <w:ind w:left="5" w:firstLine="43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1.2</w:t>
      </w:r>
      <w:r>
        <w:rPr>
          <w:rFonts w:ascii="宋体" w:hAnsi="宋体" w:eastAsia="宋体" w:cs="宋体"/>
          <w:color w:val="auto"/>
          <w:spacing w:val="-37"/>
          <w:sz w:val="20"/>
          <w:szCs w:val="20"/>
          <w:highlight w:val="none"/>
        </w:rPr>
        <w:t xml:space="preserve"> </w:t>
      </w:r>
      <w:r>
        <w:rPr>
          <w:rFonts w:ascii="宋体" w:hAnsi="宋体" w:eastAsia="宋体" w:cs="宋体"/>
          <w:color w:val="auto"/>
          <w:spacing w:val="-1"/>
          <w:sz w:val="20"/>
          <w:szCs w:val="20"/>
          <w:highlight w:val="none"/>
        </w:rPr>
        <w:t>本竞争性磋商文件（以下简称磋商文件）</w:t>
      </w:r>
      <w:r>
        <w:rPr>
          <w:rFonts w:ascii="宋体" w:hAnsi="宋体" w:eastAsia="宋体" w:cs="宋体"/>
          <w:color w:val="auto"/>
          <w:spacing w:val="-2"/>
          <w:sz w:val="20"/>
          <w:szCs w:val="20"/>
          <w:highlight w:val="none"/>
        </w:rPr>
        <w:t>适用于本项目的所有采购程序和环节（法律、法规</w:t>
      </w:r>
      <w:r>
        <w:rPr>
          <w:rFonts w:ascii="宋体" w:hAnsi="宋体" w:eastAsia="宋体" w:cs="宋体"/>
          <w:color w:val="auto"/>
          <w:sz w:val="20"/>
          <w:szCs w:val="20"/>
          <w:highlight w:val="none"/>
        </w:rPr>
        <w:t xml:space="preserve"> </w:t>
      </w:r>
      <w:r>
        <w:rPr>
          <w:rFonts w:ascii="宋体" w:hAnsi="宋体" w:eastAsia="宋体" w:cs="宋体"/>
          <w:color w:val="auto"/>
          <w:spacing w:val="-3"/>
          <w:sz w:val="20"/>
          <w:szCs w:val="20"/>
          <w:highlight w:val="none"/>
        </w:rPr>
        <w:t>另有规定的，从其规定）。</w:t>
      </w:r>
    </w:p>
    <w:p w14:paraId="205D065E">
      <w:pPr>
        <w:spacing w:before="234" w:line="221" w:lineRule="auto"/>
        <w:ind w:left="424"/>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2.定义</w:t>
      </w:r>
    </w:p>
    <w:p w14:paraId="54A5E625">
      <w:pPr>
        <w:spacing w:before="224" w:line="228" w:lineRule="auto"/>
        <w:ind w:left="42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2.1“采购人</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”是指依法进行政府采购的国家机关、事业单位、团体组织。</w:t>
      </w:r>
    </w:p>
    <w:p w14:paraId="207C87E5">
      <w:pPr>
        <w:spacing w:before="249" w:line="228" w:lineRule="auto"/>
        <w:ind w:left="42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2.2“采购代理机构</w:t>
      </w:r>
      <w:r>
        <w:rPr>
          <w:rFonts w:ascii="宋体" w:hAnsi="宋体" w:eastAsia="宋体" w:cs="宋体"/>
          <w:color w:val="auto"/>
          <w:spacing w:val="-60"/>
          <w:sz w:val="20"/>
          <w:szCs w:val="20"/>
          <w:highlight w:val="none"/>
        </w:rPr>
        <w:t xml:space="preserve"> </w:t>
      </w:r>
      <w:r>
        <w:rPr>
          <w:rFonts w:ascii="宋体" w:hAnsi="宋体" w:eastAsia="宋体" w:cs="宋体"/>
          <w:color w:val="auto"/>
          <w:spacing w:val="8"/>
          <w:sz w:val="20"/>
          <w:szCs w:val="20"/>
          <w:highlight w:val="none"/>
        </w:rPr>
        <w:t>”是指政府采购集中采购机构和集中采购机构以外的采购代理机构。</w:t>
      </w:r>
    </w:p>
    <w:p w14:paraId="757F43D5">
      <w:pPr>
        <w:spacing w:before="250" w:line="228" w:lineRule="auto"/>
        <w:ind w:left="42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2.3“供应商</w:t>
      </w:r>
      <w:r>
        <w:rPr>
          <w:rFonts w:ascii="宋体" w:hAnsi="宋体" w:eastAsia="宋体" w:cs="宋体"/>
          <w:color w:val="auto"/>
          <w:spacing w:val="-61"/>
          <w:sz w:val="20"/>
          <w:szCs w:val="20"/>
          <w:highlight w:val="none"/>
        </w:rPr>
        <w:t xml:space="preserve"> </w:t>
      </w:r>
      <w:r>
        <w:rPr>
          <w:rFonts w:ascii="宋体" w:hAnsi="宋体" w:eastAsia="宋体" w:cs="宋体"/>
          <w:color w:val="auto"/>
          <w:spacing w:val="8"/>
          <w:sz w:val="20"/>
          <w:szCs w:val="20"/>
          <w:highlight w:val="none"/>
        </w:rPr>
        <w:t>”是指向采购人提供货物、工程或者服务的法人、其他组织或者自然人。</w:t>
      </w:r>
    </w:p>
    <w:p w14:paraId="2016C577">
      <w:pPr>
        <w:spacing w:before="250" w:line="228" w:lineRule="auto"/>
        <w:ind w:left="423"/>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2.4“工程</w:t>
      </w:r>
      <w:r>
        <w:rPr>
          <w:rFonts w:ascii="宋体" w:hAnsi="宋体" w:eastAsia="宋体" w:cs="宋体"/>
          <w:color w:val="auto"/>
          <w:spacing w:val="-58"/>
          <w:sz w:val="20"/>
          <w:szCs w:val="20"/>
          <w:highlight w:val="none"/>
        </w:rPr>
        <w:t xml:space="preserve"> </w:t>
      </w:r>
      <w:r>
        <w:rPr>
          <w:rFonts w:ascii="宋体" w:hAnsi="宋体" w:eastAsia="宋体" w:cs="宋体"/>
          <w:color w:val="auto"/>
          <w:spacing w:val="7"/>
          <w:sz w:val="20"/>
          <w:szCs w:val="20"/>
          <w:highlight w:val="none"/>
        </w:rPr>
        <w:t>”是指除货物和服务以外的其他政府采购对象。</w:t>
      </w:r>
    </w:p>
    <w:p w14:paraId="69157419">
      <w:pPr>
        <w:spacing w:before="251" w:line="342" w:lineRule="auto"/>
        <w:ind w:left="1" w:right="49" w:firstLine="421"/>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2.5“竞标</w:t>
      </w:r>
      <w:r>
        <w:rPr>
          <w:rFonts w:ascii="宋体" w:hAnsi="宋体" w:eastAsia="宋体" w:cs="宋体"/>
          <w:color w:val="auto"/>
          <w:spacing w:val="-66"/>
          <w:sz w:val="20"/>
          <w:szCs w:val="20"/>
          <w:highlight w:val="none"/>
        </w:rPr>
        <w:t xml:space="preserve"> </w:t>
      </w:r>
      <w:r>
        <w:rPr>
          <w:rFonts w:ascii="宋体" w:hAnsi="宋体" w:eastAsia="宋体" w:cs="宋体"/>
          <w:color w:val="auto"/>
          <w:spacing w:val="8"/>
          <w:sz w:val="20"/>
          <w:szCs w:val="20"/>
          <w:highlight w:val="none"/>
        </w:rPr>
        <w:t>”是指供应商按照本项目竞争性磋商公告或者邀请函规定的方式获取磋商文件、</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提交响应文件并希望获得标的的行为。</w:t>
      </w:r>
    </w:p>
    <w:p w14:paraId="66EA48BE">
      <w:pPr>
        <w:spacing w:before="250" w:line="343" w:lineRule="auto"/>
        <w:ind w:left="1" w:right="2" w:firstLine="421"/>
        <w:rPr>
          <w:rFonts w:ascii="宋体" w:hAnsi="宋体" w:eastAsia="宋体" w:cs="宋体"/>
          <w:color w:val="auto"/>
          <w:sz w:val="20"/>
          <w:szCs w:val="20"/>
          <w:highlight w:val="none"/>
        </w:rPr>
      </w:pPr>
      <w:r>
        <w:rPr>
          <w:rFonts w:ascii="宋体" w:hAnsi="宋体" w:eastAsia="宋体" w:cs="宋体"/>
          <w:color w:val="auto"/>
          <w:sz w:val="20"/>
          <w:szCs w:val="20"/>
          <w:highlight w:val="none"/>
        </w:rPr>
        <w:t>2.6“响应文件</w:t>
      </w:r>
      <w:r>
        <w:rPr>
          <w:rFonts w:ascii="宋体" w:hAnsi="宋体" w:eastAsia="宋体" w:cs="宋体"/>
          <w:color w:val="auto"/>
          <w:spacing w:val="-72"/>
          <w:sz w:val="20"/>
          <w:szCs w:val="20"/>
          <w:highlight w:val="none"/>
        </w:rPr>
        <w:t xml:space="preserve"> </w:t>
      </w:r>
      <w:r>
        <w:rPr>
          <w:rFonts w:ascii="宋体" w:hAnsi="宋体" w:eastAsia="宋体" w:cs="宋体"/>
          <w:color w:val="auto"/>
          <w:sz w:val="20"/>
          <w:szCs w:val="20"/>
          <w:highlight w:val="none"/>
        </w:rPr>
        <w:t>”是指：供应商根据本磋商文件要求</w:t>
      </w:r>
      <w:r>
        <w:rPr>
          <w:rFonts w:ascii="宋体" w:hAnsi="宋体" w:eastAsia="宋体" w:cs="宋体"/>
          <w:color w:val="auto"/>
          <w:spacing w:val="-1"/>
          <w:sz w:val="20"/>
          <w:szCs w:val="20"/>
          <w:highlight w:val="none"/>
        </w:rPr>
        <w:t>，编制包含资格证明、报价、商务技术等所</w:t>
      </w:r>
      <w:r>
        <w:rPr>
          <w:rFonts w:ascii="宋体" w:hAnsi="宋体" w:eastAsia="宋体" w:cs="宋体"/>
          <w:color w:val="auto"/>
          <w:sz w:val="20"/>
          <w:szCs w:val="20"/>
          <w:highlight w:val="none"/>
        </w:rPr>
        <w:t xml:space="preserve"> </w:t>
      </w:r>
      <w:r>
        <w:rPr>
          <w:rFonts w:ascii="宋体" w:hAnsi="宋体" w:eastAsia="宋体" w:cs="宋体"/>
          <w:color w:val="auto"/>
          <w:spacing w:val="-2"/>
          <w:sz w:val="20"/>
          <w:szCs w:val="20"/>
          <w:highlight w:val="none"/>
        </w:rPr>
        <w:t>有内容的文件。</w:t>
      </w:r>
    </w:p>
    <w:p w14:paraId="2731D754">
      <w:pPr>
        <w:spacing w:before="250" w:line="343" w:lineRule="auto"/>
        <w:ind w:left="2" w:right="14" w:firstLine="42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2.7“实质性要求</w:t>
      </w:r>
      <w:r>
        <w:rPr>
          <w:rFonts w:ascii="宋体" w:hAnsi="宋体" w:eastAsia="宋体" w:cs="宋体"/>
          <w:color w:val="auto"/>
          <w:spacing w:val="-72"/>
          <w:sz w:val="20"/>
          <w:szCs w:val="20"/>
          <w:highlight w:val="none"/>
        </w:rPr>
        <w:t xml:space="preserve"> </w:t>
      </w:r>
      <w:r>
        <w:rPr>
          <w:rFonts w:ascii="宋体" w:hAnsi="宋体" w:eastAsia="宋体" w:cs="宋体"/>
          <w:color w:val="auto"/>
          <w:spacing w:val="9"/>
          <w:sz w:val="20"/>
          <w:szCs w:val="20"/>
          <w:highlight w:val="none"/>
        </w:rPr>
        <w:t>”是指磋商文件中已经指明不满足则响应文件按无效响应处理的条款，或</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者不能负偏离的条款，或者采购需求中带“▲</w:t>
      </w:r>
      <w:r>
        <w:rPr>
          <w:rFonts w:ascii="宋体" w:hAnsi="宋体" w:eastAsia="宋体" w:cs="宋体"/>
          <w:color w:val="auto"/>
          <w:spacing w:val="-71"/>
          <w:sz w:val="20"/>
          <w:szCs w:val="20"/>
          <w:highlight w:val="none"/>
        </w:rPr>
        <w:t xml:space="preserve"> </w:t>
      </w:r>
      <w:r>
        <w:rPr>
          <w:rFonts w:ascii="宋体" w:hAnsi="宋体" w:eastAsia="宋体" w:cs="宋体"/>
          <w:color w:val="auto"/>
          <w:spacing w:val="8"/>
          <w:sz w:val="20"/>
          <w:szCs w:val="20"/>
          <w:highlight w:val="none"/>
        </w:rPr>
        <w:t>”的条款。</w:t>
      </w:r>
    </w:p>
    <w:p w14:paraId="04E11A69">
      <w:pPr>
        <w:spacing w:before="250" w:line="343" w:lineRule="auto"/>
        <w:ind w:left="2" w:right="14" w:firstLine="42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2.8“正偏离</w:t>
      </w:r>
      <w:r>
        <w:rPr>
          <w:rFonts w:ascii="宋体" w:hAnsi="宋体" w:eastAsia="宋体" w:cs="宋体"/>
          <w:color w:val="auto"/>
          <w:spacing w:val="-61"/>
          <w:sz w:val="20"/>
          <w:szCs w:val="20"/>
          <w:highlight w:val="none"/>
        </w:rPr>
        <w:t xml:space="preserve"> </w:t>
      </w:r>
      <w:r>
        <w:rPr>
          <w:rFonts w:ascii="宋体" w:hAnsi="宋体" w:eastAsia="宋体" w:cs="宋体"/>
          <w:color w:val="auto"/>
          <w:spacing w:val="8"/>
          <w:sz w:val="20"/>
          <w:szCs w:val="20"/>
          <w:highlight w:val="none"/>
        </w:rPr>
        <w:t>”，是指响应文件对磋商文件“采购需求</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”中有关条款作出的响应优于条款要</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求并有利于采购人的情形。</w:t>
      </w:r>
    </w:p>
    <w:p w14:paraId="4BBBB689">
      <w:pPr>
        <w:spacing w:before="251" w:line="342" w:lineRule="auto"/>
        <w:ind w:left="1" w:right="14" w:firstLine="421"/>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2.9“负偏离</w:t>
      </w:r>
      <w:r>
        <w:rPr>
          <w:rFonts w:ascii="宋体" w:hAnsi="宋体" w:eastAsia="宋体" w:cs="宋体"/>
          <w:color w:val="auto"/>
          <w:spacing w:val="-61"/>
          <w:sz w:val="20"/>
          <w:szCs w:val="20"/>
          <w:highlight w:val="none"/>
        </w:rPr>
        <w:t xml:space="preserve"> </w:t>
      </w:r>
      <w:r>
        <w:rPr>
          <w:rFonts w:ascii="宋体" w:hAnsi="宋体" w:eastAsia="宋体" w:cs="宋体"/>
          <w:color w:val="auto"/>
          <w:spacing w:val="8"/>
          <w:sz w:val="20"/>
          <w:szCs w:val="20"/>
          <w:highlight w:val="none"/>
        </w:rPr>
        <w:t>”，是指响应文件对磋商文件“采购需求</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”中有关条款作出的响应不满足条款</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要求，导致采购人要求不能得到满足的情形。</w:t>
      </w:r>
    </w:p>
    <w:p w14:paraId="013842A5">
      <w:pPr>
        <w:spacing w:before="249" w:line="228" w:lineRule="auto"/>
        <w:ind w:left="423"/>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2.10“允许负偏离的条款</w:t>
      </w:r>
      <w:r>
        <w:rPr>
          <w:rFonts w:ascii="宋体" w:hAnsi="宋体" w:eastAsia="宋体" w:cs="宋体"/>
          <w:color w:val="auto"/>
          <w:spacing w:val="-65"/>
          <w:sz w:val="20"/>
          <w:szCs w:val="20"/>
          <w:highlight w:val="none"/>
        </w:rPr>
        <w:t xml:space="preserve"> </w:t>
      </w:r>
      <w:r>
        <w:rPr>
          <w:rFonts w:ascii="宋体" w:hAnsi="宋体" w:eastAsia="宋体" w:cs="宋体"/>
          <w:color w:val="auto"/>
          <w:spacing w:val="7"/>
          <w:sz w:val="20"/>
          <w:szCs w:val="20"/>
          <w:highlight w:val="none"/>
        </w:rPr>
        <w:t>”是指采购需求中的不属于“实质性要求</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”的条款。</w:t>
      </w:r>
    </w:p>
    <w:p w14:paraId="53ABC6AD">
      <w:pPr>
        <w:spacing w:before="252" w:line="343" w:lineRule="auto"/>
        <w:ind w:left="25" w:right="11" w:firstLine="398"/>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2.11“书面形式</w:t>
      </w:r>
      <w:r>
        <w:rPr>
          <w:rFonts w:ascii="宋体" w:hAnsi="宋体" w:eastAsia="宋体" w:cs="宋体"/>
          <w:color w:val="auto"/>
          <w:spacing w:val="-53"/>
          <w:sz w:val="20"/>
          <w:szCs w:val="20"/>
          <w:highlight w:val="none"/>
        </w:rPr>
        <w:t xml:space="preserve"> </w:t>
      </w:r>
      <w:r>
        <w:rPr>
          <w:rFonts w:ascii="宋体" w:hAnsi="宋体" w:eastAsia="宋体" w:cs="宋体"/>
          <w:color w:val="auto"/>
          <w:spacing w:val="6"/>
          <w:sz w:val="20"/>
          <w:szCs w:val="20"/>
          <w:highlight w:val="none"/>
        </w:rPr>
        <w:t>”是指合同书、信件和数据电文（包括电报、电传、传真、电子数据交换和</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电子邮件）等可以有形地表现所载内容的形式。</w:t>
      </w:r>
    </w:p>
    <w:p w14:paraId="7BAB8A1C">
      <w:pPr>
        <w:spacing w:before="249" w:line="227" w:lineRule="auto"/>
        <w:ind w:left="423"/>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2.12“首次报价</w:t>
      </w:r>
      <w:r>
        <w:rPr>
          <w:rFonts w:ascii="宋体" w:hAnsi="宋体" w:eastAsia="宋体" w:cs="宋体"/>
          <w:color w:val="auto"/>
          <w:spacing w:val="-57"/>
          <w:sz w:val="20"/>
          <w:szCs w:val="20"/>
          <w:highlight w:val="none"/>
        </w:rPr>
        <w:t xml:space="preserve"> </w:t>
      </w:r>
      <w:r>
        <w:rPr>
          <w:rFonts w:ascii="宋体" w:hAnsi="宋体" w:eastAsia="宋体" w:cs="宋体"/>
          <w:color w:val="auto"/>
          <w:spacing w:val="7"/>
          <w:sz w:val="20"/>
          <w:szCs w:val="20"/>
          <w:highlight w:val="none"/>
        </w:rPr>
        <w:t>”是指供应商提交的首次响应文件中的报价。</w:t>
      </w:r>
    </w:p>
    <w:p w14:paraId="637D9DC5">
      <w:pPr>
        <w:spacing w:line="227" w:lineRule="auto"/>
        <w:rPr>
          <w:rFonts w:ascii="宋体" w:hAnsi="宋体" w:eastAsia="宋体" w:cs="宋体"/>
          <w:color w:val="auto"/>
          <w:sz w:val="20"/>
          <w:szCs w:val="20"/>
          <w:highlight w:val="none"/>
        </w:rPr>
        <w:sectPr>
          <w:footerReference r:id="rId20" w:type="default"/>
          <w:pgSz w:w="11905" w:h="16839"/>
          <w:pgMar w:top="400" w:right="1575" w:bottom="1149" w:left="1593" w:header="0" w:footer="913" w:gutter="0"/>
          <w:pgNumType w:fmt="decimal"/>
          <w:cols w:space="720" w:num="1"/>
        </w:sectPr>
      </w:pPr>
    </w:p>
    <w:p w14:paraId="48C5DEE1">
      <w:pPr>
        <w:pStyle w:val="6"/>
        <w:spacing w:line="269" w:lineRule="auto"/>
        <w:rPr>
          <w:color w:val="auto"/>
          <w:highlight w:val="none"/>
        </w:rPr>
      </w:pPr>
    </w:p>
    <w:p w14:paraId="7DC390CF">
      <w:pPr>
        <w:pStyle w:val="6"/>
        <w:spacing w:line="269" w:lineRule="auto"/>
        <w:rPr>
          <w:color w:val="auto"/>
          <w:highlight w:val="none"/>
        </w:rPr>
      </w:pPr>
    </w:p>
    <w:p w14:paraId="6E1BCA74">
      <w:pPr>
        <w:pStyle w:val="6"/>
        <w:spacing w:line="269" w:lineRule="auto"/>
        <w:rPr>
          <w:color w:val="auto"/>
          <w:highlight w:val="none"/>
        </w:rPr>
      </w:pPr>
    </w:p>
    <w:p w14:paraId="225CBE06">
      <w:pPr>
        <w:spacing w:before="65" w:line="451" w:lineRule="auto"/>
        <w:ind w:left="2" w:firstLine="420"/>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2.13“评审报价</w:t>
      </w:r>
      <w:r>
        <w:rPr>
          <w:rFonts w:ascii="宋体" w:hAnsi="宋体" w:eastAsia="宋体" w:cs="宋体"/>
          <w:color w:val="auto"/>
          <w:spacing w:val="-70"/>
          <w:sz w:val="20"/>
          <w:szCs w:val="20"/>
          <w:highlight w:val="none"/>
        </w:rPr>
        <w:t xml:space="preserve"> </w:t>
      </w:r>
      <w:r>
        <w:rPr>
          <w:rFonts w:ascii="宋体" w:hAnsi="宋体" w:eastAsia="宋体" w:cs="宋体"/>
          <w:color w:val="auto"/>
          <w:spacing w:val="4"/>
          <w:sz w:val="20"/>
          <w:szCs w:val="20"/>
          <w:highlight w:val="none"/>
        </w:rPr>
        <w:t>”是指供应商提交的最后报价并经修</w:t>
      </w:r>
      <w:r>
        <w:rPr>
          <w:rFonts w:ascii="宋体" w:hAnsi="宋体" w:eastAsia="宋体" w:cs="宋体"/>
          <w:color w:val="auto"/>
          <w:spacing w:val="3"/>
          <w:sz w:val="20"/>
          <w:szCs w:val="20"/>
          <w:highlight w:val="none"/>
        </w:rPr>
        <w:t>正（如有）和政策功能价格扣除（如有）</w:t>
      </w:r>
      <w:r>
        <w:rPr>
          <w:rFonts w:ascii="宋体" w:hAnsi="宋体" w:eastAsia="宋体" w:cs="宋体"/>
          <w:color w:val="auto"/>
          <w:sz w:val="20"/>
          <w:szCs w:val="20"/>
          <w:highlight w:val="none"/>
        </w:rPr>
        <w:t xml:space="preserve"> </w:t>
      </w:r>
      <w:r>
        <w:rPr>
          <w:rFonts w:ascii="宋体" w:hAnsi="宋体" w:eastAsia="宋体" w:cs="宋体"/>
          <w:color w:val="auto"/>
          <w:spacing w:val="5"/>
          <w:sz w:val="20"/>
          <w:szCs w:val="20"/>
          <w:highlight w:val="none"/>
        </w:rPr>
        <w:t>后的价格。</w:t>
      </w:r>
    </w:p>
    <w:p w14:paraId="01B6DD74">
      <w:pPr>
        <w:spacing w:line="219" w:lineRule="auto"/>
        <w:ind w:left="42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3.供应商的资格条件</w:t>
      </w:r>
    </w:p>
    <w:p w14:paraId="5A1BA77F">
      <w:pPr>
        <w:spacing w:before="225" w:line="228" w:lineRule="auto"/>
        <w:ind w:left="42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供应商的资格条件详见“供应商须知前附表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9"/>
          <w:sz w:val="20"/>
          <w:szCs w:val="20"/>
          <w:highlight w:val="none"/>
        </w:rPr>
        <w:t>”。</w:t>
      </w:r>
    </w:p>
    <w:p w14:paraId="7DD10F55">
      <w:pPr>
        <w:spacing w:before="235" w:line="221" w:lineRule="auto"/>
        <w:ind w:left="42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4.磋商费用</w:t>
      </w:r>
    </w:p>
    <w:p w14:paraId="7C294698">
      <w:pPr>
        <w:spacing w:before="224" w:line="452" w:lineRule="auto"/>
        <w:ind w:right="87" w:firstLine="42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供应商应承担参与本次采购活动有关的所有</w:t>
      </w:r>
      <w:r>
        <w:rPr>
          <w:rFonts w:ascii="宋体" w:hAnsi="宋体" w:eastAsia="宋体" w:cs="宋体"/>
          <w:color w:val="auto"/>
          <w:spacing w:val="7"/>
          <w:sz w:val="20"/>
          <w:szCs w:val="20"/>
          <w:highlight w:val="none"/>
        </w:rPr>
        <w:t>费用，包括但不限于、勘查现场、编制和提交响</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应文件、参加磋商与应答、签订合同等，不论竞标结果如何，均应自行承担。</w:t>
      </w:r>
    </w:p>
    <w:p w14:paraId="69CB9CEA">
      <w:pPr>
        <w:spacing w:before="1" w:line="220" w:lineRule="auto"/>
        <w:ind w:left="426"/>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5.联合体竞标</w:t>
      </w:r>
    </w:p>
    <w:p w14:paraId="74DF8625">
      <w:pPr>
        <w:spacing w:before="224" w:line="228" w:lineRule="auto"/>
        <w:ind w:left="425"/>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5.1</w:t>
      </w:r>
      <w:r>
        <w:rPr>
          <w:rFonts w:ascii="宋体" w:hAnsi="宋体" w:eastAsia="宋体" w:cs="宋体"/>
          <w:color w:val="auto"/>
          <w:spacing w:val="-29"/>
          <w:sz w:val="20"/>
          <w:szCs w:val="20"/>
          <w:highlight w:val="none"/>
        </w:rPr>
        <w:t xml:space="preserve"> </w:t>
      </w:r>
      <w:r>
        <w:rPr>
          <w:rFonts w:ascii="宋体" w:hAnsi="宋体" w:eastAsia="宋体" w:cs="宋体"/>
          <w:color w:val="auto"/>
          <w:spacing w:val="8"/>
          <w:sz w:val="20"/>
          <w:szCs w:val="20"/>
          <w:highlight w:val="none"/>
        </w:rPr>
        <w:t>本项目是否接受联合体竞标，详见“供应商须知前附表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w:t>
      </w:r>
    </w:p>
    <w:p w14:paraId="34752177">
      <w:pPr>
        <w:spacing w:before="247" w:line="228" w:lineRule="auto"/>
        <w:ind w:left="425"/>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5.2</w:t>
      </w:r>
      <w:r>
        <w:rPr>
          <w:rFonts w:ascii="宋体" w:hAnsi="宋体" w:eastAsia="宋体" w:cs="宋体"/>
          <w:color w:val="auto"/>
          <w:spacing w:val="-24"/>
          <w:sz w:val="20"/>
          <w:szCs w:val="20"/>
          <w:highlight w:val="none"/>
        </w:rPr>
        <w:t xml:space="preserve"> </w:t>
      </w:r>
      <w:r>
        <w:rPr>
          <w:rFonts w:ascii="宋体" w:hAnsi="宋体" w:eastAsia="宋体" w:cs="宋体"/>
          <w:color w:val="auto"/>
          <w:spacing w:val="8"/>
          <w:sz w:val="20"/>
          <w:szCs w:val="20"/>
          <w:highlight w:val="none"/>
        </w:rPr>
        <w:t>如接受联合体竞标，联合体竞标要求详见“供应商须知前附表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w:t>
      </w:r>
    </w:p>
    <w:p w14:paraId="1C29BA23">
      <w:pPr>
        <w:spacing w:before="250" w:line="420" w:lineRule="auto"/>
        <w:ind w:firstLine="422"/>
        <w:rPr>
          <w:rFonts w:ascii="宋体" w:hAnsi="宋体" w:eastAsia="宋体" w:cs="宋体"/>
          <w:color w:val="auto"/>
          <w:spacing w:val="6"/>
          <w:sz w:val="20"/>
          <w:szCs w:val="20"/>
          <w:highlight w:val="none"/>
        </w:rPr>
      </w:pPr>
      <w:r>
        <w:rPr>
          <w:rFonts w:ascii="宋体" w:hAnsi="宋体" w:eastAsia="宋体" w:cs="宋体"/>
          <w:color w:val="auto"/>
          <w:spacing w:val="6"/>
          <w:sz w:val="20"/>
          <w:szCs w:val="20"/>
          <w:highlight w:val="none"/>
        </w:rPr>
        <w:t xml:space="preserve">5.3 </w:t>
      </w:r>
      <w:r>
        <w:rPr>
          <w:rFonts w:hint="eastAsia" w:ascii="宋体" w:hAnsi="宋体" w:eastAsia="宋体" w:cs="宋体"/>
          <w:color w:val="auto"/>
          <w:spacing w:val="6"/>
          <w:sz w:val="20"/>
          <w:szCs w:val="20"/>
          <w:highlight w:val="none"/>
        </w:rPr>
        <w:t>根据《政府采购促进中小企业发展管理办法》（财库[2020]46号）第九条、《广西壮族自治区财政厅关于持续优化政府采购营商环境推动高质量发展的通知》（桂财采〔2024〕55号）规定，接受大中型企业与小微企业组成联合体的采购项目，对于联合协议约定小微企业的合同份额占到合同总金额 30%以上的，采购人、采购代理机构应当对联合体的报价给予4%-6%（工程项目为1%—2%）的扣除，用扣除后的价格参加评审。组成联合体的小微企业与联合体内其他企业、分包企业之间存在直接控股、管理关系的，不享受价格扣除优惠政策。</w:t>
      </w:r>
    </w:p>
    <w:p w14:paraId="766BF076">
      <w:pPr>
        <w:spacing w:before="236" w:line="221" w:lineRule="auto"/>
        <w:ind w:left="423"/>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6.转包与分包</w:t>
      </w:r>
    </w:p>
    <w:p w14:paraId="1C179535">
      <w:pPr>
        <w:spacing w:before="222" w:line="228" w:lineRule="auto"/>
        <w:ind w:left="422"/>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6.1</w:t>
      </w:r>
      <w:r>
        <w:rPr>
          <w:rFonts w:ascii="宋体" w:hAnsi="宋体" w:eastAsia="宋体" w:cs="宋体"/>
          <w:color w:val="auto"/>
          <w:spacing w:val="-39"/>
          <w:sz w:val="20"/>
          <w:szCs w:val="20"/>
          <w:highlight w:val="none"/>
        </w:rPr>
        <w:t xml:space="preserve"> </w:t>
      </w:r>
      <w:r>
        <w:rPr>
          <w:rFonts w:ascii="宋体" w:hAnsi="宋体" w:eastAsia="宋体" w:cs="宋体"/>
          <w:color w:val="auto"/>
          <w:spacing w:val="8"/>
          <w:sz w:val="20"/>
          <w:szCs w:val="20"/>
          <w:highlight w:val="none"/>
        </w:rPr>
        <w:t>本项目是否允许分包详见“供应商须知前附表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”，本项目不允许违法</w:t>
      </w:r>
      <w:r>
        <w:rPr>
          <w:rFonts w:ascii="宋体" w:hAnsi="宋体" w:eastAsia="宋体" w:cs="宋体"/>
          <w:color w:val="auto"/>
          <w:spacing w:val="7"/>
          <w:sz w:val="20"/>
          <w:szCs w:val="20"/>
          <w:highlight w:val="none"/>
        </w:rPr>
        <w:t>分包。</w:t>
      </w:r>
    </w:p>
    <w:p w14:paraId="2A121973">
      <w:pPr>
        <w:spacing w:before="250" w:line="420" w:lineRule="auto"/>
        <w:ind w:firstLine="422"/>
        <w:rPr>
          <w:rFonts w:hint="eastAsia" w:ascii="宋体" w:hAnsi="宋体" w:eastAsia="宋体" w:cs="宋体"/>
          <w:color w:val="auto"/>
          <w:spacing w:val="6"/>
          <w:sz w:val="20"/>
          <w:szCs w:val="20"/>
          <w:highlight w:val="none"/>
        </w:rPr>
      </w:pPr>
      <w:r>
        <w:rPr>
          <w:rFonts w:hint="eastAsia" w:ascii="宋体" w:hAnsi="宋体" w:eastAsia="宋体" w:cs="宋体"/>
          <w:color w:val="auto"/>
          <w:spacing w:val="6"/>
          <w:sz w:val="20"/>
          <w:szCs w:val="20"/>
          <w:highlight w:val="none"/>
        </w:rPr>
        <w:t>6.2 根据《政府采购促进中小企业发展管理办法》（财库[2020]46号）第九条及《广西壮族自治区财政厅关于持续优化政府采购营商环境推动高质量发展的通知》（桂财采〔2024〕55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309BEB3C">
      <w:pPr>
        <w:spacing w:before="236" w:line="220" w:lineRule="auto"/>
        <w:ind w:left="427"/>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7.特别说明</w:t>
      </w:r>
    </w:p>
    <w:p w14:paraId="1E9FE03D">
      <w:pPr>
        <w:spacing w:before="224" w:line="343" w:lineRule="auto"/>
        <w:ind w:left="17" w:right="87" w:firstLine="407"/>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7.1</w:t>
      </w:r>
      <w:r>
        <w:rPr>
          <w:rFonts w:ascii="宋体" w:hAnsi="宋体" w:eastAsia="宋体" w:cs="宋体"/>
          <w:color w:val="auto"/>
          <w:spacing w:val="-34"/>
          <w:sz w:val="20"/>
          <w:szCs w:val="20"/>
          <w:highlight w:val="none"/>
        </w:rPr>
        <w:t xml:space="preserve"> </w:t>
      </w:r>
      <w:r>
        <w:rPr>
          <w:rFonts w:ascii="宋体" w:hAnsi="宋体" w:eastAsia="宋体" w:cs="宋体"/>
          <w:color w:val="auto"/>
          <w:spacing w:val="8"/>
          <w:sz w:val="20"/>
          <w:szCs w:val="20"/>
          <w:highlight w:val="none"/>
        </w:rPr>
        <w:t>如果本磋商文件要求提供供应商或制造商的资格、信誉、荣誉、业绩与企业认证等材料</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的，资格、信誉、荣誉、业绩与企业认证等必须为供应商或者制造商所拥有或自身获得 。</w:t>
      </w:r>
    </w:p>
    <w:p w14:paraId="78F2D87F">
      <w:pPr>
        <w:spacing w:before="250" w:line="343" w:lineRule="auto"/>
        <w:ind w:right="87" w:firstLine="425"/>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7.2</w:t>
      </w:r>
      <w:r>
        <w:rPr>
          <w:rFonts w:ascii="宋体" w:hAnsi="宋体" w:eastAsia="宋体" w:cs="宋体"/>
          <w:color w:val="auto"/>
          <w:spacing w:val="-34"/>
          <w:sz w:val="20"/>
          <w:szCs w:val="20"/>
          <w:highlight w:val="none"/>
        </w:rPr>
        <w:t xml:space="preserve"> </w:t>
      </w:r>
      <w:r>
        <w:rPr>
          <w:rFonts w:ascii="宋体" w:hAnsi="宋体" w:eastAsia="宋体" w:cs="宋体"/>
          <w:color w:val="auto"/>
          <w:spacing w:val="8"/>
          <w:sz w:val="20"/>
          <w:szCs w:val="20"/>
          <w:highlight w:val="none"/>
        </w:rPr>
        <w:t>供应商应仔细阅读磋商文件的所有内容，按照磋商文件的要求提交响应文件，并对所提</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供的全部资料的真实性承担法律责任。</w:t>
      </w:r>
    </w:p>
    <w:p w14:paraId="2B9AE7A2">
      <w:pPr>
        <w:spacing w:line="343" w:lineRule="auto"/>
        <w:rPr>
          <w:rFonts w:ascii="宋体" w:hAnsi="宋体" w:eastAsia="宋体" w:cs="宋体"/>
          <w:color w:val="auto"/>
          <w:sz w:val="20"/>
          <w:szCs w:val="20"/>
          <w:highlight w:val="none"/>
        </w:rPr>
        <w:sectPr>
          <w:footerReference r:id="rId21" w:type="default"/>
          <w:pgSz w:w="11905" w:h="16839"/>
          <w:pgMar w:top="400" w:right="1502" w:bottom="1149" w:left="1593" w:header="0" w:footer="913" w:gutter="0"/>
          <w:pgNumType w:fmt="decimal"/>
          <w:cols w:space="720" w:num="1"/>
        </w:sectPr>
      </w:pPr>
    </w:p>
    <w:p w14:paraId="35024A4D">
      <w:pPr>
        <w:pStyle w:val="6"/>
        <w:spacing w:line="269" w:lineRule="auto"/>
        <w:rPr>
          <w:color w:val="auto"/>
          <w:highlight w:val="none"/>
        </w:rPr>
      </w:pPr>
    </w:p>
    <w:p w14:paraId="151401B9">
      <w:pPr>
        <w:pStyle w:val="6"/>
        <w:spacing w:line="269" w:lineRule="auto"/>
        <w:rPr>
          <w:color w:val="auto"/>
          <w:highlight w:val="none"/>
        </w:rPr>
      </w:pPr>
    </w:p>
    <w:p w14:paraId="750F8562">
      <w:pPr>
        <w:pStyle w:val="6"/>
        <w:spacing w:line="269" w:lineRule="auto"/>
        <w:rPr>
          <w:color w:val="auto"/>
          <w:highlight w:val="none"/>
        </w:rPr>
      </w:pPr>
    </w:p>
    <w:p w14:paraId="5AF3C774">
      <w:pPr>
        <w:spacing w:before="65" w:line="381" w:lineRule="auto"/>
        <w:ind w:right="2" w:firstLine="425"/>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7.3</w:t>
      </w:r>
      <w:r>
        <w:rPr>
          <w:rFonts w:ascii="宋体" w:hAnsi="宋体" w:eastAsia="宋体" w:cs="宋体"/>
          <w:color w:val="auto"/>
          <w:spacing w:val="-34"/>
          <w:sz w:val="20"/>
          <w:szCs w:val="20"/>
          <w:highlight w:val="none"/>
        </w:rPr>
        <w:t xml:space="preserve"> </w:t>
      </w:r>
      <w:r>
        <w:rPr>
          <w:rFonts w:ascii="宋体" w:hAnsi="宋体" w:eastAsia="宋体" w:cs="宋体"/>
          <w:color w:val="auto"/>
          <w:spacing w:val="8"/>
          <w:sz w:val="20"/>
          <w:szCs w:val="20"/>
          <w:highlight w:val="none"/>
        </w:rPr>
        <w:t>供应商在竞标活动中提供任何疑似虚假材料，将报监管部门查处；签订合同后发现的，</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成交供应商须依照《中华人民共和国消费者权益保护法》</w:t>
      </w:r>
      <w:r>
        <w:rPr>
          <w:rFonts w:ascii="宋体" w:hAnsi="宋体" w:eastAsia="宋体" w:cs="宋体"/>
          <w:color w:val="auto"/>
          <w:spacing w:val="7"/>
          <w:sz w:val="20"/>
          <w:szCs w:val="20"/>
          <w:highlight w:val="none"/>
        </w:rPr>
        <w:t>规定赔偿采购人，且民事赔偿并不免除</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违法供应商的行政与刑事责任。</w:t>
      </w:r>
    </w:p>
    <w:p w14:paraId="478BB1E4">
      <w:pPr>
        <w:spacing w:before="249" w:line="228" w:lineRule="auto"/>
        <w:jc w:val="right"/>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7.4</w:t>
      </w:r>
      <w:r>
        <w:rPr>
          <w:rFonts w:ascii="宋体" w:hAnsi="宋体" w:eastAsia="宋体" w:cs="宋体"/>
          <w:color w:val="auto"/>
          <w:spacing w:val="-41"/>
          <w:sz w:val="20"/>
          <w:szCs w:val="20"/>
          <w:highlight w:val="none"/>
        </w:rPr>
        <w:t xml:space="preserve"> </w:t>
      </w:r>
      <w:r>
        <w:rPr>
          <w:rFonts w:ascii="宋体" w:hAnsi="宋体" w:eastAsia="宋体" w:cs="宋体"/>
          <w:color w:val="auto"/>
          <w:spacing w:val="8"/>
          <w:sz w:val="20"/>
          <w:szCs w:val="20"/>
          <w:highlight w:val="none"/>
        </w:rPr>
        <w:t>在政府采购活动中，采购人员及相关人员与供应商有下列利害关系之一</w:t>
      </w:r>
      <w:r>
        <w:rPr>
          <w:rFonts w:ascii="宋体" w:hAnsi="宋体" w:eastAsia="宋体" w:cs="宋体"/>
          <w:color w:val="auto"/>
          <w:spacing w:val="7"/>
          <w:sz w:val="20"/>
          <w:szCs w:val="20"/>
          <w:highlight w:val="none"/>
        </w:rPr>
        <w:t>的，应当回避：</w:t>
      </w:r>
    </w:p>
    <w:p w14:paraId="2319232E">
      <w:pPr>
        <w:spacing w:before="249" w:line="228" w:lineRule="auto"/>
        <w:ind w:left="430"/>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（1）参加采购活动前</w:t>
      </w:r>
      <w:r>
        <w:rPr>
          <w:rFonts w:ascii="宋体" w:hAnsi="宋体" w:eastAsia="宋体" w:cs="宋体"/>
          <w:color w:val="auto"/>
          <w:spacing w:val="-27"/>
          <w:sz w:val="20"/>
          <w:szCs w:val="20"/>
          <w:highlight w:val="none"/>
        </w:rPr>
        <w:t xml:space="preserve"> </w:t>
      </w:r>
      <w:r>
        <w:rPr>
          <w:rFonts w:ascii="宋体" w:hAnsi="宋体" w:eastAsia="宋体" w:cs="宋体"/>
          <w:color w:val="auto"/>
          <w:spacing w:val="7"/>
          <w:sz w:val="20"/>
          <w:szCs w:val="20"/>
          <w:highlight w:val="none"/>
        </w:rPr>
        <w:t>3</w:t>
      </w:r>
      <w:r>
        <w:rPr>
          <w:rFonts w:ascii="宋体" w:hAnsi="宋体" w:eastAsia="宋体" w:cs="宋体"/>
          <w:color w:val="auto"/>
          <w:spacing w:val="-37"/>
          <w:sz w:val="20"/>
          <w:szCs w:val="20"/>
          <w:highlight w:val="none"/>
        </w:rPr>
        <w:t xml:space="preserve"> </w:t>
      </w:r>
      <w:r>
        <w:rPr>
          <w:rFonts w:ascii="宋体" w:hAnsi="宋体" w:eastAsia="宋体" w:cs="宋体"/>
          <w:color w:val="auto"/>
          <w:spacing w:val="7"/>
          <w:sz w:val="20"/>
          <w:szCs w:val="20"/>
          <w:highlight w:val="none"/>
        </w:rPr>
        <w:t>年内与供应商存在劳动关系；</w:t>
      </w:r>
    </w:p>
    <w:p w14:paraId="58DDE559">
      <w:pPr>
        <w:spacing w:before="250" w:line="228" w:lineRule="auto"/>
        <w:ind w:left="430"/>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（2）参加采购活动前</w:t>
      </w:r>
      <w:r>
        <w:rPr>
          <w:rFonts w:ascii="宋体" w:hAnsi="宋体" w:eastAsia="宋体" w:cs="宋体"/>
          <w:color w:val="auto"/>
          <w:spacing w:val="-23"/>
          <w:sz w:val="20"/>
          <w:szCs w:val="20"/>
          <w:highlight w:val="none"/>
        </w:rPr>
        <w:t xml:space="preserve"> </w:t>
      </w:r>
      <w:r>
        <w:rPr>
          <w:rFonts w:ascii="宋体" w:hAnsi="宋体" w:eastAsia="宋体" w:cs="宋体"/>
          <w:color w:val="auto"/>
          <w:spacing w:val="7"/>
          <w:sz w:val="20"/>
          <w:szCs w:val="20"/>
          <w:highlight w:val="none"/>
        </w:rPr>
        <w:t>3</w:t>
      </w:r>
      <w:r>
        <w:rPr>
          <w:rFonts w:ascii="宋体" w:hAnsi="宋体" w:eastAsia="宋体" w:cs="宋体"/>
          <w:color w:val="auto"/>
          <w:spacing w:val="-37"/>
          <w:sz w:val="20"/>
          <w:szCs w:val="20"/>
          <w:highlight w:val="none"/>
        </w:rPr>
        <w:t xml:space="preserve"> </w:t>
      </w:r>
      <w:r>
        <w:rPr>
          <w:rFonts w:ascii="宋体" w:hAnsi="宋体" w:eastAsia="宋体" w:cs="宋体"/>
          <w:color w:val="auto"/>
          <w:spacing w:val="7"/>
          <w:sz w:val="20"/>
          <w:szCs w:val="20"/>
          <w:highlight w:val="none"/>
        </w:rPr>
        <w:t>年内担任供应商的董事、监事；</w:t>
      </w:r>
    </w:p>
    <w:p w14:paraId="651BE049">
      <w:pPr>
        <w:spacing w:before="250" w:line="228" w:lineRule="auto"/>
        <w:ind w:left="43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（3）参加采购活动前</w:t>
      </w:r>
      <w:r>
        <w:rPr>
          <w:rFonts w:ascii="宋体" w:hAnsi="宋体" w:eastAsia="宋体" w:cs="宋体"/>
          <w:color w:val="auto"/>
          <w:spacing w:val="-32"/>
          <w:sz w:val="20"/>
          <w:szCs w:val="20"/>
          <w:highlight w:val="none"/>
        </w:rPr>
        <w:t xml:space="preserve"> </w:t>
      </w:r>
      <w:r>
        <w:rPr>
          <w:rFonts w:ascii="宋体" w:hAnsi="宋体" w:eastAsia="宋体" w:cs="宋体"/>
          <w:color w:val="auto"/>
          <w:spacing w:val="8"/>
          <w:sz w:val="20"/>
          <w:szCs w:val="20"/>
          <w:highlight w:val="none"/>
        </w:rPr>
        <w:t>3</w:t>
      </w:r>
      <w:r>
        <w:rPr>
          <w:rFonts w:ascii="宋体" w:hAnsi="宋体" w:eastAsia="宋体" w:cs="宋体"/>
          <w:color w:val="auto"/>
          <w:spacing w:val="-38"/>
          <w:sz w:val="20"/>
          <w:szCs w:val="20"/>
          <w:highlight w:val="none"/>
        </w:rPr>
        <w:t xml:space="preserve"> </w:t>
      </w:r>
      <w:r>
        <w:rPr>
          <w:rFonts w:ascii="宋体" w:hAnsi="宋体" w:eastAsia="宋体" w:cs="宋体"/>
          <w:color w:val="auto"/>
          <w:spacing w:val="8"/>
          <w:sz w:val="20"/>
          <w:szCs w:val="20"/>
          <w:highlight w:val="none"/>
        </w:rPr>
        <w:t>年内是供应商的控股股东或</w:t>
      </w:r>
      <w:r>
        <w:rPr>
          <w:rFonts w:ascii="宋体" w:hAnsi="宋体" w:eastAsia="宋体" w:cs="宋体"/>
          <w:color w:val="auto"/>
          <w:spacing w:val="7"/>
          <w:sz w:val="20"/>
          <w:szCs w:val="20"/>
          <w:highlight w:val="none"/>
        </w:rPr>
        <w:t>者实际控制人；</w:t>
      </w:r>
    </w:p>
    <w:p w14:paraId="6A2FBA7D">
      <w:pPr>
        <w:spacing w:before="249" w:line="344" w:lineRule="auto"/>
        <w:ind w:left="3" w:right="2" w:firstLine="426"/>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（4）与供应商的法定代表人或者负责人有夫妻、直系血亲、三代</w:t>
      </w:r>
      <w:r>
        <w:rPr>
          <w:rFonts w:ascii="宋体" w:hAnsi="宋体" w:eastAsia="宋体" w:cs="宋体"/>
          <w:color w:val="auto"/>
          <w:spacing w:val="9"/>
          <w:sz w:val="20"/>
          <w:szCs w:val="20"/>
          <w:highlight w:val="none"/>
        </w:rPr>
        <w:t>以内旁系血亲或者近姻亲</w:t>
      </w:r>
      <w:r>
        <w:rPr>
          <w:rFonts w:ascii="宋体" w:hAnsi="宋体" w:eastAsia="宋体" w:cs="宋体"/>
          <w:color w:val="auto"/>
          <w:sz w:val="20"/>
          <w:szCs w:val="20"/>
          <w:highlight w:val="none"/>
        </w:rPr>
        <w:t xml:space="preserve"> </w:t>
      </w:r>
      <w:r>
        <w:rPr>
          <w:rFonts w:ascii="宋体" w:hAnsi="宋体" w:eastAsia="宋体" w:cs="宋体"/>
          <w:color w:val="auto"/>
          <w:spacing w:val="2"/>
          <w:sz w:val="20"/>
          <w:szCs w:val="20"/>
          <w:highlight w:val="none"/>
        </w:rPr>
        <w:t>关系；</w:t>
      </w:r>
    </w:p>
    <w:p w14:paraId="4781612B">
      <w:pPr>
        <w:spacing w:before="246" w:line="228" w:lineRule="auto"/>
        <w:ind w:left="43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（5）与供应商有其他可能影响政府采购活动公平、公</w:t>
      </w:r>
      <w:r>
        <w:rPr>
          <w:rFonts w:ascii="宋体" w:hAnsi="宋体" w:eastAsia="宋体" w:cs="宋体"/>
          <w:color w:val="auto"/>
          <w:spacing w:val="8"/>
          <w:sz w:val="20"/>
          <w:szCs w:val="20"/>
          <w:highlight w:val="none"/>
        </w:rPr>
        <w:t>正进行的关系。</w:t>
      </w:r>
    </w:p>
    <w:p w14:paraId="42A8F0EC">
      <w:pPr>
        <w:spacing w:before="249" w:line="459" w:lineRule="auto"/>
        <w:ind w:firstLine="419"/>
        <w:jc w:val="both"/>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供应商认为采购人员及相关人员与其他供应商有利</w:t>
      </w:r>
      <w:r>
        <w:rPr>
          <w:rFonts w:ascii="宋体" w:hAnsi="宋体" w:eastAsia="宋体" w:cs="宋体"/>
          <w:color w:val="auto"/>
          <w:spacing w:val="7"/>
          <w:sz w:val="20"/>
          <w:szCs w:val="20"/>
          <w:highlight w:val="none"/>
        </w:rPr>
        <w:t>害关系的，可以向采购人或者采购代理机</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构书面提出回避申请，并说明理由。采购人或者采购代</w:t>
      </w:r>
      <w:r>
        <w:rPr>
          <w:rFonts w:ascii="宋体" w:hAnsi="宋体" w:eastAsia="宋体" w:cs="宋体"/>
          <w:color w:val="auto"/>
          <w:spacing w:val="7"/>
          <w:sz w:val="20"/>
          <w:szCs w:val="20"/>
          <w:highlight w:val="none"/>
        </w:rPr>
        <w:t>理机构应当及时询问被申请回避人员，有</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利害关系的被申请回避人员应当回避。</w:t>
      </w:r>
    </w:p>
    <w:p w14:paraId="58389428">
      <w:pPr>
        <w:spacing w:before="1" w:line="227" w:lineRule="auto"/>
        <w:ind w:left="425"/>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7.5</w:t>
      </w:r>
      <w:r>
        <w:rPr>
          <w:rFonts w:ascii="宋体" w:hAnsi="宋体" w:eastAsia="宋体" w:cs="宋体"/>
          <w:color w:val="auto"/>
          <w:spacing w:val="-22"/>
          <w:sz w:val="20"/>
          <w:szCs w:val="20"/>
          <w:highlight w:val="none"/>
        </w:rPr>
        <w:t xml:space="preserve"> </w:t>
      </w:r>
      <w:r>
        <w:rPr>
          <w:rFonts w:ascii="宋体" w:hAnsi="宋体" w:eastAsia="宋体" w:cs="宋体"/>
          <w:color w:val="auto"/>
          <w:spacing w:val="8"/>
          <w:sz w:val="20"/>
          <w:szCs w:val="20"/>
          <w:highlight w:val="none"/>
        </w:rPr>
        <w:t>有下列情形之一的视为供应商相互串通竞标，响应文件将被视为无效：</w:t>
      </w:r>
    </w:p>
    <w:p w14:paraId="7E2444F7">
      <w:pPr>
        <w:spacing w:before="250" w:line="228" w:lineRule="auto"/>
        <w:ind w:left="43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（1）不同供应商的响应文件由同一单位或者个人编制；</w:t>
      </w:r>
    </w:p>
    <w:p w14:paraId="52F68672">
      <w:pPr>
        <w:spacing w:before="249" w:line="228" w:lineRule="auto"/>
        <w:ind w:left="43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（2）不同供应商委托同一单位或者个人办理竞标事宜；</w:t>
      </w:r>
    </w:p>
    <w:p w14:paraId="129DC1EC">
      <w:pPr>
        <w:spacing w:before="250" w:line="228" w:lineRule="auto"/>
        <w:ind w:left="43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（3）不同的供应商的响应文件载明的项目</w:t>
      </w:r>
      <w:r>
        <w:rPr>
          <w:rFonts w:ascii="宋体" w:hAnsi="宋体" w:eastAsia="宋体" w:cs="宋体"/>
          <w:color w:val="auto"/>
          <w:spacing w:val="8"/>
          <w:sz w:val="20"/>
          <w:szCs w:val="20"/>
          <w:highlight w:val="none"/>
        </w:rPr>
        <w:t>管理员为同一个人；</w:t>
      </w:r>
    </w:p>
    <w:p w14:paraId="0BC58FBB">
      <w:pPr>
        <w:spacing w:before="248" w:line="227" w:lineRule="auto"/>
        <w:ind w:left="43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（4）不同供应商的响应文件异常一致或者</w:t>
      </w:r>
      <w:r>
        <w:rPr>
          <w:rFonts w:ascii="宋体" w:hAnsi="宋体" w:eastAsia="宋体" w:cs="宋体"/>
          <w:color w:val="auto"/>
          <w:spacing w:val="8"/>
          <w:sz w:val="20"/>
          <w:szCs w:val="20"/>
          <w:highlight w:val="none"/>
        </w:rPr>
        <w:t>报价呈规律性差异；</w:t>
      </w:r>
    </w:p>
    <w:p w14:paraId="65EE4176">
      <w:pPr>
        <w:spacing w:before="250" w:line="228" w:lineRule="auto"/>
        <w:ind w:left="43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（5）不同供应商的响应文件相互混装；</w:t>
      </w:r>
    </w:p>
    <w:p w14:paraId="55703510">
      <w:pPr>
        <w:spacing w:before="250" w:line="228" w:lineRule="auto"/>
        <w:ind w:left="43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（6）不同供应商的磋商保证金从同一单位</w:t>
      </w:r>
      <w:r>
        <w:rPr>
          <w:rFonts w:ascii="宋体" w:hAnsi="宋体" w:eastAsia="宋体" w:cs="宋体"/>
          <w:color w:val="auto"/>
          <w:spacing w:val="8"/>
          <w:sz w:val="20"/>
          <w:szCs w:val="20"/>
          <w:highlight w:val="none"/>
        </w:rPr>
        <w:t>或者个人账户转出。</w:t>
      </w:r>
    </w:p>
    <w:p w14:paraId="68CDFB06">
      <w:pPr>
        <w:spacing w:before="250" w:line="228" w:lineRule="auto"/>
        <w:ind w:left="425"/>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7.6</w:t>
      </w:r>
      <w:r>
        <w:rPr>
          <w:rFonts w:ascii="宋体" w:hAnsi="宋体" w:eastAsia="宋体" w:cs="宋体"/>
          <w:color w:val="auto"/>
          <w:spacing w:val="-41"/>
          <w:sz w:val="20"/>
          <w:szCs w:val="20"/>
          <w:highlight w:val="none"/>
        </w:rPr>
        <w:t xml:space="preserve"> </w:t>
      </w:r>
      <w:r>
        <w:rPr>
          <w:rFonts w:ascii="宋体" w:hAnsi="宋体" w:eastAsia="宋体" w:cs="宋体"/>
          <w:color w:val="auto"/>
          <w:spacing w:val="9"/>
          <w:sz w:val="20"/>
          <w:szCs w:val="20"/>
          <w:highlight w:val="none"/>
        </w:rPr>
        <w:t>供应商有下列情形之一的，属于恶意串通行</w:t>
      </w:r>
      <w:r>
        <w:rPr>
          <w:rFonts w:ascii="宋体" w:hAnsi="宋体" w:eastAsia="宋体" w:cs="宋体"/>
          <w:color w:val="auto"/>
          <w:spacing w:val="8"/>
          <w:sz w:val="20"/>
          <w:szCs w:val="20"/>
          <w:highlight w:val="none"/>
        </w:rPr>
        <w:t>为，将报同级监督管理部门：</w:t>
      </w:r>
    </w:p>
    <w:p w14:paraId="14D056B6">
      <w:pPr>
        <w:spacing w:before="251" w:line="343" w:lineRule="auto"/>
        <w:ind w:right="2" w:firstLine="429"/>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（1）供应商直接或者间接从采购人或者采购代理机构处获得其他</w:t>
      </w:r>
      <w:r>
        <w:rPr>
          <w:rFonts w:ascii="宋体" w:hAnsi="宋体" w:eastAsia="宋体" w:cs="宋体"/>
          <w:color w:val="auto"/>
          <w:spacing w:val="9"/>
          <w:sz w:val="20"/>
          <w:szCs w:val="20"/>
          <w:highlight w:val="none"/>
        </w:rPr>
        <w:t>供应商的相关信息并修改</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其响应文件；</w:t>
      </w:r>
    </w:p>
    <w:p w14:paraId="0A47CC1D">
      <w:pPr>
        <w:spacing w:before="249" w:line="228" w:lineRule="auto"/>
        <w:ind w:left="43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（2）供应商按照采购人或者采购代理机构的授意撤换、修改</w:t>
      </w:r>
      <w:r>
        <w:rPr>
          <w:rFonts w:ascii="宋体" w:hAnsi="宋体" w:eastAsia="宋体" w:cs="宋体"/>
          <w:color w:val="auto"/>
          <w:spacing w:val="8"/>
          <w:sz w:val="20"/>
          <w:szCs w:val="20"/>
          <w:highlight w:val="none"/>
        </w:rPr>
        <w:t>响应文件；</w:t>
      </w:r>
    </w:p>
    <w:p w14:paraId="38A7A633">
      <w:pPr>
        <w:spacing w:before="250" w:line="227" w:lineRule="auto"/>
        <w:ind w:left="43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（3）供应商之间协商报价、技术方案等响应文件或者响应文件的实质性</w:t>
      </w:r>
      <w:r>
        <w:rPr>
          <w:rFonts w:ascii="宋体" w:hAnsi="宋体" w:eastAsia="宋体" w:cs="宋体"/>
          <w:color w:val="auto"/>
          <w:spacing w:val="8"/>
          <w:sz w:val="20"/>
          <w:szCs w:val="20"/>
          <w:highlight w:val="none"/>
        </w:rPr>
        <w:t>内容；</w:t>
      </w:r>
    </w:p>
    <w:p w14:paraId="0E1C5D9E">
      <w:pPr>
        <w:spacing w:before="249" w:line="344" w:lineRule="auto"/>
        <w:ind w:right="2" w:firstLine="429"/>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（4）属于同一集团、协会、商会等组织成员的供应商按照该组织</w:t>
      </w:r>
      <w:r>
        <w:rPr>
          <w:rFonts w:ascii="宋体" w:hAnsi="宋体" w:eastAsia="宋体" w:cs="宋体"/>
          <w:color w:val="auto"/>
          <w:spacing w:val="9"/>
          <w:sz w:val="20"/>
          <w:szCs w:val="20"/>
          <w:highlight w:val="none"/>
        </w:rPr>
        <w:t>要求协同参加政府采购活</w:t>
      </w:r>
      <w:r>
        <w:rPr>
          <w:rFonts w:ascii="宋体" w:hAnsi="宋体" w:eastAsia="宋体" w:cs="宋体"/>
          <w:color w:val="auto"/>
          <w:sz w:val="20"/>
          <w:szCs w:val="20"/>
          <w:highlight w:val="none"/>
        </w:rPr>
        <w:t xml:space="preserve"> 动；</w:t>
      </w:r>
    </w:p>
    <w:p w14:paraId="08C3F89D">
      <w:pPr>
        <w:spacing w:before="248" w:line="343" w:lineRule="auto"/>
        <w:ind w:left="5" w:right="2" w:firstLine="424"/>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（5）供应商之间事先约定一致抬高或者压低报价，或者在政府采</w:t>
      </w:r>
      <w:r>
        <w:rPr>
          <w:rFonts w:ascii="宋体" w:hAnsi="宋体" w:eastAsia="宋体" w:cs="宋体"/>
          <w:color w:val="auto"/>
          <w:spacing w:val="9"/>
          <w:sz w:val="20"/>
          <w:szCs w:val="20"/>
          <w:highlight w:val="none"/>
        </w:rPr>
        <w:t>购活动中事先约定轮流以</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高价位或者低价位成交，或者事先约定由某一特定供应商成交，然后再参加竞标；</w:t>
      </w:r>
    </w:p>
    <w:p w14:paraId="5D68875E">
      <w:pPr>
        <w:spacing w:line="343" w:lineRule="auto"/>
        <w:rPr>
          <w:rFonts w:ascii="宋体" w:hAnsi="宋体" w:eastAsia="宋体" w:cs="宋体"/>
          <w:color w:val="auto"/>
          <w:sz w:val="20"/>
          <w:szCs w:val="20"/>
          <w:highlight w:val="none"/>
        </w:rPr>
        <w:sectPr>
          <w:footerReference r:id="rId22" w:type="default"/>
          <w:pgSz w:w="11905" w:h="16839"/>
          <w:pgMar w:top="400" w:right="1587" w:bottom="1149" w:left="1594" w:header="0" w:footer="913" w:gutter="0"/>
          <w:pgNumType w:fmt="decimal"/>
          <w:cols w:space="720" w:num="1"/>
        </w:sectPr>
      </w:pPr>
    </w:p>
    <w:p w14:paraId="5BB6B474">
      <w:pPr>
        <w:pStyle w:val="6"/>
        <w:spacing w:line="269" w:lineRule="auto"/>
        <w:rPr>
          <w:color w:val="auto"/>
          <w:highlight w:val="none"/>
        </w:rPr>
      </w:pPr>
    </w:p>
    <w:p w14:paraId="4C8EE976">
      <w:pPr>
        <w:pStyle w:val="6"/>
        <w:spacing w:line="269" w:lineRule="auto"/>
        <w:rPr>
          <w:color w:val="auto"/>
          <w:highlight w:val="none"/>
        </w:rPr>
      </w:pPr>
    </w:p>
    <w:p w14:paraId="703FFD40">
      <w:pPr>
        <w:pStyle w:val="6"/>
        <w:spacing w:line="269" w:lineRule="auto"/>
        <w:rPr>
          <w:color w:val="auto"/>
          <w:highlight w:val="none"/>
        </w:rPr>
      </w:pPr>
    </w:p>
    <w:p w14:paraId="0D2D4CE8">
      <w:pPr>
        <w:spacing w:before="65" w:line="228" w:lineRule="auto"/>
        <w:ind w:left="43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（6）供应商之间商定部分供应商放弃参加政府采购活动或者</w:t>
      </w:r>
      <w:r>
        <w:rPr>
          <w:rFonts w:ascii="宋体" w:hAnsi="宋体" w:eastAsia="宋体" w:cs="宋体"/>
          <w:color w:val="auto"/>
          <w:spacing w:val="8"/>
          <w:sz w:val="20"/>
          <w:szCs w:val="20"/>
          <w:highlight w:val="none"/>
        </w:rPr>
        <w:t>放弃成交；</w:t>
      </w:r>
    </w:p>
    <w:p w14:paraId="0B044D27">
      <w:pPr>
        <w:spacing w:before="248" w:line="343" w:lineRule="auto"/>
        <w:ind w:left="2" w:right="2" w:firstLine="428"/>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（7）供应商与采购人或者采购代理机构之间、供应商相互之间，</w:t>
      </w:r>
      <w:r>
        <w:rPr>
          <w:rFonts w:ascii="宋体" w:hAnsi="宋体" w:eastAsia="宋体" w:cs="宋体"/>
          <w:color w:val="auto"/>
          <w:spacing w:val="9"/>
          <w:sz w:val="20"/>
          <w:szCs w:val="20"/>
          <w:highlight w:val="none"/>
        </w:rPr>
        <w:t>为谋求特定供应商成交或</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者排斥其他供应商的其他串通行为。</w:t>
      </w:r>
    </w:p>
    <w:p w14:paraId="40045E74">
      <w:pPr>
        <w:spacing w:before="281" w:line="225" w:lineRule="auto"/>
        <w:ind w:left="3732"/>
        <w:outlineLvl w:val="2"/>
        <w:rPr>
          <w:rFonts w:ascii="宋体" w:hAnsi="宋体" w:eastAsia="宋体" w:cs="宋体"/>
          <w:color w:val="auto"/>
          <w:sz w:val="31"/>
          <w:szCs w:val="31"/>
          <w:highlight w:val="none"/>
        </w:rPr>
      </w:pPr>
      <w:bookmarkStart w:id="6" w:name="_Toc16834"/>
      <w:r>
        <w:rPr>
          <w:rFonts w:ascii="宋体" w:hAnsi="宋体" w:eastAsia="宋体" w:cs="宋体"/>
          <w:b/>
          <w:bCs/>
          <w:color w:val="auto"/>
          <w:spacing w:val="4"/>
          <w:sz w:val="31"/>
          <w:szCs w:val="31"/>
          <w:highlight w:val="none"/>
        </w:rPr>
        <w:t>二、磋商文件</w:t>
      </w:r>
      <w:bookmarkEnd w:id="6"/>
    </w:p>
    <w:p w14:paraId="4A7F4FA6">
      <w:pPr>
        <w:spacing w:before="238" w:line="220" w:lineRule="auto"/>
        <w:ind w:left="423"/>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8.磋商文件的构成</w:t>
      </w:r>
    </w:p>
    <w:p w14:paraId="485B2919">
      <w:pPr>
        <w:spacing w:before="225" w:line="227" w:lineRule="auto"/>
        <w:ind w:left="420"/>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第一章 竞争性磋商公告；</w:t>
      </w:r>
    </w:p>
    <w:p w14:paraId="05AF7D29">
      <w:pPr>
        <w:spacing w:before="251" w:line="228" w:lineRule="auto"/>
        <w:ind w:left="420"/>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第二章 采购需求；</w:t>
      </w:r>
    </w:p>
    <w:p w14:paraId="09A264E4">
      <w:pPr>
        <w:spacing w:before="249" w:line="228" w:lineRule="auto"/>
        <w:ind w:left="420"/>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第三章 供应商须知；</w:t>
      </w:r>
    </w:p>
    <w:p w14:paraId="440BC791">
      <w:pPr>
        <w:spacing w:before="248" w:line="228" w:lineRule="auto"/>
        <w:ind w:left="42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第四章 评审程序、评审方法和评审标准；</w:t>
      </w:r>
    </w:p>
    <w:p w14:paraId="264D9124">
      <w:pPr>
        <w:spacing w:before="250" w:line="228" w:lineRule="auto"/>
        <w:ind w:left="420"/>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第五章</w:t>
      </w:r>
      <w:r>
        <w:rPr>
          <w:rFonts w:ascii="宋体" w:hAnsi="宋体" w:eastAsia="宋体" w:cs="宋体"/>
          <w:color w:val="auto"/>
          <w:spacing w:val="33"/>
          <w:sz w:val="20"/>
          <w:szCs w:val="20"/>
          <w:highlight w:val="none"/>
        </w:rPr>
        <w:t xml:space="preserve"> </w:t>
      </w:r>
      <w:r>
        <w:rPr>
          <w:rFonts w:ascii="宋体" w:hAnsi="宋体" w:eastAsia="宋体" w:cs="宋体"/>
          <w:color w:val="auto"/>
          <w:spacing w:val="5"/>
          <w:sz w:val="20"/>
          <w:szCs w:val="20"/>
          <w:highlight w:val="none"/>
        </w:rPr>
        <w:t>响应文件格式；</w:t>
      </w:r>
    </w:p>
    <w:p w14:paraId="40FE9442">
      <w:pPr>
        <w:spacing w:before="249" w:line="228" w:lineRule="auto"/>
        <w:ind w:left="420"/>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第六章 合同文本；</w:t>
      </w:r>
    </w:p>
    <w:p w14:paraId="78420D97">
      <w:pPr>
        <w:spacing w:before="250" w:line="228" w:lineRule="auto"/>
        <w:ind w:left="42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第七章 质疑、投诉材料格式。</w:t>
      </w:r>
    </w:p>
    <w:p w14:paraId="6AC4B852">
      <w:pPr>
        <w:spacing w:before="236" w:line="219" w:lineRule="auto"/>
        <w:ind w:left="423"/>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9.供应商的询问</w:t>
      </w:r>
    </w:p>
    <w:p w14:paraId="43F64C2D">
      <w:pPr>
        <w:spacing w:before="228" w:line="453" w:lineRule="auto"/>
        <w:ind w:right="2" w:firstLine="420"/>
        <w:jc w:val="both"/>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供应商应认真阅读磋商文件的采购需求，如</w:t>
      </w:r>
      <w:r>
        <w:rPr>
          <w:rFonts w:ascii="宋体" w:hAnsi="宋体" w:eastAsia="宋体" w:cs="宋体"/>
          <w:color w:val="auto"/>
          <w:spacing w:val="7"/>
          <w:sz w:val="20"/>
          <w:szCs w:val="20"/>
          <w:highlight w:val="none"/>
        </w:rPr>
        <w:t>供应商对磋商文件有疑问的，如要求采购人作出</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澄清或者修改的，供应商尽应在提交首次响应文件截止之日</w:t>
      </w:r>
      <w:r>
        <w:rPr>
          <w:rFonts w:ascii="宋体" w:hAnsi="宋体" w:eastAsia="宋体" w:cs="宋体"/>
          <w:color w:val="auto"/>
          <w:spacing w:val="7"/>
          <w:sz w:val="20"/>
          <w:szCs w:val="20"/>
          <w:highlight w:val="none"/>
        </w:rPr>
        <w:t>前，以书面形式向采购人、采购代理</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机构提出。</w:t>
      </w:r>
    </w:p>
    <w:p w14:paraId="1355BE08">
      <w:pPr>
        <w:spacing w:line="220" w:lineRule="auto"/>
        <w:ind w:left="439"/>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10.磋商文件的澄清和修改</w:t>
      </w:r>
    </w:p>
    <w:p w14:paraId="34CC5171">
      <w:pPr>
        <w:spacing w:before="225" w:line="343" w:lineRule="auto"/>
        <w:ind w:left="5" w:firstLine="431"/>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10.1</w:t>
      </w:r>
      <w:r>
        <w:rPr>
          <w:rFonts w:ascii="宋体" w:hAnsi="宋体" w:eastAsia="宋体" w:cs="宋体"/>
          <w:color w:val="auto"/>
          <w:spacing w:val="-15"/>
          <w:sz w:val="20"/>
          <w:szCs w:val="20"/>
          <w:highlight w:val="none"/>
        </w:rPr>
        <w:t xml:space="preserve"> </w:t>
      </w:r>
      <w:r>
        <w:rPr>
          <w:rFonts w:ascii="宋体" w:hAnsi="宋体" w:eastAsia="宋体" w:cs="宋体"/>
          <w:color w:val="auto"/>
          <w:spacing w:val="10"/>
          <w:sz w:val="20"/>
          <w:szCs w:val="20"/>
          <w:highlight w:val="none"/>
        </w:rPr>
        <w:t>已获取磋商文件的潜在供应商，若有问题需要澄清，应于应标截</w:t>
      </w:r>
      <w:r>
        <w:rPr>
          <w:rFonts w:ascii="宋体" w:hAnsi="宋体" w:eastAsia="宋体" w:cs="宋体"/>
          <w:color w:val="auto"/>
          <w:spacing w:val="9"/>
          <w:sz w:val="20"/>
          <w:szCs w:val="20"/>
          <w:highlight w:val="none"/>
        </w:rPr>
        <w:t>止时间前，以书面形</w:t>
      </w:r>
      <w:r>
        <w:rPr>
          <w:rFonts w:ascii="宋体" w:hAnsi="宋体" w:eastAsia="宋体" w:cs="宋体"/>
          <w:color w:val="auto"/>
          <w:sz w:val="20"/>
          <w:szCs w:val="20"/>
          <w:highlight w:val="none"/>
        </w:rPr>
        <w:t xml:space="preserve"> </w:t>
      </w:r>
      <w:r>
        <w:rPr>
          <w:rFonts w:ascii="宋体" w:hAnsi="宋体" w:eastAsia="宋体" w:cs="宋体"/>
          <w:color w:val="auto"/>
          <w:spacing w:val="13"/>
          <w:sz w:val="20"/>
          <w:szCs w:val="20"/>
          <w:highlight w:val="none"/>
        </w:rPr>
        <w:t>式向采购代理机构提出，采购代理机构与采购人研究后，对</w:t>
      </w:r>
      <w:r>
        <w:rPr>
          <w:rFonts w:ascii="宋体" w:hAnsi="宋体" w:eastAsia="宋体" w:cs="宋体"/>
          <w:color w:val="auto"/>
          <w:spacing w:val="12"/>
          <w:sz w:val="20"/>
          <w:szCs w:val="20"/>
          <w:highlight w:val="none"/>
        </w:rPr>
        <w:t>认为有必要回答的问题，按照本章</w:t>
      </w:r>
    </w:p>
    <w:p w14:paraId="39C6DBEF">
      <w:pPr>
        <w:spacing w:before="251" w:line="228" w:lineRule="auto"/>
        <w:ind w:left="16"/>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10.3</w:t>
      </w:r>
      <w:r>
        <w:rPr>
          <w:rFonts w:ascii="宋体" w:hAnsi="宋体" w:eastAsia="宋体" w:cs="宋体"/>
          <w:color w:val="auto"/>
          <w:spacing w:val="-23"/>
          <w:sz w:val="20"/>
          <w:szCs w:val="20"/>
          <w:highlight w:val="none"/>
        </w:rPr>
        <w:t xml:space="preserve"> </w:t>
      </w:r>
      <w:r>
        <w:rPr>
          <w:rFonts w:ascii="宋体" w:hAnsi="宋体" w:eastAsia="宋体" w:cs="宋体"/>
          <w:color w:val="auto"/>
          <w:spacing w:val="2"/>
          <w:sz w:val="20"/>
          <w:szCs w:val="20"/>
          <w:highlight w:val="none"/>
        </w:rPr>
        <w:t>的内容处理。</w:t>
      </w:r>
    </w:p>
    <w:p w14:paraId="625E788E">
      <w:pPr>
        <w:spacing w:before="249" w:line="382" w:lineRule="auto"/>
        <w:ind w:left="8" w:right="2" w:firstLine="428"/>
        <w:rPr>
          <w:rFonts w:ascii="宋体" w:hAnsi="宋体" w:eastAsia="宋体" w:cs="宋体"/>
          <w:color w:val="auto"/>
          <w:sz w:val="20"/>
          <w:szCs w:val="20"/>
          <w:highlight w:val="none"/>
        </w:rPr>
      </w:pPr>
      <w:r>
        <w:rPr>
          <w:rFonts w:ascii="宋体" w:hAnsi="宋体" w:eastAsia="宋体" w:cs="宋体"/>
          <w:b/>
          <w:bCs/>
          <w:color w:val="auto"/>
          <w:spacing w:val="8"/>
          <w:sz w:val="20"/>
          <w:szCs w:val="20"/>
          <w:highlight w:val="none"/>
        </w:rPr>
        <w:t>10.2</w:t>
      </w:r>
      <w:r>
        <w:rPr>
          <w:rFonts w:ascii="宋体" w:hAnsi="宋体" w:eastAsia="宋体" w:cs="宋体"/>
          <w:color w:val="auto"/>
          <w:spacing w:val="-31"/>
          <w:sz w:val="20"/>
          <w:szCs w:val="20"/>
          <w:highlight w:val="none"/>
        </w:rPr>
        <w:t xml:space="preserve"> </w:t>
      </w:r>
      <w:r>
        <w:rPr>
          <w:rFonts w:ascii="宋体" w:hAnsi="宋体" w:eastAsia="宋体" w:cs="宋体"/>
          <w:b/>
          <w:bCs/>
          <w:color w:val="auto"/>
          <w:spacing w:val="8"/>
          <w:sz w:val="20"/>
          <w:szCs w:val="20"/>
          <w:highlight w:val="none"/>
        </w:rPr>
        <w:t>采购人或者采购代理机构可以对已发出的磋商文件进行必要的澄清或者修改，但不得</w:t>
      </w:r>
      <w:r>
        <w:rPr>
          <w:rFonts w:ascii="宋体" w:hAnsi="宋体" w:eastAsia="宋体" w:cs="宋体"/>
          <w:color w:val="auto"/>
          <w:sz w:val="20"/>
          <w:szCs w:val="20"/>
          <w:highlight w:val="none"/>
        </w:rPr>
        <w:t xml:space="preserve"> </w:t>
      </w:r>
      <w:r>
        <w:rPr>
          <w:rFonts w:ascii="宋体" w:hAnsi="宋体" w:eastAsia="宋体" w:cs="宋体"/>
          <w:b/>
          <w:bCs/>
          <w:color w:val="auto"/>
          <w:spacing w:val="10"/>
          <w:sz w:val="20"/>
          <w:szCs w:val="20"/>
          <w:highlight w:val="none"/>
        </w:rPr>
        <w:t>改变采购标的和资格条件。澄清或者修改应当在原公告发布媒体上发布澄清公告。澄清或者修</w:t>
      </w:r>
      <w:r>
        <w:rPr>
          <w:rFonts w:ascii="宋体" w:hAnsi="宋体" w:eastAsia="宋体" w:cs="宋体"/>
          <w:color w:val="auto"/>
          <w:spacing w:val="16"/>
          <w:sz w:val="20"/>
          <w:szCs w:val="20"/>
          <w:highlight w:val="none"/>
        </w:rPr>
        <w:t xml:space="preserve"> </w:t>
      </w:r>
      <w:r>
        <w:rPr>
          <w:rFonts w:ascii="宋体" w:hAnsi="宋体" w:eastAsia="宋体" w:cs="宋体"/>
          <w:b/>
          <w:bCs/>
          <w:color w:val="auto"/>
          <w:spacing w:val="6"/>
          <w:sz w:val="20"/>
          <w:szCs w:val="20"/>
          <w:highlight w:val="none"/>
        </w:rPr>
        <w:t>改的内容为磋商文件的组成部分。</w:t>
      </w:r>
    </w:p>
    <w:p w14:paraId="71B48447">
      <w:pPr>
        <w:spacing w:before="249" w:line="412" w:lineRule="auto"/>
        <w:ind w:firstLine="436"/>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10.3</w:t>
      </w:r>
      <w:r>
        <w:rPr>
          <w:rFonts w:ascii="宋体" w:hAnsi="宋体" w:eastAsia="宋体" w:cs="宋体"/>
          <w:color w:val="auto"/>
          <w:spacing w:val="-24"/>
          <w:sz w:val="20"/>
          <w:szCs w:val="20"/>
          <w:highlight w:val="none"/>
        </w:rPr>
        <w:t xml:space="preserve"> </w:t>
      </w:r>
      <w:r>
        <w:rPr>
          <w:rFonts w:ascii="宋体" w:hAnsi="宋体" w:eastAsia="宋体" w:cs="宋体"/>
          <w:color w:val="auto"/>
          <w:spacing w:val="10"/>
          <w:sz w:val="20"/>
          <w:szCs w:val="20"/>
          <w:highlight w:val="none"/>
        </w:rPr>
        <w:t>提交首次响应文件截止之日前，采购人、采购代理机构或者磋商小组可以对已发出的</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磋商文件进行必要的澄清或者修改，澄清或者修改的内容作为磋商</w:t>
      </w:r>
      <w:r>
        <w:rPr>
          <w:rFonts w:ascii="宋体" w:hAnsi="宋体" w:eastAsia="宋体" w:cs="宋体"/>
          <w:color w:val="auto"/>
          <w:spacing w:val="7"/>
          <w:sz w:val="20"/>
          <w:szCs w:val="20"/>
          <w:highlight w:val="none"/>
        </w:rPr>
        <w:t>文件的组成部分。澄清或者修</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改的内容可能影响响应文件编制的，采购人、采购代理机构</w:t>
      </w:r>
      <w:r>
        <w:rPr>
          <w:rFonts w:ascii="宋体" w:hAnsi="宋体" w:eastAsia="宋体" w:cs="宋体"/>
          <w:color w:val="auto"/>
          <w:spacing w:val="7"/>
          <w:sz w:val="20"/>
          <w:szCs w:val="20"/>
          <w:highlight w:val="none"/>
        </w:rPr>
        <w:t>或者磋商小组在提交首次响应文件截</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止之日</w:t>
      </w:r>
      <w:r>
        <w:rPr>
          <w:rFonts w:ascii="宋体" w:hAnsi="宋体" w:eastAsia="宋体" w:cs="宋体"/>
          <w:color w:val="auto"/>
          <w:spacing w:val="-35"/>
          <w:sz w:val="20"/>
          <w:szCs w:val="20"/>
          <w:highlight w:val="none"/>
        </w:rPr>
        <w:t xml:space="preserve"> </w:t>
      </w:r>
      <w:r>
        <w:rPr>
          <w:rFonts w:ascii="宋体" w:hAnsi="宋体" w:eastAsia="宋体" w:cs="宋体"/>
          <w:color w:val="auto"/>
          <w:spacing w:val="6"/>
          <w:sz w:val="20"/>
          <w:szCs w:val="20"/>
          <w:highlight w:val="none"/>
        </w:rPr>
        <w:t>3</w:t>
      </w:r>
      <w:r>
        <w:rPr>
          <w:rFonts w:ascii="宋体" w:hAnsi="宋体" w:eastAsia="宋体" w:cs="宋体"/>
          <w:color w:val="auto"/>
          <w:spacing w:val="-38"/>
          <w:sz w:val="20"/>
          <w:szCs w:val="20"/>
          <w:highlight w:val="none"/>
        </w:rPr>
        <w:t xml:space="preserve"> </w:t>
      </w:r>
      <w:r>
        <w:rPr>
          <w:rFonts w:ascii="宋体" w:hAnsi="宋体" w:eastAsia="宋体" w:cs="宋体"/>
          <w:color w:val="auto"/>
          <w:spacing w:val="6"/>
          <w:sz w:val="20"/>
          <w:szCs w:val="20"/>
          <w:highlight w:val="none"/>
        </w:rPr>
        <w:t>个工作日前，以书面形式（</w:t>
      </w:r>
      <w:r>
        <w:rPr>
          <w:rFonts w:ascii="宋体" w:hAnsi="宋体" w:eastAsia="宋体" w:cs="宋体"/>
          <w:color w:val="auto"/>
          <w:spacing w:val="-51"/>
          <w:sz w:val="20"/>
          <w:szCs w:val="20"/>
          <w:highlight w:val="none"/>
        </w:rPr>
        <w:t xml:space="preserve"> </w:t>
      </w:r>
      <w:r>
        <w:rPr>
          <w:rFonts w:ascii="宋体" w:hAnsi="宋体" w:eastAsia="宋体" w:cs="宋体"/>
          <w:color w:val="auto"/>
          <w:spacing w:val="6"/>
          <w:sz w:val="20"/>
          <w:szCs w:val="20"/>
          <w:highlight w:val="none"/>
        </w:rPr>
        <w:t>目前为网上公告和系统短信等形式）通知</w:t>
      </w:r>
      <w:r>
        <w:rPr>
          <w:rFonts w:ascii="宋体" w:hAnsi="宋体" w:eastAsia="宋体" w:cs="宋体"/>
          <w:color w:val="auto"/>
          <w:spacing w:val="5"/>
          <w:sz w:val="20"/>
          <w:szCs w:val="20"/>
          <w:highlight w:val="none"/>
        </w:rPr>
        <w:t>所有获取磋商文件</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的供应商，不足</w:t>
      </w:r>
      <w:r>
        <w:rPr>
          <w:rFonts w:ascii="宋体" w:hAnsi="宋体" w:eastAsia="宋体" w:cs="宋体"/>
          <w:color w:val="auto"/>
          <w:spacing w:val="-21"/>
          <w:sz w:val="20"/>
          <w:szCs w:val="20"/>
          <w:highlight w:val="none"/>
        </w:rPr>
        <w:t xml:space="preserve"> </w:t>
      </w:r>
      <w:r>
        <w:rPr>
          <w:rFonts w:ascii="宋体" w:hAnsi="宋体" w:eastAsia="宋体" w:cs="宋体"/>
          <w:color w:val="auto"/>
          <w:spacing w:val="8"/>
          <w:sz w:val="20"/>
          <w:szCs w:val="20"/>
          <w:highlight w:val="none"/>
        </w:rPr>
        <w:t>3</w:t>
      </w:r>
      <w:r>
        <w:rPr>
          <w:rFonts w:ascii="宋体" w:hAnsi="宋体" w:eastAsia="宋体" w:cs="宋体"/>
          <w:color w:val="auto"/>
          <w:spacing w:val="-38"/>
          <w:sz w:val="20"/>
          <w:szCs w:val="20"/>
          <w:highlight w:val="none"/>
        </w:rPr>
        <w:t xml:space="preserve"> </w:t>
      </w:r>
      <w:r>
        <w:rPr>
          <w:rFonts w:ascii="宋体" w:hAnsi="宋体" w:eastAsia="宋体" w:cs="宋体"/>
          <w:color w:val="auto"/>
          <w:spacing w:val="8"/>
          <w:sz w:val="20"/>
          <w:szCs w:val="20"/>
          <w:highlight w:val="none"/>
        </w:rPr>
        <w:t>个工作日的，应当顺延提交首次响应文件截止之日。</w:t>
      </w:r>
    </w:p>
    <w:p w14:paraId="17EAA646">
      <w:pPr>
        <w:spacing w:before="250" w:line="227" w:lineRule="auto"/>
        <w:jc w:val="right"/>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10.4</w:t>
      </w:r>
      <w:r>
        <w:rPr>
          <w:rFonts w:ascii="宋体" w:hAnsi="宋体" w:eastAsia="宋体" w:cs="宋体"/>
          <w:color w:val="auto"/>
          <w:spacing w:val="-24"/>
          <w:sz w:val="20"/>
          <w:szCs w:val="20"/>
          <w:highlight w:val="none"/>
        </w:rPr>
        <w:t xml:space="preserve"> </w:t>
      </w:r>
      <w:r>
        <w:rPr>
          <w:rFonts w:ascii="宋体" w:hAnsi="宋体" w:eastAsia="宋体" w:cs="宋体"/>
          <w:color w:val="auto"/>
          <w:spacing w:val="10"/>
          <w:sz w:val="20"/>
          <w:szCs w:val="20"/>
          <w:highlight w:val="none"/>
        </w:rPr>
        <w:t>采购信息更正公告的内容应当包括采购人和采购代理机构名称、地址、联系方式，原</w:t>
      </w:r>
    </w:p>
    <w:p w14:paraId="31EA1B79">
      <w:pPr>
        <w:spacing w:line="227" w:lineRule="auto"/>
        <w:rPr>
          <w:rFonts w:ascii="宋体" w:hAnsi="宋体" w:eastAsia="宋体" w:cs="宋体"/>
          <w:color w:val="auto"/>
          <w:sz w:val="20"/>
          <w:szCs w:val="20"/>
          <w:highlight w:val="none"/>
        </w:rPr>
        <w:sectPr>
          <w:footerReference r:id="rId23" w:type="default"/>
          <w:pgSz w:w="11905" w:h="16839"/>
          <w:pgMar w:top="400" w:right="1587" w:bottom="1149" w:left="1593" w:header="0" w:footer="913" w:gutter="0"/>
          <w:pgNumType w:fmt="decimal"/>
          <w:cols w:space="720" w:num="1"/>
        </w:sectPr>
      </w:pPr>
    </w:p>
    <w:p w14:paraId="5E8366CE">
      <w:pPr>
        <w:pStyle w:val="6"/>
        <w:spacing w:line="269" w:lineRule="auto"/>
        <w:rPr>
          <w:color w:val="auto"/>
          <w:highlight w:val="none"/>
        </w:rPr>
      </w:pPr>
    </w:p>
    <w:p w14:paraId="57347634">
      <w:pPr>
        <w:pStyle w:val="6"/>
        <w:spacing w:line="269" w:lineRule="auto"/>
        <w:rPr>
          <w:color w:val="auto"/>
          <w:highlight w:val="none"/>
        </w:rPr>
      </w:pPr>
    </w:p>
    <w:p w14:paraId="17E6F251">
      <w:pPr>
        <w:pStyle w:val="6"/>
        <w:spacing w:line="270" w:lineRule="auto"/>
        <w:rPr>
          <w:color w:val="auto"/>
          <w:highlight w:val="none"/>
        </w:rPr>
      </w:pPr>
    </w:p>
    <w:p w14:paraId="1852B125">
      <w:pPr>
        <w:spacing w:before="65" w:line="227" w:lineRule="auto"/>
        <w:ind w:left="8"/>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公告的采购项目名称及首次公告日期，更正事项、</w:t>
      </w:r>
      <w:r>
        <w:rPr>
          <w:rFonts w:ascii="宋体" w:hAnsi="宋体" w:eastAsia="宋体" w:cs="宋体"/>
          <w:color w:val="auto"/>
          <w:spacing w:val="-51"/>
          <w:sz w:val="20"/>
          <w:szCs w:val="20"/>
          <w:highlight w:val="none"/>
        </w:rPr>
        <w:t xml:space="preserve"> </w:t>
      </w:r>
      <w:r>
        <w:rPr>
          <w:rFonts w:ascii="宋体" w:hAnsi="宋体" w:eastAsia="宋体" w:cs="宋体"/>
          <w:color w:val="auto"/>
          <w:spacing w:val="8"/>
          <w:sz w:val="20"/>
          <w:szCs w:val="20"/>
          <w:highlight w:val="none"/>
        </w:rPr>
        <w:t>内容及日期，采购项目联系人和电话。</w:t>
      </w:r>
    </w:p>
    <w:p w14:paraId="02558C6D">
      <w:pPr>
        <w:spacing w:before="250" w:line="439" w:lineRule="auto"/>
        <w:ind w:right="54" w:firstLine="437"/>
        <w:jc w:val="both"/>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10.5</w:t>
      </w:r>
      <w:r>
        <w:rPr>
          <w:rFonts w:ascii="宋体" w:hAnsi="宋体" w:eastAsia="宋体" w:cs="宋体"/>
          <w:color w:val="auto"/>
          <w:spacing w:val="-24"/>
          <w:sz w:val="20"/>
          <w:szCs w:val="20"/>
          <w:highlight w:val="none"/>
        </w:rPr>
        <w:t xml:space="preserve"> </w:t>
      </w:r>
      <w:r>
        <w:rPr>
          <w:rFonts w:ascii="宋体" w:hAnsi="宋体" w:eastAsia="宋体" w:cs="宋体"/>
          <w:color w:val="auto"/>
          <w:spacing w:val="10"/>
          <w:sz w:val="20"/>
          <w:szCs w:val="20"/>
          <w:highlight w:val="none"/>
        </w:rPr>
        <w:t>采购人和采购代理机构可以视采购具体情况，变更提交首次响应文件截止时间和</w:t>
      </w:r>
      <w:r>
        <w:rPr>
          <w:rFonts w:hint="eastAsia" w:ascii="宋体" w:hAnsi="宋体" w:eastAsia="宋体" w:cs="宋体"/>
          <w:color w:val="auto"/>
          <w:spacing w:val="10"/>
          <w:sz w:val="20"/>
          <w:szCs w:val="20"/>
          <w:highlight w:val="none"/>
          <w:lang w:eastAsia="zh-CN"/>
        </w:rPr>
        <w:t>磋商</w:t>
      </w:r>
      <w:r>
        <w:rPr>
          <w:rFonts w:ascii="宋体" w:hAnsi="宋体" w:eastAsia="宋体" w:cs="宋体"/>
          <w:color w:val="auto"/>
          <w:sz w:val="20"/>
          <w:szCs w:val="20"/>
          <w:highlight w:val="none"/>
        </w:rPr>
        <w:t xml:space="preserve"> </w:t>
      </w:r>
      <w:r>
        <w:rPr>
          <w:rFonts w:ascii="宋体" w:hAnsi="宋体" w:eastAsia="宋体" w:cs="宋体"/>
          <w:color w:val="auto"/>
          <w:spacing w:val="5"/>
          <w:sz w:val="20"/>
          <w:szCs w:val="20"/>
          <w:highlight w:val="none"/>
        </w:rPr>
        <w:t>时间，将变更时间将在“采购文件公告</w:t>
      </w:r>
      <w:r>
        <w:rPr>
          <w:rFonts w:ascii="宋体" w:hAnsi="宋体" w:eastAsia="宋体" w:cs="宋体"/>
          <w:color w:val="auto"/>
          <w:spacing w:val="-60"/>
          <w:sz w:val="20"/>
          <w:szCs w:val="20"/>
          <w:highlight w:val="none"/>
        </w:rPr>
        <w:t xml:space="preserve"> </w:t>
      </w:r>
      <w:r>
        <w:rPr>
          <w:rFonts w:ascii="宋体" w:hAnsi="宋体" w:eastAsia="宋体" w:cs="宋体"/>
          <w:color w:val="auto"/>
          <w:spacing w:val="5"/>
          <w:sz w:val="20"/>
          <w:szCs w:val="20"/>
          <w:highlight w:val="none"/>
        </w:rPr>
        <w:t>”中“七、其他补充事宜</w:t>
      </w:r>
      <w:r>
        <w:rPr>
          <w:rFonts w:ascii="宋体" w:hAnsi="宋体" w:eastAsia="宋体" w:cs="宋体"/>
          <w:color w:val="auto"/>
          <w:spacing w:val="-37"/>
          <w:sz w:val="20"/>
          <w:szCs w:val="20"/>
          <w:highlight w:val="none"/>
        </w:rPr>
        <w:t xml:space="preserve"> </w:t>
      </w:r>
      <w:r>
        <w:rPr>
          <w:rFonts w:ascii="Times New Roman" w:hAnsi="Times New Roman" w:eastAsia="Times New Roman" w:cs="Times New Roman"/>
          <w:color w:val="auto"/>
          <w:spacing w:val="5"/>
          <w:sz w:val="20"/>
          <w:szCs w:val="20"/>
          <w:highlight w:val="none"/>
        </w:rPr>
        <w:t>3.</w:t>
      </w:r>
      <w:r>
        <w:rPr>
          <w:rFonts w:ascii="Times New Roman" w:hAnsi="Times New Roman" w:eastAsia="Times New Roman" w:cs="Times New Roman"/>
          <w:color w:val="auto"/>
          <w:spacing w:val="-27"/>
          <w:sz w:val="20"/>
          <w:szCs w:val="20"/>
          <w:highlight w:val="none"/>
        </w:rPr>
        <w:t xml:space="preserve"> </w:t>
      </w:r>
      <w:r>
        <w:rPr>
          <w:rFonts w:ascii="宋体" w:hAnsi="宋体" w:eastAsia="宋体" w:cs="宋体"/>
          <w:color w:val="auto"/>
          <w:spacing w:val="5"/>
          <w:sz w:val="20"/>
          <w:szCs w:val="20"/>
          <w:highlight w:val="none"/>
        </w:rPr>
        <w:t>网上查询地址</w:t>
      </w:r>
      <w:r>
        <w:rPr>
          <w:rFonts w:ascii="宋体" w:hAnsi="宋体" w:eastAsia="宋体" w:cs="宋体"/>
          <w:color w:val="auto"/>
          <w:spacing w:val="-70"/>
          <w:sz w:val="20"/>
          <w:szCs w:val="20"/>
          <w:highlight w:val="none"/>
        </w:rPr>
        <w:t xml:space="preserve"> </w:t>
      </w:r>
      <w:r>
        <w:rPr>
          <w:rFonts w:ascii="宋体" w:hAnsi="宋体" w:eastAsia="宋体" w:cs="宋体"/>
          <w:color w:val="auto"/>
          <w:spacing w:val="5"/>
          <w:sz w:val="20"/>
          <w:szCs w:val="20"/>
          <w:highlight w:val="none"/>
        </w:rPr>
        <w:t>”规定的政府采</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购信息发布媒体上发布更正公告。</w:t>
      </w:r>
    </w:p>
    <w:p w14:paraId="5FA114FB">
      <w:pPr>
        <w:spacing w:before="62" w:line="460" w:lineRule="auto"/>
        <w:ind w:left="2" w:right="54" w:firstLine="426"/>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w:t>
      </w:r>
      <w:r>
        <w:rPr>
          <w:rFonts w:ascii="宋体" w:hAnsi="宋体" w:eastAsia="宋体" w:cs="宋体"/>
          <w:b/>
          <w:bCs/>
          <w:color w:val="auto"/>
          <w:spacing w:val="11"/>
          <w:sz w:val="20"/>
          <w:szCs w:val="20"/>
          <w:highlight w:val="none"/>
        </w:rPr>
        <w:t>响应文件未按磋商文件的澄清、修改的内容编制，又</w:t>
      </w:r>
      <w:r>
        <w:rPr>
          <w:rFonts w:ascii="宋体" w:hAnsi="宋体" w:eastAsia="宋体" w:cs="宋体"/>
          <w:b/>
          <w:bCs/>
          <w:color w:val="auto"/>
          <w:spacing w:val="10"/>
          <w:sz w:val="20"/>
          <w:szCs w:val="20"/>
          <w:highlight w:val="none"/>
        </w:rPr>
        <w:t>不符合实质性要求的，其响应文件</w:t>
      </w:r>
      <w:r>
        <w:rPr>
          <w:rFonts w:ascii="宋体" w:hAnsi="宋体" w:eastAsia="宋体" w:cs="宋体"/>
          <w:color w:val="auto"/>
          <w:sz w:val="20"/>
          <w:szCs w:val="20"/>
          <w:highlight w:val="none"/>
        </w:rPr>
        <w:t xml:space="preserve"> </w:t>
      </w:r>
      <w:r>
        <w:rPr>
          <w:rFonts w:ascii="宋体" w:hAnsi="宋体" w:eastAsia="宋体" w:cs="宋体"/>
          <w:b/>
          <w:bCs/>
          <w:color w:val="auto"/>
          <w:spacing w:val="4"/>
          <w:sz w:val="20"/>
          <w:szCs w:val="20"/>
          <w:highlight w:val="none"/>
        </w:rPr>
        <w:t>作无效处理。</w:t>
      </w:r>
    </w:p>
    <w:p w14:paraId="69277C54">
      <w:pPr>
        <w:spacing w:before="27" w:line="225" w:lineRule="auto"/>
        <w:ind w:left="3248"/>
        <w:outlineLvl w:val="2"/>
        <w:rPr>
          <w:rFonts w:ascii="宋体" w:hAnsi="宋体" w:eastAsia="宋体" w:cs="宋体"/>
          <w:color w:val="auto"/>
          <w:sz w:val="31"/>
          <w:szCs w:val="31"/>
          <w:highlight w:val="none"/>
        </w:rPr>
      </w:pPr>
      <w:bookmarkStart w:id="7" w:name="_Toc8411"/>
      <w:r>
        <w:rPr>
          <w:rFonts w:ascii="宋体" w:hAnsi="宋体" w:eastAsia="宋体" w:cs="宋体"/>
          <w:b/>
          <w:bCs/>
          <w:color w:val="auto"/>
          <w:spacing w:val="6"/>
          <w:sz w:val="31"/>
          <w:szCs w:val="31"/>
          <w:highlight w:val="none"/>
        </w:rPr>
        <w:t>三、响应文件的编制</w:t>
      </w:r>
      <w:bookmarkEnd w:id="7"/>
    </w:p>
    <w:p w14:paraId="2F781EB1">
      <w:pPr>
        <w:spacing w:before="238" w:line="220" w:lineRule="auto"/>
        <w:ind w:left="440"/>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11.响应文件的编制原则</w:t>
      </w:r>
    </w:p>
    <w:p w14:paraId="3B181359">
      <w:pPr>
        <w:spacing w:before="222" w:line="452" w:lineRule="auto"/>
        <w:ind w:left="2" w:right="56" w:firstLine="419"/>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供应商必须按照磋商文件的要求编制响应文</w:t>
      </w:r>
      <w:r>
        <w:rPr>
          <w:rFonts w:ascii="宋体" w:hAnsi="宋体" w:eastAsia="宋体" w:cs="宋体"/>
          <w:color w:val="auto"/>
          <w:spacing w:val="7"/>
          <w:sz w:val="20"/>
          <w:szCs w:val="20"/>
          <w:highlight w:val="none"/>
        </w:rPr>
        <w:t>件，并对其提交的响应文件的真实性、合法性承</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担法律责任。响应文件必须对磋商文件作出实质性响应。</w:t>
      </w:r>
    </w:p>
    <w:p w14:paraId="09F6CC80">
      <w:pPr>
        <w:spacing w:before="1" w:line="220" w:lineRule="auto"/>
        <w:ind w:left="440"/>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12.响应文件的组成</w:t>
      </w:r>
    </w:p>
    <w:p w14:paraId="264E51C6">
      <w:pPr>
        <w:spacing w:before="225" w:line="227" w:lineRule="auto"/>
        <w:ind w:left="437"/>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12.1</w:t>
      </w:r>
      <w:r>
        <w:rPr>
          <w:rFonts w:ascii="宋体" w:hAnsi="宋体" w:eastAsia="宋体" w:cs="宋体"/>
          <w:color w:val="auto"/>
          <w:spacing w:val="-30"/>
          <w:sz w:val="20"/>
          <w:szCs w:val="20"/>
          <w:highlight w:val="none"/>
        </w:rPr>
        <w:t xml:space="preserve"> </w:t>
      </w:r>
      <w:r>
        <w:rPr>
          <w:rFonts w:ascii="宋体" w:hAnsi="宋体" w:eastAsia="宋体" w:cs="宋体"/>
          <w:color w:val="auto"/>
          <w:spacing w:val="8"/>
          <w:sz w:val="20"/>
          <w:szCs w:val="20"/>
          <w:highlight w:val="none"/>
        </w:rPr>
        <w:t>响应文件由资格证明文件、商务技术文件、报</w:t>
      </w:r>
      <w:r>
        <w:rPr>
          <w:rFonts w:ascii="宋体" w:hAnsi="宋体" w:eastAsia="宋体" w:cs="宋体"/>
          <w:color w:val="auto"/>
          <w:spacing w:val="7"/>
          <w:sz w:val="20"/>
          <w:szCs w:val="20"/>
          <w:highlight w:val="none"/>
        </w:rPr>
        <w:t>价文件三部分组成。</w:t>
      </w:r>
    </w:p>
    <w:p w14:paraId="7E39DE22">
      <w:pPr>
        <w:spacing w:before="250" w:line="228" w:lineRule="auto"/>
        <w:ind w:left="857"/>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12.1.1</w:t>
      </w:r>
      <w:r>
        <w:rPr>
          <w:rFonts w:ascii="宋体" w:hAnsi="宋体" w:eastAsia="宋体" w:cs="宋体"/>
          <w:color w:val="auto"/>
          <w:spacing w:val="-26"/>
          <w:sz w:val="20"/>
          <w:szCs w:val="20"/>
          <w:highlight w:val="none"/>
        </w:rPr>
        <w:t xml:space="preserve"> </w:t>
      </w:r>
      <w:r>
        <w:rPr>
          <w:rFonts w:ascii="宋体" w:hAnsi="宋体" w:eastAsia="宋体" w:cs="宋体"/>
          <w:color w:val="auto"/>
          <w:spacing w:val="6"/>
          <w:sz w:val="20"/>
          <w:szCs w:val="20"/>
          <w:highlight w:val="none"/>
        </w:rPr>
        <w:t>资格证明文件：详见须知前附表</w:t>
      </w:r>
    </w:p>
    <w:p w14:paraId="72242A9B">
      <w:pPr>
        <w:spacing w:before="250" w:line="228" w:lineRule="auto"/>
        <w:ind w:left="857"/>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12.1.2</w:t>
      </w:r>
      <w:r>
        <w:rPr>
          <w:rFonts w:ascii="宋体" w:hAnsi="宋体" w:eastAsia="宋体" w:cs="宋体"/>
          <w:color w:val="auto"/>
          <w:spacing w:val="-26"/>
          <w:sz w:val="20"/>
          <w:szCs w:val="20"/>
          <w:highlight w:val="none"/>
        </w:rPr>
        <w:t xml:space="preserve"> </w:t>
      </w:r>
      <w:r>
        <w:rPr>
          <w:rFonts w:ascii="宋体" w:hAnsi="宋体" w:eastAsia="宋体" w:cs="宋体"/>
          <w:color w:val="auto"/>
          <w:spacing w:val="6"/>
          <w:sz w:val="20"/>
          <w:szCs w:val="20"/>
          <w:highlight w:val="none"/>
        </w:rPr>
        <w:t>商务技术文件：详见须知前附表</w:t>
      </w:r>
    </w:p>
    <w:p w14:paraId="03821B15">
      <w:pPr>
        <w:spacing w:before="250" w:line="227" w:lineRule="auto"/>
        <w:ind w:left="857"/>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12.1.3</w:t>
      </w:r>
      <w:r>
        <w:rPr>
          <w:rFonts w:ascii="宋体" w:hAnsi="宋体" w:eastAsia="宋体" w:cs="宋体"/>
          <w:color w:val="auto"/>
          <w:spacing w:val="-34"/>
          <w:sz w:val="20"/>
          <w:szCs w:val="20"/>
          <w:highlight w:val="none"/>
        </w:rPr>
        <w:t xml:space="preserve"> </w:t>
      </w:r>
      <w:r>
        <w:rPr>
          <w:rFonts w:ascii="宋体" w:hAnsi="宋体" w:eastAsia="宋体" w:cs="宋体"/>
          <w:color w:val="auto"/>
          <w:spacing w:val="6"/>
          <w:sz w:val="20"/>
          <w:szCs w:val="20"/>
          <w:highlight w:val="none"/>
        </w:rPr>
        <w:t>报价文件：详见须知前附表</w:t>
      </w:r>
    </w:p>
    <w:p w14:paraId="6BE62A62">
      <w:pPr>
        <w:spacing w:before="251" w:line="228" w:lineRule="auto"/>
        <w:ind w:left="437"/>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12.2</w:t>
      </w:r>
      <w:r>
        <w:rPr>
          <w:rFonts w:ascii="宋体" w:hAnsi="宋体" w:eastAsia="宋体" w:cs="宋体"/>
          <w:color w:val="auto"/>
          <w:spacing w:val="-17"/>
          <w:sz w:val="20"/>
          <w:szCs w:val="20"/>
          <w:highlight w:val="none"/>
        </w:rPr>
        <w:t xml:space="preserve"> </w:t>
      </w:r>
      <w:r>
        <w:rPr>
          <w:rFonts w:ascii="宋体" w:hAnsi="宋体" w:eastAsia="宋体" w:cs="宋体"/>
          <w:color w:val="auto"/>
          <w:spacing w:val="6"/>
          <w:sz w:val="20"/>
          <w:szCs w:val="20"/>
          <w:highlight w:val="none"/>
        </w:rPr>
        <w:t>响应文件电子版：详见须知前附表</w:t>
      </w:r>
    </w:p>
    <w:p w14:paraId="6FD1ADE6">
      <w:pPr>
        <w:spacing w:before="233" w:line="221" w:lineRule="auto"/>
        <w:ind w:left="440"/>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13.计量单位</w:t>
      </w:r>
    </w:p>
    <w:p w14:paraId="7E365865">
      <w:pPr>
        <w:spacing w:before="224" w:line="452" w:lineRule="auto"/>
        <w:ind w:left="2" w:right="56" w:firstLine="418"/>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磋商文件已有明确规定的，使用磋商文件规定</w:t>
      </w:r>
      <w:r>
        <w:rPr>
          <w:rFonts w:ascii="宋体" w:hAnsi="宋体" w:eastAsia="宋体" w:cs="宋体"/>
          <w:color w:val="auto"/>
          <w:spacing w:val="7"/>
          <w:sz w:val="20"/>
          <w:szCs w:val="20"/>
          <w:highlight w:val="none"/>
        </w:rPr>
        <w:t>的计量单位；磋商文件没有规定的，应采用中</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华人民共和国法定计量单位，货币种类为人民币，否则视同未响应。</w:t>
      </w:r>
    </w:p>
    <w:p w14:paraId="0EB2D604">
      <w:pPr>
        <w:spacing w:before="1" w:line="220" w:lineRule="auto"/>
        <w:ind w:left="440"/>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14.竞标的风险</w:t>
      </w:r>
    </w:p>
    <w:p w14:paraId="780A0414">
      <w:pPr>
        <w:spacing w:before="224" w:line="452" w:lineRule="auto"/>
        <w:ind w:left="1" w:right="56" w:firstLine="42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供应商没有按照磋商文件要求提供全部资料</w:t>
      </w:r>
      <w:r>
        <w:rPr>
          <w:rFonts w:ascii="宋体" w:hAnsi="宋体" w:eastAsia="宋体" w:cs="宋体"/>
          <w:color w:val="auto"/>
          <w:spacing w:val="7"/>
          <w:sz w:val="20"/>
          <w:szCs w:val="20"/>
          <w:highlight w:val="none"/>
        </w:rPr>
        <w:t>，或者供应商没有对磋商文件在各方面作出实质</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性响应可能导致其响应无效，是供应商应当考虑的风险。</w:t>
      </w:r>
    </w:p>
    <w:p w14:paraId="747000A2">
      <w:pPr>
        <w:spacing w:before="1" w:line="218" w:lineRule="auto"/>
        <w:ind w:left="440"/>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15.响应报价要求和构成</w:t>
      </w:r>
    </w:p>
    <w:p w14:paraId="6911A369">
      <w:pPr>
        <w:spacing w:before="228" w:line="343" w:lineRule="auto"/>
        <w:ind w:left="7" w:right="53" w:firstLine="429"/>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15.1</w:t>
      </w:r>
      <w:r>
        <w:rPr>
          <w:rFonts w:ascii="宋体" w:hAnsi="宋体" w:eastAsia="宋体" w:cs="宋体"/>
          <w:color w:val="auto"/>
          <w:spacing w:val="-26"/>
          <w:sz w:val="20"/>
          <w:szCs w:val="20"/>
          <w:highlight w:val="none"/>
        </w:rPr>
        <w:t xml:space="preserve"> </w:t>
      </w:r>
      <w:r>
        <w:rPr>
          <w:rFonts w:ascii="宋体" w:hAnsi="宋体" w:eastAsia="宋体" w:cs="宋体"/>
          <w:color w:val="auto"/>
          <w:spacing w:val="6"/>
          <w:sz w:val="20"/>
          <w:szCs w:val="20"/>
          <w:highlight w:val="none"/>
        </w:rPr>
        <w:t>响应报价应按“第五章 响应文件格式</w:t>
      </w:r>
      <w:r>
        <w:rPr>
          <w:rFonts w:ascii="宋体" w:hAnsi="宋体" w:eastAsia="宋体" w:cs="宋体"/>
          <w:color w:val="auto"/>
          <w:spacing w:val="-70"/>
          <w:sz w:val="20"/>
          <w:szCs w:val="20"/>
          <w:highlight w:val="none"/>
        </w:rPr>
        <w:t xml:space="preserve"> </w:t>
      </w:r>
      <w:r>
        <w:rPr>
          <w:rFonts w:ascii="宋体" w:hAnsi="宋体" w:eastAsia="宋体" w:cs="宋体"/>
          <w:color w:val="auto"/>
          <w:spacing w:val="6"/>
          <w:sz w:val="20"/>
          <w:szCs w:val="20"/>
          <w:highlight w:val="none"/>
        </w:rPr>
        <w:t>”中“响应报价表、已标价工程量清单</w:t>
      </w:r>
      <w:r>
        <w:rPr>
          <w:rFonts w:ascii="宋体" w:hAnsi="宋体" w:eastAsia="宋体" w:cs="宋体"/>
          <w:color w:val="auto"/>
          <w:spacing w:val="-70"/>
          <w:sz w:val="20"/>
          <w:szCs w:val="20"/>
          <w:highlight w:val="none"/>
        </w:rPr>
        <w:t xml:space="preserve"> </w:t>
      </w:r>
      <w:r>
        <w:rPr>
          <w:rFonts w:ascii="宋体" w:hAnsi="宋体" w:eastAsia="宋体" w:cs="宋体"/>
          <w:color w:val="auto"/>
          <w:spacing w:val="6"/>
          <w:sz w:val="20"/>
          <w:szCs w:val="20"/>
          <w:highlight w:val="none"/>
        </w:rPr>
        <w:t>”格式填</w:t>
      </w:r>
      <w:r>
        <w:rPr>
          <w:rFonts w:ascii="宋体" w:hAnsi="宋体" w:eastAsia="宋体" w:cs="宋体"/>
          <w:color w:val="auto"/>
          <w:sz w:val="20"/>
          <w:szCs w:val="20"/>
          <w:highlight w:val="none"/>
        </w:rPr>
        <w:t xml:space="preserve"> </w:t>
      </w:r>
      <w:r>
        <w:rPr>
          <w:rFonts w:ascii="宋体" w:hAnsi="宋体" w:eastAsia="宋体" w:cs="宋体"/>
          <w:color w:val="auto"/>
          <w:spacing w:val="-3"/>
          <w:sz w:val="20"/>
          <w:szCs w:val="20"/>
          <w:highlight w:val="none"/>
        </w:rPr>
        <w:t>写。</w:t>
      </w:r>
    </w:p>
    <w:p w14:paraId="433D139D">
      <w:pPr>
        <w:spacing w:before="247" w:line="227" w:lineRule="auto"/>
        <w:ind w:left="437"/>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15.2</w:t>
      </w:r>
      <w:r>
        <w:rPr>
          <w:rFonts w:ascii="宋体" w:hAnsi="宋体" w:eastAsia="宋体" w:cs="宋体"/>
          <w:color w:val="auto"/>
          <w:spacing w:val="-29"/>
          <w:sz w:val="20"/>
          <w:szCs w:val="20"/>
          <w:highlight w:val="none"/>
        </w:rPr>
        <w:t xml:space="preserve"> </w:t>
      </w:r>
      <w:r>
        <w:rPr>
          <w:rFonts w:ascii="宋体" w:hAnsi="宋体" w:eastAsia="宋体" w:cs="宋体"/>
          <w:color w:val="auto"/>
          <w:spacing w:val="7"/>
          <w:sz w:val="20"/>
          <w:szCs w:val="20"/>
          <w:highlight w:val="none"/>
        </w:rPr>
        <w:t>响应报价的价格构成见“供应商须知前附表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w:t>
      </w:r>
    </w:p>
    <w:p w14:paraId="392D1846">
      <w:pPr>
        <w:spacing w:before="251" w:line="227" w:lineRule="auto"/>
        <w:ind w:left="437"/>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15.3</w:t>
      </w:r>
      <w:r>
        <w:rPr>
          <w:rFonts w:ascii="宋体" w:hAnsi="宋体" w:eastAsia="宋体" w:cs="宋体"/>
          <w:color w:val="auto"/>
          <w:spacing w:val="-25"/>
          <w:sz w:val="20"/>
          <w:szCs w:val="20"/>
          <w:highlight w:val="none"/>
        </w:rPr>
        <w:t xml:space="preserve"> </w:t>
      </w:r>
      <w:r>
        <w:rPr>
          <w:rFonts w:ascii="宋体" w:hAnsi="宋体" w:eastAsia="宋体" w:cs="宋体"/>
          <w:color w:val="auto"/>
          <w:spacing w:val="3"/>
          <w:sz w:val="20"/>
          <w:szCs w:val="20"/>
          <w:highlight w:val="none"/>
        </w:rPr>
        <w:t>响应报价要求</w:t>
      </w:r>
    </w:p>
    <w:p w14:paraId="4E71D846">
      <w:pPr>
        <w:spacing w:before="251" w:line="227" w:lineRule="auto"/>
        <w:ind w:left="437"/>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15.3.1</w:t>
      </w:r>
      <w:r>
        <w:rPr>
          <w:rFonts w:ascii="宋体" w:hAnsi="宋体" w:eastAsia="宋体" w:cs="宋体"/>
          <w:color w:val="auto"/>
          <w:spacing w:val="-41"/>
          <w:sz w:val="20"/>
          <w:szCs w:val="20"/>
          <w:highlight w:val="none"/>
        </w:rPr>
        <w:t xml:space="preserve"> </w:t>
      </w:r>
      <w:r>
        <w:rPr>
          <w:rFonts w:ascii="宋体" w:hAnsi="宋体" w:eastAsia="宋体" w:cs="宋体"/>
          <w:color w:val="auto"/>
          <w:spacing w:val="8"/>
          <w:sz w:val="20"/>
          <w:szCs w:val="20"/>
          <w:highlight w:val="none"/>
        </w:rPr>
        <w:t>供应商的响应报价应符合以下要求，</w:t>
      </w:r>
      <w:r>
        <w:rPr>
          <w:rFonts w:hint="eastAsia" w:ascii="宋体" w:hAnsi="宋体" w:eastAsia="宋体" w:cs="宋体"/>
          <w:color w:val="auto"/>
          <w:spacing w:val="8"/>
          <w:sz w:val="20"/>
          <w:szCs w:val="20"/>
          <w:highlight w:val="none"/>
          <w:lang w:eastAsia="zh-CN"/>
        </w:rPr>
        <w:t>否则按无效响应处理</w:t>
      </w:r>
      <w:r>
        <w:rPr>
          <w:rFonts w:ascii="宋体" w:hAnsi="宋体" w:eastAsia="宋体" w:cs="宋体"/>
          <w:color w:val="auto"/>
          <w:spacing w:val="7"/>
          <w:sz w:val="20"/>
          <w:szCs w:val="20"/>
          <w:highlight w:val="none"/>
        </w:rPr>
        <w:t>：</w:t>
      </w:r>
    </w:p>
    <w:p w14:paraId="0D63CA8C">
      <w:pPr>
        <w:spacing w:before="251" w:line="227" w:lineRule="auto"/>
        <w:jc w:val="right"/>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（1）供应商必须就“采购需求</w:t>
      </w:r>
      <w:r>
        <w:rPr>
          <w:rFonts w:ascii="宋体" w:hAnsi="宋体" w:eastAsia="宋体" w:cs="宋体"/>
          <w:color w:val="auto"/>
          <w:spacing w:val="-60"/>
          <w:sz w:val="20"/>
          <w:szCs w:val="20"/>
          <w:highlight w:val="none"/>
        </w:rPr>
        <w:t xml:space="preserve"> </w:t>
      </w:r>
      <w:r>
        <w:rPr>
          <w:rFonts w:ascii="宋体" w:hAnsi="宋体" w:eastAsia="宋体" w:cs="宋体"/>
          <w:color w:val="auto"/>
          <w:spacing w:val="5"/>
          <w:sz w:val="20"/>
          <w:szCs w:val="20"/>
          <w:highlight w:val="none"/>
        </w:rPr>
        <w:t>”中所竞标的每个分标的全部内容分别作完整唯一总价报价，</w:t>
      </w:r>
    </w:p>
    <w:p w14:paraId="6AF7FD91">
      <w:pPr>
        <w:spacing w:line="227" w:lineRule="auto"/>
        <w:rPr>
          <w:rFonts w:ascii="宋体" w:hAnsi="宋体" w:eastAsia="宋体" w:cs="宋体"/>
          <w:color w:val="auto"/>
          <w:sz w:val="20"/>
          <w:szCs w:val="20"/>
          <w:highlight w:val="none"/>
        </w:rPr>
        <w:sectPr>
          <w:footerReference r:id="rId24" w:type="default"/>
          <w:pgSz w:w="11905" w:h="16839"/>
          <w:pgMar w:top="400" w:right="1474" w:bottom="1149" w:left="1480" w:header="0" w:footer="913" w:gutter="0"/>
          <w:pgNumType w:fmt="decimal"/>
          <w:cols w:space="720" w:num="1"/>
        </w:sectPr>
      </w:pPr>
    </w:p>
    <w:p w14:paraId="3272953B">
      <w:pPr>
        <w:pStyle w:val="6"/>
        <w:spacing w:line="269" w:lineRule="auto"/>
        <w:rPr>
          <w:color w:val="auto"/>
          <w:highlight w:val="none"/>
        </w:rPr>
      </w:pPr>
    </w:p>
    <w:p w14:paraId="64D2E497">
      <w:pPr>
        <w:pStyle w:val="6"/>
        <w:spacing w:line="269" w:lineRule="auto"/>
        <w:rPr>
          <w:color w:val="auto"/>
          <w:highlight w:val="none"/>
        </w:rPr>
      </w:pPr>
    </w:p>
    <w:p w14:paraId="03C085E9">
      <w:pPr>
        <w:pStyle w:val="6"/>
        <w:spacing w:line="270" w:lineRule="auto"/>
        <w:rPr>
          <w:color w:val="auto"/>
          <w:highlight w:val="none"/>
        </w:rPr>
      </w:pPr>
    </w:p>
    <w:p w14:paraId="7413AF82">
      <w:pPr>
        <w:spacing w:before="65" w:line="227" w:lineRule="auto"/>
        <w:ind w:left="5"/>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不得存在漏项报价；</w:t>
      </w:r>
    </w:p>
    <w:p w14:paraId="38B33160">
      <w:pPr>
        <w:spacing w:before="248" w:line="227" w:lineRule="auto"/>
        <w:ind w:left="431"/>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（2）供应商必须就所竞标的分标的单项内容作唯一报价。</w:t>
      </w:r>
    </w:p>
    <w:p w14:paraId="02372098">
      <w:pPr>
        <w:spacing w:before="250" w:line="343" w:lineRule="auto"/>
        <w:ind w:left="7" w:right="56" w:firstLine="429"/>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15.3.2</w:t>
      </w:r>
      <w:r>
        <w:rPr>
          <w:rFonts w:ascii="宋体" w:hAnsi="宋体" w:eastAsia="宋体" w:cs="宋体"/>
          <w:color w:val="auto"/>
          <w:spacing w:val="-27"/>
          <w:sz w:val="20"/>
          <w:szCs w:val="20"/>
          <w:highlight w:val="none"/>
        </w:rPr>
        <w:t xml:space="preserve"> </w:t>
      </w:r>
      <w:r>
        <w:rPr>
          <w:rFonts w:ascii="宋体" w:hAnsi="宋体" w:eastAsia="宋体" w:cs="宋体"/>
          <w:color w:val="auto"/>
          <w:spacing w:val="10"/>
          <w:sz w:val="20"/>
          <w:szCs w:val="20"/>
          <w:highlight w:val="none"/>
        </w:rPr>
        <w:t>响应报价（包含首次报价、最后报价）超过所竞标分标规定的</w:t>
      </w:r>
      <w:r>
        <w:rPr>
          <w:rFonts w:ascii="宋体" w:hAnsi="宋体" w:eastAsia="宋体" w:cs="宋体"/>
          <w:color w:val="auto"/>
          <w:spacing w:val="9"/>
          <w:sz w:val="20"/>
          <w:szCs w:val="20"/>
          <w:highlight w:val="none"/>
        </w:rPr>
        <w:t>采购预算金额或者最</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高限价的，其响应文件将作无效处理。</w:t>
      </w:r>
    </w:p>
    <w:p w14:paraId="27AFA0D0">
      <w:pPr>
        <w:spacing w:before="251" w:line="343" w:lineRule="auto"/>
        <w:ind w:left="12" w:right="56" w:firstLine="424"/>
        <w:rPr>
          <w:rFonts w:ascii="宋体" w:hAnsi="宋体" w:eastAsia="宋体" w:cs="宋体"/>
          <w:color w:val="auto"/>
          <w:spacing w:val="7"/>
          <w:sz w:val="20"/>
          <w:szCs w:val="20"/>
          <w:highlight w:val="none"/>
        </w:rPr>
      </w:pPr>
      <w:r>
        <w:rPr>
          <w:rFonts w:ascii="宋体" w:hAnsi="宋体" w:eastAsia="宋体" w:cs="宋体"/>
          <w:color w:val="auto"/>
          <w:spacing w:val="10"/>
          <w:sz w:val="20"/>
          <w:szCs w:val="20"/>
          <w:highlight w:val="none"/>
        </w:rPr>
        <w:t>15.3.3</w:t>
      </w:r>
      <w:r>
        <w:rPr>
          <w:rFonts w:ascii="宋体" w:hAnsi="宋体" w:eastAsia="宋体" w:cs="宋体"/>
          <w:color w:val="auto"/>
          <w:spacing w:val="-27"/>
          <w:sz w:val="20"/>
          <w:szCs w:val="20"/>
          <w:highlight w:val="none"/>
        </w:rPr>
        <w:t xml:space="preserve"> </w:t>
      </w:r>
      <w:r>
        <w:rPr>
          <w:rFonts w:ascii="宋体" w:hAnsi="宋体" w:eastAsia="宋体" w:cs="宋体"/>
          <w:color w:val="auto"/>
          <w:spacing w:val="10"/>
          <w:sz w:val="20"/>
          <w:szCs w:val="20"/>
          <w:highlight w:val="none"/>
        </w:rPr>
        <w:t>响应报价（包含首次报价、最后报价）超过分项采购预算金额</w:t>
      </w:r>
      <w:r>
        <w:rPr>
          <w:rFonts w:ascii="宋体" w:hAnsi="宋体" w:eastAsia="宋体" w:cs="宋体"/>
          <w:color w:val="auto"/>
          <w:spacing w:val="9"/>
          <w:sz w:val="20"/>
          <w:szCs w:val="20"/>
          <w:highlight w:val="none"/>
        </w:rPr>
        <w:t>或者最高限价的，其</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响应文件将作无效处理。</w:t>
      </w:r>
    </w:p>
    <w:p w14:paraId="05D305D6">
      <w:pPr>
        <w:spacing w:before="234" w:line="221" w:lineRule="auto"/>
        <w:ind w:left="440"/>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16.竞标有效期</w:t>
      </w:r>
    </w:p>
    <w:p w14:paraId="16B3719C">
      <w:pPr>
        <w:spacing w:before="225" w:line="343" w:lineRule="auto"/>
        <w:ind w:left="1" w:right="54" w:firstLine="435"/>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16.1</w:t>
      </w:r>
      <w:r>
        <w:rPr>
          <w:rFonts w:ascii="宋体" w:hAnsi="宋体" w:eastAsia="宋体" w:cs="宋体"/>
          <w:color w:val="auto"/>
          <w:spacing w:val="-24"/>
          <w:sz w:val="20"/>
          <w:szCs w:val="20"/>
          <w:highlight w:val="none"/>
        </w:rPr>
        <w:t xml:space="preserve"> </w:t>
      </w:r>
      <w:r>
        <w:rPr>
          <w:rFonts w:ascii="宋体" w:hAnsi="宋体" w:eastAsia="宋体" w:cs="宋体"/>
          <w:color w:val="auto"/>
          <w:spacing w:val="10"/>
          <w:sz w:val="20"/>
          <w:szCs w:val="20"/>
          <w:highlight w:val="none"/>
        </w:rPr>
        <w:t>竞标有效期是指为保证采购人有足够的时间在提交响应文件后完成评审、确定成交供</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应商、合同签订等工作而要求供应商提交的响应文件在一定时间内保持有效的期限。</w:t>
      </w:r>
    </w:p>
    <w:p w14:paraId="53C9C01A">
      <w:pPr>
        <w:spacing w:before="247" w:line="228" w:lineRule="auto"/>
        <w:ind w:left="437"/>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16.2 竞标有效期应由供应商按“供应商须知前附表</w:t>
      </w:r>
      <w:r>
        <w:rPr>
          <w:rFonts w:ascii="宋体" w:hAnsi="宋体" w:eastAsia="宋体" w:cs="宋体"/>
          <w:color w:val="auto"/>
          <w:spacing w:val="-54"/>
          <w:sz w:val="20"/>
          <w:szCs w:val="20"/>
          <w:highlight w:val="none"/>
        </w:rPr>
        <w:t xml:space="preserve"> </w:t>
      </w:r>
      <w:r>
        <w:rPr>
          <w:rFonts w:ascii="宋体" w:hAnsi="宋体" w:eastAsia="宋体" w:cs="宋体"/>
          <w:color w:val="auto"/>
          <w:spacing w:val="7"/>
          <w:sz w:val="20"/>
          <w:szCs w:val="20"/>
          <w:highlight w:val="none"/>
        </w:rPr>
        <w:t>”规定的期限作出响应。</w:t>
      </w:r>
    </w:p>
    <w:p w14:paraId="760F6354">
      <w:pPr>
        <w:spacing w:before="250" w:line="228" w:lineRule="auto"/>
        <w:ind w:left="437"/>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16.3</w:t>
      </w:r>
      <w:r>
        <w:rPr>
          <w:rFonts w:ascii="宋体" w:hAnsi="宋体" w:eastAsia="宋体" w:cs="宋体"/>
          <w:color w:val="auto"/>
          <w:spacing w:val="-30"/>
          <w:sz w:val="20"/>
          <w:szCs w:val="20"/>
          <w:highlight w:val="none"/>
        </w:rPr>
        <w:t xml:space="preserve"> </w:t>
      </w:r>
      <w:r>
        <w:rPr>
          <w:rFonts w:ascii="宋体" w:hAnsi="宋体" w:eastAsia="宋体" w:cs="宋体"/>
          <w:color w:val="auto"/>
          <w:spacing w:val="7"/>
          <w:sz w:val="20"/>
          <w:szCs w:val="20"/>
          <w:highlight w:val="none"/>
        </w:rPr>
        <w:t>供应商的响应文件在竞标有效期内均保持有效。</w:t>
      </w:r>
    </w:p>
    <w:p w14:paraId="7410D08B">
      <w:pPr>
        <w:spacing w:before="235" w:line="221" w:lineRule="auto"/>
        <w:ind w:left="440"/>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17.磋商保证金</w:t>
      </w:r>
    </w:p>
    <w:p w14:paraId="37FCDADD">
      <w:pPr>
        <w:spacing w:before="224" w:line="228" w:lineRule="auto"/>
        <w:ind w:left="424"/>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详见“供应商须知前附表</w:t>
      </w:r>
      <w:r>
        <w:rPr>
          <w:rFonts w:ascii="宋体" w:hAnsi="宋体" w:eastAsia="宋体" w:cs="宋体"/>
          <w:color w:val="auto"/>
          <w:spacing w:val="-68"/>
          <w:sz w:val="20"/>
          <w:szCs w:val="20"/>
          <w:highlight w:val="none"/>
        </w:rPr>
        <w:t xml:space="preserve"> </w:t>
      </w:r>
      <w:r>
        <w:rPr>
          <w:rFonts w:ascii="宋体" w:hAnsi="宋体" w:eastAsia="宋体" w:cs="宋体"/>
          <w:color w:val="auto"/>
          <w:spacing w:val="8"/>
          <w:sz w:val="20"/>
          <w:szCs w:val="20"/>
          <w:highlight w:val="none"/>
        </w:rPr>
        <w:t>”。</w:t>
      </w:r>
    </w:p>
    <w:p w14:paraId="1B7AEF2F">
      <w:pPr>
        <w:spacing w:before="236" w:line="220" w:lineRule="auto"/>
        <w:ind w:left="440"/>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18.响应文件编制的要求</w:t>
      </w:r>
    </w:p>
    <w:p w14:paraId="7D151633">
      <w:pPr>
        <w:spacing w:before="224" w:line="382" w:lineRule="auto"/>
        <w:ind w:left="2" w:firstLine="434"/>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18.1</w:t>
      </w:r>
      <w:r>
        <w:rPr>
          <w:rFonts w:ascii="宋体" w:hAnsi="宋体" w:eastAsia="宋体" w:cs="宋体"/>
          <w:color w:val="auto"/>
          <w:spacing w:val="-38"/>
          <w:sz w:val="20"/>
          <w:szCs w:val="20"/>
          <w:highlight w:val="none"/>
        </w:rPr>
        <w:t xml:space="preserve"> </w:t>
      </w:r>
      <w:r>
        <w:rPr>
          <w:rFonts w:ascii="宋体" w:hAnsi="宋体" w:eastAsia="宋体" w:cs="宋体"/>
          <w:color w:val="auto"/>
          <w:spacing w:val="4"/>
          <w:sz w:val="20"/>
          <w:szCs w:val="20"/>
          <w:highlight w:val="none"/>
        </w:rPr>
        <w:t>各供应商在编制响应文件时请按照</w:t>
      </w:r>
      <w:r>
        <w:rPr>
          <w:rFonts w:ascii="宋体" w:hAnsi="宋体" w:eastAsia="宋体" w:cs="宋体"/>
          <w:color w:val="auto"/>
          <w:spacing w:val="3"/>
          <w:sz w:val="20"/>
          <w:szCs w:val="20"/>
          <w:highlight w:val="none"/>
        </w:rPr>
        <w:t>磋商文件“第五章 响应文件格式</w:t>
      </w:r>
      <w:r>
        <w:rPr>
          <w:rFonts w:ascii="宋体" w:hAnsi="宋体" w:eastAsia="宋体" w:cs="宋体"/>
          <w:color w:val="auto"/>
          <w:spacing w:val="-70"/>
          <w:sz w:val="20"/>
          <w:szCs w:val="20"/>
          <w:highlight w:val="none"/>
        </w:rPr>
        <w:t xml:space="preserve"> </w:t>
      </w:r>
      <w:r>
        <w:rPr>
          <w:rFonts w:ascii="宋体" w:hAnsi="宋体" w:eastAsia="宋体" w:cs="宋体"/>
          <w:color w:val="auto"/>
          <w:spacing w:val="3"/>
          <w:sz w:val="20"/>
          <w:szCs w:val="20"/>
          <w:highlight w:val="none"/>
        </w:rPr>
        <w:t>”规定的格式进行，</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混乱的编排导致响应文件被误读或磋商小组查找不到有效文件</w:t>
      </w:r>
      <w:r>
        <w:rPr>
          <w:rFonts w:ascii="宋体" w:hAnsi="宋体" w:eastAsia="宋体" w:cs="宋体"/>
          <w:color w:val="auto"/>
          <w:spacing w:val="7"/>
          <w:sz w:val="20"/>
          <w:szCs w:val="20"/>
          <w:highlight w:val="none"/>
        </w:rPr>
        <w:t>是供应商的风险。不完整、编排混</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乱导致响应文件被误读、漏读或者查找不到相关内容的，</w:t>
      </w:r>
      <w:r>
        <w:rPr>
          <w:rFonts w:ascii="宋体" w:hAnsi="宋体" w:eastAsia="宋体" w:cs="宋体"/>
          <w:color w:val="auto"/>
          <w:spacing w:val="-45"/>
          <w:sz w:val="20"/>
          <w:szCs w:val="20"/>
          <w:highlight w:val="none"/>
        </w:rPr>
        <w:t xml:space="preserve"> </w:t>
      </w:r>
      <w:r>
        <w:rPr>
          <w:rFonts w:ascii="宋体" w:hAnsi="宋体" w:eastAsia="宋体" w:cs="宋体"/>
          <w:color w:val="auto"/>
          <w:spacing w:val="8"/>
          <w:sz w:val="20"/>
          <w:szCs w:val="20"/>
          <w:highlight w:val="none"/>
        </w:rPr>
        <w:t>由此引发的后果由供应商承担。</w:t>
      </w:r>
    </w:p>
    <w:p w14:paraId="72282DD5">
      <w:pPr>
        <w:spacing w:before="248" w:line="343" w:lineRule="auto"/>
        <w:ind w:left="2" w:right="54" w:firstLine="434"/>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18.2</w:t>
      </w:r>
      <w:r>
        <w:rPr>
          <w:rFonts w:ascii="宋体" w:hAnsi="宋体" w:eastAsia="宋体" w:cs="宋体"/>
          <w:color w:val="auto"/>
          <w:spacing w:val="-24"/>
          <w:sz w:val="20"/>
          <w:szCs w:val="20"/>
          <w:highlight w:val="none"/>
        </w:rPr>
        <w:t xml:space="preserve"> </w:t>
      </w:r>
      <w:r>
        <w:rPr>
          <w:rFonts w:ascii="宋体" w:hAnsi="宋体" w:eastAsia="宋体" w:cs="宋体"/>
          <w:color w:val="auto"/>
          <w:spacing w:val="10"/>
          <w:sz w:val="20"/>
          <w:szCs w:val="20"/>
          <w:highlight w:val="none"/>
        </w:rPr>
        <w:t>响应文件应按资格证明、报价分别编制，商务技术文件合并编制，本磋商只接受电子</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版响应文件，要求见本章“</w:t>
      </w:r>
      <w:r>
        <w:rPr>
          <w:rFonts w:ascii="宋体" w:hAnsi="宋体" w:eastAsia="宋体" w:cs="宋体"/>
          <w:color w:val="auto"/>
          <w:spacing w:val="-76"/>
          <w:sz w:val="20"/>
          <w:szCs w:val="20"/>
          <w:highlight w:val="none"/>
        </w:rPr>
        <w:t xml:space="preserve"> </w:t>
      </w:r>
      <w:r>
        <w:rPr>
          <w:rFonts w:ascii="宋体" w:hAnsi="宋体" w:eastAsia="宋体" w:cs="宋体"/>
          <w:color w:val="auto"/>
          <w:spacing w:val="7"/>
          <w:sz w:val="20"/>
          <w:szCs w:val="20"/>
          <w:highlight w:val="none"/>
        </w:rPr>
        <w:t>12.2</w:t>
      </w:r>
      <w:r>
        <w:rPr>
          <w:rFonts w:ascii="宋体" w:hAnsi="宋体" w:eastAsia="宋体" w:cs="宋体"/>
          <w:color w:val="auto"/>
          <w:spacing w:val="-30"/>
          <w:sz w:val="20"/>
          <w:szCs w:val="20"/>
          <w:highlight w:val="none"/>
        </w:rPr>
        <w:t xml:space="preserve"> </w:t>
      </w:r>
      <w:r>
        <w:rPr>
          <w:rFonts w:ascii="宋体" w:hAnsi="宋体" w:eastAsia="宋体" w:cs="宋体"/>
          <w:color w:val="auto"/>
          <w:spacing w:val="7"/>
          <w:sz w:val="20"/>
          <w:szCs w:val="20"/>
          <w:highlight w:val="none"/>
        </w:rPr>
        <w:t>响应文件电子版要求</w:t>
      </w:r>
      <w:r>
        <w:rPr>
          <w:rFonts w:ascii="宋体" w:hAnsi="宋体" w:eastAsia="宋体" w:cs="宋体"/>
          <w:color w:val="auto"/>
          <w:spacing w:val="-72"/>
          <w:sz w:val="20"/>
          <w:szCs w:val="20"/>
          <w:highlight w:val="none"/>
        </w:rPr>
        <w:t xml:space="preserve"> </w:t>
      </w:r>
      <w:r>
        <w:rPr>
          <w:rFonts w:ascii="宋体" w:hAnsi="宋体" w:eastAsia="宋体" w:cs="宋体"/>
          <w:color w:val="auto"/>
          <w:spacing w:val="7"/>
          <w:sz w:val="20"/>
          <w:szCs w:val="20"/>
          <w:highlight w:val="none"/>
        </w:rPr>
        <w:t>”。</w:t>
      </w:r>
    </w:p>
    <w:p w14:paraId="2B4F36FF">
      <w:pPr>
        <w:spacing w:before="250" w:line="343" w:lineRule="auto"/>
        <w:ind w:left="1" w:right="56" w:firstLine="435"/>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18.3</w:t>
      </w:r>
      <w:r>
        <w:rPr>
          <w:rFonts w:ascii="宋体" w:hAnsi="宋体" w:eastAsia="宋体" w:cs="宋体"/>
          <w:color w:val="auto"/>
          <w:spacing w:val="-30"/>
          <w:sz w:val="20"/>
          <w:szCs w:val="20"/>
          <w:highlight w:val="none"/>
        </w:rPr>
        <w:t xml:space="preserve"> </w:t>
      </w:r>
      <w:r>
        <w:rPr>
          <w:rFonts w:ascii="宋体" w:hAnsi="宋体" w:eastAsia="宋体" w:cs="宋体"/>
          <w:color w:val="auto"/>
          <w:spacing w:val="7"/>
          <w:sz w:val="20"/>
          <w:szCs w:val="20"/>
          <w:highlight w:val="none"/>
        </w:rPr>
        <w:t>响应文件须由供应商在“第五章 响应文件格式</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”规定位置进行</w:t>
      </w:r>
      <w:r>
        <w:rPr>
          <w:rFonts w:ascii="宋体" w:hAnsi="宋体" w:eastAsia="宋体" w:cs="宋体"/>
          <w:color w:val="auto"/>
          <w:spacing w:val="6"/>
          <w:sz w:val="20"/>
          <w:szCs w:val="20"/>
          <w:highlight w:val="none"/>
        </w:rPr>
        <w:t>签署、盖章，否则其响</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应文件按无效响应处理。骑缝盖公章不视为在规定位置盖章。</w:t>
      </w:r>
    </w:p>
    <w:p w14:paraId="7943F924">
      <w:pPr>
        <w:spacing w:before="251" w:line="343" w:lineRule="auto"/>
        <w:ind w:left="3" w:right="54" w:firstLine="433"/>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18.4</w:t>
      </w:r>
      <w:r>
        <w:rPr>
          <w:rFonts w:ascii="宋体" w:hAnsi="宋体" w:eastAsia="宋体" w:cs="宋体"/>
          <w:color w:val="auto"/>
          <w:spacing w:val="-28"/>
          <w:sz w:val="20"/>
          <w:szCs w:val="20"/>
          <w:highlight w:val="none"/>
        </w:rPr>
        <w:t xml:space="preserve"> </w:t>
      </w:r>
      <w:r>
        <w:rPr>
          <w:rFonts w:ascii="宋体" w:hAnsi="宋体" w:eastAsia="宋体" w:cs="宋体"/>
          <w:color w:val="auto"/>
          <w:spacing w:val="9"/>
          <w:sz w:val="20"/>
          <w:szCs w:val="20"/>
          <w:highlight w:val="none"/>
        </w:rPr>
        <w:t>响应文件中标注的供应商名称应与营业执照（事业单位法人证书、执业</w:t>
      </w:r>
      <w:r>
        <w:rPr>
          <w:rFonts w:ascii="宋体" w:hAnsi="宋体" w:eastAsia="宋体" w:cs="宋体"/>
          <w:color w:val="auto"/>
          <w:spacing w:val="8"/>
          <w:sz w:val="20"/>
          <w:szCs w:val="20"/>
          <w:highlight w:val="none"/>
        </w:rPr>
        <w:t>许可证、</w:t>
      </w:r>
      <w:r>
        <w:rPr>
          <w:rFonts w:ascii="宋体" w:hAnsi="宋体" w:eastAsia="宋体" w:cs="宋体"/>
          <w:color w:val="auto"/>
          <w:spacing w:val="-49"/>
          <w:sz w:val="20"/>
          <w:szCs w:val="20"/>
          <w:highlight w:val="none"/>
        </w:rPr>
        <w:t xml:space="preserve"> </w:t>
      </w:r>
      <w:r>
        <w:rPr>
          <w:rFonts w:ascii="宋体" w:hAnsi="宋体" w:eastAsia="宋体" w:cs="宋体"/>
          <w:color w:val="auto"/>
          <w:spacing w:val="8"/>
          <w:sz w:val="20"/>
          <w:szCs w:val="20"/>
          <w:highlight w:val="none"/>
        </w:rPr>
        <w:t>自然</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人身份证）及电子公章一致，否则其响应文件按无效响应处理。</w:t>
      </w:r>
    </w:p>
    <w:p w14:paraId="56F80CC0">
      <w:pPr>
        <w:spacing w:before="250" w:line="228" w:lineRule="auto"/>
        <w:ind w:left="437"/>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18.5</w:t>
      </w:r>
      <w:r>
        <w:rPr>
          <w:rFonts w:ascii="宋体" w:hAnsi="宋体" w:eastAsia="宋体" w:cs="宋体"/>
          <w:color w:val="auto"/>
          <w:spacing w:val="-28"/>
          <w:sz w:val="20"/>
          <w:szCs w:val="20"/>
          <w:highlight w:val="none"/>
        </w:rPr>
        <w:t xml:space="preserve"> </w:t>
      </w:r>
      <w:r>
        <w:rPr>
          <w:rFonts w:ascii="宋体" w:hAnsi="宋体" w:eastAsia="宋体" w:cs="宋体"/>
          <w:color w:val="auto"/>
          <w:spacing w:val="8"/>
          <w:sz w:val="20"/>
          <w:szCs w:val="20"/>
          <w:highlight w:val="none"/>
        </w:rPr>
        <w:t>响应文件应避免涂改、行间插字或者删除，否则其响应文件按无效响应处理。</w:t>
      </w:r>
    </w:p>
    <w:p w14:paraId="7362B43B">
      <w:pPr>
        <w:spacing w:before="235" w:line="220" w:lineRule="auto"/>
        <w:ind w:left="440"/>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19.响应文件的密封和标记</w:t>
      </w:r>
    </w:p>
    <w:p w14:paraId="2DB586F3">
      <w:pPr>
        <w:spacing w:before="223" w:line="382" w:lineRule="auto"/>
        <w:ind w:right="53" w:firstLine="437"/>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19.1</w:t>
      </w:r>
      <w:r>
        <w:rPr>
          <w:rFonts w:ascii="宋体" w:hAnsi="宋体" w:eastAsia="宋体" w:cs="宋体"/>
          <w:color w:val="auto"/>
          <w:spacing w:val="-38"/>
          <w:sz w:val="20"/>
          <w:szCs w:val="20"/>
          <w:highlight w:val="none"/>
        </w:rPr>
        <w:t xml:space="preserve"> </w:t>
      </w:r>
      <w:r>
        <w:rPr>
          <w:rFonts w:ascii="宋体" w:hAnsi="宋体" w:eastAsia="宋体" w:cs="宋体"/>
          <w:color w:val="auto"/>
          <w:spacing w:val="10"/>
          <w:sz w:val="20"/>
          <w:szCs w:val="20"/>
          <w:highlight w:val="none"/>
        </w:rPr>
        <w:t>供应商进行电子交易应安装客户端软件—“政采</w:t>
      </w:r>
      <w:r>
        <w:rPr>
          <w:rFonts w:ascii="宋体" w:hAnsi="宋体" w:eastAsia="宋体" w:cs="宋体"/>
          <w:color w:val="auto"/>
          <w:spacing w:val="9"/>
          <w:sz w:val="20"/>
          <w:szCs w:val="20"/>
          <w:highlight w:val="none"/>
        </w:rPr>
        <w:t>云电子交易客户端</w:t>
      </w:r>
      <w:r>
        <w:rPr>
          <w:rFonts w:ascii="宋体" w:hAnsi="宋体" w:eastAsia="宋体" w:cs="宋体"/>
          <w:color w:val="auto"/>
          <w:spacing w:val="-70"/>
          <w:sz w:val="20"/>
          <w:szCs w:val="20"/>
          <w:highlight w:val="none"/>
        </w:rPr>
        <w:t xml:space="preserve"> </w:t>
      </w:r>
      <w:r>
        <w:rPr>
          <w:rFonts w:ascii="宋体" w:hAnsi="宋体" w:eastAsia="宋体" w:cs="宋体"/>
          <w:color w:val="auto"/>
          <w:spacing w:val="9"/>
          <w:sz w:val="20"/>
          <w:szCs w:val="20"/>
          <w:highlight w:val="none"/>
        </w:rPr>
        <w:t>”，并按照磋商文</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件和电子交易平台的要求编制并加密响应文件。供应商未按规</w:t>
      </w:r>
      <w:r>
        <w:rPr>
          <w:rFonts w:ascii="宋体" w:hAnsi="宋体" w:eastAsia="宋体" w:cs="宋体"/>
          <w:color w:val="auto"/>
          <w:spacing w:val="7"/>
          <w:sz w:val="20"/>
          <w:szCs w:val="20"/>
          <w:highlight w:val="none"/>
        </w:rPr>
        <w:t>定加密的响应文件，电子交易平台</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将拒收并提示。</w:t>
      </w:r>
    </w:p>
    <w:p w14:paraId="0B570928">
      <w:pPr>
        <w:spacing w:before="249" w:line="228" w:lineRule="auto"/>
        <w:ind w:left="437"/>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19.2</w:t>
      </w:r>
      <w:r>
        <w:rPr>
          <w:rFonts w:ascii="宋体" w:hAnsi="宋体" w:eastAsia="宋体" w:cs="宋体"/>
          <w:color w:val="auto"/>
          <w:spacing w:val="-40"/>
          <w:sz w:val="20"/>
          <w:szCs w:val="20"/>
          <w:highlight w:val="none"/>
        </w:rPr>
        <w:t xml:space="preserve"> </w:t>
      </w:r>
      <w:r>
        <w:rPr>
          <w:rFonts w:ascii="宋体" w:hAnsi="宋体" w:eastAsia="宋体" w:cs="宋体"/>
          <w:color w:val="auto"/>
          <w:spacing w:val="7"/>
          <w:sz w:val="20"/>
          <w:szCs w:val="20"/>
          <w:highlight w:val="none"/>
        </w:rPr>
        <w:t>使用“政采云电子交易客户端</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”需要提前申领</w:t>
      </w:r>
      <w:r>
        <w:rPr>
          <w:rFonts w:ascii="宋体" w:hAnsi="宋体" w:eastAsia="宋体" w:cs="宋体"/>
          <w:color w:val="auto"/>
          <w:spacing w:val="-38"/>
          <w:sz w:val="20"/>
          <w:szCs w:val="20"/>
          <w:highlight w:val="none"/>
        </w:rPr>
        <w:t xml:space="preserve"> </w:t>
      </w:r>
      <w:r>
        <w:rPr>
          <w:rFonts w:ascii="宋体" w:hAnsi="宋体" w:eastAsia="宋体" w:cs="宋体"/>
          <w:color w:val="auto"/>
          <w:sz w:val="20"/>
          <w:szCs w:val="20"/>
          <w:highlight w:val="none"/>
        </w:rPr>
        <w:t>CA</w:t>
      </w:r>
      <w:r>
        <w:rPr>
          <w:rFonts w:ascii="宋体" w:hAnsi="宋体" w:eastAsia="宋体" w:cs="宋体"/>
          <w:color w:val="auto"/>
          <w:spacing w:val="-39"/>
          <w:sz w:val="20"/>
          <w:szCs w:val="20"/>
          <w:highlight w:val="none"/>
        </w:rPr>
        <w:t xml:space="preserve"> </w:t>
      </w:r>
      <w:r>
        <w:rPr>
          <w:rFonts w:ascii="宋体" w:hAnsi="宋体" w:eastAsia="宋体" w:cs="宋体"/>
          <w:color w:val="auto"/>
          <w:spacing w:val="7"/>
          <w:sz w:val="20"/>
          <w:szCs w:val="20"/>
          <w:highlight w:val="none"/>
        </w:rPr>
        <w:t>数字证书，申领流程</w:t>
      </w:r>
      <w:r>
        <w:rPr>
          <w:rFonts w:ascii="宋体" w:hAnsi="宋体" w:eastAsia="宋体" w:cs="宋体"/>
          <w:color w:val="auto"/>
          <w:spacing w:val="6"/>
          <w:sz w:val="20"/>
          <w:szCs w:val="20"/>
          <w:highlight w:val="none"/>
        </w:rPr>
        <w:t>见该项目采购公</w:t>
      </w:r>
    </w:p>
    <w:p w14:paraId="0FB917ED">
      <w:pPr>
        <w:spacing w:line="228" w:lineRule="auto"/>
        <w:rPr>
          <w:rFonts w:ascii="宋体" w:hAnsi="宋体" w:eastAsia="宋体" w:cs="宋体"/>
          <w:color w:val="auto"/>
          <w:sz w:val="20"/>
          <w:szCs w:val="20"/>
          <w:highlight w:val="none"/>
        </w:rPr>
        <w:sectPr>
          <w:footerReference r:id="rId25" w:type="default"/>
          <w:pgSz w:w="11905" w:h="16839"/>
          <w:pgMar w:top="400" w:right="1533" w:bottom="1149" w:left="1592" w:header="0" w:footer="913" w:gutter="0"/>
          <w:pgNumType w:fmt="decimal"/>
          <w:cols w:space="720" w:num="1"/>
        </w:sectPr>
      </w:pPr>
    </w:p>
    <w:p w14:paraId="48AD9767">
      <w:pPr>
        <w:pStyle w:val="6"/>
        <w:spacing w:line="269" w:lineRule="auto"/>
        <w:rPr>
          <w:color w:val="auto"/>
          <w:highlight w:val="none"/>
        </w:rPr>
      </w:pPr>
    </w:p>
    <w:p w14:paraId="78C378BC">
      <w:pPr>
        <w:pStyle w:val="6"/>
        <w:spacing w:line="269" w:lineRule="auto"/>
        <w:rPr>
          <w:color w:val="auto"/>
          <w:highlight w:val="none"/>
        </w:rPr>
      </w:pPr>
    </w:p>
    <w:p w14:paraId="6EA0BE6E">
      <w:pPr>
        <w:pStyle w:val="6"/>
        <w:spacing w:line="270" w:lineRule="auto"/>
        <w:rPr>
          <w:color w:val="auto"/>
          <w:highlight w:val="none"/>
        </w:rPr>
      </w:pPr>
    </w:p>
    <w:p w14:paraId="017019DE">
      <w:pPr>
        <w:spacing w:before="65" w:line="227" w:lineRule="auto"/>
        <w:ind w:left="5"/>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告附件。</w:t>
      </w:r>
    </w:p>
    <w:p w14:paraId="1429AAC4">
      <w:pPr>
        <w:spacing w:before="248" w:line="454" w:lineRule="auto"/>
        <w:ind w:firstLine="436"/>
        <w:jc w:val="both"/>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19.3</w:t>
      </w:r>
      <w:r>
        <w:rPr>
          <w:rFonts w:ascii="宋体" w:hAnsi="宋体" w:eastAsia="宋体" w:cs="宋体"/>
          <w:color w:val="auto"/>
          <w:spacing w:val="-24"/>
          <w:sz w:val="20"/>
          <w:szCs w:val="20"/>
          <w:highlight w:val="none"/>
        </w:rPr>
        <w:t xml:space="preserve"> </w:t>
      </w:r>
      <w:r>
        <w:rPr>
          <w:rFonts w:ascii="宋体" w:hAnsi="宋体" w:eastAsia="宋体" w:cs="宋体"/>
          <w:color w:val="auto"/>
          <w:spacing w:val="5"/>
          <w:sz w:val="20"/>
          <w:szCs w:val="20"/>
          <w:highlight w:val="none"/>
        </w:rPr>
        <w:t>为确保网上操作合法、有效和安全，供应商应当在响应文件提交截止时间前完成在“政</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府采购云平台</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”的身份认证，确保在电子交易过程中能够对相关数据电文进行加密和使用电</w:t>
      </w:r>
      <w:r>
        <w:rPr>
          <w:rFonts w:ascii="宋体" w:hAnsi="宋体" w:eastAsia="宋体" w:cs="宋体"/>
          <w:color w:val="auto"/>
          <w:spacing w:val="6"/>
          <w:sz w:val="20"/>
          <w:szCs w:val="20"/>
          <w:highlight w:val="none"/>
        </w:rPr>
        <w:t>子签</w:t>
      </w:r>
      <w:r>
        <w:rPr>
          <w:rFonts w:ascii="宋体" w:hAnsi="宋体" w:eastAsia="宋体" w:cs="宋体"/>
          <w:color w:val="auto"/>
          <w:sz w:val="20"/>
          <w:szCs w:val="20"/>
          <w:highlight w:val="none"/>
        </w:rPr>
        <w:t xml:space="preserve"> 名。</w:t>
      </w:r>
    </w:p>
    <w:p w14:paraId="62E3BC07">
      <w:pPr>
        <w:spacing w:line="220" w:lineRule="auto"/>
        <w:ind w:left="424"/>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20.响应文件的提交</w:t>
      </w:r>
    </w:p>
    <w:p w14:paraId="70EDDDD5">
      <w:pPr>
        <w:spacing w:before="224" w:line="228" w:lineRule="auto"/>
        <w:ind w:left="42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20.1</w:t>
      </w:r>
      <w:r>
        <w:rPr>
          <w:rFonts w:ascii="宋体" w:hAnsi="宋体" w:eastAsia="宋体" w:cs="宋体"/>
          <w:color w:val="auto"/>
          <w:spacing w:val="-41"/>
          <w:sz w:val="20"/>
          <w:szCs w:val="20"/>
          <w:highlight w:val="none"/>
        </w:rPr>
        <w:t xml:space="preserve"> </w:t>
      </w:r>
      <w:r>
        <w:rPr>
          <w:rFonts w:ascii="宋体" w:hAnsi="宋体" w:eastAsia="宋体" w:cs="宋体"/>
          <w:color w:val="auto"/>
          <w:spacing w:val="8"/>
          <w:sz w:val="20"/>
          <w:szCs w:val="20"/>
          <w:highlight w:val="none"/>
        </w:rPr>
        <w:t>供应商必须在“供应商须知前附表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”规定的时</w:t>
      </w:r>
      <w:r>
        <w:rPr>
          <w:rFonts w:ascii="宋体" w:hAnsi="宋体" w:eastAsia="宋体" w:cs="宋体"/>
          <w:color w:val="auto"/>
          <w:spacing w:val="7"/>
          <w:sz w:val="20"/>
          <w:szCs w:val="20"/>
          <w:highlight w:val="none"/>
        </w:rPr>
        <w:t>间和地点提交响应文件。</w:t>
      </w:r>
    </w:p>
    <w:p w14:paraId="45A83571">
      <w:pPr>
        <w:spacing w:before="250" w:line="228" w:lineRule="auto"/>
        <w:ind w:left="42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20.2 在响应文件提交截止时间以后，不能补充、修改响应文件。</w:t>
      </w:r>
    </w:p>
    <w:p w14:paraId="4F15C4F0">
      <w:pPr>
        <w:spacing w:before="250" w:line="227" w:lineRule="auto"/>
        <w:ind w:left="423"/>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20.3 在提交“最后报价</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”后，供应商不能退出磋商。</w:t>
      </w:r>
    </w:p>
    <w:p w14:paraId="5102F15C">
      <w:pPr>
        <w:spacing w:before="251" w:line="381" w:lineRule="auto"/>
        <w:ind w:left="2" w:firstLine="42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20.4</w:t>
      </w:r>
      <w:r>
        <w:rPr>
          <w:rFonts w:ascii="宋体" w:hAnsi="宋体" w:eastAsia="宋体" w:cs="宋体"/>
          <w:color w:val="auto"/>
          <w:spacing w:val="37"/>
          <w:sz w:val="20"/>
          <w:szCs w:val="20"/>
          <w:highlight w:val="none"/>
        </w:rPr>
        <w:t xml:space="preserve"> </w:t>
      </w:r>
      <w:r>
        <w:rPr>
          <w:rFonts w:ascii="宋体" w:hAnsi="宋体" w:eastAsia="宋体" w:cs="宋体"/>
          <w:color w:val="auto"/>
          <w:spacing w:val="9"/>
          <w:sz w:val="20"/>
          <w:szCs w:val="20"/>
          <w:highlight w:val="none"/>
        </w:rPr>
        <w:t>电子交易平台收到响应文件，将妥善保存并即时向供应商发出确</w:t>
      </w:r>
      <w:r>
        <w:rPr>
          <w:rFonts w:ascii="宋体" w:hAnsi="宋体" w:eastAsia="宋体" w:cs="宋体"/>
          <w:color w:val="auto"/>
          <w:spacing w:val="8"/>
          <w:sz w:val="20"/>
          <w:szCs w:val="20"/>
          <w:highlight w:val="none"/>
        </w:rPr>
        <w:t>认回执通知。在响应</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文件提交截止时间前，除供应商补充、修改或者撤回响应文</w:t>
      </w:r>
      <w:r>
        <w:rPr>
          <w:rFonts w:ascii="宋体" w:hAnsi="宋体" w:eastAsia="宋体" w:cs="宋体"/>
          <w:color w:val="auto"/>
          <w:spacing w:val="7"/>
          <w:sz w:val="20"/>
          <w:szCs w:val="20"/>
          <w:highlight w:val="none"/>
        </w:rPr>
        <w:t>件外，任何单位和个人不得解密或提</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取响应文件。</w:t>
      </w:r>
    </w:p>
    <w:p w14:paraId="4959BBE5">
      <w:pPr>
        <w:spacing w:before="249" w:line="228" w:lineRule="auto"/>
        <w:ind w:left="42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20.5 采购机构不可视情况延长提交响应文件的截止时间。</w:t>
      </w:r>
    </w:p>
    <w:p w14:paraId="6DEE127D">
      <w:pPr>
        <w:spacing w:before="250" w:line="228" w:lineRule="auto"/>
        <w:ind w:left="42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20.6</w:t>
      </w:r>
      <w:r>
        <w:rPr>
          <w:rFonts w:ascii="宋体" w:hAnsi="宋体" w:eastAsia="宋体" w:cs="宋体"/>
          <w:color w:val="auto"/>
          <w:spacing w:val="-38"/>
          <w:sz w:val="20"/>
          <w:szCs w:val="20"/>
          <w:highlight w:val="none"/>
        </w:rPr>
        <w:t xml:space="preserve"> </w:t>
      </w:r>
      <w:r>
        <w:rPr>
          <w:rFonts w:ascii="宋体" w:hAnsi="宋体" w:eastAsia="宋体" w:cs="宋体"/>
          <w:color w:val="auto"/>
          <w:spacing w:val="8"/>
          <w:sz w:val="20"/>
          <w:szCs w:val="20"/>
          <w:highlight w:val="none"/>
        </w:rPr>
        <w:t>备份响应文件。详见在“供应商须知前附</w:t>
      </w:r>
      <w:r>
        <w:rPr>
          <w:rFonts w:ascii="宋体" w:hAnsi="宋体" w:eastAsia="宋体" w:cs="宋体"/>
          <w:color w:val="auto"/>
          <w:spacing w:val="7"/>
          <w:sz w:val="20"/>
          <w:szCs w:val="20"/>
          <w:highlight w:val="none"/>
        </w:rPr>
        <w:t>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w:t>
      </w:r>
    </w:p>
    <w:p w14:paraId="64DE26EA">
      <w:pPr>
        <w:spacing w:before="235" w:line="220" w:lineRule="auto"/>
        <w:ind w:left="42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21.首次响应文件的补充、修改与撤回</w:t>
      </w:r>
    </w:p>
    <w:p w14:paraId="49547B10">
      <w:pPr>
        <w:spacing w:before="225" w:line="228" w:lineRule="auto"/>
        <w:ind w:left="42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详见“供应商须知前附表</w:t>
      </w:r>
      <w:r>
        <w:rPr>
          <w:rFonts w:ascii="宋体" w:hAnsi="宋体" w:eastAsia="宋体" w:cs="宋体"/>
          <w:color w:val="auto"/>
          <w:spacing w:val="-68"/>
          <w:sz w:val="20"/>
          <w:szCs w:val="20"/>
          <w:highlight w:val="none"/>
        </w:rPr>
        <w:t xml:space="preserve"> </w:t>
      </w:r>
      <w:r>
        <w:rPr>
          <w:rFonts w:ascii="宋体" w:hAnsi="宋体" w:eastAsia="宋体" w:cs="宋体"/>
          <w:color w:val="auto"/>
          <w:spacing w:val="8"/>
          <w:sz w:val="20"/>
          <w:szCs w:val="20"/>
          <w:highlight w:val="none"/>
        </w:rPr>
        <w:t>”。</w:t>
      </w:r>
    </w:p>
    <w:p w14:paraId="3E7D8A6A">
      <w:pPr>
        <w:spacing w:before="236" w:line="220" w:lineRule="auto"/>
        <w:ind w:left="42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22.首次响应文件的退回</w:t>
      </w:r>
    </w:p>
    <w:p w14:paraId="0FC46860">
      <w:pPr>
        <w:spacing w:before="226" w:line="453" w:lineRule="auto"/>
        <w:ind w:left="3" w:right="2" w:firstLine="416"/>
        <w:jc w:val="both"/>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在首次响应文件提交截止时间止提交响应文件的供应商不足</w:t>
      </w:r>
      <w:r>
        <w:rPr>
          <w:rFonts w:ascii="宋体" w:hAnsi="宋体" w:eastAsia="宋体" w:cs="宋体"/>
          <w:color w:val="auto"/>
          <w:spacing w:val="-32"/>
          <w:sz w:val="20"/>
          <w:szCs w:val="20"/>
          <w:highlight w:val="none"/>
        </w:rPr>
        <w:t xml:space="preserve"> </w:t>
      </w:r>
      <w:r>
        <w:rPr>
          <w:rFonts w:ascii="宋体" w:hAnsi="宋体" w:eastAsia="宋体" w:cs="宋体"/>
          <w:color w:val="auto"/>
          <w:spacing w:val="12"/>
          <w:sz w:val="20"/>
          <w:szCs w:val="20"/>
          <w:highlight w:val="none"/>
        </w:rPr>
        <w:t>3</w:t>
      </w:r>
      <w:r>
        <w:rPr>
          <w:rFonts w:ascii="宋体" w:hAnsi="宋体" w:eastAsia="宋体" w:cs="宋体"/>
          <w:color w:val="auto"/>
          <w:spacing w:val="-34"/>
          <w:sz w:val="20"/>
          <w:szCs w:val="20"/>
          <w:highlight w:val="none"/>
        </w:rPr>
        <w:t xml:space="preserve"> </w:t>
      </w:r>
      <w:r>
        <w:rPr>
          <w:rFonts w:ascii="宋体" w:hAnsi="宋体" w:eastAsia="宋体" w:cs="宋体"/>
          <w:color w:val="auto"/>
          <w:spacing w:val="12"/>
          <w:sz w:val="20"/>
          <w:szCs w:val="20"/>
          <w:highlight w:val="none"/>
        </w:rPr>
        <w:t>家时电子响应文件由代</w:t>
      </w:r>
      <w:r>
        <w:rPr>
          <w:rFonts w:ascii="宋体" w:hAnsi="宋体" w:eastAsia="宋体" w:cs="宋体"/>
          <w:color w:val="auto"/>
          <w:spacing w:val="11"/>
          <w:sz w:val="20"/>
          <w:szCs w:val="20"/>
          <w:highlight w:val="none"/>
        </w:rPr>
        <w:t>理机</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构在广西政府采购云平台操作退回，除此之外采购人</w:t>
      </w:r>
      <w:r>
        <w:rPr>
          <w:rFonts w:ascii="宋体" w:hAnsi="宋体" w:eastAsia="宋体" w:cs="宋体"/>
          <w:color w:val="auto"/>
          <w:spacing w:val="7"/>
          <w:sz w:val="20"/>
          <w:szCs w:val="20"/>
          <w:highlight w:val="none"/>
        </w:rPr>
        <w:t>和采购代理机构对已提交的电子响应文件概</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不退回。</w:t>
      </w:r>
    </w:p>
    <w:p w14:paraId="2E4059C8">
      <w:pPr>
        <w:spacing w:before="1" w:line="220" w:lineRule="auto"/>
        <w:ind w:left="42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23.截止时间后的撤回</w:t>
      </w:r>
    </w:p>
    <w:p w14:paraId="26E96274">
      <w:pPr>
        <w:spacing w:before="224" w:line="460" w:lineRule="auto"/>
        <w:ind w:left="3" w:firstLine="418"/>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本项目不收取磋商保证金，供应商在首次响应文</w:t>
      </w:r>
      <w:r>
        <w:rPr>
          <w:rFonts w:ascii="宋体" w:hAnsi="宋体" w:eastAsia="宋体" w:cs="宋体"/>
          <w:color w:val="auto"/>
          <w:spacing w:val="7"/>
          <w:sz w:val="20"/>
          <w:szCs w:val="20"/>
          <w:highlight w:val="none"/>
        </w:rPr>
        <w:t>件提交截止时间后可向采购人、采购代理机</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构书面申请撤回电子响应文件。</w:t>
      </w:r>
    </w:p>
    <w:p w14:paraId="6C843D08">
      <w:pPr>
        <w:spacing w:before="28" w:line="226" w:lineRule="auto"/>
        <w:ind w:left="3596"/>
        <w:outlineLvl w:val="2"/>
        <w:rPr>
          <w:rFonts w:ascii="宋体" w:hAnsi="宋体" w:eastAsia="宋体" w:cs="宋体"/>
          <w:color w:val="auto"/>
          <w:sz w:val="31"/>
          <w:szCs w:val="31"/>
          <w:highlight w:val="none"/>
        </w:rPr>
      </w:pPr>
      <w:bookmarkStart w:id="8" w:name="_Toc27934"/>
      <w:r>
        <w:rPr>
          <w:rFonts w:ascii="宋体" w:hAnsi="宋体" w:eastAsia="宋体" w:cs="宋体"/>
          <w:b/>
          <w:bCs/>
          <w:color w:val="auto"/>
          <w:spacing w:val="1"/>
          <w:sz w:val="31"/>
          <w:szCs w:val="31"/>
          <w:highlight w:val="none"/>
        </w:rPr>
        <w:t>四、评审及磋商</w:t>
      </w:r>
      <w:bookmarkEnd w:id="8"/>
    </w:p>
    <w:p w14:paraId="0A6EE43C">
      <w:pPr>
        <w:spacing w:before="238" w:line="221" w:lineRule="auto"/>
        <w:ind w:left="424"/>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24.磋商小组成立</w:t>
      </w:r>
    </w:p>
    <w:p w14:paraId="04F01F32">
      <w:pPr>
        <w:spacing w:before="219" w:line="429" w:lineRule="auto"/>
        <w:ind w:right="2" w:firstLine="423"/>
        <w:jc w:val="both"/>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24.1</w:t>
      </w:r>
      <w:r>
        <w:rPr>
          <w:rFonts w:ascii="宋体" w:hAnsi="宋体" w:eastAsia="宋体" w:cs="宋体"/>
          <w:color w:val="auto"/>
          <w:spacing w:val="-39"/>
          <w:sz w:val="20"/>
          <w:szCs w:val="20"/>
          <w:highlight w:val="none"/>
        </w:rPr>
        <w:t xml:space="preserve"> </w:t>
      </w:r>
      <w:r>
        <w:rPr>
          <w:rFonts w:ascii="宋体" w:hAnsi="宋体" w:eastAsia="宋体" w:cs="宋体"/>
          <w:color w:val="auto"/>
          <w:spacing w:val="10"/>
          <w:sz w:val="20"/>
          <w:szCs w:val="20"/>
          <w:highlight w:val="none"/>
        </w:rPr>
        <w:t>磋商小组由采购人代表和评审专家共</w:t>
      </w:r>
      <w:r>
        <w:rPr>
          <w:rFonts w:ascii="宋体" w:hAnsi="宋体" w:eastAsia="宋体" w:cs="宋体"/>
          <w:color w:val="auto"/>
          <w:spacing w:val="-32"/>
          <w:sz w:val="20"/>
          <w:szCs w:val="20"/>
          <w:highlight w:val="none"/>
        </w:rPr>
        <w:t xml:space="preserve"> </w:t>
      </w:r>
      <w:r>
        <w:rPr>
          <w:rFonts w:ascii="宋体" w:hAnsi="宋体" w:eastAsia="宋体" w:cs="宋体"/>
          <w:color w:val="auto"/>
          <w:spacing w:val="10"/>
          <w:sz w:val="20"/>
          <w:szCs w:val="20"/>
          <w:highlight w:val="none"/>
        </w:rPr>
        <w:t>3</w:t>
      </w:r>
      <w:r>
        <w:rPr>
          <w:rFonts w:ascii="宋体" w:hAnsi="宋体" w:eastAsia="宋体" w:cs="宋体"/>
          <w:color w:val="auto"/>
          <w:spacing w:val="-36"/>
          <w:sz w:val="20"/>
          <w:szCs w:val="20"/>
          <w:highlight w:val="none"/>
        </w:rPr>
        <w:t xml:space="preserve"> </w:t>
      </w:r>
      <w:r>
        <w:rPr>
          <w:rFonts w:ascii="宋体" w:hAnsi="宋体" w:eastAsia="宋体" w:cs="宋体"/>
          <w:color w:val="auto"/>
          <w:spacing w:val="10"/>
          <w:sz w:val="20"/>
          <w:szCs w:val="20"/>
          <w:highlight w:val="none"/>
        </w:rPr>
        <w:t>人以上单数组成，其中评审专家</w:t>
      </w:r>
      <w:r>
        <w:rPr>
          <w:rFonts w:ascii="宋体" w:hAnsi="宋体" w:eastAsia="宋体" w:cs="宋体"/>
          <w:color w:val="auto"/>
          <w:spacing w:val="9"/>
          <w:sz w:val="20"/>
          <w:szCs w:val="20"/>
          <w:highlight w:val="none"/>
        </w:rPr>
        <w:t>人数不得少于</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磋商小组成员总数的</w:t>
      </w:r>
      <w:r>
        <w:rPr>
          <w:rFonts w:ascii="宋体" w:hAnsi="宋体" w:eastAsia="宋体" w:cs="宋体"/>
          <w:color w:val="auto"/>
          <w:spacing w:val="-24"/>
          <w:sz w:val="20"/>
          <w:szCs w:val="20"/>
          <w:highlight w:val="none"/>
        </w:rPr>
        <w:t xml:space="preserve"> </w:t>
      </w:r>
      <w:r>
        <w:rPr>
          <w:rFonts w:ascii="宋体" w:hAnsi="宋体" w:eastAsia="宋体" w:cs="宋体"/>
          <w:color w:val="auto"/>
          <w:spacing w:val="8"/>
          <w:sz w:val="20"/>
          <w:szCs w:val="20"/>
          <w:highlight w:val="none"/>
        </w:rPr>
        <w:t>2/3。采购人代表不得以评审专家身份参加本部门或者本单位采购项目的评</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审。采购代理机构人员不得参加本机构代理的采购项目的评</w:t>
      </w:r>
      <w:r>
        <w:rPr>
          <w:rFonts w:ascii="宋体" w:hAnsi="宋体" w:eastAsia="宋体" w:cs="宋体"/>
          <w:color w:val="auto"/>
          <w:spacing w:val="7"/>
          <w:sz w:val="20"/>
          <w:szCs w:val="20"/>
          <w:highlight w:val="none"/>
        </w:rPr>
        <w:t>审。达到公开招标数额标准的货物或</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者服务采购项目，或者达到公开招标规模标准的政府采购工</w:t>
      </w:r>
      <w:r>
        <w:rPr>
          <w:rFonts w:ascii="宋体" w:hAnsi="宋体" w:eastAsia="宋体" w:cs="宋体"/>
          <w:color w:val="auto"/>
          <w:spacing w:val="7"/>
          <w:sz w:val="20"/>
          <w:szCs w:val="20"/>
          <w:highlight w:val="none"/>
        </w:rPr>
        <w:t>程，经批准采用竞争性磋商方式采购</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的，磋商小组由</w:t>
      </w:r>
      <w:r>
        <w:rPr>
          <w:rFonts w:ascii="宋体" w:hAnsi="宋体" w:eastAsia="宋体" w:cs="宋体"/>
          <w:color w:val="auto"/>
          <w:spacing w:val="-36"/>
          <w:sz w:val="20"/>
          <w:szCs w:val="20"/>
          <w:highlight w:val="none"/>
        </w:rPr>
        <w:t xml:space="preserve"> </w:t>
      </w:r>
      <w:r>
        <w:rPr>
          <w:rFonts w:ascii="宋体" w:hAnsi="宋体" w:eastAsia="宋体" w:cs="宋体"/>
          <w:color w:val="auto"/>
          <w:spacing w:val="7"/>
          <w:sz w:val="20"/>
          <w:szCs w:val="20"/>
          <w:highlight w:val="none"/>
        </w:rPr>
        <w:t>5</w:t>
      </w:r>
      <w:r>
        <w:rPr>
          <w:rFonts w:ascii="宋体" w:hAnsi="宋体" w:eastAsia="宋体" w:cs="宋体"/>
          <w:color w:val="auto"/>
          <w:spacing w:val="-36"/>
          <w:sz w:val="20"/>
          <w:szCs w:val="20"/>
          <w:highlight w:val="none"/>
        </w:rPr>
        <w:t xml:space="preserve"> </w:t>
      </w:r>
      <w:r>
        <w:rPr>
          <w:rFonts w:ascii="宋体" w:hAnsi="宋体" w:eastAsia="宋体" w:cs="宋体"/>
          <w:color w:val="auto"/>
          <w:spacing w:val="7"/>
          <w:sz w:val="20"/>
          <w:szCs w:val="20"/>
          <w:highlight w:val="none"/>
        </w:rPr>
        <w:t>人以上单数组成。</w:t>
      </w:r>
    </w:p>
    <w:p w14:paraId="6F1C11BC">
      <w:pPr>
        <w:spacing w:line="429" w:lineRule="auto"/>
        <w:rPr>
          <w:rFonts w:ascii="宋体" w:hAnsi="宋体" w:eastAsia="宋体" w:cs="宋体"/>
          <w:color w:val="auto"/>
          <w:sz w:val="20"/>
          <w:szCs w:val="20"/>
          <w:highlight w:val="none"/>
        </w:rPr>
        <w:sectPr>
          <w:footerReference r:id="rId26" w:type="default"/>
          <w:pgSz w:w="11905" w:h="16839"/>
          <w:pgMar w:top="400" w:right="1587" w:bottom="1149" w:left="1593" w:header="0" w:footer="913" w:gutter="0"/>
          <w:pgNumType w:fmt="decimal"/>
          <w:cols w:space="720" w:num="1"/>
        </w:sectPr>
      </w:pPr>
    </w:p>
    <w:p w14:paraId="5601138C">
      <w:pPr>
        <w:pStyle w:val="6"/>
        <w:spacing w:line="268" w:lineRule="auto"/>
        <w:rPr>
          <w:color w:val="auto"/>
          <w:highlight w:val="none"/>
        </w:rPr>
      </w:pPr>
    </w:p>
    <w:p w14:paraId="3D4F1E4E">
      <w:pPr>
        <w:pStyle w:val="6"/>
        <w:spacing w:line="269" w:lineRule="auto"/>
        <w:rPr>
          <w:color w:val="auto"/>
          <w:highlight w:val="none"/>
        </w:rPr>
      </w:pPr>
    </w:p>
    <w:p w14:paraId="09C6348F">
      <w:pPr>
        <w:pStyle w:val="6"/>
        <w:spacing w:line="269" w:lineRule="auto"/>
        <w:rPr>
          <w:color w:val="auto"/>
          <w:highlight w:val="none"/>
        </w:rPr>
      </w:pPr>
    </w:p>
    <w:p w14:paraId="6A4754EF">
      <w:pPr>
        <w:spacing w:before="65" w:line="455" w:lineRule="auto"/>
        <w:ind w:right="69" w:firstLine="424"/>
        <w:jc w:val="both"/>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24.2</w:t>
      </w:r>
      <w:r>
        <w:rPr>
          <w:rFonts w:ascii="宋体" w:hAnsi="宋体" w:eastAsia="宋体" w:cs="宋体"/>
          <w:color w:val="auto"/>
          <w:spacing w:val="-39"/>
          <w:sz w:val="20"/>
          <w:szCs w:val="20"/>
          <w:highlight w:val="none"/>
        </w:rPr>
        <w:t xml:space="preserve"> </w:t>
      </w:r>
      <w:r>
        <w:rPr>
          <w:rFonts w:ascii="宋体" w:hAnsi="宋体" w:eastAsia="宋体" w:cs="宋体"/>
          <w:color w:val="auto"/>
          <w:spacing w:val="11"/>
          <w:sz w:val="20"/>
          <w:szCs w:val="20"/>
          <w:highlight w:val="none"/>
        </w:rPr>
        <w:t>评审专家应当从政府采购评审专家库内相关专业的专家</w:t>
      </w:r>
      <w:r>
        <w:rPr>
          <w:rFonts w:ascii="宋体" w:hAnsi="宋体" w:eastAsia="宋体" w:cs="宋体"/>
          <w:color w:val="auto"/>
          <w:spacing w:val="10"/>
          <w:sz w:val="20"/>
          <w:szCs w:val="20"/>
          <w:highlight w:val="none"/>
        </w:rPr>
        <w:t>名单中随机抽取。市场竞争不</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充分的科研项目，以及需要扶持的科技成果转化项目，以及情况特</w:t>
      </w:r>
      <w:r>
        <w:rPr>
          <w:rFonts w:ascii="宋体" w:hAnsi="宋体" w:eastAsia="宋体" w:cs="宋体"/>
          <w:color w:val="auto"/>
          <w:spacing w:val="7"/>
          <w:sz w:val="20"/>
          <w:szCs w:val="20"/>
          <w:highlight w:val="none"/>
        </w:rPr>
        <w:t>殊、通过随机方式难以确定合</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适的评审专家的项目，经主管预算单位同意，可以自行选定评</w:t>
      </w:r>
      <w:r>
        <w:rPr>
          <w:rFonts w:ascii="宋体" w:hAnsi="宋体" w:eastAsia="宋体" w:cs="宋体"/>
          <w:color w:val="auto"/>
          <w:spacing w:val="7"/>
          <w:sz w:val="20"/>
          <w:szCs w:val="20"/>
          <w:highlight w:val="none"/>
        </w:rPr>
        <w:t>审专家。技术复杂、专业性强的采</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购项目，评审专家中应当包含</w:t>
      </w:r>
      <w:r>
        <w:rPr>
          <w:rFonts w:ascii="宋体" w:hAnsi="宋体" w:eastAsia="宋体" w:cs="宋体"/>
          <w:color w:val="auto"/>
          <w:spacing w:val="-24"/>
          <w:sz w:val="20"/>
          <w:szCs w:val="20"/>
          <w:highlight w:val="none"/>
        </w:rPr>
        <w:t xml:space="preserve"> </w:t>
      </w:r>
      <w:r>
        <w:rPr>
          <w:rFonts w:ascii="宋体" w:hAnsi="宋体" w:eastAsia="宋体" w:cs="宋体"/>
          <w:color w:val="auto"/>
          <w:spacing w:val="7"/>
          <w:sz w:val="20"/>
          <w:szCs w:val="20"/>
          <w:highlight w:val="none"/>
        </w:rPr>
        <w:t>1</w:t>
      </w:r>
      <w:r>
        <w:rPr>
          <w:rFonts w:ascii="宋体" w:hAnsi="宋体" w:eastAsia="宋体" w:cs="宋体"/>
          <w:color w:val="auto"/>
          <w:spacing w:val="-35"/>
          <w:sz w:val="20"/>
          <w:szCs w:val="20"/>
          <w:highlight w:val="none"/>
        </w:rPr>
        <w:t xml:space="preserve"> </w:t>
      </w:r>
      <w:r>
        <w:rPr>
          <w:rFonts w:ascii="宋体" w:hAnsi="宋体" w:eastAsia="宋体" w:cs="宋体"/>
          <w:color w:val="auto"/>
          <w:spacing w:val="7"/>
          <w:sz w:val="20"/>
          <w:szCs w:val="20"/>
          <w:highlight w:val="none"/>
        </w:rPr>
        <w:t>名法律专家。</w:t>
      </w:r>
    </w:p>
    <w:p w14:paraId="64BEE694">
      <w:pPr>
        <w:spacing w:line="220" w:lineRule="auto"/>
        <w:ind w:left="425"/>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25.首次响应文件的开启</w:t>
      </w:r>
    </w:p>
    <w:p w14:paraId="4D25EEF5">
      <w:pPr>
        <w:spacing w:before="224" w:line="228" w:lineRule="auto"/>
        <w:jc w:val="right"/>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25.1</w:t>
      </w:r>
      <w:r>
        <w:rPr>
          <w:rFonts w:ascii="宋体" w:hAnsi="宋体" w:eastAsia="宋体" w:cs="宋体"/>
          <w:color w:val="auto"/>
          <w:spacing w:val="-37"/>
          <w:sz w:val="20"/>
          <w:szCs w:val="20"/>
          <w:highlight w:val="none"/>
        </w:rPr>
        <w:t xml:space="preserve"> </w:t>
      </w:r>
      <w:r>
        <w:rPr>
          <w:rFonts w:ascii="宋体" w:hAnsi="宋体" w:eastAsia="宋体" w:cs="宋体"/>
          <w:color w:val="auto"/>
          <w:spacing w:val="7"/>
          <w:sz w:val="20"/>
          <w:szCs w:val="20"/>
          <w:highlight w:val="none"/>
        </w:rPr>
        <w:t>首次响应文件由磋商小组或者采购代理机构</w:t>
      </w:r>
      <w:r>
        <w:rPr>
          <w:rFonts w:ascii="宋体" w:hAnsi="宋体" w:eastAsia="宋体" w:cs="宋体"/>
          <w:color w:val="auto"/>
          <w:spacing w:val="6"/>
          <w:sz w:val="20"/>
          <w:szCs w:val="20"/>
          <w:highlight w:val="none"/>
        </w:rPr>
        <w:t>在“供应商须知前附表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6"/>
          <w:sz w:val="20"/>
          <w:szCs w:val="20"/>
          <w:highlight w:val="none"/>
        </w:rPr>
        <w:t>”规定的时间开启。</w:t>
      </w:r>
    </w:p>
    <w:p w14:paraId="4D801B0B">
      <w:pPr>
        <w:spacing w:before="250" w:line="228" w:lineRule="auto"/>
        <w:ind w:left="424"/>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25.2</w:t>
      </w:r>
      <w:r>
        <w:rPr>
          <w:rFonts w:ascii="宋体" w:hAnsi="宋体" w:eastAsia="宋体" w:cs="宋体"/>
          <w:color w:val="auto"/>
          <w:spacing w:val="31"/>
          <w:sz w:val="20"/>
          <w:szCs w:val="20"/>
          <w:highlight w:val="none"/>
        </w:rPr>
        <w:t xml:space="preserve"> </w:t>
      </w:r>
      <w:r>
        <w:rPr>
          <w:rFonts w:ascii="宋体" w:hAnsi="宋体" w:eastAsia="宋体" w:cs="宋体"/>
          <w:color w:val="auto"/>
          <w:spacing w:val="4"/>
          <w:sz w:val="20"/>
          <w:szCs w:val="20"/>
          <w:highlight w:val="none"/>
        </w:rPr>
        <w:t>响应文件解密</w:t>
      </w:r>
    </w:p>
    <w:p w14:paraId="6CA2A02E">
      <w:pPr>
        <w:spacing w:before="251" w:line="458" w:lineRule="auto"/>
        <w:ind w:right="29" w:firstLine="420"/>
        <w:jc w:val="both"/>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采购代理机构将在“供应商须知前附表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”规定的时间通过电子交易平台组</w:t>
      </w:r>
      <w:r>
        <w:rPr>
          <w:rFonts w:ascii="宋体" w:hAnsi="宋体" w:eastAsia="宋体" w:cs="宋体"/>
          <w:color w:val="auto"/>
          <w:spacing w:val="7"/>
          <w:sz w:val="20"/>
          <w:szCs w:val="20"/>
          <w:highlight w:val="none"/>
        </w:rPr>
        <w:t>织响应文件开启，</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采购机构依托电子交易平台发起开始解密指令，供应商的法定代表人或其委托代理人</w:t>
      </w:r>
      <w:r>
        <w:rPr>
          <w:rFonts w:ascii="宋体" w:hAnsi="宋体" w:eastAsia="宋体" w:cs="宋体"/>
          <w:b/>
          <w:bCs/>
          <w:color w:val="auto"/>
          <w:spacing w:val="7"/>
          <w:sz w:val="20"/>
          <w:szCs w:val="20"/>
          <w:highlight w:val="none"/>
        </w:rPr>
        <w:t>须携带加密</w:t>
      </w:r>
      <w:r>
        <w:rPr>
          <w:rFonts w:ascii="宋体" w:hAnsi="宋体" w:eastAsia="宋体" w:cs="宋体"/>
          <w:color w:val="auto"/>
          <w:spacing w:val="16"/>
          <w:sz w:val="20"/>
          <w:szCs w:val="20"/>
          <w:highlight w:val="none"/>
        </w:rPr>
        <w:t xml:space="preserve"> </w:t>
      </w:r>
      <w:r>
        <w:rPr>
          <w:rFonts w:ascii="宋体" w:hAnsi="宋体" w:eastAsia="宋体" w:cs="宋体"/>
          <w:b/>
          <w:bCs/>
          <w:color w:val="auto"/>
          <w:spacing w:val="8"/>
          <w:sz w:val="20"/>
          <w:szCs w:val="20"/>
          <w:highlight w:val="none"/>
        </w:rPr>
        <w:t>时所用的</w:t>
      </w:r>
      <w:r>
        <w:rPr>
          <w:rFonts w:ascii="宋体" w:hAnsi="宋体" w:eastAsia="宋体" w:cs="宋体"/>
          <w:color w:val="auto"/>
          <w:spacing w:val="-41"/>
          <w:sz w:val="20"/>
          <w:szCs w:val="20"/>
          <w:highlight w:val="none"/>
        </w:rPr>
        <w:t xml:space="preserve"> </w:t>
      </w:r>
      <w:r>
        <w:rPr>
          <w:rFonts w:ascii="宋体" w:hAnsi="宋体" w:eastAsia="宋体" w:cs="宋体"/>
          <w:b/>
          <w:bCs/>
          <w:color w:val="auto"/>
          <w:sz w:val="20"/>
          <w:szCs w:val="20"/>
          <w:highlight w:val="none"/>
        </w:rPr>
        <w:t>CA</w:t>
      </w:r>
      <w:r>
        <w:rPr>
          <w:rFonts w:ascii="宋体" w:hAnsi="宋体" w:eastAsia="宋体" w:cs="宋体"/>
          <w:color w:val="auto"/>
          <w:spacing w:val="-47"/>
          <w:sz w:val="20"/>
          <w:szCs w:val="20"/>
          <w:highlight w:val="none"/>
        </w:rPr>
        <w:t xml:space="preserve"> </w:t>
      </w:r>
      <w:r>
        <w:rPr>
          <w:rFonts w:ascii="宋体" w:hAnsi="宋体" w:eastAsia="宋体" w:cs="宋体"/>
          <w:b/>
          <w:bCs/>
          <w:color w:val="auto"/>
          <w:spacing w:val="8"/>
          <w:sz w:val="20"/>
          <w:szCs w:val="20"/>
          <w:highlight w:val="none"/>
        </w:rPr>
        <w:t>锁按平台提示和采购文件的规定登录到广西政府采购云平台电子开标大厅签到并在</w:t>
      </w:r>
      <w:r>
        <w:rPr>
          <w:rFonts w:ascii="宋体" w:hAnsi="宋体" w:eastAsia="宋体" w:cs="宋体"/>
          <w:color w:val="auto"/>
          <w:sz w:val="20"/>
          <w:szCs w:val="20"/>
          <w:highlight w:val="none"/>
        </w:rPr>
        <w:t xml:space="preserve">  </w:t>
      </w:r>
      <w:r>
        <w:rPr>
          <w:rFonts w:ascii="宋体" w:hAnsi="宋体" w:eastAsia="宋体" w:cs="宋体"/>
          <w:b/>
          <w:bCs/>
          <w:color w:val="auto"/>
          <w:spacing w:val="7"/>
          <w:sz w:val="20"/>
          <w:szCs w:val="20"/>
          <w:highlight w:val="none"/>
        </w:rPr>
        <w:t>发起解密指令之时起</w:t>
      </w:r>
      <w:r>
        <w:rPr>
          <w:rFonts w:ascii="宋体" w:hAnsi="宋体" w:eastAsia="宋体" w:cs="宋体"/>
          <w:color w:val="auto"/>
          <w:spacing w:val="-25"/>
          <w:sz w:val="20"/>
          <w:szCs w:val="20"/>
          <w:highlight w:val="none"/>
        </w:rPr>
        <w:t xml:space="preserve"> </w:t>
      </w:r>
      <w:r>
        <w:rPr>
          <w:rFonts w:ascii="宋体" w:hAnsi="宋体" w:eastAsia="宋体" w:cs="宋体"/>
          <w:b/>
          <w:bCs/>
          <w:color w:val="auto"/>
          <w:spacing w:val="7"/>
          <w:sz w:val="20"/>
          <w:szCs w:val="20"/>
          <w:highlight w:val="none"/>
        </w:rPr>
        <w:t>30</w:t>
      </w:r>
      <w:r>
        <w:rPr>
          <w:rFonts w:ascii="宋体" w:hAnsi="宋体" w:eastAsia="宋体" w:cs="宋体"/>
          <w:color w:val="auto"/>
          <w:spacing w:val="-35"/>
          <w:sz w:val="20"/>
          <w:szCs w:val="20"/>
          <w:highlight w:val="none"/>
        </w:rPr>
        <w:t xml:space="preserve"> </w:t>
      </w:r>
      <w:r>
        <w:rPr>
          <w:rFonts w:ascii="宋体" w:hAnsi="宋体" w:eastAsia="宋体" w:cs="宋体"/>
          <w:b/>
          <w:bCs/>
          <w:color w:val="auto"/>
          <w:spacing w:val="7"/>
          <w:sz w:val="20"/>
          <w:szCs w:val="20"/>
          <w:highlight w:val="none"/>
        </w:rPr>
        <w:t>分钟内完成对电子响应文件在线解密</w:t>
      </w:r>
      <w:r>
        <w:rPr>
          <w:rFonts w:ascii="宋体" w:hAnsi="宋体" w:eastAsia="宋体" w:cs="宋体"/>
          <w:color w:val="auto"/>
          <w:spacing w:val="7"/>
          <w:sz w:val="20"/>
          <w:szCs w:val="20"/>
          <w:highlight w:val="none"/>
        </w:rPr>
        <w:t>。发起解密指令之时起</w:t>
      </w:r>
      <w:r>
        <w:rPr>
          <w:rFonts w:ascii="宋体" w:hAnsi="宋体" w:eastAsia="宋体" w:cs="宋体"/>
          <w:color w:val="auto"/>
          <w:spacing w:val="-35"/>
          <w:sz w:val="20"/>
          <w:szCs w:val="20"/>
          <w:highlight w:val="none"/>
        </w:rPr>
        <w:t xml:space="preserve"> </w:t>
      </w:r>
      <w:r>
        <w:rPr>
          <w:rFonts w:ascii="宋体" w:hAnsi="宋体" w:eastAsia="宋体" w:cs="宋体"/>
          <w:color w:val="auto"/>
          <w:spacing w:val="7"/>
          <w:sz w:val="20"/>
          <w:szCs w:val="20"/>
          <w:highlight w:val="none"/>
        </w:rPr>
        <w:t>5</w:t>
      </w:r>
      <w:r>
        <w:rPr>
          <w:rFonts w:ascii="宋体" w:hAnsi="宋体" w:eastAsia="宋体" w:cs="宋体"/>
          <w:color w:val="auto"/>
          <w:spacing w:val="-36"/>
          <w:sz w:val="20"/>
          <w:szCs w:val="20"/>
          <w:highlight w:val="none"/>
        </w:rPr>
        <w:t xml:space="preserve"> </w:t>
      </w:r>
      <w:r>
        <w:rPr>
          <w:rFonts w:ascii="宋体" w:hAnsi="宋体" w:eastAsia="宋体" w:cs="宋体"/>
          <w:color w:val="auto"/>
          <w:spacing w:val="7"/>
          <w:sz w:val="20"/>
          <w:szCs w:val="20"/>
          <w:highlight w:val="none"/>
        </w:rPr>
        <w:t>分钟内供</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应商还未进行解密的，代理机构要通知供应商，供应商没预</w:t>
      </w:r>
      <w:r>
        <w:rPr>
          <w:rFonts w:ascii="宋体" w:hAnsi="宋体" w:eastAsia="宋体" w:cs="宋体"/>
          <w:color w:val="auto"/>
          <w:spacing w:val="7"/>
          <w:sz w:val="20"/>
          <w:szCs w:val="20"/>
          <w:highlight w:val="none"/>
        </w:rPr>
        <w:t>留联系方式或预留联系方式无效，导</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致代理机构无法联系到供应商进行解密的，</w:t>
      </w:r>
      <w:r>
        <w:rPr>
          <w:rFonts w:ascii="宋体" w:hAnsi="宋体" w:eastAsia="宋体" w:cs="宋体"/>
          <w:b/>
          <w:bCs/>
          <w:color w:val="auto"/>
          <w:spacing w:val="7"/>
          <w:sz w:val="20"/>
          <w:szCs w:val="20"/>
          <w:highlight w:val="none"/>
        </w:rPr>
        <w:t>视为响应文件无效。</w:t>
      </w:r>
      <w:r>
        <w:rPr>
          <w:rFonts w:ascii="宋体" w:hAnsi="宋体" w:eastAsia="宋体" w:cs="宋体"/>
          <w:color w:val="auto"/>
          <w:spacing w:val="7"/>
          <w:sz w:val="20"/>
          <w:szCs w:val="20"/>
          <w:highlight w:val="none"/>
        </w:rPr>
        <w:t>（解密异常情况处理：详见本章</w:t>
      </w:r>
      <w:r>
        <w:rPr>
          <w:rFonts w:ascii="宋体" w:hAnsi="宋体" w:eastAsia="宋体" w:cs="宋体"/>
          <w:color w:val="auto"/>
          <w:spacing w:val="10"/>
          <w:sz w:val="20"/>
          <w:szCs w:val="20"/>
          <w:highlight w:val="none"/>
        </w:rPr>
        <w:t xml:space="preserve"> </w:t>
      </w:r>
      <w:r>
        <w:rPr>
          <w:rFonts w:ascii="宋体" w:hAnsi="宋体" w:eastAsia="宋体" w:cs="宋体"/>
          <w:color w:val="auto"/>
          <w:spacing w:val="4"/>
          <w:sz w:val="20"/>
          <w:szCs w:val="20"/>
          <w:highlight w:val="none"/>
        </w:rPr>
        <w:t>26.3</w:t>
      </w:r>
      <w:r>
        <w:rPr>
          <w:rFonts w:ascii="宋体" w:hAnsi="宋体" w:eastAsia="宋体" w:cs="宋体"/>
          <w:color w:val="auto"/>
          <w:spacing w:val="49"/>
          <w:sz w:val="20"/>
          <w:szCs w:val="20"/>
          <w:highlight w:val="none"/>
        </w:rPr>
        <w:t xml:space="preserve"> </w:t>
      </w:r>
      <w:r>
        <w:rPr>
          <w:rFonts w:ascii="宋体" w:hAnsi="宋体" w:eastAsia="宋体" w:cs="宋体"/>
          <w:color w:val="auto"/>
          <w:spacing w:val="4"/>
          <w:sz w:val="20"/>
          <w:szCs w:val="20"/>
          <w:highlight w:val="none"/>
        </w:rPr>
        <w:t>电子交易活动的中止。）</w:t>
      </w:r>
    </w:p>
    <w:p w14:paraId="35FA2BA1">
      <w:pPr>
        <w:spacing w:before="2" w:line="451" w:lineRule="auto"/>
        <w:ind w:right="69" w:firstLine="424"/>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如供应商成功解密响应文件，但未在“政采云</w:t>
      </w:r>
      <w:r>
        <w:rPr>
          <w:rFonts w:ascii="宋体" w:hAnsi="宋体" w:eastAsia="宋体" w:cs="宋体"/>
          <w:color w:val="auto"/>
          <w:spacing w:val="-73"/>
          <w:sz w:val="20"/>
          <w:szCs w:val="20"/>
          <w:highlight w:val="none"/>
        </w:rPr>
        <w:t xml:space="preserve"> </w:t>
      </w:r>
      <w:r>
        <w:rPr>
          <w:rFonts w:ascii="宋体" w:hAnsi="宋体" w:eastAsia="宋体" w:cs="宋体"/>
          <w:color w:val="auto"/>
          <w:spacing w:val="7"/>
          <w:sz w:val="20"/>
          <w:szCs w:val="20"/>
          <w:highlight w:val="none"/>
        </w:rPr>
        <w:t>”电子开标大厅参加磋商</w:t>
      </w:r>
      <w:r>
        <w:rPr>
          <w:rFonts w:ascii="宋体" w:hAnsi="宋体" w:eastAsia="宋体" w:cs="宋体"/>
          <w:color w:val="auto"/>
          <w:spacing w:val="6"/>
          <w:sz w:val="20"/>
          <w:szCs w:val="20"/>
          <w:highlight w:val="none"/>
        </w:rPr>
        <w:t>的，视同认可磋商过</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程和结果，</w:t>
      </w:r>
      <w:r>
        <w:rPr>
          <w:rFonts w:ascii="宋体" w:hAnsi="宋体" w:eastAsia="宋体" w:cs="宋体"/>
          <w:color w:val="auto"/>
          <w:spacing w:val="-59"/>
          <w:sz w:val="20"/>
          <w:szCs w:val="20"/>
          <w:highlight w:val="none"/>
        </w:rPr>
        <w:t xml:space="preserve"> </w:t>
      </w:r>
      <w:r>
        <w:rPr>
          <w:rFonts w:ascii="宋体" w:hAnsi="宋体" w:eastAsia="宋体" w:cs="宋体"/>
          <w:color w:val="auto"/>
          <w:spacing w:val="8"/>
          <w:sz w:val="20"/>
          <w:szCs w:val="20"/>
          <w:highlight w:val="none"/>
        </w:rPr>
        <w:t>由此产生的后果由供应商自行负责。 参与磋商的</w:t>
      </w:r>
      <w:r>
        <w:rPr>
          <w:rFonts w:ascii="宋体" w:hAnsi="宋体" w:eastAsia="宋体" w:cs="宋体"/>
          <w:color w:val="auto"/>
          <w:spacing w:val="7"/>
          <w:sz w:val="20"/>
          <w:szCs w:val="20"/>
          <w:highlight w:val="none"/>
        </w:rPr>
        <w:t>供应商不足</w:t>
      </w:r>
      <w:r>
        <w:rPr>
          <w:rFonts w:ascii="宋体" w:hAnsi="宋体" w:eastAsia="宋体" w:cs="宋体"/>
          <w:color w:val="auto"/>
          <w:spacing w:val="-33"/>
          <w:sz w:val="20"/>
          <w:szCs w:val="20"/>
          <w:highlight w:val="none"/>
        </w:rPr>
        <w:t xml:space="preserve"> </w:t>
      </w:r>
      <w:r>
        <w:rPr>
          <w:rFonts w:ascii="宋体" w:hAnsi="宋体" w:eastAsia="宋体" w:cs="宋体"/>
          <w:color w:val="auto"/>
          <w:spacing w:val="7"/>
          <w:sz w:val="20"/>
          <w:szCs w:val="20"/>
          <w:highlight w:val="none"/>
        </w:rPr>
        <w:t>3</w:t>
      </w:r>
      <w:r>
        <w:rPr>
          <w:rFonts w:ascii="宋体" w:hAnsi="宋体" w:eastAsia="宋体" w:cs="宋体"/>
          <w:color w:val="auto"/>
          <w:spacing w:val="-36"/>
          <w:sz w:val="20"/>
          <w:szCs w:val="20"/>
          <w:highlight w:val="none"/>
        </w:rPr>
        <w:t xml:space="preserve"> </w:t>
      </w:r>
      <w:r>
        <w:rPr>
          <w:rFonts w:ascii="宋体" w:hAnsi="宋体" w:eastAsia="宋体" w:cs="宋体"/>
          <w:color w:val="auto"/>
          <w:spacing w:val="7"/>
          <w:sz w:val="20"/>
          <w:szCs w:val="20"/>
          <w:highlight w:val="none"/>
        </w:rPr>
        <w:t>家的，不得磋商。</w:t>
      </w:r>
    </w:p>
    <w:p w14:paraId="6C5EC6EB">
      <w:pPr>
        <w:spacing w:before="1" w:line="220" w:lineRule="auto"/>
        <w:ind w:left="425"/>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26.评审程序、评审方法和评审标准</w:t>
      </w:r>
    </w:p>
    <w:p w14:paraId="683C40CF">
      <w:pPr>
        <w:spacing w:before="221" w:line="344" w:lineRule="auto"/>
        <w:ind w:left="3" w:right="69" w:firstLine="42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26.1</w:t>
      </w:r>
      <w:r>
        <w:rPr>
          <w:rFonts w:ascii="宋体" w:hAnsi="宋体" w:eastAsia="宋体" w:cs="宋体"/>
          <w:color w:val="auto"/>
          <w:spacing w:val="-41"/>
          <w:sz w:val="20"/>
          <w:szCs w:val="20"/>
          <w:highlight w:val="none"/>
        </w:rPr>
        <w:t xml:space="preserve"> </w:t>
      </w:r>
      <w:r>
        <w:rPr>
          <w:rFonts w:ascii="宋体" w:hAnsi="宋体" w:eastAsia="宋体" w:cs="宋体"/>
          <w:color w:val="auto"/>
          <w:spacing w:val="8"/>
          <w:sz w:val="20"/>
          <w:szCs w:val="20"/>
          <w:highlight w:val="none"/>
        </w:rPr>
        <w:t>磋商小组按照“第四章 评审程序</w:t>
      </w:r>
      <w:r>
        <w:rPr>
          <w:rFonts w:ascii="宋体" w:hAnsi="宋体" w:eastAsia="宋体" w:cs="宋体"/>
          <w:color w:val="auto"/>
          <w:spacing w:val="7"/>
          <w:sz w:val="20"/>
          <w:szCs w:val="20"/>
          <w:highlight w:val="none"/>
        </w:rPr>
        <w:t>、评审方法和评审标准</w:t>
      </w:r>
      <w:r>
        <w:rPr>
          <w:rFonts w:ascii="宋体" w:hAnsi="宋体" w:eastAsia="宋体" w:cs="宋体"/>
          <w:color w:val="auto"/>
          <w:spacing w:val="-73"/>
          <w:sz w:val="20"/>
          <w:szCs w:val="20"/>
          <w:highlight w:val="none"/>
        </w:rPr>
        <w:t xml:space="preserve"> </w:t>
      </w:r>
      <w:r>
        <w:rPr>
          <w:rFonts w:ascii="宋体" w:hAnsi="宋体" w:eastAsia="宋体" w:cs="宋体"/>
          <w:color w:val="auto"/>
          <w:spacing w:val="7"/>
          <w:sz w:val="20"/>
          <w:szCs w:val="20"/>
          <w:highlight w:val="none"/>
        </w:rPr>
        <w:t>”规定的方法、评审因素、标</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准和程序对响应文件进行评审。</w:t>
      </w:r>
    </w:p>
    <w:p w14:paraId="3A693A82">
      <w:pPr>
        <w:spacing w:before="249" w:line="343" w:lineRule="auto"/>
        <w:ind w:right="71" w:firstLine="424"/>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26.2 磋商文件内容违反国家有关强制</w:t>
      </w:r>
      <w:r>
        <w:rPr>
          <w:rFonts w:ascii="宋体" w:hAnsi="宋体" w:eastAsia="宋体" w:cs="宋体"/>
          <w:color w:val="auto"/>
          <w:spacing w:val="9"/>
          <w:sz w:val="20"/>
          <w:szCs w:val="20"/>
          <w:highlight w:val="none"/>
        </w:rPr>
        <w:t>性规定的，磋商小组应当停止评审并向采购人或者采</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购代理机构说明情况，并在评审报告中书面体现。</w:t>
      </w:r>
    </w:p>
    <w:p w14:paraId="0510B9DB">
      <w:pPr>
        <w:spacing w:before="251" w:line="228" w:lineRule="auto"/>
        <w:ind w:left="424"/>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26.3 采购需求负偏离要求及磋商顺序详见“ 供应商须知前附表</w:t>
      </w:r>
      <w:r>
        <w:rPr>
          <w:rFonts w:ascii="宋体" w:hAnsi="宋体" w:eastAsia="宋体" w:cs="宋体"/>
          <w:color w:val="auto"/>
          <w:spacing w:val="-56"/>
          <w:sz w:val="20"/>
          <w:szCs w:val="20"/>
          <w:highlight w:val="none"/>
        </w:rPr>
        <w:t xml:space="preserve"> </w:t>
      </w:r>
      <w:r>
        <w:rPr>
          <w:rFonts w:ascii="宋体" w:hAnsi="宋体" w:eastAsia="宋体" w:cs="宋体"/>
          <w:color w:val="auto"/>
          <w:spacing w:val="8"/>
          <w:sz w:val="20"/>
          <w:szCs w:val="20"/>
          <w:highlight w:val="none"/>
        </w:rPr>
        <w:t>”。</w:t>
      </w:r>
    </w:p>
    <w:p w14:paraId="703D08BD">
      <w:pPr>
        <w:spacing w:before="250" w:line="343" w:lineRule="auto"/>
        <w:ind w:left="4" w:right="119" w:firstLine="42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26.4</w:t>
      </w:r>
      <w:r>
        <w:rPr>
          <w:rFonts w:ascii="宋体" w:hAnsi="宋体" w:eastAsia="宋体" w:cs="宋体"/>
          <w:color w:val="auto"/>
          <w:spacing w:val="-14"/>
          <w:sz w:val="20"/>
          <w:szCs w:val="20"/>
          <w:highlight w:val="none"/>
        </w:rPr>
        <w:t xml:space="preserve"> </w:t>
      </w:r>
      <w:r>
        <w:rPr>
          <w:rFonts w:ascii="宋体" w:hAnsi="宋体" w:eastAsia="宋体" w:cs="宋体"/>
          <w:color w:val="auto"/>
          <w:spacing w:val="9"/>
          <w:sz w:val="20"/>
          <w:szCs w:val="20"/>
          <w:highlight w:val="none"/>
        </w:rPr>
        <w:t>电子交易活动的中止。采购过程中出现以下情形，导致电子交易平台无</w:t>
      </w:r>
      <w:r>
        <w:rPr>
          <w:rFonts w:ascii="宋体" w:hAnsi="宋体" w:eastAsia="宋体" w:cs="宋体"/>
          <w:color w:val="auto"/>
          <w:spacing w:val="8"/>
          <w:sz w:val="20"/>
          <w:szCs w:val="20"/>
          <w:highlight w:val="none"/>
        </w:rPr>
        <w:t>法正常运行，</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或者无法保证电子交易的公平、公正和安全时，采购机构可中止电子交易活动：</w:t>
      </w:r>
    </w:p>
    <w:p w14:paraId="1E68DEEE">
      <w:pPr>
        <w:spacing w:before="251" w:line="228" w:lineRule="auto"/>
        <w:ind w:left="431"/>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（1）</w:t>
      </w:r>
      <w:r>
        <w:rPr>
          <w:rFonts w:ascii="宋体" w:hAnsi="宋体" w:eastAsia="宋体" w:cs="宋体"/>
          <w:color w:val="auto"/>
          <w:spacing w:val="-49"/>
          <w:sz w:val="20"/>
          <w:szCs w:val="20"/>
          <w:highlight w:val="none"/>
        </w:rPr>
        <w:t xml:space="preserve"> </w:t>
      </w:r>
      <w:r>
        <w:rPr>
          <w:rFonts w:ascii="宋体" w:hAnsi="宋体" w:eastAsia="宋体" w:cs="宋体"/>
          <w:color w:val="auto"/>
          <w:spacing w:val="6"/>
          <w:sz w:val="20"/>
          <w:szCs w:val="20"/>
          <w:highlight w:val="none"/>
        </w:rPr>
        <w:t>电子交易平台发生故障而无法登录访问的；</w:t>
      </w:r>
    </w:p>
    <w:p w14:paraId="5F1FDE19">
      <w:pPr>
        <w:spacing w:before="247" w:line="228" w:lineRule="auto"/>
        <w:ind w:left="431"/>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（2）</w:t>
      </w:r>
      <w:r>
        <w:rPr>
          <w:rFonts w:ascii="宋体" w:hAnsi="宋体" w:eastAsia="宋体" w:cs="宋体"/>
          <w:color w:val="auto"/>
          <w:spacing w:val="-47"/>
          <w:sz w:val="20"/>
          <w:szCs w:val="20"/>
          <w:highlight w:val="none"/>
        </w:rPr>
        <w:t xml:space="preserve"> </w:t>
      </w:r>
      <w:r>
        <w:rPr>
          <w:rFonts w:ascii="宋体" w:hAnsi="宋体" w:eastAsia="宋体" w:cs="宋体"/>
          <w:color w:val="auto"/>
          <w:spacing w:val="7"/>
          <w:sz w:val="20"/>
          <w:szCs w:val="20"/>
          <w:highlight w:val="none"/>
        </w:rPr>
        <w:t>电子交易平台应用或数据库出现错误，不能进行正常操作的；</w:t>
      </w:r>
    </w:p>
    <w:p w14:paraId="4345FD8C">
      <w:pPr>
        <w:spacing w:before="249" w:line="229" w:lineRule="auto"/>
        <w:ind w:left="431"/>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（3）</w:t>
      </w:r>
      <w:r>
        <w:rPr>
          <w:rFonts w:ascii="宋体" w:hAnsi="宋体" w:eastAsia="宋体" w:cs="宋体"/>
          <w:color w:val="auto"/>
          <w:spacing w:val="-57"/>
          <w:sz w:val="20"/>
          <w:szCs w:val="20"/>
          <w:highlight w:val="none"/>
        </w:rPr>
        <w:t xml:space="preserve"> </w:t>
      </w:r>
      <w:r>
        <w:rPr>
          <w:rFonts w:ascii="宋体" w:hAnsi="宋体" w:eastAsia="宋体" w:cs="宋体"/>
          <w:color w:val="auto"/>
          <w:spacing w:val="7"/>
          <w:sz w:val="20"/>
          <w:szCs w:val="20"/>
          <w:highlight w:val="none"/>
        </w:rPr>
        <w:t>电子交易平台发现严重安全漏洞，有潜在泄密危险的；</w:t>
      </w:r>
    </w:p>
    <w:p w14:paraId="51127239">
      <w:pPr>
        <w:spacing w:before="249" w:line="228" w:lineRule="auto"/>
        <w:ind w:left="431"/>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（4）病毒发作导致不能进行正常操作的；</w:t>
      </w:r>
    </w:p>
    <w:p w14:paraId="6703ADD6">
      <w:pPr>
        <w:spacing w:before="250" w:line="229" w:lineRule="auto"/>
        <w:ind w:left="431"/>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（5）其他无法保证电子交易的公平、公正和安全的情况。</w:t>
      </w:r>
    </w:p>
    <w:p w14:paraId="705C8F61">
      <w:pPr>
        <w:spacing w:line="229" w:lineRule="auto"/>
        <w:rPr>
          <w:rFonts w:ascii="宋体" w:hAnsi="宋体" w:eastAsia="宋体" w:cs="宋体"/>
          <w:color w:val="auto"/>
          <w:sz w:val="20"/>
          <w:szCs w:val="20"/>
          <w:highlight w:val="none"/>
        </w:rPr>
        <w:sectPr>
          <w:footerReference r:id="rId27" w:type="default"/>
          <w:pgSz w:w="11905" w:h="16839"/>
          <w:pgMar w:top="400" w:right="1517" w:bottom="1149" w:left="1592" w:header="0" w:footer="913" w:gutter="0"/>
          <w:pgNumType w:fmt="decimal"/>
          <w:cols w:space="720" w:num="1"/>
        </w:sectPr>
      </w:pPr>
    </w:p>
    <w:p w14:paraId="162959D1">
      <w:pPr>
        <w:pStyle w:val="6"/>
        <w:spacing w:line="269" w:lineRule="auto"/>
        <w:rPr>
          <w:color w:val="auto"/>
          <w:highlight w:val="none"/>
        </w:rPr>
      </w:pPr>
    </w:p>
    <w:p w14:paraId="614144A7">
      <w:pPr>
        <w:pStyle w:val="6"/>
        <w:spacing w:line="269" w:lineRule="auto"/>
        <w:rPr>
          <w:color w:val="auto"/>
          <w:highlight w:val="none"/>
        </w:rPr>
      </w:pPr>
    </w:p>
    <w:p w14:paraId="0C80C835">
      <w:pPr>
        <w:pStyle w:val="6"/>
        <w:spacing w:line="270" w:lineRule="auto"/>
        <w:rPr>
          <w:color w:val="auto"/>
          <w:highlight w:val="none"/>
        </w:rPr>
      </w:pPr>
    </w:p>
    <w:p w14:paraId="040D2660">
      <w:pPr>
        <w:spacing w:before="65" w:line="458" w:lineRule="auto"/>
        <w:ind w:firstLine="423"/>
        <w:jc w:val="both"/>
        <w:rPr>
          <w:rFonts w:ascii="宋体" w:hAnsi="宋体" w:eastAsia="宋体" w:cs="宋体"/>
          <w:color w:val="auto"/>
          <w:spacing w:val="9"/>
          <w:sz w:val="20"/>
          <w:szCs w:val="20"/>
          <w:highlight w:val="none"/>
        </w:rPr>
      </w:pPr>
      <w:r>
        <w:rPr>
          <w:rFonts w:ascii="宋体" w:hAnsi="宋体" w:eastAsia="宋体" w:cs="宋体"/>
          <w:color w:val="auto"/>
          <w:spacing w:val="10"/>
          <w:sz w:val="20"/>
          <w:szCs w:val="20"/>
          <w:highlight w:val="none"/>
        </w:rPr>
        <w:t>26.5</w:t>
      </w:r>
      <w:r>
        <w:rPr>
          <w:rFonts w:ascii="宋体" w:hAnsi="宋体" w:eastAsia="宋体" w:cs="宋体"/>
          <w:color w:val="auto"/>
          <w:spacing w:val="-11"/>
          <w:sz w:val="20"/>
          <w:szCs w:val="20"/>
          <w:highlight w:val="none"/>
        </w:rPr>
        <w:t xml:space="preserve"> </w:t>
      </w:r>
      <w:r>
        <w:rPr>
          <w:rFonts w:ascii="宋体" w:hAnsi="宋体" w:eastAsia="宋体" w:cs="宋体"/>
          <w:color w:val="auto"/>
          <w:spacing w:val="10"/>
          <w:sz w:val="20"/>
          <w:szCs w:val="20"/>
          <w:highlight w:val="none"/>
        </w:rPr>
        <w:t>出现以上情形，不影响采购公平、公正性的，采购组织机构可以待上述情形消除后继</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续组织电子交易活动；影响或可能影响采购公平、公正性的</w:t>
      </w:r>
      <w:r>
        <w:rPr>
          <w:rFonts w:ascii="宋体" w:hAnsi="宋体" w:eastAsia="宋体" w:cs="宋体"/>
          <w:color w:val="auto"/>
          <w:spacing w:val="7"/>
          <w:sz w:val="20"/>
          <w:szCs w:val="20"/>
          <w:highlight w:val="none"/>
        </w:rPr>
        <w:t>，经采购代理机构确认后，应当重新</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采购。采购代理机构必须对原有的资料及信息作出妥善保密处理，并报财政部门备案。</w:t>
      </w:r>
    </w:p>
    <w:p w14:paraId="28BD0C06">
      <w:pPr>
        <w:spacing w:before="29" w:line="227" w:lineRule="auto"/>
        <w:ind w:left="3571"/>
        <w:outlineLvl w:val="2"/>
        <w:rPr>
          <w:rFonts w:ascii="宋体" w:hAnsi="宋体" w:eastAsia="宋体" w:cs="宋体"/>
          <w:color w:val="auto"/>
          <w:sz w:val="31"/>
          <w:szCs w:val="31"/>
          <w:highlight w:val="none"/>
        </w:rPr>
      </w:pPr>
      <w:bookmarkStart w:id="9" w:name="_Toc27033"/>
      <w:r>
        <w:rPr>
          <w:rFonts w:ascii="宋体" w:hAnsi="宋体" w:eastAsia="宋体" w:cs="宋体"/>
          <w:b/>
          <w:bCs/>
          <w:color w:val="auto"/>
          <w:spacing w:val="5"/>
          <w:sz w:val="31"/>
          <w:szCs w:val="31"/>
          <w:highlight w:val="none"/>
        </w:rPr>
        <w:t>五、成交及合同</w:t>
      </w:r>
      <w:bookmarkEnd w:id="9"/>
    </w:p>
    <w:p w14:paraId="062F6CD6">
      <w:pPr>
        <w:spacing w:before="235" w:line="219" w:lineRule="auto"/>
        <w:ind w:left="42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27.确定成交供应商及结果公告</w:t>
      </w:r>
    </w:p>
    <w:p w14:paraId="2FB69DBB">
      <w:pPr>
        <w:spacing w:before="227" w:line="343" w:lineRule="auto"/>
        <w:ind w:left="5" w:right="2" w:firstLine="418"/>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27.1</w:t>
      </w:r>
      <w:r>
        <w:rPr>
          <w:rFonts w:ascii="宋体" w:hAnsi="宋体" w:eastAsia="宋体" w:cs="宋体"/>
          <w:color w:val="auto"/>
          <w:spacing w:val="-29"/>
          <w:sz w:val="20"/>
          <w:szCs w:val="20"/>
          <w:highlight w:val="none"/>
        </w:rPr>
        <w:t xml:space="preserve"> </w:t>
      </w:r>
      <w:r>
        <w:rPr>
          <w:rFonts w:ascii="宋体" w:hAnsi="宋体" w:eastAsia="宋体" w:cs="宋体"/>
          <w:color w:val="auto"/>
          <w:spacing w:val="7"/>
          <w:sz w:val="20"/>
          <w:szCs w:val="20"/>
          <w:highlight w:val="none"/>
        </w:rPr>
        <w:t>确定成交供应商。</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由采购人直接委托评审专家确定，评审报告提出的排序第一的供应</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u w:val="single" w:color="auto"/>
        </w:rPr>
        <w:t>商为成交供应商。</w:t>
      </w:r>
    </w:p>
    <w:p w14:paraId="02CB886E">
      <w:pPr>
        <w:spacing w:before="250" w:line="412" w:lineRule="auto"/>
        <w:ind w:firstLine="422"/>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27.2</w:t>
      </w:r>
      <w:r>
        <w:rPr>
          <w:rFonts w:ascii="宋体" w:hAnsi="宋体" w:eastAsia="宋体" w:cs="宋体"/>
          <w:color w:val="auto"/>
          <w:spacing w:val="-36"/>
          <w:sz w:val="20"/>
          <w:szCs w:val="20"/>
          <w:highlight w:val="none"/>
        </w:rPr>
        <w:t xml:space="preserve"> </w:t>
      </w:r>
      <w:r>
        <w:rPr>
          <w:rFonts w:ascii="宋体" w:hAnsi="宋体" w:eastAsia="宋体" w:cs="宋体"/>
          <w:color w:val="auto"/>
          <w:spacing w:val="10"/>
          <w:sz w:val="20"/>
          <w:szCs w:val="20"/>
          <w:highlight w:val="none"/>
        </w:rPr>
        <w:t>成交通知及成交结果公告。成交供应商确定后</w:t>
      </w:r>
      <w:r>
        <w:rPr>
          <w:rFonts w:ascii="宋体" w:hAnsi="宋体" w:eastAsia="宋体" w:cs="宋体"/>
          <w:color w:val="auto"/>
          <w:spacing w:val="-34"/>
          <w:sz w:val="20"/>
          <w:szCs w:val="20"/>
          <w:highlight w:val="none"/>
        </w:rPr>
        <w:t xml:space="preserve"> </w:t>
      </w:r>
      <w:r>
        <w:rPr>
          <w:rFonts w:ascii="宋体" w:hAnsi="宋体" w:eastAsia="宋体" w:cs="宋体"/>
          <w:color w:val="auto"/>
          <w:spacing w:val="10"/>
          <w:sz w:val="20"/>
          <w:szCs w:val="20"/>
          <w:highlight w:val="none"/>
        </w:rPr>
        <w:t>2</w:t>
      </w:r>
      <w:r>
        <w:rPr>
          <w:rFonts w:ascii="宋体" w:hAnsi="宋体" w:eastAsia="宋体" w:cs="宋体"/>
          <w:color w:val="auto"/>
          <w:spacing w:val="-38"/>
          <w:sz w:val="20"/>
          <w:szCs w:val="20"/>
          <w:highlight w:val="none"/>
        </w:rPr>
        <w:t xml:space="preserve"> </w:t>
      </w:r>
      <w:r>
        <w:rPr>
          <w:rFonts w:ascii="宋体" w:hAnsi="宋体" w:eastAsia="宋体" w:cs="宋体"/>
          <w:color w:val="auto"/>
          <w:spacing w:val="10"/>
          <w:sz w:val="20"/>
          <w:szCs w:val="20"/>
          <w:highlight w:val="none"/>
        </w:rPr>
        <w:t>个工作日内，在省级以上</w:t>
      </w:r>
      <w:r>
        <w:rPr>
          <w:rFonts w:ascii="宋体" w:hAnsi="宋体" w:eastAsia="宋体" w:cs="宋体"/>
          <w:color w:val="auto"/>
          <w:spacing w:val="9"/>
          <w:sz w:val="20"/>
          <w:szCs w:val="20"/>
          <w:highlight w:val="none"/>
        </w:rPr>
        <w:t>财政部门指</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定的媒体上公告成交结果（成交通知及成交结果公告应使</w:t>
      </w:r>
      <w:r>
        <w:rPr>
          <w:rFonts w:ascii="宋体" w:hAnsi="宋体" w:eastAsia="宋体" w:cs="宋体"/>
          <w:color w:val="auto"/>
          <w:spacing w:val="7"/>
          <w:sz w:val="20"/>
          <w:szCs w:val="20"/>
          <w:highlight w:val="none"/>
        </w:rPr>
        <w:t>用南宁市模板进行公告，公告内容除包</w:t>
      </w:r>
      <w:r>
        <w:rPr>
          <w:rFonts w:ascii="宋体" w:hAnsi="宋体" w:eastAsia="宋体" w:cs="宋体"/>
          <w:color w:val="auto"/>
          <w:sz w:val="20"/>
          <w:szCs w:val="20"/>
          <w:highlight w:val="none"/>
        </w:rPr>
        <w:t xml:space="preserve"> </w:t>
      </w:r>
      <w:r>
        <w:rPr>
          <w:rFonts w:ascii="宋体" w:hAnsi="宋体" w:eastAsia="宋体" w:cs="宋体"/>
          <w:color w:val="auto"/>
          <w:spacing w:val="11"/>
          <w:sz w:val="20"/>
          <w:szCs w:val="20"/>
          <w:highlight w:val="none"/>
        </w:rPr>
        <w:t>含《政府采购公告和公示信息格式规范（2020</w:t>
      </w:r>
      <w:r>
        <w:rPr>
          <w:rFonts w:ascii="宋体" w:hAnsi="宋体" w:eastAsia="宋体" w:cs="宋体"/>
          <w:color w:val="auto"/>
          <w:spacing w:val="-37"/>
          <w:sz w:val="20"/>
          <w:szCs w:val="20"/>
          <w:highlight w:val="none"/>
        </w:rPr>
        <w:t xml:space="preserve"> </w:t>
      </w:r>
      <w:r>
        <w:rPr>
          <w:rFonts w:ascii="宋体" w:hAnsi="宋体" w:eastAsia="宋体" w:cs="宋体"/>
          <w:color w:val="auto"/>
          <w:spacing w:val="11"/>
          <w:sz w:val="20"/>
          <w:szCs w:val="20"/>
          <w:highlight w:val="none"/>
        </w:rPr>
        <w:t>年版）》要求内</w:t>
      </w:r>
      <w:r>
        <w:rPr>
          <w:rFonts w:ascii="宋体" w:hAnsi="宋体" w:eastAsia="宋体" w:cs="宋体"/>
          <w:color w:val="auto"/>
          <w:spacing w:val="10"/>
          <w:sz w:val="20"/>
          <w:szCs w:val="20"/>
          <w:highlight w:val="none"/>
        </w:rPr>
        <w:t>容外，还应包含采购人专门面向</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中小企业预留份额情况及成交供应商评审价格、优惠率等内容</w:t>
      </w:r>
      <w:r>
        <w:rPr>
          <w:rFonts w:ascii="宋体" w:hAnsi="宋体" w:eastAsia="宋体" w:cs="宋体"/>
          <w:color w:val="auto"/>
          <w:spacing w:val="1"/>
          <w:sz w:val="20"/>
          <w:szCs w:val="20"/>
          <w:highlight w:val="none"/>
        </w:rPr>
        <w:t>），</w:t>
      </w:r>
      <w:r>
        <w:rPr>
          <w:rFonts w:ascii="宋体" w:hAnsi="宋体" w:eastAsia="宋体" w:cs="宋体"/>
          <w:color w:val="auto"/>
          <w:spacing w:val="8"/>
          <w:sz w:val="20"/>
          <w:szCs w:val="20"/>
          <w:highlight w:val="none"/>
        </w:rPr>
        <w:t>同时向成交供应商发出成交通</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知书，成交通知书规定签订合同的时间不得超过</w:t>
      </w:r>
      <w:r>
        <w:rPr>
          <w:rFonts w:ascii="宋体" w:hAnsi="宋体" w:eastAsia="宋体" w:cs="宋体"/>
          <w:color w:val="auto"/>
          <w:spacing w:val="-31"/>
          <w:sz w:val="20"/>
          <w:szCs w:val="20"/>
          <w:highlight w:val="none"/>
        </w:rPr>
        <w:t xml:space="preserve"> </w:t>
      </w:r>
      <w:r>
        <w:rPr>
          <w:rFonts w:ascii="宋体" w:hAnsi="宋体" w:eastAsia="宋体" w:cs="宋体"/>
          <w:color w:val="auto"/>
          <w:spacing w:val="6"/>
          <w:sz w:val="20"/>
          <w:szCs w:val="20"/>
          <w:highlight w:val="none"/>
        </w:rPr>
        <w:t>25 日。</w:t>
      </w:r>
    </w:p>
    <w:p w14:paraId="3ABCBA01">
      <w:pPr>
        <w:spacing w:before="254" w:line="429" w:lineRule="auto"/>
        <w:ind w:firstLine="423"/>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27.3</w:t>
      </w:r>
      <w:r>
        <w:rPr>
          <w:rFonts w:ascii="宋体" w:hAnsi="宋体" w:eastAsia="宋体" w:cs="宋体"/>
          <w:color w:val="auto"/>
          <w:spacing w:val="-39"/>
          <w:sz w:val="20"/>
          <w:szCs w:val="20"/>
          <w:highlight w:val="none"/>
        </w:rPr>
        <w:t xml:space="preserve"> </w:t>
      </w:r>
      <w:r>
        <w:rPr>
          <w:rFonts w:ascii="宋体" w:hAnsi="宋体" w:eastAsia="宋体" w:cs="宋体"/>
          <w:color w:val="auto"/>
          <w:spacing w:val="11"/>
          <w:sz w:val="20"/>
          <w:szCs w:val="20"/>
          <w:highlight w:val="none"/>
        </w:rPr>
        <w:t>采购人或者采购代理机构发出成交通知书前，应当对成</w:t>
      </w:r>
      <w:r>
        <w:rPr>
          <w:rFonts w:ascii="宋体" w:hAnsi="宋体" w:eastAsia="宋体" w:cs="宋体"/>
          <w:color w:val="auto"/>
          <w:spacing w:val="10"/>
          <w:sz w:val="20"/>
          <w:szCs w:val="20"/>
          <w:highlight w:val="none"/>
        </w:rPr>
        <w:t>交供应商信用进行查询核实，</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对列入失信被执行人、重大税收违法案件当事人名单、政府</w:t>
      </w:r>
      <w:r>
        <w:rPr>
          <w:rFonts w:ascii="宋体" w:hAnsi="宋体" w:eastAsia="宋体" w:cs="宋体"/>
          <w:color w:val="auto"/>
          <w:spacing w:val="7"/>
          <w:sz w:val="20"/>
          <w:szCs w:val="20"/>
          <w:highlight w:val="none"/>
        </w:rPr>
        <w:t>采购严重违法失信行为记录名单及其</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他不符合《中华人民共和国政府采购法》第二十二条规定条</w:t>
      </w:r>
      <w:r>
        <w:rPr>
          <w:rFonts w:ascii="宋体" w:hAnsi="宋体" w:eastAsia="宋体" w:cs="宋体"/>
          <w:color w:val="auto"/>
          <w:spacing w:val="7"/>
          <w:sz w:val="20"/>
          <w:szCs w:val="20"/>
          <w:highlight w:val="none"/>
        </w:rPr>
        <w:t>件的供应商，取消其成交资格，并确</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定排名第二的成交候选人为成交供应商。排名第二的成交候</w:t>
      </w:r>
      <w:r>
        <w:rPr>
          <w:rFonts w:ascii="宋体" w:hAnsi="宋体" w:eastAsia="宋体" w:cs="宋体"/>
          <w:color w:val="auto"/>
          <w:spacing w:val="7"/>
          <w:sz w:val="20"/>
          <w:szCs w:val="20"/>
          <w:highlight w:val="none"/>
        </w:rPr>
        <w:t>选人因上述规定的同样原因被取消成</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交资格的，采购人可以确定排名第三的成交候选人为成交供</w:t>
      </w:r>
      <w:r>
        <w:rPr>
          <w:rFonts w:ascii="宋体" w:hAnsi="宋体" w:eastAsia="宋体" w:cs="宋体"/>
          <w:color w:val="auto"/>
          <w:spacing w:val="7"/>
          <w:sz w:val="20"/>
          <w:szCs w:val="20"/>
          <w:highlight w:val="none"/>
        </w:rPr>
        <w:t>应商，以此类推。以上信息查询记录</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及相关证据与竞磋文件一并保存。成交供应商享受《政府采购促进</w:t>
      </w:r>
      <w:r>
        <w:rPr>
          <w:rFonts w:ascii="宋体" w:hAnsi="宋体" w:eastAsia="宋体" w:cs="宋体"/>
          <w:color w:val="auto"/>
          <w:spacing w:val="7"/>
          <w:sz w:val="20"/>
          <w:szCs w:val="20"/>
          <w:highlight w:val="none"/>
        </w:rPr>
        <w:t>中小企业发展管理办法》（财</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库〔2020〕46</w:t>
      </w:r>
      <w:r>
        <w:rPr>
          <w:rFonts w:ascii="宋体" w:hAnsi="宋体" w:eastAsia="宋体" w:cs="宋体"/>
          <w:color w:val="auto"/>
          <w:spacing w:val="-18"/>
          <w:sz w:val="20"/>
          <w:szCs w:val="20"/>
          <w:highlight w:val="none"/>
        </w:rPr>
        <w:t xml:space="preserve"> </w:t>
      </w:r>
      <w:r>
        <w:rPr>
          <w:rFonts w:ascii="宋体" w:hAnsi="宋体" w:eastAsia="宋体" w:cs="宋体"/>
          <w:color w:val="auto"/>
          <w:spacing w:val="10"/>
          <w:sz w:val="20"/>
          <w:szCs w:val="20"/>
          <w:highlight w:val="none"/>
        </w:rPr>
        <w:t>号）规定的中小企业扶持政策的，采购人、采购代理机构应当随成交结果公开成</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交供应商的《中小企业声明函》。</w:t>
      </w:r>
    </w:p>
    <w:p w14:paraId="32504451">
      <w:pPr>
        <w:spacing w:before="249" w:line="382" w:lineRule="auto"/>
        <w:ind w:firstLine="422"/>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27.4</w:t>
      </w:r>
      <w:r>
        <w:rPr>
          <w:rFonts w:ascii="宋体" w:hAnsi="宋体" w:eastAsia="宋体" w:cs="宋体"/>
          <w:color w:val="auto"/>
          <w:spacing w:val="-39"/>
          <w:sz w:val="20"/>
          <w:szCs w:val="20"/>
          <w:highlight w:val="none"/>
        </w:rPr>
        <w:t xml:space="preserve"> </w:t>
      </w:r>
      <w:r>
        <w:rPr>
          <w:rFonts w:ascii="宋体" w:hAnsi="宋体" w:eastAsia="宋体" w:cs="宋体"/>
          <w:color w:val="auto"/>
          <w:spacing w:val="11"/>
          <w:sz w:val="20"/>
          <w:szCs w:val="20"/>
          <w:highlight w:val="none"/>
        </w:rPr>
        <w:t>采购人、采购代理机构认为供应商对采购过程、成交结</w:t>
      </w:r>
      <w:r>
        <w:rPr>
          <w:rFonts w:ascii="宋体" w:hAnsi="宋体" w:eastAsia="宋体" w:cs="宋体"/>
          <w:color w:val="auto"/>
          <w:spacing w:val="10"/>
          <w:sz w:val="20"/>
          <w:szCs w:val="20"/>
          <w:highlight w:val="none"/>
        </w:rPr>
        <w:t>果提出的质疑成立且影响或者</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可能影响成交结果的，合格供应商符合法定数量时，可以从合格</w:t>
      </w:r>
      <w:r>
        <w:rPr>
          <w:rFonts w:ascii="宋体" w:hAnsi="宋体" w:eastAsia="宋体" w:cs="宋体"/>
          <w:color w:val="auto"/>
          <w:spacing w:val="7"/>
          <w:sz w:val="20"/>
          <w:szCs w:val="20"/>
          <w:highlight w:val="none"/>
        </w:rPr>
        <w:t>的成交候选人中另行确定成交供</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应商的，应当依法另行确定成交供应商；否则应当重新开展采购活动。</w:t>
      </w:r>
    </w:p>
    <w:p w14:paraId="7FCB2D7E">
      <w:pPr>
        <w:spacing w:before="249" w:line="381" w:lineRule="auto"/>
        <w:ind w:left="3" w:firstLine="420"/>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27.5</w:t>
      </w:r>
      <w:r>
        <w:rPr>
          <w:rFonts w:ascii="宋体" w:hAnsi="宋体" w:eastAsia="宋体" w:cs="宋体"/>
          <w:color w:val="auto"/>
          <w:spacing w:val="-38"/>
          <w:sz w:val="20"/>
          <w:szCs w:val="20"/>
          <w:highlight w:val="none"/>
        </w:rPr>
        <w:t xml:space="preserve"> </w:t>
      </w:r>
      <w:r>
        <w:rPr>
          <w:rFonts w:ascii="宋体" w:hAnsi="宋体" w:eastAsia="宋体" w:cs="宋体"/>
          <w:color w:val="auto"/>
          <w:spacing w:val="11"/>
          <w:sz w:val="20"/>
          <w:szCs w:val="20"/>
          <w:highlight w:val="none"/>
        </w:rPr>
        <w:t>排名第一的成交候选人放弃成交、因不可抗力提出不</w:t>
      </w:r>
      <w:r>
        <w:rPr>
          <w:rFonts w:ascii="宋体" w:hAnsi="宋体" w:eastAsia="宋体" w:cs="宋体"/>
          <w:color w:val="auto"/>
          <w:spacing w:val="10"/>
          <w:sz w:val="20"/>
          <w:szCs w:val="20"/>
          <w:highlight w:val="none"/>
        </w:rPr>
        <w:t>能履行合同，采购人可以确定排</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名第二的成交候选人为成交供应商。排名第二的成交</w:t>
      </w:r>
      <w:r>
        <w:rPr>
          <w:rFonts w:ascii="宋体" w:hAnsi="宋体" w:eastAsia="宋体" w:cs="宋体"/>
          <w:color w:val="auto"/>
          <w:spacing w:val="7"/>
          <w:sz w:val="20"/>
          <w:szCs w:val="20"/>
          <w:highlight w:val="none"/>
        </w:rPr>
        <w:t>候选人因前款规定的同样原因不能签订合同</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的，采购人可以确定排名第三的成交候选人为成交供应商。</w:t>
      </w:r>
    </w:p>
    <w:p w14:paraId="3D4089E2">
      <w:pPr>
        <w:spacing w:before="236" w:line="221" w:lineRule="auto"/>
        <w:ind w:left="424"/>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28.履约保证金</w:t>
      </w:r>
    </w:p>
    <w:p w14:paraId="3FC459C7">
      <w:pPr>
        <w:spacing w:before="224" w:line="228" w:lineRule="auto"/>
        <w:ind w:left="423"/>
        <w:rPr>
          <w:rFonts w:ascii="宋体" w:hAnsi="宋体" w:eastAsia="宋体" w:cs="宋体"/>
          <w:color w:val="auto"/>
          <w:sz w:val="20"/>
          <w:szCs w:val="20"/>
          <w:highlight w:val="none"/>
        </w:rPr>
      </w:pPr>
      <w:r>
        <w:rPr>
          <w:rFonts w:ascii="宋体" w:hAnsi="宋体" w:eastAsia="宋体" w:cs="宋体"/>
          <w:color w:val="auto"/>
          <w:spacing w:val="14"/>
          <w:sz w:val="20"/>
          <w:szCs w:val="20"/>
          <w:highlight w:val="none"/>
        </w:rPr>
        <w:t>详见 “供应商须知前附表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14"/>
          <w:sz w:val="20"/>
          <w:szCs w:val="20"/>
          <w:highlight w:val="none"/>
        </w:rPr>
        <w:t>”</w:t>
      </w:r>
    </w:p>
    <w:p w14:paraId="4C6B4B5F">
      <w:pPr>
        <w:spacing w:before="236" w:line="222" w:lineRule="auto"/>
        <w:ind w:left="424"/>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29.签订合同</w:t>
      </w:r>
    </w:p>
    <w:p w14:paraId="0744B53F">
      <w:pPr>
        <w:spacing w:line="222" w:lineRule="auto"/>
        <w:rPr>
          <w:rFonts w:ascii="宋体" w:hAnsi="宋体" w:eastAsia="宋体" w:cs="宋体"/>
          <w:color w:val="auto"/>
          <w:sz w:val="24"/>
          <w:szCs w:val="24"/>
          <w:highlight w:val="none"/>
        </w:rPr>
        <w:sectPr>
          <w:footerReference r:id="rId28" w:type="default"/>
          <w:pgSz w:w="11905" w:h="16839"/>
          <w:pgMar w:top="400" w:right="1587" w:bottom="1149" w:left="1593" w:header="0" w:footer="913" w:gutter="0"/>
          <w:pgNumType w:fmt="decimal"/>
          <w:cols w:space="720" w:num="1"/>
        </w:sectPr>
      </w:pPr>
    </w:p>
    <w:p w14:paraId="54202480">
      <w:pPr>
        <w:pStyle w:val="6"/>
        <w:spacing w:line="348" w:lineRule="auto"/>
        <w:rPr>
          <w:color w:val="auto"/>
          <w:highlight w:val="none"/>
        </w:rPr>
      </w:pPr>
    </w:p>
    <w:p w14:paraId="04336C6F">
      <w:pPr>
        <w:pStyle w:val="6"/>
        <w:spacing w:line="348" w:lineRule="auto"/>
        <w:rPr>
          <w:color w:val="auto"/>
          <w:highlight w:val="none"/>
        </w:rPr>
      </w:pPr>
    </w:p>
    <w:p w14:paraId="21EA99EB">
      <w:pPr>
        <w:spacing w:before="65" w:line="327" w:lineRule="auto"/>
        <w:ind w:left="2" w:right="36" w:firstLine="420"/>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29.1</w:t>
      </w:r>
      <w:r>
        <w:rPr>
          <w:rFonts w:ascii="宋体" w:hAnsi="宋体" w:eastAsia="宋体" w:cs="宋体"/>
          <w:color w:val="auto"/>
          <w:spacing w:val="-39"/>
          <w:sz w:val="20"/>
          <w:szCs w:val="20"/>
          <w:highlight w:val="none"/>
        </w:rPr>
        <w:t xml:space="preserve"> </w:t>
      </w:r>
      <w:r>
        <w:rPr>
          <w:rFonts w:ascii="宋体" w:hAnsi="宋体" w:eastAsia="宋体" w:cs="宋体"/>
          <w:color w:val="auto"/>
          <w:spacing w:val="11"/>
          <w:sz w:val="20"/>
          <w:szCs w:val="20"/>
          <w:highlight w:val="none"/>
        </w:rPr>
        <w:t>采购人与成交供应商应当在成交通知书规定的时间内，</w:t>
      </w:r>
      <w:r>
        <w:rPr>
          <w:rFonts w:ascii="宋体" w:hAnsi="宋体" w:eastAsia="宋体" w:cs="宋体"/>
          <w:color w:val="auto"/>
          <w:spacing w:val="10"/>
          <w:sz w:val="20"/>
          <w:szCs w:val="20"/>
          <w:highlight w:val="none"/>
        </w:rPr>
        <w:t>按照磋商文件确定的合同文本</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以及采购标的、服务技术、采购金额、采购数量、技术和服</w:t>
      </w:r>
      <w:r>
        <w:rPr>
          <w:rFonts w:ascii="宋体" w:hAnsi="宋体" w:eastAsia="宋体" w:cs="宋体"/>
          <w:color w:val="auto"/>
          <w:spacing w:val="7"/>
          <w:sz w:val="20"/>
          <w:szCs w:val="20"/>
          <w:highlight w:val="none"/>
        </w:rPr>
        <w:t>务要求等事项签订政府采购合同。如</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成交供应商为联合体的，由联合体成员各方法定代表人或其授权代表与采购人代表签订合同。</w:t>
      </w:r>
    </w:p>
    <w:p w14:paraId="7FB9364B">
      <w:pPr>
        <w:spacing w:before="273" w:line="382" w:lineRule="auto"/>
        <w:ind w:right="36" w:firstLine="422"/>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29.2</w:t>
      </w:r>
      <w:r>
        <w:rPr>
          <w:rFonts w:ascii="宋体" w:hAnsi="宋体" w:eastAsia="宋体" w:cs="宋体"/>
          <w:color w:val="auto"/>
          <w:spacing w:val="-39"/>
          <w:sz w:val="20"/>
          <w:szCs w:val="20"/>
          <w:highlight w:val="none"/>
        </w:rPr>
        <w:t xml:space="preserve"> </w:t>
      </w:r>
      <w:r>
        <w:rPr>
          <w:rFonts w:ascii="宋体" w:hAnsi="宋体" w:eastAsia="宋体" w:cs="宋体"/>
          <w:color w:val="auto"/>
          <w:spacing w:val="11"/>
          <w:sz w:val="20"/>
          <w:szCs w:val="20"/>
          <w:highlight w:val="none"/>
        </w:rPr>
        <w:t>采购人不得向成交供应商提出超出磋商文件以外的任何</w:t>
      </w:r>
      <w:r>
        <w:rPr>
          <w:rFonts w:ascii="宋体" w:hAnsi="宋体" w:eastAsia="宋体" w:cs="宋体"/>
          <w:color w:val="auto"/>
          <w:spacing w:val="10"/>
          <w:sz w:val="20"/>
          <w:szCs w:val="20"/>
          <w:highlight w:val="none"/>
        </w:rPr>
        <w:t>要求作为签订合同的条件，不</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得与成交供应商订立背离磋商文件确定的合同文本以及采购标的</w:t>
      </w:r>
      <w:r>
        <w:rPr>
          <w:rFonts w:ascii="宋体" w:hAnsi="宋体" w:eastAsia="宋体" w:cs="宋体"/>
          <w:color w:val="auto"/>
          <w:spacing w:val="7"/>
          <w:sz w:val="20"/>
          <w:szCs w:val="20"/>
          <w:highlight w:val="none"/>
        </w:rPr>
        <w:t>、服务技术、采购金额、采购数</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量、技术和服务要求等实质性内容的协议。</w:t>
      </w:r>
    </w:p>
    <w:p w14:paraId="5FCE48DA">
      <w:pPr>
        <w:spacing w:before="248" w:line="382" w:lineRule="auto"/>
        <w:ind w:left="2" w:right="36" w:firstLine="420"/>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29.3</w:t>
      </w:r>
      <w:r>
        <w:rPr>
          <w:rFonts w:ascii="宋体" w:hAnsi="宋体" w:eastAsia="宋体" w:cs="宋体"/>
          <w:color w:val="auto"/>
          <w:spacing w:val="-36"/>
          <w:sz w:val="20"/>
          <w:szCs w:val="20"/>
          <w:highlight w:val="none"/>
        </w:rPr>
        <w:t xml:space="preserve"> </w:t>
      </w:r>
      <w:r>
        <w:rPr>
          <w:rFonts w:ascii="宋体" w:hAnsi="宋体" w:eastAsia="宋体" w:cs="宋体"/>
          <w:color w:val="auto"/>
          <w:spacing w:val="11"/>
          <w:sz w:val="20"/>
          <w:szCs w:val="20"/>
          <w:highlight w:val="none"/>
        </w:rPr>
        <w:t>成交供应商拒绝签订政府采购合同的，采购人可</w:t>
      </w:r>
      <w:r>
        <w:rPr>
          <w:rFonts w:ascii="宋体" w:hAnsi="宋体" w:eastAsia="宋体" w:cs="宋体"/>
          <w:color w:val="auto"/>
          <w:spacing w:val="10"/>
          <w:sz w:val="20"/>
          <w:szCs w:val="20"/>
          <w:highlight w:val="none"/>
        </w:rPr>
        <w:t>以按照评审报告推荐的成交候选人名</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单排序，确定下一候选人为成交供应商，也可以重新开</w:t>
      </w:r>
      <w:r>
        <w:rPr>
          <w:rFonts w:ascii="宋体" w:hAnsi="宋体" w:eastAsia="宋体" w:cs="宋体"/>
          <w:color w:val="auto"/>
          <w:spacing w:val="7"/>
          <w:sz w:val="20"/>
          <w:szCs w:val="20"/>
          <w:highlight w:val="none"/>
        </w:rPr>
        <w:t>展采购活动。拒绝签订政府采购合同的成</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交供应商不得参加对该项目重新开展的采购活动。</w:t>
      </w:r>
    </w:p>
    <w:p w14:paraId="4C98E17C">
      <w:pPr>
        <w:spacing w:before="246" w:line="344" w:lineRule="auto"/>
        <w:ind w:left="3" w:right="36" w:firstLine="420"/>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29.4</w:t>
      </w:r>
      <w:r>
        <w:rPr>
          <w:rFonts w:ascii="宋体" w:hAnsi="宋体" w:eastAsia="宋体" w:cs="宋体"/>
          <w:color w:val="auto"/>
          <w:spacing w:val="-34"/>
          <w:sz w:val="20"/>
          <w:szCs w:val="20"/>
          <w:highlight w:val="none"/>
        </w:rPr>
        <w:t xml:space="preserve"> </w:t>
      </w:r>
      <w:r>
        <w:rPr>
          <w:rFonts w:ascii="宋体" w:hAnsi="宋体" w:eastAsia="宋体" w:cs="宋体"/>
          <w:color w:val="auto"/>
          <w:spacing w:val="11"/>
          <w:sz w:val="20"/>
          <w:szCs w:val="20"/>
          <w:highlight w:val="none"/>
        </w:rPr>
        <w:t>如签订合同并生效后，供应商无故拒绝或延</w:t>
      </w:r>
      <w:r>
        <w:rPr>
          <w:rFonts w:ascii="宋体" w:hAnsi="宋体" w:eastAsia="宋体" w:cs="宋体"/>
          <w:color w:val="auto"/>
          <w:spacing w:val="10"/>
          <w:sz w:val="20"/>
          <w:szCs w:val="20"/>
          <w:highlight w:val="none"/>
        </w:rPr>
        <w:t>期，除按照合同条款处理外，列入不良行</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为记录，并给予通报。</w:t>
      </w:r>
    </w:p>
    <w:p w14:paraId="38DD1000">
      <w:pPr>
        <w:spacing w:before="249" w:line="343" w:lineRule="auto"/>
        <w:ind w:left="14" w:right="36" w:firstLine="408"/>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29.5</w:t>
      </w:r>
      <w:r>
        <w:rPr>
          <w:rFonts w:ascii="宋体" w:hAnsi="宋体" w:eastAsia="宋体" w:cs="宋体"/>
          <w:color w:val="auto"/>
          <w:spacing w:val="-39"/>
          <w:sz w:val="20"/>
          <w:szCs w:val="20"/>
          <w:highlight w:val="none"/>
        </w:rPr>
        <w:t xml:space="preserve"> </w:t>
      </w:r>
      <w:r>
        <w:rPr>
          <w:rFonts w:ascii="宋体" w:hAnsi="宋体" w:eastAsia="宋体" w:cs="宋体"/>
          <w:color w:val="auto"/>
          <w:spacing w:val="11"/>
          <w:sz w:val="20"/>
          <w:szCs w:val="20"/>
          <w:highlight w:val="none"/>
        </w:rPr>
        <w:t>采购合同由采购人与成交供应商根据磋商文件、响应文</w:t>
      </w:r>
      <w:r>
        <w:rPr>
          <w:rFonts w:ascii="宋体" w:hAnsi="宋体" w:eastAsia="宋体" w:cs="宋体"/>
          <w:color w:val="auto"/>
          <w:spacing w:val="10"/>
          <w:sz w:val="20"/>
          <w:szCs w:val="20"/>
          <w:highlight w:val="none"/>
        </w:rPr>
        <w:t>件等内容通过政府采购电子交</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易平台在线签订，</w:t>
      </w:r>
      <w:r>
        <w:rPr>
          <w:rFonts w:ascii="宋体" w:hAnsi="宋体" w:eastAsia="宋体" w:cs="宋体"/>
          <w:color w:val="auto"/>
          <w:spacing w:val="-40"/>
          <w:sz w:val="20"/>
          <w:szCs w:val="20"/>
          <w:highlight w:val="none"/>
        </w:rPr>
        <w:t xml:space="preserve"> </w:t>
      </w:r>
      <w:r>
        <w:rPr>
          <w:rFonts w:ascii="宋体" w:hAnsi="宋体" w:eastAsia="宋体" w:cs="宋体"/>
          <w:color w:val="auto"/>
          <w:spacing w:val="7"/>
          <w:sz w:val="20"/>
          <w:szCs w:val="20"/>
          <w:highlight w:val="none"/>
        </w:rPr>
        <w:t>自动备案，在线签订须携带的材料见“</w:t>
      </w:r>
      <w:r>
        <w:rPr>
          <w:rFonts w:ascii="宋体" w:hAnsi="宋体" w:eastAsia="宋体" w:cs="宋体"/>
          <w:color w:val="auto"/>
          <w:spacing w:val="30"/>
          <w:sz w:val="20"/>
          <w:szCs w:val="20"/>
          <w:highlight w:val="none"/>
        </w:rPr>
        <w:t xml:space="preserve"> </w:t>
      </w:r>
      <w:r>
        <w:rPr>
          <w:rFonts w:ascii="宋体" w:hAnsi="宋体" w:eastAsia="宋体" w:cs="宋体"/>
          <w:color w:val="auto"/>
          <w:spacing w:val="7"/>
          <w:sz w:val="20"/>
          <w:szCs w:val="20"/>
          <w:highlight w:val="none"/>
        </w:rPr>
        <w:t>供应商须知前附表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w:t>
      </w:r>
    </w:p>
    <w:p w14:paraId="56EFDEB6">
      <w:pPr>
        <w:spacing w:before="235" w:line="219" w:lineRule="auto"/>
        <w:ind w:left="42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30.政府采购合同公告</w:t>
      </w:r>
    </w:p>
    <w:p w14:paraId="3A3EBD2B">
      <w:pPr>
        <w:spacing w:before="228" w:line="453" w:lineRule="auto"/>
        <w:ind w:left="21" w:right="38" w:firstLine="398"/>
        <w:jc w:val="both"/>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采购人或者受托采购代理机构应当自政府采购合同签订之日起</w:t>
      </w:r>
      <w:r>
        <w:rPr>
          <w:rFonts w:ascii="宋体" w:hAnsi="宋体" w:eastAsia="宋体" w:cs="宋体"/>
          <w:color w:val="auto"/>
          <w:spacing w:val="-37"/>
          <w:sz w:val="20"/>
          <w:szCs w:val="20"/>
          <w:highlight w:val="none"/>
        </w:rPr>
        <w:t xml:space="preserve"> </w:t>
      </w:r>
      <w:r>
        <w:rPr>
          <w:rFonts w:ascii="宋体" w:hAnsi="宋体" w:eastAsia="宋体" w:cs="宋体"/>
          <w:color w:val="auto"/>
          <w:spacing w:val="7"/>
          <w:sz w:val="20"/>
          <w:szCs w:val="20"/>
          <w:highlight w:val="none"/>
        </w:rPr>
        <w:t>2</w:t>
      </w:r>
      <w:r>
        <w:rPr>
          <w:rFonts w:ascii="宋体" w:hAnsi="宋体" w:eastAsia="宋体" w:cs="宋体"/>
          <w:color w:val="auto"/>
          <w:spacing w:val="-38"/>
          <w:sz w:val="20"/>
          <w:szCs w:val="20"/>
          <w:highlight w:val="none"/>
        </w:rPr>
        <w:t xml:space="preserve"> </w:t>
      </w:r>
      <w:r>
        <w:rPr>
          <w:rFonts w:ascii="宋体" w:hAnsi="宋体" w:eastAsia="宋体" w:cs="宋体"/>
          <w:color w:val="auto"/>
          <w:spacing w:val="7"/>
          <w:sz w:val="20"/>
          <w:szCs w:val="20"/>
          <w:highlight w:val="none"/>
        </w:rPr>
        <w:t>个工作日内，将</w:t>
      </w:r>
      <w:r>
        <w:rPr>
          <w:rFonts w:ascii="宋体" w:hAnsi="宋体" w:eastAsia="宋体" w:cs="宋体"/>
          <w:color w:val="auto"/>
          <w:spacing w:val="6"/>
          <w:sz w:val="20"/>
          <w:szCs w:val="20"/>
          <w:highlight w:val="none"/>
        </w:rPr>
        <w:t>政府采购合</w:t>
      </w:r>
      <w:r>
        <w:rPr>
          <w:rFonts w:ascii="宋体" w:hAnsi="宋体" w:eastAsia="宋体" w:cs="宋体"/>
          <w:color w:val="auto"/>
          <w:sz w:val="20"/>
          <w:szCs w:val="20"/>
          <w:highlight w:val="none"/>
        </w:rPr>
        <w:t xml:space="preserve"> </w:t>
      </w:r>
      <w:r>
        <w:rPr>
          <w:rFonts w:ascii="宋体" w:hAnsi="宋体" w:eastAsia="宋体" w:cs="宋体"/>
          <w:color w:val="auto"/>
          <w:spacing w:val="11"/>
          <w:sz w:val="20"/>
          <w:szCs w:val="20"/>
          <w:highlight w:val="none"/>
        </w:rPr>
        <w:t>同在以下媒体上发布“广西政府采购网”（</w:t>
      </w:r>
      <w:r>
        <w:rPr>
          <w:color w:val="auto"/>
          <w:highlight w:val="none"/>
        </w:rPr>
        <w:fldChar w:fldCharType="begin"/>
      </w:r>
      <w:r>
        <w:rPr>
          <w:color w:val="auto"/>
          <w:highlight w:val="none"/>
        </w:rPr>
        <w:instrText xml:space="preserve"> HYPERLINK "http://zfcg.gxzf.gov.cn" </w:instrText>
      </w:r>
      <w:r>
        <w:rPr>
          <w:color w:val="auto"/>
          <w:highlight w:val="none"/>
        </w:rPr>
        <w:fldChar w:fldCharType="separate"/>
      </w:r>
      <w:r>
        <w:rPr>
          <w:rFonts w:ascii="宋体" w:hAnsi="宋体" w:eastAsia="宋体" w:cs="宋体"/>
          <w:color w:val="auto"/>
          <w:sz w:val="20"/>
          <w:szCs w:val="20"/>
          <w:highlight w:val="none"/>
        </w:rPr>
        <w:t>http</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zfcg</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gxzf</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z w:val="20"/>
          <w:szCs w:val="20"/>
          <w:highlight w:val="none"/>
        </w:rPr>
        <w:fldChar w:fldCharType="end"/>
      </w:r>
      <w:r>
        <w:rPr>
          <w:rFonts w:ascii="宋体" w:hAnsi="宋体" w:eastAsia="宋体" w:cs="宋体"/>
          <w:color w:val="auto"/>
          <w:spacing w:val="11"/>
          <w:sz w:val="20"/>
          <w:szCs w:val="20"/>
          <w:highlight w:val="none"/>
        </w:rPr>
        <w:t>）上公告，但政府采购合</w:t>
      </w:r>
      <w:r>
        <w:rPr>
          <w:rFonts w:ascii="宋体" w:hAnsi="宋体" w:eastAsia="宋体" w:cs="宋体"/>
          <w:color w:val="auto"/>
          <w:spacing w:val="3"/>
          <w:sz w:val="20"/>
          <w:szCs w:val="20"/>
          <w:highlight w:val="none"/>
        </w:rPr>
        <w:t xml:space="preserve"> </w:t>
      </w:r>
      <w:r>
        <w:rPr>
          <w:rFonts w:ascii="宋体" w:hAnsi="宋体" w:eastAsia="宋体" w:cs="宋体"/>
          <w:color w:val="auto"/>
          <w:spacing w:val="7"/>
          <w:sz w:val="20"/>
          <w:szCs w:val="20"/>
          <w:highlight w:val="none"/>
        </w:rPr>
        <w:t>同中涉及国家秘密、商业秘密的内容除外。</w:t>
      </w:r>
    </w:p>
    <w:p w14:paraId="74E2F0E5">
      <w:pPr>
        <w:spacing w:before="1" w:line="220" w:lineRule="auto"/>
        <w:ind w:left="42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31.询问、质疑和投诉</w:t>
      </w:r>
    </w:p>
    <w:p w14:paraId="3B5E0C4E">
      <w:pPr>
        <w:spacing w:before="225" w:line="343" w:lineRule="auto"/>
        <w:ind w:left="2" w:right="36" w:firstLine="422"/>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31.1</w:t>
      </w:r>
      <w:r>
        <w:rPr>
          <w:rFonts w:ascii="宋体" w:hAnsi="宋体" w:eastAsia="宋体" w:cs="宋体"/>
          <w:color w:val="auto"/>
          <w:spacing w:val="-38"/>
          <w:sz w:val="20"/>
          <w:szCs w:val="20"/>
          <w:highlight w:val="none"/>
        </w:rPr>
        <w:t xml:space="preserve"> </w:t>
      </w:r>
      <w:r>
        <w:rPr>
          <w:rFonts w:ascii="宋体" w:hAnsi="宋体" w:eastAsia="宋体" w:cs="宋体"/>
          <w:color w:val="auto"/>
          <w:spacing w:val="11"/>
          <w:sz w:val="20"/>
          <w:szCs w:val="20"/>
          <w:highlight w:val="none"/>
        </w:rPr>
        <w:t>供应商对政府采购活动事项有疑问的，可以向采</w:t>
      </w:r>
      <w:r>
        <w:rPr>
          <w:rFonts w:ascii="宋体" w:hAnsi="宋体" w:eastAsia="宋体" w:cs="宋体"/>
          <w:color w:val="auto"/>
          <w:spacing w:val="10"/>
          <w:sz w:val="20"/>
          <w:szCs w:val="20"/>
          <w:highlight w:val="none"/>
        </w:rPr>
        <w:t>购人、采购代理机构提出询问，采购</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人或者采购代理机构应当在</w:t>
      </w:r>
      <w:r>
        <w:rPr>
          <w:rFonts w:ascii="宋体" w:hAnsi="宋体" w:eastAsia="宋体" w:cs="宋体"/>
          <w:color w:val="auto"/>
          <w:spacing w:val="-17"/>
          <w:sz w:val="20"/>
          <w:szCs w:val="20"/>
          <w:highlight w:val="none"/>
        </w:rPr>
        <w:t xml:space="preserve"> </w:t>
      </w:r>
      <w:r>
        <w:rPr>
          <w:rFonts w:ascii="宋体" w:hAnsi="宋体" w:eastAsia="宋体" w:cs="宋体"/>
          <w:color w:val="auto"/>
          <w:spacing w:val="8"/>
          <w:sz w:val="20"/>
          <w:szCs w:val="20"/>
          <w:highlight w:val="none"/>
        </w:rPr>
        <w:t>3</w:t>
      </w:r>
      <w:r>
        <w:rPr>
          <w:rFonts w:ascii="宋体" w:hAnsi="宋体" w:eastAsia="宋体" w:cs="宋体"/>
          <w:color w:val="auto"/>
          <w:spacing w:val="-37"/>
          <w:sz w:val="20"/>
          <w:szCs w:val="20"/>
          <w:highlight w:val="none"/>
        </w:rPr>
        <w:t xml:space="preserve"> </w:t>
      </w:r>
      <w:r>
        <w:rPr>
          <w:rFonts w:ascii="宋体" w:hAnsi="宋体" w:eastAsia="宋体" w:cs="宋体"/>
          <w:color w:val="auto"/>
          <w:spacing w:val="8"/>
          <w:sz w:val="20"/>
          <w:szCs w:val="20"/>
          <w:highlight w:val="none"/>
        </w:rPr>
        <w:t>个工作日内对供应商依法提出的询问作出答复。</w:t>
      </w:r>
    </w:p>
    <w:p w14:paraId="384A5A79">
      <w:pPr>
        <w:spacing w:before="250" w:line="401" w:lineRule="auto"/>
        <w:ind w:right="36" w:firstLine="424"/>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31.2</w:t>
      </w:r>
      <w:r>
        <w:rPr>
          <w:rFonts w:ascii="宋体" w:hAnsi="宋体" w:eastAsia="宋体" w:cs="宋体"/>
          <w:color w:val="auto"/>
          <w:spacing w:val="-38"/>
          <w:sz w:val="20"/>
          <w:szCs w:val="20"/>
          <w:highlight w:val="none"/>
        </w:rPr>
        <w:t xml:space="preserve"> </w:t>
      </w:r>
      <w:r>
        <w:rPr>
          <w:rFonts w:ascii="宋体" w:hAnsi="宋体" w:eastAsia="宋体" w:cs="宋体"/>
          <w:color w:val="auto"/>
          <w:spacing w:val="11"/>
          <w:sz w:val="20"/>
          <w:szCs w:val="20"/>
          <w:highlight w:val="none"/>
        </w:rPr>
        <w:t>供应商认为磋商文件、采购过程或者成交结果使</w:t>
      </w:r>
      <w:r>
        <w:rPr>
          <w:rFonts w:ascii="宋体" w:hAnsi="宋体" w:eastAsia="宋体" w:cs="宋体"/>
          <w:color w:val="auto"/>
          <w:spacing w:val="10"/>
          <w:sz w:val="20"/>
          <w:szCs w:val="20"/>
          <w:highlight w:val="none"/>
        </w:rPr>
        <w:t>自己的合法权益受到损害的，应当在</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知道或者应知其权益受到损害之日起</w:t>
      </w:r>
      <w:r>
        <w:rPr>
          <w:rFonts w:ascii="宋体" w:hAnsi="宋体" w:eastAsia="宋体" w:cs="宋体"/>
          <w:color w:val="auto"/>
          <w:spacing w:val="-31"/>
          <w:sz w:val="20"/>
          <w:szCs w:val="20"/>
          <w:highlight w:val="none"/>
        </w:rPr>
        <w:t xml:space="preserve"> </w:t>
      </w:r>
      <w:r>
        <w:rPr>
          <w:rFonts w:ascii="宋体" w:hAnsi="宋体" w:eastAsia="宋体" w:cs="宋体"/>
          <w:color w:val="auto"/>
          <w:spacing w:val="7"/>
          <w:sz w:val="20"/>
          <w:szCs w:val="20"/>
          <w:highlight w:val="none"/>
        </w:rPr>
        <w:t>7</w:t>
      </w:r>
      <w:r>
        <w:rPr>
          <w:rFonts w:ascii="宋体" w:hAnsi="宋体" w:eastAsia="宋体" w:cs="宋体"/>
          <w:color w:val="auto"/>
          <w:spacing w:val="-38"/>
          <w:sz w:val="20"/>
          <w:szCs w:val="20"/>
          <w:highlight w:val="none"/>
        </w:rPr>
        <w:t xml:space="preserve"> </w:t>
      </w:r>
      <w:r>
        <w:rPr>
          <w:rFonts w:ascii="宋体" w:hAnsi="宋体" w:eastAsia="宋体" w:cs="宋体"/>
          <w:color w:val="auto"/>
          <w:spacing w:val="7"/>
          <w:sz w:val="20"/>
          <w:szCs w:val="20"/>
          <w:highlight w:val="none"/>
        </w:rPr>
        <w:t>个工作日内，以书面形式向采购人、采购代理机构</w:t>
      </w:r>
      <w:r>
        <w:rPr>
          <w:rFonts w:ascii="宋体" w:hAnsi="宋体" w:eastAsia="宋体" w:cs="宋体"/>
          <w:color w:val="auto"/>
          <w:spacing w:val="6"/>
          <w:sz w:val="20"/>
          <w:szCs w:val="20"/>
          <w:highlight w:val="none"/>
        </w:rPr>
        <w:t>提出质</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疑，接收质疑函的方式、联系部门、联系电话和通讯地址等信息详见“供应商须</w:t>
      </w:r>
      <w:r>
        <w:rPr>
          <w:rFonts w:ascii="宋体" w:hAnsi="宋体" w:eastAsia="宋体" w:cs="宋体"/>
          <w:color w:val="auto"/>
          <w:spacing w:val="6"/>
          <w:sz w:val="20"/>
          <w:szCs w:val="20"/>
          <w:highlight w:val="none"/>
        </w:rPr>
        <w:t>知前附表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6"/>
          <w:sz w:val="20"/>
          <w:szCs w:val="20"/>
          <w:highlight w:val="none"/>
        </w:rPr>
        <w:t>”。</w:t>
      </w:r>
      <w:r>
        <w:rPr>
          <w:rFonts w:ascii="宋体" w:hAnsi="宋体" w:eastAsia="宋体" w:cs="宋体"/>
          <w:b/>
          <w:bCs/>
          <w:color w:val="auto"/>
          <w:spacing w:val="6"/>
          <w:sz w:val="20"/>
          <w:szCs w:val="20"/>
          <w:highlight w:val="none"/>
        </w:rPr>
        <w:t>具</w:t>
      </w:r>
      <w:r>
        <w:rPr>
          <w:rFonts w:ascii="宋体" w:hAnsi="宋体" w:eastAsia="宋体" w:cs="宋体"/>
          <w:color w:val="auto"/>
          <w:sz w:val="20"/>
          <w:szCs w:val="20"/>
          <w:highlight w:val="none"/>
        </w:rPr>
        <w:t xml:space="preserve"> </w:t>
      </w:r>
      <w:r>
        <w:rPr>
          <w:rFonts w:ascii="宋体" w:hAnsi="宋体" w:eastAsia="宋体" w:cs="宋体"/>
          <w:b/>
          <w:bCs/>
          <w:color w:val="auto"/>
          <w:spacing w:val="7"/>
          <w:sz w:val="20"/>
          <w:szCs w:val="20"/>
          <w:highlight w:val="none"/>
        </w:rPr>
        <w:t>体质疑起算时间及处理方式如下：</w:t>
      </w:r>
    </w:p>
    <w:p w14:paraId="2AFB551A">
      <w:pPr>
        <w:spacing w:before="251" w:line="400" w:lineRule="auto"/>
        <w:ind w:firstLine="430"/>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（1）潜在供应商依法获取采购文件后，认为采购文件使自己的权</w:t>
      </w:r>
      <w:r>
        <w:rPr>
          <w:rFonts w:ascii="宋体" w:hAnsi="宋体" w:eastAsia="宋体" w:cs="宋体"/>
          <w:color w:val="auto"/>
          <w:spacing w:val="9"/>
          <w:sz w:val="20"/>
          <w:szCs w:val="20"/>
          <w:highlight w:val="none"/>
        </w:rPr>
        <w:t>益受到损害的，应当在竞</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争性磋商文件公告期限届满之日起</w:t>
      </w:r>
      <w:r>
        <w:rPr>
          <w:rFonts w:ascii="宋体" w:hAnsi="宋体" w:eastAsia="宋体" w:cs="宋体"/>
          <w:color w:val="auto"/>
          <w:spacing w:val="-33"/>
          <w:sz w:val="20"/>
          <w:szCs w:val="20"/>
          <w:highlight w:val="none"/>
        </w:rPr>
        <w:t xml:space="preserve"> </w:t>
      </w:r>
      <w:r>
        <w:rPr>
          <w:rFonts w:ascii="宋体" w:hAnsi="宋体" w:eastAsia="宋体" w:cs="宋体"/>
          <w:color w:val="auto"/>
          <w:spacing w:val="7"/>
          <w:sz w:val="20"/>
          <w:szCs w:val="20"/>
          <w:highlight w:val="none"/>
        </w:rPr>
        <w:t>7</w:t>
      </w:r>
      <w:r>
        <w:rPr>
          <w:rFonts w:ascii="宋体" w:hAnsi="宋体" w:eastAsia="宋体" w:cs="宋体"/>
          <w:color w:val="auto"/>
          <w:spacing w:val="-38"/>
          <w:sz w:val="20"/>
          <w:szCs w:val="20"/>
          <w:highlight w:val="none"/>
        </w:rPr>
        <w:t xml:space="preserve"> </w:t>
      </w:r>
      <w:r>
        <w:rPr>
          <w:rFonts w:ascii="宋体" w:hAnsi="宋体" w:eastAsia="宋体" w:cs="宋体"/>
          <w:color w:val="auto"/>
          <w:spacing w:val="7"/>
          <w:sz w:val="20"/>
          <w:szCs w:val="20"/>
          <w:highlight w:val="none"/>
        </w:rPr>
        <w:t>个工作日内提出质疑。委托代理协议无特殊约定的，对竞争</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性磋商文件中采购需求（含资格要求、采购预算和评</w:t>
      </w:r>
      <w:r>
        <w:rPr>
          <w:rFonts w:ascii="宋体" w:hAnsi="宋体" w:eastAsia="宋体" w:cs="宋体"/>
          <w:color w:val="auto"/>
          <w:spacing w:val="8"/>
          <w:sz w:val="20"/>
          <w:szCs w:val="20"/>
          <w:highlight w:val="none"/>
        </w:rPr>
        <w:t>分办法）的质疑由采购人受理并负责答复；</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对竞争性磋商文件中的采购执行程序的质疑由采购代理机构受理并负责答复。</w:t>
      </w:r>
    </w:p>
    <w:p w14:paraId="5613AEC1">
      <w:pPr>
        <w:spacing w:before="250" w:line="343" w:lineRule="auto"/>
        <w:ind w:right="36" w:firstLine="430"/>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（2）供应商认为采购过程使自己的权益受到损害</w:t>
      </w:r>
      <w:r>
        <w:rPr>
          <w:rFonts w:ascii="宋体" w:hAnsi="宋体" w:eastAsia="宋体" w:cs="宋体"/>
          <w:color w:val="auto"/>
          <w:spacing w:val="10"/>
          <w:sz w:val="20"/>
          <w:szCs w:val="20"/>
          <w:highlight w:val="none"/>
        </w:rPr>
        <w:t>的，应当在各采购程序环节结束之日起</w:t>
      </w:r>
      <w:r>
        <w:rPr>
          <w:rFonts w:ascii="宋体" w:hAnsi="宋体" w:eastAsia="宋体" w:cs="宋体"/>
          <w:color w:val="auto"/>
          <w:spacing w:val="-32"/>
          <w:sz w:val="20"/>
          <w:szCs w:val="20"/>
          <w:highlight w:val="none"/>
        </w:rPr>
        <w:t xml:space="preserve"> </w:t>
      </w:r>
      <w:r>
        <w:rPr>
          <w:rFonts w:ascii="宋体" w:hAnsi="宋体" w:eastAsia="宋体" w:cs="宋体"/>
          <w:color w:val="auto"/>
          <w:spacing w:val="10"/>
          <w:sz w:val="20"/>
          <w:szCs w:val="20"/>
          <w:highlight w:val="none"/>
        </w:rPr>
        <w:t>7</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个工作日内提出质疑。对采购过程中资格审查、符合性审查等具</w:t>
      </w:r>
      <w:r>
        <w:rPr>
          <w:rFonts w:ascii="宋体" w:hAnsi="宋体" w:eastAsia="宋体" w:cs="宋体"/>
          <w:color w:val="auto"/>
          <w:spacing w:val="7"/>
          <w:sz w:val="20"/>
          <w:szCs w:val="20"/>
          <w:highlight w:val="none"/>
        </w:rPr>
        <w:t>体评审情况的质疑应向采购人或</w:t>
      </w:r>
    </w:p>
    <w:p w14:paraId="3C0A3048">
      <w:pPr>
        <w:spacing w:line="343" w:lineRule="auto"/>
        <w:rPr>
          <w:rFonts w:ascii="宋体" w:hAnsi="宋体" w:eastAsia="宋体" w:cs="宋体"/>
          <w:color w:val="auto"/>
          <w:sz w:val="20"/>
          <w:szCs w:val="20"/>
          <w:highlight w:val="none"/>
        </w:rPr>
        <w:sectPr>
          <w:footerReference r:id="rId29" w:type="default"/>
          <w:pgSz w:w="11905" w:h="16839"/>
          <w:pgMar w:top="400" w:right="1550" w:bottom="1149" w:left="1593" w:header="0" w:footer="913" w:gutter="0"/>
          <w:pgNumType w:fmt="decimal"/>
          <w:cols w:space="720" w:num="1"/>
        </w:sectPr>
      </w:pPr>
    </w:p>
    <w:p w14:paraId="5904526E">
      <w:pPr>
        <w:pStyle w:val="6"/>
        <w:spacing w:line="269" w:lineRule="auto"/>
        <w:rPr>
          <w:color w:val="auto"/>
          <w:highlight w:val="none"/>
        </w:rPr>
      </w:pPr>
    </w:p>
    <w:p w14:paraId="1C1BCB50">
      <w:pPr>
        <w:pStyle w:val="6"/>
        <w:spacing w:line="269" w:lineRule="auto"/>
        <w:rPr>
          <w:color w:val="auto"/>
          <w:highlight w:val="none"/>
        </w:rPr>
      </w:pPr>
    </w:p>
    <w:p w14:paraId="4A3262F8">
      <w:pPr>
        <w:pStyle w:val="6"/>
        <w:spacing w:line="270" w:lineRule="auto"/>
        <w:rPr>
          <w:color w:val="auto"/>
          <w:highlight w:val="none"/>
        </w:rPr>
      </w:pPr>
    </w:p>
    <w:p w14:paraId="27202F9B">
      <w:pPr>
        <w:spacing w:before="65" w:line="457" w:lineRule="auto"/>
        <w:ind w:right="71"/>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代理机构提出，由采购人或代理机构受理并负责答复；对采</w:t>
      </w:r>
      <w:r>
        <w:rPr>
          <w:rFonts w:ascii="宋体" w:hAnsi="宋体" w:eastAsia="宋体" w:cs="宋体"/>
          <w:color w:val="auto"/>
          <w:spacing w:val="7"/>
          <w:sz w:val="20"/>
          <w:szCs w:val="20"/>
          <w:highlight w:val="none"/>
        </w:rPr>
        <w:t>购过程中采购执行程序的质疑由采购</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代理机构受理并负责答复。</w:t>
      </w:r>
    </w:p>
    <w:p w14:paraId="3A5D7333">
      <w:pPr>
        <w:spacing w:before="1" w:line="458" w:lineRule="auto"/>
        <w:ind w:left="5" w:right="86" w:firstLine="425"/>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（3）供应商认为成交结果使自己的权益受到损害的，应当在成交结果公告期限届满之日起</w:t>
      </w:r>
      <w:r>
        <w:rPr>
          <w:rFonts w:ascii="宋体" w:hAnsi="宋体" w:eastAsia="宋体" w:cs="宋体"/>
          <w:color w:val="auto"/>
          <w:spacing w:val="15"/>
          <w:sz w:val="20"/>
          <w:szCs w:val="20"/>
          <w:highlight w:val="none"/>
        </w:rPr>
        <w:t xml:space="preserve"> </w:t>
      </w:r>
      <w:r>
        <w:rPr>
          <w:rFonts w:ascii="宋体" w:hAnsi="宋体" w:eastAsia="宋体" w:cs="宋体"/>
          <w:color w:val="auto"/>
          <w:spacing w:val="6"/>
          <w:sz w:val="20"/>
          <w:szCs w:val="20"/>
          <w:highlight w:val="none"/>
        </w:rPr>
        <w:t>7</w:t>
      </w:r>
      <w:r>
        <w:rPr>
          <w:rFonts w:ascii="宋体" w:hAnsi="宋体" w:eastAsia="宋体" w:cs="宋体"/>
          <w:color w:val="auto"/>
          <w:spacing w:val="-26"/>
          <w:sz w:val="20"/>
          <w:szCs w:val="20"/>
          <w:highlight w:val="none"/>
        </w:rPr>
        <w:t xml:space="preserve"> </w:t>
      </w:r>
      <w:r>
        <w:rPr>
          <w:rFonts w:ascii="宋体" w:hAnsi="宋体" w:eastAsia="宋体" w:cs="宋体"/>
          <w:color w:val="auto"/>
          <w:spacing w:val="6"/>
          <w:sz w:val="20"/>
          <w:szCs w:val="20"/>
          <w:highlight w:val="none"/>
        </w:rPr>
        <w:t>个工作日内提出质疑，</w:t>
      </w:r>
      <w:r>
        <w:rPr>
          <w:rFonts w:ascii="宋体" w:hAnsi="宋体" w:eastAsia="宋体" w:cs="宋体"/>
          <w:color w:val="auto"/>
          <w:spacing w:val="-59"/>
          <w:sz w:val="20"/>
          <w:szCs w:val="20"/>
          <w:highlight w:val="none"/>
        </w:rPr>
        <w:t xml:space="preserve"> </w:t>
      </w:r>
      <w:r>
        <w:rPr>
          <w:rFonts w:ascii="宋体" w:hAnsi="宋体" w:eastAsia="宋体" w:cs="宋体"/>
          <w:color w:val="auto"/>
          <w:spacing w:val="6"/>
          <w:sz w:val="20"/>
          <w:szCs w:val="20"/>
          <w:highlight w:val="none"/>
        </w:rPr>
        <w:t>由采购人受理并负责答复。</w:t>
      </w:r>
    </w:p>
    <w:p w14:paraId="34D77079">
      <w:pPr>
        <w:spacing w:line="382" w:lineRule="auto"/>
        <w:ind w:left="3" w:right="69" w:firstLine="421"/>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31.3</w:t>
      </w:r>
      <w:r>
        <w:rPr>
          <w:rFonts w:ascii="宋体" w:hAnsi="宋体" w:eastAsia="宋体" w:cs="宋体"/>
          <w:color w:val="auto"/>
          <w:spacing w:val="-38"/>
          <w:sz w:val="20"/>
          <w:szCs w:val="20"/>
          <w:highlight w:val="none"/>
        </w:rPr>
        <w:t xml:space="preserve"> </w:t>
      </w:r>
      <w:r>
        <w:rPr>
          <w:rFonts w:ascii="宋体" w:hAnsi="宋体" w:eastAsia="宋体" w:cs="宋体"/>
          <w:color w:val="auto"/>
          <w:spacing w:val="11"/>
          <w:sz w:val="20"/>
          <w:szCs w:val="20"/>
          <w:highlight w:val="none"/>
        </w:rPr>
        <w:t>供应商提出的询问或者质疑超出采购人对采购代</w:t>
      </w:r>
      <w:r>
        <w:rPr>
          <w:rFonts w:ascii="宋体" w:hAnsi="宋体" w:eastAsia="宋体" w:cs="宋体"/>
          <w:color w:val="auto"/>
          <w:spacing w:val="10"/>
          <w:sz w:val="20"/>
          <w:szCs w:val="20"/>
          <w:highlight w:val="none"/>
        </w:rPr>
        <w:t>理机构委托授权范围的，采购代理机</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构应当告知供应商向采购人提出。政府采购评审专家应当</w:t>
      </w:r>
      <w:r>
        <w:rPr>
          <w:rFonts w:ascii="宋体" w:hAnsi="宋体" w:eastAsia="宋体" w:cs="宋体"/>
          <w:color w:val="auto"/>
          <w:spacing w:val="7"/>
          <w:sz w:val="20"/>
          <w:szCs w:val="20"/>
          <w:highlight w:val="none"/>
        </w:rPr>
        <w:t>配合采购人或者采购代理机构答复供应</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商的询问和质疑。</w:t>
      </w:r>
    </w:p>
    <w:p w14:paraId="1362C6A7">
      <w:pPr>
        <w:spacing w:before="248" w:line="343" w:lineRule="auto"/>
        <w:ind w:left="4" w:right="71" w:firstLine="42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31.4 供应商提出质疑应当提交质疑函和必要的证明材料，针对同一采购程序环节的质疑必</w:t>
      </w:r>
      <w:r>
        <w:rPr>
          <w:rFonts w:ascii="宋体" w:hAnsi="宋体" w:eastAsia="宋体" w:cs="宋体"/>
          <w:color w:val="auto"/>
          <w:spacing w:val="17"/>
          <w:sz w:val="20"/>
          <w:szCs w:val="20"/>
          <w:highlight w:val="none"/>
        </w:rPr>
        <w:t xml:space="preserve"> </w:t>
      </w:r>
      <w:r>
        <w:rPr>
          <w:rFonts w:ascii="宋体" w:hAnsi="宋体" w:eastAsia="宋体" w:cs="宋体"/>
          <w:color w:val="auto"/>
          <w:spacing w:val="10"/>
          <w:sz w:val="20"/>
          <w:szCs w:val="20"/>
          <w:highlight w:val="none"/>
        </w:rPr>
        <w:t>须在法定质疑期内一次性提出。质疑函应当</w:t>
      </w:r>
      <w:r>
        <w:rPr>
          <w:rFonts w:ascii="宋体" w:hAnsi="宋体" w:eastAsia="宋体" w:cs="宋体"/>
          <w:color w:val="auto"/>
          <w:spacing w:val="9"/>
          <w:sz w:val="20"/>
          <w:szCs w:val="20"/>
          <w:highlight w:val="none"/>
        </w:rPr>
        <w:t>包括下列内容（质疑函格式后附</w:t>
      </w:r>
      <w:r>
        <w:rPr>
          <w:rFonts w:ascii="宋体" w:hAnsi="宋体" w:eastAsia="宋体" w:cs="宋体"/>
          <w:color w:val="auto"/>
          <w:sz w:val="20"/>
          <w:szCs w:val="20"/>
          <w:highlight w:val="none"/>
        </w:rPr>
        <w:t>）：</w:t>
      </w:r>
    </w:p>
    <w:p w14:paraId="24A767C6">
      <w:pPr>
        <w:spacing w:before="248" w:line="228" w:lineRule="auto"/>
        <w:ind w:left="43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（1）供应商的姓名或者名称、地址、邮编、</w:t>
      </w:r>
      <w:r>
        <w:rPr>
          <w:rFonts w:ascii="宋体" w:hAnsi="宋体" w:eastAsia="宋体" w:cs="宋体"/>
          <w:color w:val="auto"/>
          <w:spacing w:val="8"/>
          <w:sz w:val="20"/>
          <w:szCs w:val="20"/>
          <w:highlight w:val="none"/>
        </w:rPr>
        <w:t>联系人及联系电话；</w:t>
      </w:r>
    </w:p>
    <w:p w14:paraId="56FD65B1">
      <w:pPr>
        <w:spacing w:before="250" w:line="228" w:lineRule="auto"/>
        <w:ind w:left="430"/>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（2）质疑项目的名称、编号；</w:t>
      </w:r>
    </w:p>
    <w:p w14:paraId="28A39A8A">
      <w:pPr>
        <w:spacing w:before="250" w:line="228" w:lineRule="auto"/>
        <w:ind w:left="43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（3）具体、明确的质疑事项和与质疑事项相关的请求；</w:t>
      </w:r>
    </w:p>
    <w:p w14:paraId="61300A45">
      <w:pPr>
        <w:spacing w:before="249" w:line="228" w:lineRule="auto"/>
        <w:ind w:left="430"/>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（4）事实依据；</w:t>
      </w:r>
    </w:p>
    <w:p w14:paraId="326EF59A">
      <w:pPr>
        <w:spacing w:before="250" w:line="228" w:lineRule="auto"/>
        <w:ind w:left="430"/>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（5）必要的法律依据；</w:t>
      </w:r>
    </w:p>
    <w:p w14:paraId="639BC1C1">
      <w:pPr>
        <w:spacing w:before="250" w:line="229" w:lineRule="auto"/>
        <w:ind w:left="430"/>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（6）提出质疑的日期。</w:t>
      </w:r>
    </w:p>
    <w:p w14:paraId="4E5E67B5">
      <w:pPr>
        <w:spacing w:before="250" w:line="457" w:lineRule="auto"/>
        <w:ind w:left="2" w:right="15" w:firstLine="418"/>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供应商为自然人的，应当由本人签字；供应商为法人或者其他组织的，应当由法定</w:t>
      </w:r>
      <w:r>
        <w:rPr>
          <w:rFonts w:ascii="宋体" w:hAnsi="宋体" w:eastAsia="宋体" w:cs="宋体"/>
          <w:color w:val="auto"/>
          <w:spacing w:val="8"/>
          <w:sz w:val="20"/>
          <w:szCs w:val="20"/>
          <w:highlight w:val="none"/>
        </w:rPr>
        <w:t>代表人、</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主要负责人，或者其委托代理人签字或者盖章，并加盖公章。</w:t>
      </w:r>
    </w:p>
    <w:p w14:paraId="257EF276">
      <w:pPr>
        <w:spacing w:before="1" w:line="458" w:lineRule="auto"/>
        <w:ind w:left="5" w:right="15" w:firstLine="420"/>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31.5</w:t>
      </w:r>
      <w:r>
        <w:rPr>
          <w:rFonts w:ascii="宋体" w:hAnsi="宋体" w:eastAsia="宋体" w:cs="宋体"/>
          <w:color w:val="auto"/>
          <w:spacing w:val="-42"/>
          <w:sz w:val="20"/>
          <w:szCs w:val="20"/>
          <w:highlight w:val="none"/>
        </w:rPr>
        <w:t xml:space="preserve"> </w:t>
      </w:r>
      <w:r>
        <w:rPr>
          <w:rFonts w:ascii="宋体" w:hAnsi="宋体" w:eastAsia="宋体" w:cs="宋体"/>
          <w:color w:val="auto"/>
          <w:spacing w:val="7"/>
          <w:sz w:val="20"/>
          <w:szCs w:val="20"/>
          <w:highlight w:val="none"/>
        </w:rPr>
        <w:t>采购人、采购代理机构认为供应商质疑不成立，或者成立但未对成交结果构成影响的，</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继续开展采购活动；认为供应商质疑成立且影响或者可能影响成交结果的，按照下列情况处理：</w:t>
      </w:r>
    </w:p>
    <w:p w14:paraId="6AFCEE96">
      <w:pPr>
        <w:spacing w:line="343" w:lineRule="auto"/>
        <w:ind w:right="71" w:firstLine="430"/>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（一）对采购文件提出的质疑，依法通过澄清或者修改可以继续开展采购活动的，澄清或者</w:t>
      </w:r>
      <w:r>
        <w:rPr>
          <w:rFonts w:ascii="宋体" w:hAnsi="宋体" w:eastAsia="宋体" w:cs="宋体"/>
          <w:color w:val="auto"/>
          <w:spacing w:val="9"/>
          <w:sz w:val="20"/>
          <w:szCs w:val="20"/>
          <w:highlight w:val="none"/>
        </w:rPr>
        <w:t xml:space="preserve"> 修改采购文件后继续开展采购活动；否则应当修改采购文件后重新开展采购活动。</w:t>
      </w:r>
    </w:p>
    <w:p w14:paraId="09EDA04A">
      <w:pPr>
        <w:spacing w:before="251" w:line="343" w:lineRule="auto"/>
        <w:ind w:left="5" w:firstLine="425"/>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（二）对采购过程或者成交结果提出的质疑，合格供应商符合法定数量时，可以从合格的成</w:t>
      </w:r>
      <w:r>
        <w:rPr>
          <w:rFonts w:ascii="宋体" w:hAnsi="宋体" w:eastAsia="宋体" w:cs="宋体"/>
          <w:color w:val="auto"/>
          <w:spacing w:val="9"/>
          <w:sz w:val="20"/>
          <w:szCs w:val="20"/>
          <w:highlight w:val="none"/>
        </w:rPr>
        <w:t xml:space="preserve"> </w:t>
      </w:r>
      <w:r>
        <w:rPr>
          <w:rFonts w:ascii="宋体" w:hAnsi="宋体" w:eastAsia="宋体" w:cs="宋体"/>
          <w:color w:val="auto"/>
          <w:spacing w:val="4"/>
          <w:sz w:val="20"/>
          <w:szCs w:val="20"/>
          <w:highlight w:val="none"/>
        </w:rPr>
        <w:t>交候选人中另行确定成交供应商的，应当依法另行确定成交供应商；否则应当重新开展采购活动。</w:t>
      </w:r>
    </w:p>
    <w:p w14:paraId="1D665BAC">
      <w:pPr>
        <w:spacing w:before="251" w:line="457" w:lineRule="auto"/>
        <w:ind w:left="3" w:right="71" w:firstLine="418"/>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质疑答复导致成交结果改变的，采购人或者采购代理机构应当将有关情况书面报告本级财政</w:t>
      </w:r>
      <w:r>
        <w:rPr>
          <w:rFonts w:ascii="宋体" w:hAnsi="宋体" w:eastAsia="宋体" w:cs="宋体"/>
          <w:color w:val="auto"/>
          <w:spacing w:val="18"/>
          <w:sz w:val="20"/>
          <w:szCs w:val="20"/>
          <w:highlight w:val="none"/>
        </w:rPr>
        <w:t xml:space="preserve"> </w:t>
      </w:r>
      <w:r>
        <w:rPr>
          <w:rFonts w:ascii="宋体" w:hAnsi="宋体" w:eastAsia="宋体" w:cs="宋体"/>
          <w:color w:val="auto"/>
          <w:spacing w:val="2"/>
          <w:sz w:val="20"/>
          <w:szCs w:val="20"/>
          <w:highlight w:val="none"/>
        </w:rPr>
        <w:t>部门。</w:t>
      </w:r>
    </w:p>
    <w:p w14:paraId="3259DDE4">
      <w:pPr>
        <w:spacing w:line="459" w:lineRule="auto"/>
        <w:ind w:right="69" w:firstLine="425"/>
        <w:jc w:val="both"/>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31.6</w:t>
      </w:r>
      <w:r>
        <w:rPr>
          <w:rFonts w:ascii="宋体" w:hAnsi="宋体" w:eastAsia="宋体" w:cs="宋体"/>
          <w:color w:val="auto"/>
          <w:spacing w:val="-36"/>
          <w:sz w:val="20"/>
          <w:szCs w:val="20"/>
          <w:highlight w:val="none"/>
        </w:rPr>
        <w:t xml:space="preserve"> </w:t>
      </w:r>
      <w:r>
        <w:rPr>
          <w:rFonts w:ascii="宋体" w:hAnsi="宋体" w:eastAsia="宋体" w:cs="宋体"/>
          <w:color w:val="auto"/>
          <w:spacing w:val="11"/>
          <w:sz w:val="20"/>
          <w:szCs w:val="20"/>
          <w:highlight w:val="none"/>
        </w:rPr>
        <w:t>投诉的权利。质疑供应商对采购人、采购代</w:t>
      </w:r>
      <w:r>
        <w:rPr>
          <w:rFonts w:ascii="宋体" w:hAnsi="宋体" w:eastAsia="宋体" w:cs="宋体"/>
          <w:color w:val="auto"/>
          <w:spacing w:val="10"/>
          <w:sz w:val="20"/>
          <w:szCs w:val="20"/>
          <w:highlight w:val="none"/>
        </w:rPr>
        <w:t>理机构的答复不满意，或者采购人、采购</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代理机构未在规定时间内作出答复的，可以在答复期满后</w:t>
      </w:r>
      <w:r>
        <w:rPr>
          <w:rFonts w:ascii="宋体" w:hAnsi="宋体" w:eastAsia="宋体" w:cs="宋体"/>
          <w:color w:val="auto"/>
          <w:spacing w:val="-18"/>
          <w:sz w:val="20"/>
          <w:szCs w:val="20"/>
          <w:highlight w:val="none"/>
        </w:rPr>
        <w:t xml:space="preserve"> </w:t>
      </w:r>
      <w:r>
        <w:rPr>
          <w:rFonts w:ascii="宋体" w:hAnsi="宋体" w:eastAsia="宋体" w:cs="宋体"/>
          <w:color w:val="auto"/>
          <w:spacing w:val="9"/>
          <w:sz w:val="20"/>
          <w:szCs w:val="20"/>
          <w:highlight w:val="none"/>
        </w:rPr>
        <w:t>15</w:t>
      </w:r>
      <w:r>
        <w:rPr>
          <w:rFonts w:ascii="宋体" w:hAnsi="宋体" w:eastAsia="宋体" w:cs="宋体"/>
          <w:color w:val="auto"/>
          <w:spacing w:val="-40"/>
          <w:sz w:val="20"/>
          <w:szCs w:val="20"/>
          <w:highlight w:val="none"/>
        </w:rPr>
        <w:t xml:space="preserve"> </w:t>
      </w:r>
      <w:r>
        <w:rPr>
          <w:rFonts w:ascii="宋体" w:hAnsi="宋体" w:eastAsia="宋体" w:cs="宋体"/>
          <w:color w:val="auto"/>
          <w:spacing w:val="9"/>
          <w:sz w:val="20"/>
          <w:szCs w:val="20"/>
          <w:highlight w:val="none"/>
        </w:rPr>
        <w:t>个工作日内向《政府采购质疑和投</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诉办法》（财政部令第</w:t>
      </w:r>
      <w:r>
        <w:rPr>
          <w:rFonts w:ascii="宋体" w:hAnsi="宋体" w:eastAsia="宋体" w:cs="宋体"/>
          <w:color w:val="auto"/>
          <w:spacing w:val="-36"/>
          <w:sz w:val="20"/>
          <w:szCs w:val="20"/>
          <w:highlight w:val="none"/>
        </w:rPr>
        <w:t xml:space="preserve"> </w:t>
      </w:r>
      <w:r>
        <w:rPr>
          <w:rFonts w:ascii="宋体" w:hAnsi="宋体" w:eastAsia="宋体" w:cs="宋体"/>
          <w:color w:val="auto"/>
          <w:spacing w:val="9"/>
          <w:sz w:val="20"/>
          <w:szCs w:val="20"/>
          <w:highlight w:val="none"/>
        </w:rPr>
        <w:t>94</w:t>
      </w:r>
      <w:r>
        <w:rPr>
          <w:rFonts w:ascii="宋体" w:hAnsi="宋体" w:eastAsia="宋体" w:cs="宋体"/>
          <w:color w:val="auto"/>
          <w:spacing w:val="-35"/>
          <w:sz w:val="20"/>
          <w:szCs w:val="20"/>
          <w:highlight w:val="none"/>
        </w:rPr>
        <w:t xml:space="preserve"> </w:t>
      </w:r>
      <w:r>
        <w:rPr>
          <w:rFonts w:ascii="宋体" w:hAnsi="宋体" w:eastAsia="宋体" w:cs="宋体"/>
          <w:color w:val="auto"/>
          <w:spacing w:val="9"/>
          <w:sz w:val="20"/>
          <w:szCs w:val="20"/>
          <w:highlight w:val="none"/>
        </w:rPr>
        <w:t>号）第六条规定的财政部门提起投诉（投诉书格式后附</w:t>
      </w:r>
      <w:r>
        <w:rPr>
          <w:rFonts w:ascii="宋体" w:hAnsi="宋体" w:eastAsia="宋体" w:cs="宋体"/>
          <w:color w:val="auto"/>
          <w:spacing w:val="17"/>
          <w:sz w:val="20"/>
          <w:szCs w:val="20"/>
          <w:highlight w:val="none"/>
        </w:rPr>
        <w:t>），</w:t>
      </w:r>
      <w:r>
        <w:rPr>
          <w:rFonts w:ascii="宋体" w:hAnsi="宋体" w:eastAsia="宋体" w:cs="宋体"/>
          <w:color w:val="auto"/>
          <w:spacing w:val="9"/>
          <w:sz w:val="20"/>
          <w:szCs w:val="20"/>
          <w:highlight w:val="none"/>
        </w:rPr>
        <w:t>受</w:t>
      </w:r>
      <w:r>
        <w:rPr>
          <w:rFonts w:ascii="宋体" w:hAnsi="宋体" w:eastAsia="宋体" w:cs="宋体"/>
          <w:color w:val="auto"/>
          <w:spacing w:val="8"/>
          <w:sz w:val="20"/>
          <w:szCs w:val="20"/>
          <w:highlight w:val="none"/>
        </w:rPr>
        <w:t>理投诉</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方式见“供应商须知前附表</w:t>
      </w:r>
      <w:r>
        <w:rPr>
          <w:rFonts w:ascii="宋体" w:hAnsi="宋体" w:eastAsia="宋体" w:cs="宋体"/>
          <w:color w:val="auto"/>
          <w:spacing w:val="-61"/>
          <w:sz w:val="20"/>
          <w:szCs w:val="20"/>
          <w:highlight w:val="none"/>
        </w:rPr>
        <w:t xml:space="preserve"> </w:t>
      </w:r>
      <w:r>
        <w:rPr>
          <w:rFonts w:ascii="宋体" w:hAnsi="宋体" w:eastAsia="宋体" w:cs="宋体"/>
          <w:color w:val="auto"/>
          <w:spacing w:val="8"/>
          <w:sz w:val="20"/>
          <w:szCs w:val="20"/>
          <w:highlight w:val="none"/>
        </w:rPr>
        <w:t>”。</w:t>
      </w:r>
    </w:p>
    <w:p w14:paraId="7BA21445">
      <w:pPr>
        <w:spacing w:line="459" w:lineRule="auto"/>
        <w:rPr>
          <w:rFonts w:ascii="宋体" w:hAnsi="宋体" w:eastAsia="宋体" w:cs="宋体"/>
          <w:color w:val="auto"/>
          <w:sz w:val="20"/>
          <w:szCs w:val="20"/>
          <w:highlight w:val="none"/>
        </w:rPr>
        <w:sectPr>
          <w:footerReference r:id="rId30" w:type="default"/>
          <w:pgSz w:w="11905" w:h="16839"/>
          <w:pgMar w:top="400" w:right="1517" w:bottom="1149" w:left="1593" w:header="0" w:footer="913" w:gutter="0"/>
          <w:pgNumType w:fmt="decimal"/>
          <w:cols w:space="720" w:num="1"/>
        </w:sectPr>
      </w:pPr>
    </w:p>
    <w:p w14:paraId="48AFFA8E">
      <w:pPr>
        <w:spacing w:before="100" w:line="225" w:lineRule="auto"/>
        <w:ind w:left="3730"/>
        <w:outlineLvl w:val="2"/>
        <w:rPr>
          <w:rFonts w:ascii="宋体" w:hAnsi="宋体" w:eastAsia="宋体" w:cs="宋体"/>
          <w:color w:val="auto"/>
          <w:sz w:val="31"/>
          <w:szCs w:val="31"/>
          <w:highlight w:val="none"/>
        </w:rPr>
      </w:pPr>
      <w:bookmarkStart w:id="10" w:name="_Toc13966"/>
      <w:r>
        <w:rPr>
          <w:rFonts w:ascii="宋体" w:hAnsi="宋体" w:eastAsia="宋体" w:cs="宋体"/>
          <w:b/>
          <w:bCs/>
          <w:color w:val="auto"/>
          <w:spacing w:val="3"/>
          <w:sz w:val="31"/>
          <w:szCs w:val="31"/>
          <w:highlight w:val="none"/>
        </w:rPr>
        <w:t>六、验收</w:t>
      </w:r>
      <w:bookmarkEnd w:id="10"/>
    </w:p>
    <w:p w14:paraId="0FED2D3C">
      <w:pPr>
        <w:spacing w:before="239" w:line="220" w:lineRule="auto"/>
        <w:ind w:left="427"/>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32.验收</w:t>
      </w:r>
    </w:p>
    <w:p w14:paraId="6B30D147">
      <w:pPr>
        <w:spacing w:before="224" w:line="402" w:lineRule="auto"/>
        <w:ind w:left="2" w:right="39" w:firstLine="423"/>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32.1</w:t>
      </w:r>
      <w:r>
        <w:rPr>
          <w:rFonts w:ascii="宋体" w:hAnsi="宋体" w:eastAsia="宋体" w:cs="宋体"/>
          <w:color w:val="auto"/>
          <w:spacing w:val="-39"/>
          <w:sz w:val="20"/>
          <w:szCs w:val="20"/>
          <w:highlight w:val="none"/>
        </w:rPr>
        <w:t xml:space="preserve"> </w:t>
      </w:r>
      <w:r>
        <w:rPr>
          <w:rFonts w:ascii="宋体" w:hAnsi="宋体" w:eastAsia="宋体" w:cs="宋体"/>
          <w:color w:val="auto"/>
          <w:spacing w:val="11"/>
          <w:sz w:val="20"/>
          <w:szCs w:val="20"/>
          <w:highlight w:val="none"/>
        </w:rPr>
        <w:t>采购人会同实际使用人组织对供应商履约的验收。</w:t>
      </w:r>
      <w:r>
        <w:rPr>
          <w:rFonts w:ascii="宋体" w:hAnsi="宋体" w:eastAsia="宋体" w:cs="宋体"/>
          <w:color w:val="auto"/>
          <w:spacing w:val="10"/>
          <w:sz w:val="20"/>
          <w:szCs w:val="20"/>
          <w:highlight w:val="none"/>
        </w:rPr>
        <w:t>大型或者复杂的政府采购项目，应</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当邀请国家认可的质量检测机构参加验收工作。验收方</w:t>
      </w:r>
      <w:r>
        <w:rPr>
          <w:rFonts w:ascii="宋体" w:hAnsi="宋体" w:eastAsia="宋体" w:cs="宋体"/>
          <w:color w:val="auto"/>
          <w:spacing w:val="7"/>
          <w:sz w:val="20"/>
          <w:szCs w:val="20"/>
          <w:highlight w:val="none"/>
        </w:rPr>
        <w:t>成员应当在验收书上签字，并承担相应的</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法律责任。如果发现与合同中要求不符，供应商须承担</w:t>
      </w:r>
      <w:r>
        <w:rPr>
          <w:rFonts w:ascii="宋体" w:hAnsi="宋体" w:eastAsia="宋体" w:cs="宋体"/>
          <w:color w:val="auto"/>
          <w:spacing w:val="7"/>
          <w:sz w:val="20"/>
          <w:szCs w:val="20"/>
          <w:highlight w:val="none"/>
        </w:rPr>
        <w:t>由此发生的一切损失和费用，并接受相应</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的处理。</w:t>
      </w:r>
    </w:p>
    <w:p w14:paraId="4841161A">
      <w:pPr>
        <w:spacing w:before="246" w:line="343" w:lineRule="auto"/>
        <w:ind w:left="5" w:right="39" w:firstLine="420"/>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32.2</w:t>
      </w:r>
      <w:r>
        <w:rPr>
          <w:rFonts w:ascii="宋体" w:hAnsi="宋体" w:eastAsia="宋体" w:cs="宋体"/>
          <w:color w:val="auto"/>
          <w:spacing w:val="-39"/>
          <w:sz w:val="20"/>
          <w:szCs w:val="20"/>
          <w:highlight w:val="none"/>
        </w:rPr>
        <w:t xml:space="preserve"> </w:t>
      </w:r>
      <w:r>
        <w:rPr>
          <w:rFonts w:ascii="宋体" w:hAnsi="宋体" w:eastAsia="宋体" w:cs="宋体"/>
          <w:color w:val="auto"/>
          <w:spacing w:val="11"/>
          <w:sz w:val="20"/>
          <w:szCs w:val="20"/>
          <w:highlight w:val="none"/>
        </w:rPr>
        <w:t>采购人可以邀请参加本项目的其他供应商或者第三</w:t>
      </w:r>
      <w:r>
        <w:rPr>
          <w:rFonts w:ascii="宋体" w:hAnsi="宋体" w:eastAsia="宋体" w:cs="宋体"/>
          <w:color w:val="auto"/>
          <w:spacing w:val="10"/>
          <w:sz w:val="20"/>
          <w:szCs w:val="20"/>
          <w:highlight w:val="none"/>
        </w:rPr>
        <w:t>方机构参与验收。参与验收的供应</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商或者第三方机构的意见作为验收书的参考资料一并存档。</w:t>
      </w:r>
    </w:p>
    <w:p w14:paraId="6D0EB31F">
      <w:pPr>
        <w:spacing w:before="245" w:line="413" w:lineRule="auto"/>
        <w:ind w:right="39" w:firstLine="425"/>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32.3</w:t>
      </w:r>
      <w:r>
        <w:rPr>
          <w:rFonts w:ascii="宋体" w:hAnsi="宋体" w:eastAsia="宋体" w:cs="宋体"/>
          <w:color w:val="auto"/>
          <w:spacing w:val="-37"/>
          <w:sz w:val="20"/>
          <w:szCs w:val="20"/>
          <w:highlight w:val="none"/>
        </w:rPr>
        <w:t xml:space="preserve"> </w:t>
      </w:r>
      <w:r>
        <w:rPr>
          <w:rFonts w:ascii="宋体" w:hAnsi="宋体" w:eastAsia="宋体" w:cs="宋体"/>
          <w:color w:val="auto"/>
          <w:spacing w:val="11"/>
          <w:sz w:val="20"/>
          <w:szCs w:val="20"/>
          <w:highlight w:val="none"/>
        </w:rPr>
        <w:t>严格按照采购合同开展履约验收。采购人成立</w:t>
      </w:r>
      <w:r>
        <w:rPr>
          <w:rFonts w:ascii="宋体" w:hAnsi="宋体" w:eastAsia="宋体" w:cs="宋体"/>
          <w:color w:val="auto"/>
          <w:spacing w:val="10"/>
          <w:sz w:val="20"/>
          <w:szCs w:val="20"/>
          <w:highlight w:val="none"/>
        </w:rPr>
        <w:t>验收小组，按照采购合同的约定对供应</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商履约情况进行验收。验收时，按照采购合同的约定对每一项技术</w:t>
      </w:r>
      <w:r>
        <w:rPr>
          <w:rFonts w:ascii="宋体" w:hAnsi="宋体" w:eastAsia="宋体" w:cs="宋体"/>
          <w:color w:val="auto"/>
          <w:spacing w:val="7"/>
          <w:sz w:val="20"/>
          <w:szCs w:val="20"/>
          <w:highlight w:val="none"/>
        </w:rPr>
        <w:t>、服务、安全标准的履约情况</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进行确认。验收结束后，应当出具验收书，列明各项标准的验</w:t>
      </w:r>
      <w:r>
        <w:rPr>
          <w:rFonts w:ascii="宋体" w:hAnsi="宋体" w:eastAsia="宋体" w:cs="宋体"/>
          <w:color w:val="auto"/>
          <w:spacing w:val="7"/>
          <w:sz w:val="20"/>
          <w:szCs w:val="20"/>
          <w:highlight w:val="none"/>
        </w:rPr>
        <w:t>收情况及项目总体评价，由验收双</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方共同签署。验收结果与采购合同约定的资金支付及履约保证金返</w:t>
      </w:r>
      <w:r>
        <w:rPr>
          <w:rFonts w:ascii="宋体" w:hAnsi="宋体" w:eastAsia="宋体" w:cs="宋体"/>
          <w:color w:val="auto"/>
          <w:spacing w:val="7"/>
          <w:sz w:val="20"/>
          <w:szCs w:val="20"/>
          <w:highlight w:val="none"/>
        </w:rPr>
        <w:t>还条件挂钩。履约验收的各项</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资料应当存档备查。</w:t>
      </w:r>
    </w:p>
    <w:p w14:paraId="2BA641F8">
      <w:pPr>
        <w:spacing w:before="250" w:line="400" w:lineRule="auto"/>
        <w:ind w:firstLine="425"/>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32.4</w:t>
      </w:r>
      <w:r>
        <w:rPr>
          <w:rFonts w:ascii="宋体" w:hAnsi="宋体" w:eastAsia="宋体" w:cs="宋体"/>
          <w:color w:val="auto"/>
          <w:spacing w:val="-39"/>
          <w:sz w:val="20"/>
          <w:szCs w:val="20"/>
          <w:highlight w:val="none"/>
        </w:rPr>
        <w:t xml:space="preserve"> </w:t>
      </w:r>
      <w:r>
        <w:rPr>
          <w:rFonts w:ascii="宋体" w:hAnsi="宋体" w:eastAsia="宋体" w:cs="宋体"/>
          <w:color w:val="auto"/>
          <w:spacing w:val="11"/>
          <w:sz w:val="20"/>
          <w:szCs w:val="20"/>
          <w:highlight w:val="none"/>
        </w:rPr>
        <w:t>验收合格的项目，实际使用人将根据采购合同的约</w:t>
      </w:r>
      <w:r>
        <w:rPr>
          <w:rFonts w:ascii="宋体" w:hAnsi="宋体" w:eastAsia="宋体" w:cs="宋体"/>
          <w:color w:val="auto"/>
          <w:spacing w:val="10"/>
          <w:sz w:val="20"/>
          <w:szCs w:val="20"/>
          <w:highlight w:val="none"/>
        </w:rPr>
        <w:t>定及时向供应商支付采购资金。验</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收不合格的项目，采购人将依法及时处理。采购合同的履行、违</w:t>
      </w:r>
      <w:r>
        <w:rPr>
          <w:rFonts w:ascii="宋体" w:hAnsi="宋体" w:eastAsia="宋体" w:cs="宋体"/>
          <w:color w:val="auto"/>
          <w:spacing w:val="7"/>
          <w:sz w:val="20"/>
          <w:szCs w:val="20"/>
          <w:highlight w:val="none"/>
        </w:rPr>
        <w:t>约责任和解决争议的方式等适用</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《中华人民共和国民法典》。供应商在履约过程中有政府采</w:t>
      </w:r>
      <w:r>
        <w:rPr>
          <w:rFonts w:ascii="宋体" w:hAnsi="宋体" w:eastAsia="宋体" w:cs="宋体"/>
          <w:color w:val="auto"/>
          <w:spacing w:val="8"/>
          <w:sz w:val="20"/>
          <w:szCs w:val="20"/>
          <w:highlight w:val="none"/>
        </w:rPr>
        <w:t>购法律法规规定的违法违规情形的，</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采购人应当及时报告本级财政部门。</w:t>
      </w:r>
    </w:p>
    <w:p w14:paraId="540FDF25">
      <w:pPr>
        <w:spacing w:before="281" w:line="226" w:lineRule="auto"/>
        <w:ind w:left="3727"/>
        <w:outlineLvl w:val="2"/>
        <w:rPr>
          <w:rFonts w:ascii="宋体" w:hAnsi="宋体" w:eastAsia="宋体" w:cs="宋体"/>
          <w:color w:val="auto"/>
          <w:sz w:val="31"/>
          <w:szCs w:val="31"/>
          <w:highlight w:val="none"/>
        </w:rPr>
      </w:pPr>
      <w:bookmarkStart w:id="11" w:name="_Toc5618"/>
      <w:r>
        <w:rPr>
          <w:rFonts w:ascii="宋体" w:hAnsi="宋体" w:eastAsia="宋体" w:cs="宋体"/>
          <w:b/>
          <w:bCs/>
          <w:color w:val="auto"/>
          <w:spacing w:val="5"/>
          <w:sz w:val="31"/>
          <w:szCs w:val="31"/>
          <w:highlight w:val="none"/>
        </w:rPr>
        <w:t>七、其他事项</w:t>
      </w:r>
      <w:bookmarkEnd w:id="11"/>
    </w:p>
    <w:p w14:paraId="46629BEC">
      <w:pPr>
        <w:spacing w:before="271" w:line="220" w:lineRule="auto"/>
        <w:ind w:left="427"/>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33.代理服务费</w:t>
      </w:r>
    </w:p>
    <w:p w14:paraId="4E2C0B9B">
      <w:pPr>
        <w:spacing w:before="201" w:line="228" w:lineRule="auto"/>
        <w:ind w:left="425"/>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33.1</w:t>
      </w:r>
      <w:r>
        <w:rPr>
          <w:rFonts w:ascii="宋体" w:hAnsi="宋体" w:eastAsia="宋体" w:cs="宋体"/>
          <w:color w:val="auto"/>
          <w:spacing w:val="-34"/>
          <w:sz w:val="20"/>
          <w:szCs w:val="20"/>
          <w:highlight w:val="none"/>
        </w:rPr>
        <w:t xml:space="preserve"> </w:t>
      </w:r>
      <w:r>
        <w:rPr>
          <w:rFonts w:ascii="宋体" w:hAnsi="宋体" w:eastAsia="宋体" w:cs="宋体"/>
          <w:color w:val="auto"/>
          <w:spacing w:val="8"/>
          <w:sz w:val="20"/>
          <w:szCs w:val="20"/>
          <w:highlight w:val="none"/>
        </w:rPr>
        <w:t>代理服务收费标准及缴费账户详见“供应商须知前附表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w:t>
      </w:r>
    </w:p>
    <w:p w14:paraId="1730DD9E">
      <w:pPr>
        <w:spacing w:before="212" w:line="228" w:lineRule="auto"/>
        <w:ind w:left="437"/>
        <w:rPr>
          <w:rFonts w:ascii="宋体" w:hAnsi="宋体" w:eastAsia="宋体" w:cs="宋体"/>
          <w:color w:val="auto"/>
          <w:sz w:val="20"/>
          <w:szCs w:val="20"/>
          <w:highlight w:val="none"/>
        </w:rPr>
      </w:pPr>
      <w:r>
        <w:rPr>
          <w:rFonts w:ascii="宋体" w:hAnsi="宋体" w:eastAsia="宋体" w:cs="宋体"/>
          <w:b/>
          <w:bCs/>
          <w:color w:val="auto"/>
          <w:spacing w:val="-4"/>
          <w:sz w:val="20"/>
          <w:szCs w:val="20"/>
          <w:highlight w:val="none"/>
        </w:rPr>
        <w:t>附件：</w:t>
      </w:r>
    </w:p>
    <w:p w14:paraId="3F913734">
      <w:pPr>
        <w:spacing w:before="151"/>
        <w:rPr>
          <w:color w:val="auto"/>
          <w:highlight w:val="none"/>
        </w:rPr>
      </w:pPr>
    </w:p>
    <w:tbl>
      <w:tblPr>
        <w:tblStyle w:val="19"/>
        <w:tblW w:w="8269" w:type="dxa"/>
        <w:tblInd w:w="1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27"/>
        <w:gridCol w:w="1598"/>
        <w:gridCol w:w="1703"/>
        <w:gridCol w:w="1541"/>
      </w:tblGrid>
      <w:tr w14:paraId="0AB55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3427" w:type="dxa"/>
            <w:tcBorders>
              <w:tl2br w:val="single" w:color="000000" w:sz="4" w:space="0"/>
            </w:tcBorders>
            <w:vAlign w:val="top"/>
          </w:tcPr>
          <w:p w14:paraId="6767D52C">
            <w:pPr>
              <w:spacing w:line="292" w:lineRule="auto"/>
              <w:rPr>
                <w:rFonts w:ascii="Arial"/>
                <w:color w:val="auto"/>
                <w:sz w:val="21"/>
                <w:highlight w:val="none"/>
              </w:rPr>
            </w:pPr>
          </w:p>
          <w:p w14:paraId="2E1B76B5">
            <w:pPr>
              <w:spacing w:line="293" w:lineRule="auto"/>
              <w:rPr>
                <w:rFonts w:ascii="Arial"/>
                <w:color w:val="auto"/>
                <w:sz w:val="21"/>
                <w:highlight w:val="none"/>
              </w:rPr>
            </w:pPr>
          </w:p>
          <w:p w14:paraId="08CDDA47">
            <w:pPr>
              <w:pStyle w:val="20"/>
              <w:spacing w:before="65" w:line="334" w:lineRule="auto"/>
              <w:ind w:left="555" w:right="902" w:firstLine="1566"/>
              <w:rPr>
                <w:color w:val="auto"/>
                <w:highlight w:val="none"/>
              </w:rPr>
            </w:pPr>
            <w:r>
              <w:rPr>
                <w:color w:val="auto"/>
                <w:spacing w:val="-1"/>
                <w:highlight w:val="none"/>
              </w:rPr>
              <w:t>费率</w:t>
            </w:r>
            <w:r>
              <w:rPr>
                <w:color w:val="auto"/>
                <w:highlight w:val="none"/>
              </w:rPr>
              <w:t xml:space="preserve"> </w:t>
            </w:r>
            <w:r>
              <w:rPr>
                <w:color w:val="auto"/>
                <w:spacing w:val="2"/>
                <w:highlight w:val="none"/>
              </w:rPr>
              <w:t>中标金额</w:t>
            </w:r>
          </w:p>
        </w:tc>
        <w:tc>
          <w:tcPr>
            <w:tcW w:w="1598" w:type="dxa"/>
            <w:vAlign w:val="top"/>
          </w:tcPr>
          <w:p w14:paraId="1C47E5FF">
            <w:pPr>
              <w:spacing w:line="292" w:lineRule="auto"/>
              <w:rPr>
                <w:rFonts w:ascii="Arial"/>
                <w:color w:val="auto"/>
                <w:sz w:val="21"/>
                <w:highlight w:val="none"/>
              </w:rPr>
            </w:pPr>
          </w:p>
          <w:p w14:paraId="1AEE8FF8">
            <w:pPr>
              <w:spacing w:line="292" w:lineRule="auto"/>
              <w:rPr>
                <w:rFonts w:ascii="Arial"/>
                <w:color w:val="auto"/>
                <w:sz w:val="21"/>
                <w:highlight w:val="none"/>
              </w:rPr>
            </w:pPr>
          </w:p>
          <w:p w14:paraId="40F769FF">
            <w:pPr>
              <w:pStyle w:val="20"/>
              <w:spacing w:before="65" w:line="228" w:lineRule="auto"/>
              <w:ind w:left="538"/>
              <w:rPr>
                <w:color w:val="auto"/>
                <w:highlight w:val="none"/>
              </w:rPr>
            </w:pPr>
            <w:r>
              <w:rPr>
                <w:color w:val="auto"/>
                <w:spacing w:val="6"/>
                <w:highlight w:val="none"/>
              </w:rPr>
              <w:t>货物招标</w:t>
            </w:r>
          </w:p>
        </w:tc>
        <w:tc>
          <w:tcPr>
            <w:tcW w:w="1703" w:type="dxa"/>
            <w:vAlign w:val="top"/>
          </w:tcPr>
          <w:p w14:paraId="73E13938">
            <w:pPr>
              <w:spacing w:line="292" w:lineRule="auto"/>
              <w:rPr>
                <w:rFonts w:ascii="Arial"/>
                <w:color w:val="auto"/>
                <w:sz w:val="21"/>
                <w:highlight w:val="none"/>
              </w:rPr>
            </w:pPr>
          </w:p>
          <w:p w14:paraId="114F6E4B">
            <w:pPr>
              <w:spacing w:line="293" w:lineRule="auto"/>
              <w:rPr>
                <w:rFonts w:ascii="Arial"/>
                <w:color w:val="auto"/>
                <w:sz w:val="21"/>
                <w:highlight w:val="none"/>
              </w:rPr>
            </w:pPr>
          </w:p>
          <w:p w14:paraId="0591F16C">
            <w:pPr>
              <w:pStyle w:val="20"/>
              <w:spacing w:before="65" w:line="228" w:lineRule="auto"/>
              <w:ind w:left="533"/>
              <w:rPr>
                <w:color w:val="auto"/>
                <w:highlight w:val="none"/>
              </w:rPr>
            </w:pPr>
            <w:r>
              <w:rPr>
                <w:color w:val="auto"/>
                <w:spacing w:val="7"/>
                <w:highlight w:val="none"/>
              </w:rPr>
              <w:t>服务招标</w:t>
            </w:r>
          </w:p>
        </w:tc>
        <w:tc>
          <w:tcPr>
            <w:tcW w:w="1541" w:type="dxa"/>
            <w:vAlign w:val="top"/>
          </w:tcPr>
          <w:p w14:paraId="4962E147">
            <w:pPr>
              <w:spacing w:line="292" w:lineRule="auto"/>
              <w:rPr>
                <w:rFonts w:ascii="Arial"/>
                <w:color w:val="auto"/>
                <w:sz w:val="21"/>
                <w:highlight w:val="none"/>
              </w:rPr>
            </w:pPr>
          </w:p>
          <w:p w14:paraId="39344F21">
            <w:pPr>
              <w:spacing w:line="293" w:lineRule="auto"/>
              <w:rPr>
                <w:rFonts w:ascii="Arial"/>
                <w:color w:val="auto"/>
                <w:sz w:val="21"/>
                <w:highlight w:val="none"/>
              </w:rPr>
            </w:pPr>
          </w:p>
          <w:p w14:paraId="5A4FE6A5">
            <w:pPr>
              <w:pStyle w:val="20"/>
              <w:spacing w:before="65" w:line="229" w:lineRule="auto"/>
              <w:ind w:left="537"/>
              <w:rPr>
                <w:color w:val="auto"/>
                <w:highlight w:val="none"/>
              </w:rPr>
            </w:pPr>
            <w:r>
              <w:rPr>
                <w:color w:val="auto"/>
                <w:spacing w:val="6"/>
                <w:highlight w:val="none"/>
              </w:rPr>
              <w:t>工程招标</w:t>
            </w:r>
          </w:p>
        </w:tc>
      </w:tr>
      <w:tr w14:paraId="66958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427" w:type="dxa"/>
            <w:vAlign w:val="top"/>
          </w:tcPr>
          <w:p w14:paraId="51CD3CB7">
            <w:pPr>
              <w:pStyle w:val="20"/>
              <w:spacing w:before="189" w:line="229" w:lineRule="auto"/>
              <w:ind w:left="551"/>
              <w:rPr>
                <w:color w:val="auto"/>
                <w:highlight w:val="none"/>
              </w:rPr>
            </w:pPr>
            <w:r>
              <w:rPr>
                <w:color w:val="auto"/>
                <w:spacing w:val="2"/>
                <w:highlight w:val="none"/>
              </w:rPr>
              <w:t>100</w:t>
            </w:r>
            <w:r>
              <w:rPr>
                <w:color w:val="auto"/>
                <w:spacing w:val="-34"/>
                <w:highlight w:val="none"/>
              </w:rPr>
              <w:t xml:space="preserve"> </w:t>
            </w:r>
            <w:r>
              <w:rPr>
                <w:color w:val="auto"/>
                <w:spacing w:val="2"/>
                <w:highlight w:val="none"/>
              </w:rPr>
              <w:t>万元以下</w:t>
            </w:r>
          </w:p>
        </w:tc>
        <w:tc>
          <w:tcPr>
            <w:tcW w:w="1598" w:type="dxa"/>
            <w:vAlign w:val="top"/>
          </w:tcPr>
          <w:p w14:paraId="59C2D71C">
            <w:pPr>
              <w:pStyle w:val="20"/>
              <w:spacing w:before="189" w:line="264" w:lineRule="exact"/>
              <w:ind w:left="549"/>
              <w:rPr>
                <w:color w:val="auto"/>
                <w:highlight w:val="none"/>
              </w:rPr>
            </w:pPr>
            <w:r>
              <w:rPr>
                <w:color w:val="auto"/>
                <w:spacing w:val="-1"/>
                <w:position w:val="1"/>
                <w:highlight w:val="none"/>
              </w:rPr>
              <w:t>1.5%</w:t>
            </w:r>
          </w:p>
        </w:tc>
        <w:tc>
          <w:tcPr>
            <w:tcW w:w="1703" w:type="dxa"/>
            <w:vAlign w:val="top"/>
          </w:tcPr>
          <w:p w14:paraId="2FA2248E">
            <w:pPr>
              <w:pStyle w:val="20"/>
              <w:spacing w:before="189" w:line="264" w:lineRule="exact"/>
              <w:ind w:left="549"/>
              <w:rPr>
                <w:color w:val="auto"/>
                <w:highlight w:val="none"/>
              </w:rPr>
            </w:pPr>
            <w:r>
              <w:rPr>
                <w:color w:val="auto"/>
                <w:spacing w:val="-1"/>
                <w:position w:val="1"/>
                <w:highlight w:val="none"/>
              </w:rPr>
              <w:t>1.5%</w:t>
            </w:r>
          </w:p>
        </w:tc>
        <w:tc>
          <w:tcPr>
            <w:tcW w:w="1541" w:type="dxa"/>
            <w:vAlign w:val="top"/>
          </w:tcPr>
          <w:p w14:paraId="0A496497">
            <w:pPr>
              <w:pStyle w:val="20"/>
              <w:spacing w:before="189" w:line="264" w:lineRule="exact"/>
              <w:ind w:left="550"/>
              <w:rPr>
                <w:color w:val="auto"/>
                <w:highlight w:val="none"/>
              </w:rPr>
            </w:pPr>
            <w:r>
              <w:rPr>
                <w:color w:val="auto"/>
                <w:spacing w:val="-1"/>
                <w:position w:val="1"/>
                <w:highlight w:val="none"/>
              </w:rPr>
              <w:t>1.0%</w:t>
            </w:r>
          </w:p>
        </w:tc>
      </w:tr>
      <w:tr w14:paraId="6A958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427" w:type="dxa"/>
            <w:vAlign w:val="top"/>
          </w:tcPr>
          <w:p w14:paraId="59D26D86">
            <w:pPr>
              <w:pStyle w:val="20"/>
              <w:spacing w:before="191" w:line="229" w:lineRule="auto"/>
              <w:ind w:left="551"/>
              <w:rPr>
                <w:color w:val="auto"/>
                <w:highlight w:val="none"/>
              </w:rPr>
            </w:pPr>
            <w:r>
              <w:rPr>
                <w:color w:val="auto"/>
                <w:spacing w:val="2"/>
                <w:highlight w:val="none"/>
              </w:rPr>
              <w:t>100～500</w:t>
            </w:r>
            <w:r>
              <w:rPr>
                <w:color w:val="auto"/>
                <w:spacing w:val="-33"/>
                <w:highlight w:val="none"/>
              </w:rPr>
              <w:t xml:space="preserve"> </w:t>
            </w:r>
            <w:r>
              <w:rPr>
                <w:color w:val="auto"/>
                <w:spacing w:val="2"/>
                <w:highlight w:val="none"/>
              </w:rPr>
              <w:t>万元</w:t>
            </w:r>
          </w:p>
        </w:tc>
        <w:tc>
          <w:tcPr>
            <w:tcW w:w="1598" w:type="dxa"/>
            <w:vAlign w:val="top"/>
          </w:tcPr>
          <w:p w14:paraId="21298C24">
            <w:pPr>
              <w:pStyle w:val="20"/>
              <w:spacing w:before="191" w:line="262" w:lineRule="exact"/>
              <w:ind w:left="549"/>
              <w:rPr>
                <w:color w:val="auto"/>
                <w:highlight w:val="none"/>
              </w:rPr>
            </w:pPr>
            <w:r>
              <w:rPr>
                <w:color w:val="auto"/>
                <w:spacing w:val="-1"/>
                <w:position w:val="1"/>
                <w:highlight w:val="none"/>
              </w:rPr>
              <w:t>1.1%</w:t>
            </w:r>
          </w:p>
        </w:tc>
        <w:tc>
          <w:tcPr>
            <w:tcW w:w="1703" w:type="dxa"/>
            <w:vAlign w:val="top"/>
          </w:tcPr>
          <w:p w14:paraId="3A08AE76">
            <w:pPr>
              <w:pStyle w:val="20"/>
              <w:spacing w:before="191" w:line="262" w:lineRule="exact"/>
              <w:ind w:left="535"/>
              <w:rPr>
                <w:color w:val="auto"/>
                <w:highlight w:val="none"/>
              </w:rPr>
            </w:pPr>
            <w:r>
              <w:rPr>
                <w:color w:val="auto"/>
                <w:spacing w:val="2"/>
                <w:position w:val="1"/>
                <w:highlight w:val="none"/>
              </w:rPr>
              <w:t>0.8%</w:t>
            </w:r>
          </w:p>
        </w:tc>
        <w:tc>
          <w:tcPr>
            <w:tcW w:w="1541" w:type="dxa"/>
            <w:vAlign w:val="top"/>
          </w:tcPr>
          <w:p w14:paraId="70C25C7D">
            <w:pPr>
              <w:pStyle w:val="20"/>
              <w:spacing w:before="191" w:line="262" w:lineRule="exact"/>
              <w:ind w:left="536"/>
              <w:rPr>
                <w:color w:val="auto"/>
                <w:highlight w:val="none"/>
              </w:rPr>
            </w:pPr>
            <w:r>
              <w:rPr>
                <w:color w:val="auto"/>
                <w:spacing w:val="2"/>
                <w:position w:val="1"/>
                <w:highlight w:val="none"/>
              </w:rPr>
              <w:t>0.7%</w:t>
            </w:r>
          </w:p>
        </w:tc>
      </w:tr>
      <w:tr w14:paraId="32F8E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427" w:type="dxa"/>
            <w:vAlign w:val="top"/>
          </w:tcPr>
          <w:p w14:paraId="7AF76E84">
            <w:pPr>
              <w:pStyle w:val="20"/>
              <w:spacing w:before="192" w:line="229" w:lineRule="auto"/>
              <w:ind w:left="539"/>
              <w:rPr>
                <w:color w:val="auto"/>
                <w:highlight w:val="none"/>
              </w:rPr>
            </w:pPr>
            <w:r>
              <w:rPr>
                <w:color w:val="auto"/>
                <w:spacing w:val="3"/>
                <w:highlight w:val="none"/>
              </w:rPr>
              <w:t>500～1000</w:t>
            </w:r>
            <w:r>
              <w:rPr>
                <w:color w:val="auto"/>
                <w:spacing w:val="-30"/>
                <w:highlight w:val="none"/>
              </w:rPr>
              <w:t xml:space="preserve"> </w:t>
            </w:r>
            <w:r>
              <w:rPr>
                <w:color w:val="auto"/>
                <w:spacing w:val="3"/>
                <w:highlight w:val="none"/>
              </w:rPr>
              <w:t>万元</w:t>
            </w:r>
          </w:p>
        </w:tc>
        <w:tc>
          <w:tcPr>
            <w:tcW w:w="1598" w:type="dxa"/>
            <w:vAlign w:val="top"/>
          </w:tcPr>
          <w:p w14:paraId="159BA80E">
            <w:pPr>
              <w:pStyle w:val="20"/>
              <w:spacing w:before="192" w:line="241" w:lineRule="auto"/>
              <w:ind w:left="535"/>
              <w:rPr>
                <w:color w:val="auto"/>
                <w:highlight w:val="none"/>
              </w:rPr>
            </w:pPr>
            <w:r>
              <w:rPr>
                <w:color w:val="auto"/>
                <w:spacing w:val="2"/>
                <w:highlight w:val="none"/>
              </w:rPr>
              <w:t>0.8%</w:t>
            </w:r>
          </w:p>
        </w:tc>
        <w:tc>
          <w:tcPr>
            <w:tcW w:w="1703" w:type="dxa"/>
            <w:vAlign w:val="top"/>
          </w:tcPr>
          <w:p w14:paraId="683905F2">
            <w:pPr>
              <w:pStyle w:val="20"/>
              <w:spacing w:before="192" w:line="241" w:lineRule="auto"/>
              <w:ind w:left="535"/>
              <w:rPr>
                <w:color w:val="auto"/>
                <w:highlight w:val="none"/>
              </w:rPr>
            </w:pPr>
            <w:r>
              <w:rPr>
                <w:color w:val="auto"/>
                <w:spacing w:val="2"/>
                <w:highlight w:val="none"/>
              </w:rPr>
              <w:t>0.45%</w:t>
            </w:r>
          </w:p>
        </w:tc>
        <w:tc>
          <w:tcPr>
            <w:tcW w:w="1541" w:type="dxa"/>
            <w:vAlign w:val="top"/>
          </w:tcPr>
          <w:p w14:paraId="3EA0B38C">
            <w:pPr>
              <w:pStyle w:val="20"/>
              <w:spacing w:before="192" w:line="241" w:lineRule="auto"/>
              <w:ind w:left="536"/>
              <w:rPr>
                <w:color w:val="auto"/>
                <w:highlight w:val="none"/>
              </w:rPr>
            </w:pPr>
            <w:r>
              <w:rPr>
                <w:color w:val="auto"/>
                <w:spacing w:val="2"/>
                <w:highlight w:val="none"/>
              </w:rPr>
              <w:t>0.55%</w:t>
            </w:r>
          </w:p>
        </w:tc>
      </w:tr>
      <w:tr w14:paraId="0E4AA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3427" w:type="dxa"/>
            <w:vAlign w:val="top"/>
          </w:tcPr>
          <w:p w14:paraId="772BB624">
            <w:pPr>
              <w:pStyle w:val="20"/>
              <w:spacing w:before="193" w:line="229" w:lineRule="auto"/>
              <w:ind w:left="551"/>
              <w:rPr>
                <w:color w:val="auto"/>
                <w:highlight w:val="none"/>
              </w:rPr>
            </w:pPr>
            <w:r>
              <w:rPr>
                <w:color w:val="auto"/>
                <w:spacing w:val="2"/>
                <w:highlight w:val="none"/>
              </w:rPr>
              <w:t>1000～5000</w:t>
            </w:r>
            <w:r>
              <w:rPr>
                <w:color w:val="auto"/>
                <w:spacing w:val="-28"/>
                <w:highlight w:val="none"/>
              </w:rPr>
              <w:t xml:space="preserve"> </w:t>
            </w:r>
            <w:r>
              <w:rPr>
                <w:color w:val="auto"/>
                <w:spacing w:val="2"/>
                <w:highlight w:val="none"/>
              </w:rPr>
              <w:t>万元</w:t>
            </w:r>
          </w:p>
        </w:tc>
        <w:tc>
          <w:tcPr>
            <w:tcW w:w="1598" w:type="dxa"/>
            <w:vAlign w:val="top"/>
          </w:tcPr>
          <w:p w14:paraId="364B7A1E">
            <w:pPr>
              <w:pStyle w:val="20"/>
              <w:spacing w:before="193" w:line="263" w:lineRule="exact"/>
              <w:ind w:left="535"/>
              <w:rPr>
                <w:color w:val="auto"/>
                <w:highlight w:val="none"/>
              </w:rPr>
            </w:pPr>
            <w:r>
              <w:rPr>
                <w:color w:val="auto"/>
                <w:spacing w:val="2"/>
                <w:position w:val="1"/>
                <w:highlight w:val="none"/>
              </w:rPr>
              <w:t>0.5%</w:t>
            </w:r>
          </w:p>
        </w:tc>
        <w:tc>
          <w:tcPr>
            <w:tcW w:w="1703" w:type="dxa"/>
            <w:vAlign w:val="top"/>
          </w:tcPr>
          <w:p w14:paraId="4C00E6CB">
            <w:pPr>
              <w:pStyle w:val="20"/>
              <w:spacing w:before="193" w:line="263" w:lineRule="exact"/>
              <w:ind w:left="535"/>
              <w:rPr>
                <w:color w:val="auto"/>
                <w:highlight w:val="none"/>
              </w:rPr>
            </w:pPr>
            <w:r>
              <w:rPr>
                <w:color w:val="auto"/>
                <w:spacing w:val="2"/>
                <w:position w:val="1"/>
                <w:highlight w:val="none"/>
              </w:rPr>
              <w:t>0.25%</w:t>
            </w:r>
          </w:p>
        </w:tc>
        <w:tc>
          <w:tcPr>
            <w:tcW w:w="1541" w:type="dxa"/>
            <w:vAlign w:val="top"/>
          </w:tcPr>
          <w:p w14:paraId="29FABE5E">
            <w:pPr>
              <w:pStyle w:val="20"/>
              <w:spacing w:before="193" w:line="263" w:lineRule="exact"/>
              <w:ind w:left="536"/>
              <w:rPr>
                <w:color w:val="auto"/>
                <w:highlight w:val="none"/>
              </w:rPr>
            </w:pPr>
            <w:r>
              <w:rPr>
                <w:color w:val="auto"/>
                <w:spacing w:val="2"/>
                <w:position w:val="1"/>
                <w:highlight w:val="none"/>
              </w:rPr>
              <w:t>0.35%</w:t>
            </w:r>
          </w:p>
        </w:tc>
      </w:tr>
    </w:tbl>
    <w:p w14:paraId="48CABAE0">
      <w:pPr>
        <w:pStyle w:val="6"/>
        <w:rPr>
          <w:color w:val="auto"/>
          <w:highlight w:val="none"/>
        </w:rPr>
      </w:pPr>
    </w:p>
    <w:p w14:paraId="7B0584BF">
      <w:pPr>
        <w:rPr>
          <w:color w:val="auto"/>
          <w:highlight w:val="none"/>
        </w:rPr>
        <w:sectPr>
          <w:footerReference r:id="rId31" w:type="default"/>
          <w:pgSz w:w="11905" w:h="16839"/>
          <w:pgMar w:top="400" w:right="1547" w:bottom="1149" w:left="1592" w:header="0" w:footer="913" w:gutter="0"/>
          <w:pgNumType w:fmt="decimal"/>
          <w:cols w:space="720" w:num="1"/>
        </w:sectPr>
      </w:pPr>
    </w:p>
    <w:p w14:paraId="3AABC7E6">
      <w:pPr>
        <w:spacing w:before="3"/>
        <w:rPr>
          <w:color w:val="auto"/>
          <w:highlight w:val="none"/>
        </w:rPr>
      </w:pPr>
    </w:p>
    <w:tbl>
      <w:tblPr>
        <w:tblStyle w:val="19"/>
        <w:tblW w:w="8269" w:type="dxa"/>
        <w:tblInd w:w="1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27"/>
        <w:gridCol w:w="1598"/>
        <w:gridCol w:w="1703"/>
        <w:gridCol w:w="1541"/>
      </w:tblGrid>
      <w:tr w14:paraId="790F0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3427" w:type="dxa"/>
            <w:vAlign w:val="top"/>
          </w:tcPr>
          <w:p w14:paraId="30E67B0D">
            <w:pPr>
              <w:pStyle w:val="20"/>
              <w:spacing w:before="194" w:line="229" w:lineRule="auto"/>
              <w:ind w:left="539"/>
              <w:rPr>
                <w:color w:val="auto"/>
                <w:highlight w:val="none"/>
              </w:rPr>
            </w:pPr>
            <w:r>
              <w:rPr>
                <w:color w:val="auto"/>
                <w:spacing w:val="3"/>
                <w:highlight w:val="none"/>
              </w:rPr>
              <w:t>5000</w:t>
            </w:r>
            <w:r>
              <w:rPr>
                <w:color w:val="auto"/>
                <w:spacing w:val="-29"/>
                <w:highlight w:val="none"/>
              </w:rPr>
              <w:t xml:space="preserve"> </w:t>
            </w:r>
            <w:r>
              <w:rPr>
                <w:color w:val="auto"/>
                <w:spacing w:val="3"/>
                <w:highlight w:val="none"/>
              </w:rPr>
              <w:t>万元～1</w:t>
            </w:r>
            <w:r>
              <w:rPr>
                <w:color w:val="auto"/>
                <w:spacing w:val="-37"/>
                <w:highlight w:val="none"/>
              </w:rPr>
              <w:t xml:space="preserve"> </w:t>
            </w:r>
            <w:r>
              <w:rPr>
                <w:color w:val="auto"/>
                <w:spacing w:val="3"/>
                <w:highlight w:val="none"/>
              </w:rPr>
              <w:t>亿元</w:t>
            </w:r>
          </w:p>
        </w:tc>
        <w:tc>
          <w:tcPr>
            <w:tcW w:w="1598" w:type="dxa"/>
            <w:vAlign w:val="top"/>
          </w:tcPr>
          <w:p w14:paraId="32927F33">
            <w:pPr>
              <w:pStyle w:val="20"/>
              <w:spacing w:before="194" w:line="265" w:lineRule="exact"/>
              <w:ind w:left="535"/>
              <w:rPr>
                <w:color w:val="auto"/>
                <w:highlight w:val="none"/>
              </w:rPr>
            </w:pPr>
            <w:r>
              <w:rPr>
                <w:color w:val="auto"/>
                <w:spacing w:val="2"/>
                <w:position w:val="1"/>
                <w:highlight w:val="none"/>
              </w:rPr>
              <w:t>0.25%</w:t>
            </w:r>
          </w:p>
        </w:tc>
        <w:tc>
          <w:tcPr>
            <w:tcW w:w="1703" w:type="dxa"/>
            <w:vAlign w:val="top"/>
          </w:tcPr>
          <w:p w14:paraId="3551D934">
            <w:pPr>
              <w:pStyle w:val="20"/>
              <w:spacing w:before="194" w:line="265" w:lineRule="exact"/>
              <w:ind w:left="535"/>
              <w:rPr>
                <w:color w:val="auto"/>
                <w:highlight w:val="none"/>
              </w:rPr>
            </w:pPr>
            <w:r>
              <w:rPr>
                <w:color w:val="auto"/>
                <w:spacing w:val="2"/>
                <w:position w:val="1"/>
                <w:highlight w:val="none"/>
              </w:rPr>
              <w:t>0.1%</w:t>
            </w:r>
          </w:p>
        </w:tc>
        <w:tc>
          <w:tcPr>
            <w:tcW w:w="1541" w:type="dxa"/>
            <w:vAlign w:val="top"/>
          </w:tcPr>
          <w:p w14:paraId="76B5955E">
            <w:pPr>
              <w:pStyle w:val="20"/>
              <w:spacing w:before="194" w:line="265" w:lineRule="exact"/>
              <w:ind w:left="536"/>
              <w:rPr>
                <w:color w:val="auto"/>
                <w:highlight w:val="none"/>
              </w:rPr>
            </w:pPr>
            <w:r>
              <w:rPr>
                <w:color w:val="auto"/>
                <w:spacing w:val="2"/>
                <w:position w:val="1"/>
                <w:highlight w:val="none"/>
              </w:rPr>
              <w:t>0.2%</w:t>
            </w:r>
          </w:p>
        </w:tc>
      </w:tr>
      <w:tr w14:paraId="44AB5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427" w:type="dxa"/>
            <w:vAlign w:val="top"/>
          </w:tcPr>
          <w:p w14:paraId="1553E5C4">
            <w:pPr>
              <w:pStyle w:val="20"/>
              <w:spacing w:before="188" w:line="229" w:lineRule="auto"/>
              <w:ind w:left="551"/>
              <w:rPr>
                <w:color w:val="auto"/>
                <w:highlight w:val="none"/>
              </w:rPr>
            </w:pPr>
            <w:r>
              <w:rPr>
                <w:color w:val="auto"/>
                <w:highlight w:val="none"/>
              </w:rPr>
              <w:t>1～5</w:t>
            </w:r>
            <w:r>
              <w:rPr>
                <w:color w:val="auto"/>
                <w:spacing w:val="-35"/>
                <w:highlight w:val="none"/>
              </w:rPr>
              <w:t xml:space="preserve"> </w:t>
            </w:r>
            <w:r>
              <w:rPr>
                <w:color w:val="auto"/>
                <w:highlight w:val="none"/>
              </w:rPr>
              <w:t>亿元</w:t>
            </w:r>
          </w:p>
        </w:tc>
        <w:tc>
          <w:tcPr>
            <w:tcW w:w="1598" w:type="dxa"/>
            <w:vAlign w:val="top"/>
          </w:tcPr>
          <w:p w14:paraId="638A1DE3">
            <w:pPr>
              <w:pStyle w:val="20"/>
              <w:spacing w:before="188" w:line="266" w:lineRule="exact"/>
              <w:ind w:left="535"/>
              <w:rPr>
                <w:color w:val="auto"/>
                <w:highlight w:val="none"/>
              </w:rPr>
            </w:pPr>
            <w:r>
              <w:rPr>
                <w:color w:val="auto"/>
                <w:spacing w:val="2"/>
                <w:position w:val="1"/>
                <w:highlight w:val="none"/>
              </w:rPr>
              <w:t>0.05%</w:t>
            </w:r>
          </w:p>
        </w:tc>
        <w:tc>
          <w:tcPr>
            <w:tcW w:w="1703" w:type="dxa"/>
            <w:vAlign w:val="top"/>
          </w:tcPr>
          <w:p w14:paraId="3589A4B2">
            <w:pPr>
              <w:pStyle w:val="20"/>
              <w:spacing w:before="188" w:line="266" w:lineRule="exact"/>
              <w:ind w:left="535"/>
              <w:rPr>
                <w:color w:val="auto"/>
                <w:highlight w:val="none"/>
              </w:rPr>
            </w:pPr>
            <w:r>
              <w:rPr>
                <w:color w:val="auto"/>
                <w:spacing w:val="2"/>
                <w:position w:val="1"/>
                <w:highlight w:val="none"/>
              </w:rPr>
              <w:t>0.05%</w:t>
            </w:r>
          </w:p>
        </w:tc>
        <w:tc>
          <w:tcPr>
            <w:tcW w:w="1541" w:type="dxa"/>
            <w:vAlign w:val="top"/>
          </w:tcPr>
          <w:p w14:paraId="0E034ED3">
            <w:pPr>
              <w:pStyle w:val="20"/>
              <w:spacing w:before="188" w:line="266" w:lineRule="exact"/>
              <w:ind w:left="536"/>
              <w:rPr>
                <w:color w:val="auto"/>
                <w:highlight w:val="none"/>
              </w:rPr>
            </w:pPr>
            <w:r>
              <w:rPr>
                <w:color w:val="auto"/>
                <w:spacing w:val="2"/>
                <w:position w:val="1"/>
                <w:highlight w:val="none"/>
              </w:rPr>
              <w:t>0.05%</w:t>
            </w:r>
          </w:p>
        </w:tc>
      </w:tr>
      <w:tr w14:paraId="7FAF3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3427" w:type="dxa"/>
            <w:vAlign w:val="top"/>
          </w:tcPr>
          <w:p w14:paraId="5F86C63D">
            <w:pPr>
              <w:pStyle w:val="20"/>
              <w:spacing w:before="190" w:line="229" w:lineRule="auto"/>
              <w:ind w:left="539"/>
              <w:rPr>
                <w:color w:val="auto"/>
                <w:highlight w:val="none"/>
              </w:rPr>
            </w:pPr>
            <w:r>
              <w:rPr>
                <w:color w:val="auto"/>
                <w:spacing w:val="3"/>
                <w:highlight w:val="none"/>
              </w:rPr>
              <w:t>5～10</w:t>
            </w:r>
            <w:r>
              <w:rPr>
                <w:color w:val="auto"/>
                <w:spacing w:val="-38"/>
                <w:highlight w:val="none"/>
              </w:rPr>
              <w:t xml:space="preserve"> </w:t>
            </w:r>
            <w:r>
              <w:rPr>
                <w:color w:val="auto"/>
                <w:spacing w:val="3"/>
                <w:highlight w:val="none"/>
              </w:rPr>
              <w:t>亿元</w:t>
            </w:r>
          </w:p>
        </w:tc>
        <w:tc>
          <w:tcPr>
            <w:tcW w:w="1598" w:type="dxa"/>
            <w:vAlign w:val="top"/>
          </w:tcPr>
          <w:p w14:paraId="041AE569">
            <w:pPr>
              <w:pStyle w:val="20"/>
              <w:spacing w:before="189" w:line="265" w:lineRule="exact"/>
              <w:ind w:left="535"/>
              <w:rPr>
                <w:color w:val="auto"/>
                <w:highlight w:val="none"/>
              </w:rPr>
            </w:pPr>
            <w:r>
              <w:rPr>
                <w:color w:val="auto"/>
                <w:spacing w:val="3"/>
                <w:position w:val="1"/>
                <w:highlight w:val="none"/>
              </w:rPr>
              <w:t>0.035%</w:t>
            </w:r>
          </w:p>
        </w:tc>
        <w:tc>
          <w:tcPr>
            <w:tcW w:w="1703" w:type="dxa"/>
            <w:vAlign w:val="top"/>
          </w:tcPr>
          <w:p w14:paraId="74480FDD">
            <w:pPr>
              <w:pStyle w:val="20"/>
              <w:spacing w:before="189" w:line="265" w:lineRule="exact"/>
              <w:ind w:left="535"/>
              <w:rPr>
                <w:color w:val="auto"/>
                <w:highlight w:val="none"/>
              </w:rPr>
            </w:pPr>
            <w:r>
              <w:rPr>
                <w:color w:val="auto"/>
                <w:spacing w:val="3"/>
                <w:position w:val="1"/>
                <w:highlight w:val="none"/>
              </w:rPr>
              <w:t>0.035%</w:t>
            </w:r>
          </w:p>
        </w:tc>
        <w:tc>
          <w:tcPr>
            <w:tcW w:w="1541" w:type="dxa"/>
            <w:vAlign w:val="top"/>
          </w:tcPr>
          <w:p w14:paraId="62059A0C">
            <w:pPr>
              <w:pStyle w:val="20"/>
              <w:spacing w:before="189" w:line="265" w:lineRule="exact"/>
              <w:ind w:left="536"/>
              <w:rPr>
                <w:color w:val="auto"/>
                <w:highlight w:val="none"/>
              </w:rPr>
            </w:pPr>
            <w:r>
              <w:rPr>
                <w:color w:val="auto"/>
                <w:spacing w:val="3"/>
                <w:position w:val="1"/>
                <w:highlight w:val="none"/>
              </w:rPr>
              <w:t>0.035%</w:t>
            </w:r>
          </w:p>
        </w:tc>
      </w:tr>
      <w:tr w14:paraId="07DA9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427" w:type="dxa"/>
            <w:vAlign w:val="top"/>
          </w:tcPr>
          <w:p w14:paraId="0092089D">
            <w:pPr>
              <w:pStyle w:val="20"/>
              <w:spacing w:before="191" w:line="229" w:lineRule="auto"/>
              <w:ind w:left="551"/>
              <w:rPr>
                <w:color w:val="auto"/>
                <w:highlight w:val="none"/>
              </w:rPr>
            </w:pPr>
            <w:r>
              <w:rPr>
                <w:color w:val="auto"/>
                <w:spacing w:val="2"/>
                <w:highlight w:val="none"/>
              </w:rPr>
              <w:t>10～50</w:t>
            </w:r>
            <w:r>
              <w:rPr>
                <w:color w:val="auto"/>
                <w:spacing w:val="-40"/>
                <w:highlight w:val="none"/>
              </w:rPr>
              <w:t xml:space="preserve"> </w:t>
            </w:r>
            <w:r>
              <w:rPr>
                <w:color w:val="auto"/>
                <w:spacing w:val="2"/>
                <w:highlight w:val="none"/>
              </w:rPr>
              <w:t>亿元</w:t>
            </w:r>
          </w:p>
        </w:tc>
        <w:tc>
          <w:tcPr>
            <w:tcW w:w="1598" w:type="dxa"/>
            <w:vAlign w:val="top"/>
          </w:tcPr>
          <w:p w14:paraId="19FF3C3C">
            <w:pPr>
              <w:pStyle w:val="20"/>
              <w:spacing w:before="191" w:line="263" w:lineRule="exact"/>
              <w:ind w:left="535"/>
              <w:rPr>
                <w:color w:val="auto"/>
                <w:highlight w:val="none"/>
              </w:rPr>
            </w:pPr>
            <w:r>
              <w:rPr>
                <w:color w:val="auto"/>
                <w:spacing w:val="3"/>
                <w:position w:val="1"/>
                <w:highlight w:val="none"/>
              </w:rPr>
              <w:t>0.008%</w:t>
            </w:r>
          </w:p>
        </w:tc>
        <w:tc>
          <w:tcPr>
            <w:tcW w:w="1703" w:type="dxa"/>
            <w:vAlign w:val="top"/>
          </w:tcPr>
          <w:p w14:paraId="49F7F9D9">
            <w:pPr>
              <w:pStyle w:val="20"/>
              <w:spacing w:before="191" w:line="263" w:lineRule="exact"/>
              <w:ind w:left="535"/>
              <w:rPr>
                <w:color w:val="auto"/>
                <w:highlight w:val="none"/>
              </w:rPr>
            </w:pPr>
            <w:r>
              <w:rPr>
                <w:color w:val="auto"/>
                <w:spacing w:val="3"/>
                <w:position w:val="1"/>
                <w:highlight w:val="none"/>
              </w:rPr>
              <w:t>0.008%</w:t>
            </w:r>
          </w:p>
        </w:tc>
        <w:tc>
          <w:tcPr>
            <w:tcW w:w="1541" w:type="dxa"/>
            <w:vAlign w:val="top"/>
          </w:tcPr>
          <w:p w14:paraId="2EFDFDAB">
            <w:pPr>
              <w:pStyle w:val="20"/>
              <w:spacing w:before="191" w:line="263" w:lineRule="exact"/>
              <w:ind w:left="536"/>
              <w:rPr>
                <w:color w:val="auto"/>
                <w:highlight w:val="none"/>
              </w:rPr>
            </w:pPr>
            <w:r>
              <w:rPr>
                <w:color w:val="auto"/>
                <w:spacing w:val="3"/>
                <w:position w:val="1"/>
                <w:highlight w:val="none"/>
              </w:rPr>
              <w:t>0.008%</w:t>
            </w:r>
          </w:p>
        </w:tc>
      </w:tr>
      <w:tr w14:paraId="626EC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3427" w:type="dxa"/>
            <w:vAlign w:val="top"/>
          </w:tcPr>
          <w:p w14:paraId="4C7F56B6">
            <w:pPr>
              <w:pStyle w:val="20"/>
              <w:spacing w:before="192" w:line="229" w:lineRule="auto"/>
              <w:ind w:left="539"/>
              <w:rPr>
                <w:color w:val="auto"/>
                <w:highlight w:val="none"/>
              </w:rPr>
            </w:pPr>
            <w:r>
              <w:rPr>
                <w:color w:val="auto"/>
                <w:spacing w:val="4"/>
                <w:highlight w:val="none"/>
              </w:rPr>
              <w:t>50～100</w:t>
            </w:r>
            <w:r>
              <w:rPr>
                <w:color w:val="auto"/>
                <w:spacing w:val="-40"/>
                <w:highlight w:val="none"/>
              </w:rPr>
              <w:t xml:space="preserve"> </w:t>
            </w:r>
            <w:r>
              <w:rPr>
                <w:color w:val="auto"/>
                <w:spacing w:val="4"/>
                <w:highlight w:val="none"/>
              </w:rPr>
              <w:t>亿元</w:t>
            </w:r>
          </w:p>
        </w:tc>
        <w:tc>
          <w:tcPr>
            <w:tcW w:w="1598" w:type="dxa"/>
            <w:vAlign w:val="top"/>
          </w:tcPr>
          <w:p w14:paraId="10F01FD3">
            <w:pPr>
              <w:pStyle w:val="20"/>
              <w:spacing w:before="192" w:line="241" w:lineRule="auto"/>
              <w:ind w:left="535"/>
              <w:rPr>
                <w:color w:val="auto"/>
                <w:highlight w:val="none"/>
              </w:rPr>
            </w:pPr>
            <w:r>
              <w:rPr>
                <w:color w:val="auto"/>
                <w:spacing w:val="3"/>
                <w:highlight w:val="none"/>
              </w:rPr>
              <w:t>0.006%</w:t>
            </w:r>
          </w:p>
        </w:tc>
        <w:tc>
          <w:tcPr>
            <w:tcW w:w="1703" w:type="dxa"/>
            <w:vAlign w:val="top"/>
          </w:tcPr>
          <w:p w14:paraId="672AB38F">
            <w:pPr>
              <w:pStyle w:val="20"/>
              <w:spacing w:before="192" w:line="241" w:lineRule="auto"/>
              <w:ind w:left="535"/>
              <w:rPr>
                <w:color w:val="auto"/>
                <w:highlight w:val="none"/>
              </w:rPr>
            </w:pPr>
            <w:r>
              <w:rPr>
                <w:color w:val="auto"/>
                <w:spacing w:val="3"/>
                <w:highlight w:val="none"/>
              </w:rPr>
              <w:t>0.006%</w:t>
            </w:r>
          </w:p>
        </w:tc>
        <w:tc>
          <w:tcPr>
            <w:tcW w:w="1541" w:type="dxa"/>
            <w:vAlign w:val="top"/>
          </w:tcPr>
          <w:p w14:paraId="700490DD">
            <w:pPr>
              <w:pStyle w:val="20"/>
              <w:spacing w:before="192" w:line="241" w:lineRule="auto"/>
              <w:ind w:left="536"/>
              <w:rPr>
                <w:color w:val="auto"/>
                <w:highlight w:val="none"/>
              </w:rPr>
            </w:pPr>
            <w:r>
              <w:rPr>
                <w:color w:val="auto"/>
                <w:spacing w:val="3"/>
                <w:highlight w:val="none"/>
              </w:rPr>
              <w:t>0.006%</w:t>
            </w:r>
          </w:p>
        </w:tc>
      </w:tr>
      <w:tr w14:paraId="58F7D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3427" w:type="dxa"/>
            <w:vAlign w:val="top"/>
          </w:tcPr>
          <w:p w14:paraId="395D0CD0">
            <w:pPr>
              <w:pStyle w:val="20"/>
              <w:spacing w:before="193" w:line="230" w:lineRule="auto"/>
              <w:ind w:left="551"/>
              <w:rPr>
                <w:color w:val="auto"/>
                <w:highlight w:val="none"/>
              </w:rPr>
            </w:pPr>
            <w:r>
              <w:rPr>
                <w:color w:val="auto"/>
                <w:spacing w:val="2"/>
                <w:highlight w:val="none"/>
              </w:rPr>
              <w:t>100</w:t>
            </w:r>
            <w:r>
              <w:rPr>
                <w:color w:val="auto"/>
                <w:spacing w:val="-40"/>
                <w:highlight w:val="none"/>
              </w:rPr>
              <w:t xml:space="preserve"> </w:t>
            </w:r>
            <w:r>
              <w:rPr>
                <w:color w:val="auto"/>
                <w:spacing w:val="2"/>
                <w:highlight w:val="none"/>
              </w:rPr>
              <w:t>亿以上</w:t>
            </w:r>
          </w:p>
        </w:tc>
        <w:tc>
          <w:tcPr>
            <w:tcW w:w="1598" w:type="dxa"/>
            <w:vAlign w:val="top"/>
          </w:tcPr>
          <w:p w14:paraId="1EE29530">
            <w:pPr>
              <w:pStyle w:val="20"/>
              <w:spacing w:before="194" w:line="265" w:lineRule="exact"/>
              <w:ind w:left="535"/>
              <w:rPr>
                <w:color w:val="auto"/>
                <w:highlight w:val="none"/>
              </w:rPr>
            </w:pPr>
            <w:r>
              <w:rPr>
                <w:color w:val="auto"/>
                <w:spacing w:val="3"/>
                <w:position w:val="1"/>
                <w:highlight w:val="none"/>
              </w:rPr>
              <w:t>0.004%</w:t>
            </w:r>
          </w:p>
        </w:tc>
        <w:tc>
          <w:tcPr>
            <w:tcW w:w="1703" w:type="dxa"/>
            <w:vAlign w:val="top"/>
          </w:tcPr>
          <w:p w14:paraId="7162EB46">
            <w:pPr>
              <w:pStyle w:val="20"/>
              <w:spacing w:before="194" w:line="265" w:lineRule="exact"/>
              <w:ind w:left="535"/>
              <w:rPr>
                <w:color w:val="auto"/>
                <w:highlight w:val="none"/>
              </w:rPr>
            </w:pPr>
            <w:r>
              <w:rPr>
                <w:color w:val="auto"/>
                <w:spacing w:val="3"/>
                <w:position w:val="1"/>
                <w:highlight w:val="none"/>
              </w:rPr>
              <w:t>0.004%</w:t>
            </w:r>
          </w:p>
        </w:tc>
        <w:tc>
          <w:tcPr>
            <w:tcW w:w="1541" w:type="dxa"/>
            <w:vAlign w:val="top"/>
          </w:tcPr>
          <w:p w14:paraId="6A8698E5">
            <w:pPr>
              <w:pStyle w:val="20"/>
              <w:spacing w:before="194" w:line="265" w:lineRule="exact"/>
              <w:ind w:left="536"/>
              <w:rPr>
                <w:color w:val="auto"/>
                <w:highlight w:val="none"/>
              </w:rPr>
            </w:pPr>
            <w:r>
              <w:rPr>
                <w:color w:val="auto"/>
                <w:spacing w:val="3"/>
                <w:position w:val="1"/>
                <w:highlight w:val="none"/>
              </w:rPr>
              <w:t>0.004%</w:t>
            </w:r>
          </w:p>
        </w:tc>
      </w:tr>
    </w:tbl>
    <w:p w14:paraId="3DD2E4C7">
      <w:pPr>
        <w:pStyle w:val="6"/>
        <w:spacing w:line="271" w:lineRule="auto"/>
        <w:rPr>
          <w:color w:val="auto"/>
          <w:highlight w:val="none"/>
        </w:rPr>
      </w:pPr>
    </w:p>
    <w:p w14:paraId="5392F84E">
      <w:pPr>
        <w:spacing w:before="78" w:line="220" w:lineRule="auto"/>
        <w:ind w:left="42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34.需要补充的其他内容</w:t>
      </w:r>
    </w:p>
    <w:p w14:paraId="717C214A">
      <w:pPr>
        <w:spacing w:before="136" w:line="228" w:lineRule="auto"/>
        <w:ind w:left="425"/>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34.1</w:t>
      </w:r>
      <w:r>
        <w:rPr>
          <w:rFonts w:ascii="宋体" w:hAnsi="宋体" w:eastAsia="宋体" w:cs="宋体"/>
          <w:color w:val="auto"/>
          <w:spacing w:val="-40"/>
          <w:sz w:val="20"/>
          <w:szCs w:val="20"/>
          <w:highlight w:val="none"/>
        </w:rPr>
        <w:t xml:space="preserve"> </w:t>
      </w:r>
      <w:r>
        <w:rPr>
          <w:rFonts w:ascii="宋体" w:hAnsi="宋体" w:eastAsia="宋体" w:cs="宋体"/>
          <w:color w:val="auto"/>
          <w:spacing w:val="8"/>
          <w:sz w:val="20"/>
          <w:szCs w:val="20"/>
          <w:highlight w:val="none"/>
        </w:rPr>
        <w:t>本磋商文件解释规则详见“供应商须知前附表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w:t>
      </w:r>
    </w:p>
    <w:p w14:paraId="3B100A28">
      <w:pPr>
        <w:spacing w:before="213" w:line="228" w:lineRule="auto"/>
        <w:ind w:left="425"/>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34.2 其他事项详见“供应商须知前附表</w:t>
      </w:r>
      <w:r>
        <w:rPr>
          <w:rFonts w:ascii="宋体" w:hAnsi="宋体" w:eastAsia="宋体" w:cs="宋体"/>
          <w:color w:val="auto"/>
          <w:spacing w:val="-54"/>
          <w:sz w:val="20"/>
          <w:szCs w:val="20"/>
          <w:highlight w:val="none"/>
        </w:rPr>
        <w:t xml:space="preserve"> </w:t>
      </w:r>
      <w:r>
        <w:rPr>
          <w:rFonts w:ascii="宋体" w:hAnsi="宋体" w:eastAsia="宋体" w:cs="宋体"/>
          <w:color w:val="auto"/>
          <w:spacing w:val="7"/>
          <w:sz w:val="20"/>
          <w:szCs w:val="20"/>
          <w:highlight w:val="none"/>
        </w:rPr>
        <w:t>”。</w:t>
      </w:r>
    </w:p>
    <w:p w14:paraId="2EDDE840">
      <w:pPr>
        <w:spacing w:before="229" w:line="420" w:lineRule="auto"/>
        <w:ind w:right="76" w:firstLine="425"/>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34.3</w:t>
      </w:r>
      <w:r>
        <w:rPr>
          <w:rFonts w:ascii="宋体" w:hAnsi="宋体" w:eastAsia="宋体" w:cs="宋体"/>
          <w:color w:val="auto"/>
          <w:spacing w:val="-37"/>
          <w:sz w:val="20"/>
          <w:szCs w:val="20"/>
          <w:highlight w:val="none"/>
        </w:rPr>
        <w:t xml:space="preserve"> </w:t>
      </w:r>
      <w:r>
        <w:rPr>
          <w:rFonts w:ascii="宋体" w:hAnsi="宋体" w:eastAsia="宋体" w:cs="宋体"/>
          <w:color w:val="auto"/>
          <w:spacing w:val="11"/>
          <w:sz w:val="20"/>
          <w:szCs w:val="20"/>
          <w:highlight w:val="none"/>
        </w:rPr>
        <w:t>本文件所称中小企业，是指在中华人民共和国</w:t>
      </w:r>
      <w:r>
        <w:rPr>
          <w:rFonts w:ascii="宋体" w:hAnsi="宋体" w:eastAsia="宋体" w:cs="宋体"/>
          <w:color w:val="auto"/>
          <w:spacing w:val="10"/>
          <w:sz w:val="20"/>
          <w:szCs w:val="20"/>
          <w:highlight w:val="none"/>
        </w:rPr>
        <w:t>境内依法设立，依据国务院批准的中小</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企业划分标准确定的中型企业、小型企业和微型企业，但与</w:t>
      </w:r>
      <w:r>
        <w:rPr>
          <w:rFonts w:ascii="宋体" w:hAnsi="宋体" w:eastAsia="宋体" w:cs="宋体"/>
          <w:color w:val="auto"/>
          <w:spacing w:val="7"/>
          <w:sz w:val="20"/>
          <w:szCs w:val="20"/>
          <w:highlight w:val="none"/>
        </w:rPr>
        <w:t>大企业的负责人为同一人，或者与大</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企业存在直接控股、管理关系的除外。符合中小企业划分标</w:t>
      </w:r>
      <w:r>
        <w:rPr>
          <w:rFonts w:ascii="宋体" w:hAnsi="宋体" w:eastAsia="宋体" w:cs="宋体"/>
          <w:color w:val="auto"/>
          <w:spacing w:val="7"/>
          <w:sz w:val="20"/>
          <w:szCs w:val="20"/>
          <w:highlight w:val="none"/>
        </w:rPr>
        <w:t>准的个体工商户，在政府采购活动中</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视同中小企业。在政府采购活动中，供应商提供的服务由中</w:t>
      </w:r>
      <w:r>
        <w:rPr>
          <w:rFonts w:ascii="宋体" w:hAnsi="宋体" w:eastAsia="宋体" w:cs="宋体"/>
          <w:color w:val="auto"/>
          <w:spacing w:val="7"/>
          <w:sz w:val="20"/>
          <w:szCs w:val="20"/>
          <w:highlight w:val="none"/>
        </w:rPr>
        <w:t>小企业承接，即提供服务的人员为中</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小企业依照《中华人民共和国劳动合同法》订立劳动合同的从业人</w:t>
      </w:r>
      <w:r>
        <w:rPr>
          <w:rFonts w:ascii="宋体" w:hAnsi="宋体" w:eastAsia="宋体" w:cs="宋体"/>
          <w:color w:val="auto"/>
          <w:spacing w:val="7"/>
          <w:sz w:val="20"/>
          <w:szCs w:val="20"/>
          <w:highlight w:val="none"/>
        </w:rPr>
        <w:t>员，不对其中涉及的货物的制</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造商和工程承建商作出要求的，享受本文件规定的中小企业扶持政策。</w:t>
      </w:r>
    </w:p>
    <w:p w14:paraId="71979E15">
      <w:pPr>
        <w:spacing w:before="249" w:line="459" w:lineRule="auto"/>
        <w:ind w:left="1" w:right="22" w:firstLine="442"/>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以联合体形式参加政府采购活动，联合体各方均为中小企业的，联合体视同中小企业。其中，</w:t>
      </w:r>
      <w:r>
        <w:rPr>
          <w:rFonts w:ascii="宋体" w:hAnsi="宋体" w:eastAsia="宋体" w:cs="宋体"/>
          <w:color w:val="auto"/>
          <w:spacing w:val="9"/>
          <w:sz w:val="20"/>
          <w:szCs w:val="20"/>
          <w:highlight w:val="none"/>
        </w:rPr>
        <w:t xml:space="preserve"> 联合体各方均为小微企业的，联合体视同小微企业。</w:t>
      </w:r>
    </w:p>
    <w:p w14:paraId="6B65CB1D">
      <w:pPr>
        <w:spacing w:before="2" w:line="459" w:lineRule="auto"/>
        <w:ind w:right="78" w:firstLine="422"/>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依据本文件规定享受扶持政策获得政府采购合同的，小微企业不得</w:t>
      </w:r>
      <w:r>
        <w:rPr>
          <w:rFonts w:ascii="宋体" w:hAnsi="宋体" w:eastAsia="宋体" w:cs="宋体"/>
          <w:color w:val="auto"/>
          <w:spacing w:val="12"/>
          <w:sz w:val="20"/>
          <w:szCs w:val="20"/>
          <w:highlight w:val="none"/>
        </w:rPr>
        <w:t>将合同分包给大中型企</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业，中型企业不得将合同分包给大型企业。</w:t>
      </w:r>
    </w:p>
    <w:p w14:paraId="75D7625D">
      <w:pPr>
        <w:spacing w:before="17" w:line="219" w:lineRule="auto"/>
        <w:ind w:left="426"/>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35.政采贷相关说明</w:t>
      </w:r>
    </w:p>
    <w:p w14:paraId="2F545FBB">
      <w:pPr>
        <w:spacing w:before="155" w:line="392" w:lineRule="auto"/>
        <w:ind w:right="78" w:firstLine="423"/>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为优化政府采购营商环境，缓解供应商资金难题，南宁市政府采购试行政府采购信用融资制</w:t>
      </w:r>
      <w:r>
        <w:rPr>
          <w:rFonts w:ascii="宋体" w:hAnsi="宋体" w:eastAsia="宋体" w:cs="宋体"/>
          <w:color w:val="auto"/>
          <w:spacing w:val="17"/>
          <w:sz w:val="20"/>
          <w:szCs w:val="20"/>
          <w:highlight w:val="none"/>
        </w:rPr>
        <w:t xml:space="preserve"> </w:t>
      </w:r>
      <w:r>
        <w:rPr>
          <w:rFonts w:ascii="宋体" w:hAnsi="宋体" w:eastAsia="宋体" w:cs="宋体"/>
          <w:color w:val="auto"/>
          <w:spacing w:val="10"/>
          <w:sz w:val="20"/>
          <w:szCs w:val="20"/>
          <w:highlight w:val="none"/>
        </w:rPr>
        <w:t>度，中标供应商如有融资需求，可凭政府采购</w:t>
      </w:r>
      <w:r>
        <w:rPr>
          <w:rFonts w:ascii="宋体" w:hAnsi="宋体" w:eastAsia="宋体" w:cs="宋体"/>
          <w:color w:val="auto"/>
          <w:spacing w:val="9"/>
          <w:sz w:val="20"/>
          <w:szCs w:val="20"/>
          <w:highlight w:val="none"/>
        </w:rPr>
        <w:t>合同通过以下方式申请政府采购信用融资贷款：</w:t>
      </w:r>
    </w:p>
    <w:p w14:paraId="4718988C">
      <w:pPr>
        <w:spacing w:before="1" w:line="486" w:lineRule="auto"/>
        <w:ind w:right="76" w:firstLine="42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线下渠道：在“南宁市公共资源交易中心</w:t>
      </w:r>
      <w:r>
        <w:rPr>
          <w:rFonts w:ascii="宋体" w:hAnsi="宋体" w:eastAsia="宋体" w:cs="宋体"/>
          <w:color w:val="auto"/>
          <w:spacing w:val="-73"/>
          <w:sz w:val="20"/>
          <w:szCs w:val="20"/>
          <w:highlight w:val="none"/>
        </w:rPr>
        <w:t xml:space="preserve"> </w:t>
      </w:r>
      <w:r>
        <w:rPr>
          <w:rFonts w:ascii="宋体" w:hAnsi="宋体" w:eastAsia="宋体" w:cs="宋体"/>
          <w:color w:val="auto"/>
          <w:spacing w:val="8"/>
          <w:sz w:val="20"/>
          <w:szCs w:val="20"/>
          <w:highlight w:val="none"/>
        </w:rPr>
        <w:t>”官网（网址：</w:t>
      </w:r>
      <w:r>
        <w:rPr>
          <w:color w:val="auto"/>
          <w:highlight w:val="none"/>
        </w:rPr>
        <w:fldChar w:fldCharType="begin"/>
      </w:r>
      <w:r>
        <w:rPr>
          <w:color w:val="auto"/>
          <w:highlight w:val="none"/>
        </w:rPr>
        <w:instrText xml:space="preserve"> HYPERLINK "http://www.nnggzy.org.cn）“交易信息-政府采购-政府采购信用融资”中融资银行和南宁市企业融资服务中心专栏信息申请政府采购信用融资。" </w:instrText>
      </w:r>
      <w:r>
        <w:rPr>
          <w:color w:val="auto"/>
          <w:highlight w:val="none"/>
        </w:rPr>
        <w:fldChar w:fldCharType="separate"/>
      </w:r>
      <w:r>
        <w:rPr>
          <w:rFonts w:ascii="宋体" w:hAnsi="宋体" w:eastAsia="宋体" w:cs="宋体"/>
          <w:color w:val="auto"/>
          <w:sz w:val="20"/>
          <w:szCs w:val="20"/>
          <w:highlight w:val="none"/>
        </w:rPr>
        <w:t>http</w:t>
      </w:r>
      <w:r>
        <w:rPr>
          <w:rFonts w:ascii="宋体" w:hAnsi="宋体" w:eastAsia="宋体" w:cs="宋体"/>
          <w:color w:val="auto"/>
          <w:spacing w:val="8"/>
          <w:sz w:val="20"/>
          <w:szCs w:val="20"/>
          <w:highlight w:val="none"/>
        </w:rPr>
        <w:t>://</w:t>
      </w:r>
      <w:r>
        <w:rPr>
          <w:rFonts w:ascii="宋体" w:hAnsi="宋体" w:eastAsia="宋体" w:cs="宋体"/>
          <w:color w:val="auto"/>
          <w:sz w:val="20"/>
          <w:szCs w:val="20"/>
          <w:highlight w:val="none"/>
        </w:rPr>
        <w:t>www</w:t>
      </w:r>
      <w:r>
        <w:rPr>
          <w:rFonts w:ascii="宋体" w:hAnsi="宋体" w:eastAsia="宋体" w:cs="宋体"/>
          <w:color w:val="auto"/>
          <w:spacing w:val="8"/>
          <w:sz w:val="20"/>
          <w:szCs w:val="20"/>
          <w:highlight w:val="none"/>
        </w:rPr>
        <w:t>.</w:t>
      </w:r>
      <w:r>
        <w:rPr>
          <w:rFonts w:ascii="宋体" w:hAnsi="宋体" w:eastAsia="宋体" w:cs="宋体"/>
          <w:color w:val="auto"/>
          <w:sz w:val="20"/>
          <w:szCs w:val="20"/>
          <w:highlight w:val="none"/>
        </w:rPr>
        <w:t>nnggzy</w:t>
      </w:r>
      <w:r>
        <w:rPr>
          <w:rFonts w:ascii="宋体" w:hAnsi="宋体" w:eastAsia="宋体" w:cs="宋体"/>
          <w:color w:val="auto"/>
          <w:spacing w:val="8"/>
          <w:sz w:val="20"/>
          <w:szCs w:val="20"/>
          <w:highlight w:val="none"/>
        </w:rPr>
        <w:t>.</w:t>
      </w:r>
      <w:r>
        <w:rPr>
          <w:rFonts w:ascii="宋体" w:hAnsi="宋体" w:eastAsia="宋体" w:cs="宋体"/>
          <w:color w:val="auto"/>
          <w:sz w:val="20"/>
          <w:szCs w:val="20"/>
          <w:highlight w:val="none"/>
        </w:rPr>
        <w:t>org</w:t>
      </w:r>
      <w:r>
        <w:rPr>
          <w:rFonts w:ascii="宋体" w:hAnsi="宋体" w:eastAsia="宋体" w:cs="宋体"/>
          <w:color w:val="auto"/>
          <w:spacing w:val="8"/>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pacing w:val="8"/>
          <w:sz w:val="20"/>
          <w:szCs w:val="20"/>
          <w:highlight w:val="none"/>
        </w:rPr>
        <w:t>）“交</w:t>
      </w:r>
      <w:r>
        <w:rPr>
          <w:rFonts w:ascii="宋体" w:hAnsi="宋体" w:eastAsia="宋体" w:cs="宋体"/>
          <w:color w:val="auto"/>
          <w:spacing w:val="8"/>
          <w:sz w:val="20"/>
          <w:szCs w:val="20"/>
          <w:highlight w:val="none"/>
        </w:rPr>
        <w:fldChar w:fldCharType="end"/>
      </w:r>
      <w:r>
        <w:rPr>
          <w:rFonts w:ascii="宋体" w:hAnsi="宋体" w:eastAsia="宋体" w:cs="宋体"/>
          <w:color w:val="auto"/>
          <w:sz w:val="20"/>
          <w:szCs w:val="20"/>
          <w:highlight w:val="none"/>
        </w:rPr>
        <w:t xml:space="preserve"> </w:t>
      </w:r>
      <w:r>
        <w:rPr>
          <w:color w:val="auto"/>
          <w:highlight w:val="none"/>
        </w:rPr>
        <w:fldChar w:fldCharType="begin"/>
      </w:r>
      <w:r>
        <w:rPr>
          <w:color w:val="auto"/>
          <w:highlight w:val="none"/>
        </w:rPr>
        <w:instrText xml:space="preserve"> HYPERLINK "http://www.nnggzy.org.cn）“交易信息-政府采购-政府采购信用融资”中融资银行和南宁市企业融资服务中心专栏信息申请政府采购信用融资。" </w:instrText>
      </w:r>
      <w:r>
        <w:rPr>
          <w:color w:val="auto"/>
          <w:highlight w:val="none"/>
        </w:rPr>
        <w:fldChar w:fldCharType="separate"/>
      </w:r>
      <w:r>
        <w:rPr>
          <w:rFonts w:ascii="宋体" w:hAnsi="宋体" w:eastAsia="宋体" w:cs="宋体"/>
          <w:color w:val="auto"/>
          <w:spacing w:val="8"/>
          <w:sz w:val="20"/>
          <w:szCs w:val="20"/>
          <w:highlight w:val="none"/>
        </w:rPr>
        <w:t>易信息-政府采购-政府采购信用融资”中融资</w:t>
      </w:r>
      <w:r>
        <w:rPr>
          <w:rFonts w:ascii="宋体" w:hAnsi="宋体" w:eastAsia="宋体" w:cs="宋体"/>
          <w:color w:val="auto"/>
          <w:spacing w:val="7"/>
          <w:sz w:val="20"/>
          <w:szCs w:val="20"/>
          <w:highlight w:val="none"/>
        </w:rPr>
        <w:t>银行和南宁市企业融资服务中心专栏信息申请政府</w:t>
      </w:r>
      <w:r>
        <w:rPr>
          <w:rFonts w:ascii="宋体" w:hAnsi="宋体" w:eastAsia="宋体" w:cs="宋体"/>
          <w:color w:val="auto"/>
          <w:spacing w:val="7"/>
          <w:sz w:val="20"/>
          <w:szCs w:val="20"/>
          <w:highlight w:val="none"/>
        </w:rPr>
        <w:fldChar w:fldCharType="end"/>
      </w:r>
      <w:r>
        <w:rPr>
          <w:rFonts w:ascii="宋体" w:hAnsi="宋体" w:eastAsia="宋体" w:cs="宋体"/>
          <w:color w:val="auto"/>
          <w:sz w:val="20"/>
          <w:szCs w:val="20"/>
          <w:highlight w:val="none"/>
        </w:rPr>
        <w:t xml:space="preserve"> </w:t>
      </w:r>
      <w:r>
        <w:rPr>
          <w:color w:val="auto"/>
          <w:highlight w:val="none"/>
        </w:rPr>
        <w:fldChar w:fldCharType="begin"/>
      </w:r>
      <w:r>
        <w:rPr>
          <w:color w:val="auto"/>
          <w:highlight w:val="none"/>
        </w:rPr>
        <w:instrText xml:space="preserve"> HYPERLINK "http://www.nnggzy.org.cn）“交易信息-政府采购-政府采购信用融资”中融资银行和南宁市企业融资服务中心专栏信息申请政府采购信用融资。" </w:instrText>
      </w:r>
      <w:r>
        <w:rPr>
          <w:color w:val="auto"/>
          <w:highlight w:val="none"/>
        </w:rPr>
        <w:fldChar w:fldCharType="separate"/>
      </w:r>
      <w:r>
        <w:rPr>
          <w:rFonts w:ascii="宋体" w:hAnsi="宋体" w:eastAsia="宋体" w:cs="宋体"/>
          <w:color w:val="auto"/>
          <w:spacing w:val="7"/>
          <w:sz w:val="20"/>
          <w:szCs w:val="20"/>
          <w:highlight w:val="none"/>
        </w:rPr>
        <w:t>采购信用融资。</w:t>
      </w:r>
      <w:r>
        <w:rPr>
          <w:rFonts w:ascii="宋体" w:hAnsi="宋体" w:eastAsia="宋体" w:cs="宋体"/>
          <w:color w:val="auto"/>
          <w:spacing w:val="7"/>
          <w:sz w:val="20"/>
          <w:szCs w:val="20"/>
          <w:highlight w:val="none"/>
        </w:rPr>
        <w:fldChar w:fldCharType="end"/>
      </w:r>
    </w:p>
    <w:p w14:paraId="3CFA2965">
      <w:pPr>
        <w:spacing w:before="51" w:line="223" w:lineRule="auto"/>
        <w:ind w:left="43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（2）线上渠道：登录中征营应收账款融资服</w:t>
      </w:r>
      <w:r>
        <w:rPr>
          <w:rFonts w:ascii="宋体" w:hAnsi="宋体" w:eastAsia="宋体" w:cs="宋体"/>
          <w:color w:val="auto"/>
          <w:spacing w:val="8"/>
          <w:sz w:val="20"/>
          <w:szCs w:val="20"/>
          <w:highlight w:val="none"/>
        </w:rPr>
        <w:t>务平台（网址：</w:t>
      </w:r>
      <w:r>
        <w:rPr>
          <w:color w:val="auto"/>
          <w:highlight w:val="none"/>
        </w:rPr>
        <w:fldChar w:fldCharType="begin"/>
      </w:r>
      <w:r>
        <w:rPr>
          <w:color w:val="auto"/>
          <w:highlight w:val="none"/>
        </w:rPr>
        <w:instrText xml:space="preserve"> HYPERLINK "https://www.crcrfsp.com" </w:instrText>
      </w:r>
      <w:r>
        <w:rPr>
          <w:color w:val="auto"/>
          <w:highlight w:val="none"/>
        </w:rPr>
        <w:fldChar w:fldCharType="separate"/>
      </w:r>
      <w:r>
        <w:rPr>
          <w:rFonts w:ascii="宋体" w:hAnsi="宋体" w:eastAsia="宋体" w:cs="宋体"/>
          <w:color w:val="auto"/>
          <w:sz w:val="20"/>
          <w:szCs w:val="20"/>
          <w:highlight w:val="none"/>
        </w:rPr>
        <w:t>https</w:t>
      </w:r>
      <w:r>
        <w:rPr>
          <w:rFonts w:ascii="宋体" w:hAnsi="宋体" w:eastAsia="宋体" w:cs="宋体"/>
          <w:color w:val="auto"/>
          <w:spacing w:val="8"/>
          <w:sz w:val="20"/>
          <w:szCs w:val="20"/>
          <w:highlight w:val="none"/>
        </w:rPr>
        <w:t>://</w:t>
      </w:r>
      <w:r>
        <w:rPr>
          <w:rFonts w:ascii="宋体" w:hAnsi="宋体" w:eastAsia="宋体" w:cs="宋体"/>
          <w:color w:val="auto"/>
          <w:sz w:val="20"/>
          <w:szCs w:val="20"/>
          <w:highlight w:val="none"/>
        </w:rPr>
        <w:t>www</w:t>
      </w:r>
      <w:r>
        <w:rPr>
          <w:rFonts w:ascii="宋体" w:hAnsi="宋体" w:eastAsia="宋体" w:cs="宋体"/>
          <w:color w:val="auto"/>
          <w:spacing w:val="8"/>
          <w:sz w:val="20"/>
          <w:szCs w:val="20"/>
          <w:highlight w:val="none"/>
        </w:rPr>
        <w:t>.</w:t>
      </w:r>
      <w:r>
        <w:rPr>
          <w:rFonts w:ascii="宋体" w:hAnsi="宋体" w:eastAsia="宋体" w:cs="宋体"/>
          <w:color w:val="auto"/>
          <w:sz w:val="20"/>
          <w:szCs w:val="20"/>
          <w:highlight w:val="none"/>
        </w:rPr>
        <w:t>crcrfsp</w:t>
      </w:r>
      <w:r>
        <w:rPr>
          <w:rFonts w:ascii="宋体" w:hAnsi="宋体" w:eastAsia="宋体" w:cs="宋体"/>
          <w:color w:val="auto"/>
          <w:spacing w:val="8"/>
          <w:sz w:val="20"/>
          <w:szCs w:val="20"/>
          <w:highlight w:val="none"/>
        </w:rPr>
        <w:t>.</w:t>
      </w:r>
      <w:r>
        <w:rPr>
          <w:rFonts w:ascii="宋体" w:hAnsi="宋体" w:eastAsia="宋体" w:cs="宋体"/>
          <w:color w:val="auto"/>
          <w:sz w:val="20"/>
          <w:szCs w:val="20"/>
          <w:highlight w:val="none"/>
        </w:rPr>
        <w:t>com</w:t>
      </w:r>
      <w:r>
        <w:rPr>
          <w:rFonts w:ascii="宋体" w:hAnsi="宋体" w:eastAsia="宋体" w:cs="宋体"/>
          <w:color w:val="auto"/>
          <w:sz w:val="20"/>
          <w:szCs w:val="20"/>
          <w:highlight w:val="none"/>
        </w:rPr>
        <w:fldChar w:fldCharType="end"/>
      </w:r>
      <w:r>
        <w:rPr>
          <w:rFonts w:ascii="宋体" w:hAnsi="宋体" w:eastAsia="宋体" w:cs="宋体"/>
          <w:color w:val="auto"/>
          <w:spacing w:val="8"/>
          <w:sz w:val="20"/>
          <w:szCs w:val="20"/>
          <w:highlight w:val="none"/>
        </w:rPr>
        <w:t>，客</w:t>
      </w:r>
    </w:p>
    <w:p w14:paraId="549711EB">
      <w:pPr>
        <w:spacing w:before="257" w:line="228" w:lineRule="auto"/>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服电话：400-009-0001</w:t>
      </w:r>
      <w:r>
        <w:rPr>
          <w:rFonts w:ascii="宋体" w:hAnsi="宋体" w:eastAsia="宋体" w:cs="宋体"/>
          <w:color w:val="auto"/>
          <w:sz w:val="20"/>
          <w:szCs w:val="20"/>
          <w:highlight w:val="none"/>
        </w:rPr>
        <w:t>），</w:t>
      </w:r>
      <w:r>
        <w:rPr>
          <w:rFonts w:ascii="宋体" w:hAnsi="宋体" w:eastAsia="宋体" w:cs="宋体"/>
          <w:color w:val="auto"/>
          <w:spacing w:val="7"/>
          <w:sz w:val="20"/>
          <w:szCs w:val="20"/>
          <w:highlight w:val="none"/>
        </w:rPr>
        <w:t>选择相关金融产品和银行业金融机构金融融资贷款。具体操作方式见</w:t>
      </w:r>
    </w:p>
    <w:p w14:paraId="793E7C5B">
      <w:pPr>
        <w:spacing w:before="249" w:line="383" w:lineRule="auto"/>
        <w:ind w:left="10" w:hanging="4"/>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《中国人民银行南宁中心支行广西壮族自治区财政厅关于推广</w:t>
      </w:r>
      <w:r>
        <w:rPr>
          <w:rFonts w:ascii="宋体" w:hAnsi="宋体" w:eastAsia="宋体" w:cs="宋体"/>
          <w:color w:val="auto"/>
          <w:spacing w:val="8"/>
          <w:sz w:val="20"/>
          <w:szCs w:val="20"/>
          <w:highlight w:val="none"/>
        </w:rPr>
        <w:t>线上“政采贷</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”融资模式的通知》</w:t>
      </w:r>
      <w:r>
        <w:rPr>
          <w:rFonts w:ascii="宋体" w:hAnsi="宋体" w:eastAsia="宋体" w:cs="宋体"/>
          <w:color w:val="auto"/>
          <w:sz w:val="20"/>
          <w:szCs w:val="20"/>
          <w:highlight w:val="none"/>
        </w:rPr>
        <w:t xml:space="preserve"> </w:t>
      </w:r>
      <w:r>
        <w:rPr>
          <w:rFonts w:ascii="宋体" w:hAnsi="宋体" w:eastAsia="宋体" w:cs="宋体"/>
          <w:color w:val="auto"/>
          <w:spacing w:val="-3"/>
          <w:sz w:val="20"/>
          <w:szCs w:val="20"/>
          <w:highlight w:val="none"/>
        </w:rPr>
        <w:t>（</w:t>
      </w:r>
      <w:r>
        <w:rPr>
          <w:rFonts w:ascii="宋体" w:hAnsi="宋体" w:eastAsia="宋体" w:cs="宋体"/>
          <w:color w:val="auto"/>
          <w:spacing w:val="-45"/>
          <w:sz w:val="20"/>
          <w:szCs w:val="20"/>
          <w:highlight w:val="none"/>
        </w:rPr>
        <w:t xml:space="preserve"> </w:t>
      </w:r>
      <w:r>
        <w:rPr>
          <w:rFonts w:ascii="宋体" w:hAnsi="宋体" w:eastAsia="宋体" w:cs="宋体"/>
          <w:color w:val="auto"/>
          <w:spacing w:val="-3"/>
          <w:sz w:val="20"/>
          <w:szCs w:val="20"/>
          <w:highlight w:val="none"/>
        </w:rPr>
        <w:t>南</w:t>
      </w:r>
      <w:r>
        <w:rPr>
          <w:rFonts w:ascii="宋体" w:hAnsi="宋体" w:eastAsia="宋体" w:cs="宋体"/>
          <w:color w:val="auto"/>
          <w:spacing w:val="-47"/>
          <w:sz w:val="20"/>
          <w:szCs w:val="20"/>
          <w:highlight w:val="none"/>
        </w:rPr>
        <w:t xml:space="preserve"> </w:t>
      </w:r>
      <w:r>
        <w:rPr>
          <w:rFonts w:ascii="宋体" w:hAnsi="宋体" w:eastAsia="宋体" w:cs="宋体"/>
          <w:color w:val="auto"/>
          <w:spacing w:val="-3"/>
          <w:sz w:val="20"/>
          <w:szCs w:val="20"/>
          <w:highlight w:val="none"/>
        </w:rPr>
        <w:t>宁</w:t>
      </w:r>
      <w:r>
        <w:rPr>
          <w:rFonts w:ascii="宋体" w:hAnsi="宋体" w:eastAsia="宋体" w:cs="宋体"/>
          <w:color w:val="auto"/>
          <w:spacing w:val="-53"/>
          <w:sz w:val="20"/>
          <w:szCs w:val="20"/>
          <w:highlight w:val="none"/>
        </w:rPr>
        <w:t xml:space="preserve"> </w:t>
      </w:r>
      <w:r>
        <w:rPr>
          <w:rFonts w:ascii="宋体" w:hAnsi="宋体" w:eastAsia="宋体" w:cs="宋体"/>
          <w:color w:val="auto"/>
          <w:spacing w:val="-3"/>
          <w:sz w:val="20"/>
          <w:szCs w:val="20"/>
          <w:highlight w:val="none"/>
        </w:rPr>
        <w:t>银</w:t>
      </w:r>
      <w:r>
        <w:rPr>
          <w:rFonts w:ascii="宋体" w:hAnsi="宋体" w:eastAsia="宋体" w:cs="宋体"/>
          <w:color w:val="auto"/>
          <w:spacing w:val="-50"/>
          <w:sz w:val="20"/>
          <w:szCs w:val="20"/>
          <w:highlight w:val="none"/>
        </w:rPr>
        <w:t xml:space="preserve"> </w:t>
      </w:r>
      <w:r>
        <w:rPr>
          <w:rFonts w:ascii="宋体" w:hAnsi="宋体" w:eastAsia="宋体" w:cs="宋体"/>
          <w:color w:val="auto"/>
          <w:spacing w:val="-3"/>
          <w:sz w:val="20"/>
          <w:szCs w:val="20"/>
          <w:highlight w:val="none"/>
        </w:rPr>
        <w:t>发</w:t>
      </w:r>
      <w:r>
        <w:rPr>
          <w:rFonts w:ascii="宋体" w:hAnsi="宋体" w:eastAsia="宋体" w:cs="宋体"/>
          <w:color w:val="auto"/>
          <w:spacing w:val="-56"/>
          <w:sz w:val="20"/>
          <w:szCs w:val="20"/>
          <w:highlight w:val="none"/>
        </w:rPr>
        <w:t xml:space="preserve"> </w:t>
      </w:r>
      <w:r>
        <w:rPr>
          <w:rFonts w:ascii="宋体" w:hAnsi="宋体" w:eastAsia="宋体" w:cs="宋体"/>
          <w:color w:val="auto"/>
          <w:spacing w:val="-3"/>
          <w:sz w:val="20"/>
          <w:szCs w:val="20"/>
          <w:highlight w:val="none"/>
        </w:rPr>
        <w:t>〔</w:t>
      </w:r>
      <w:r>
        <w:rPr>
          <w:rFonts w:ascii="宋体" w:hAnsi="宋体" w:eastAsia="宋体" w:cs="宋体"/>
          <w:color w:val="auto"/>
          <w:spacing w:val="-48"/>
          <w:sz w:val="20"/>
          <w:szCs w:val="20"/>
          <w:highlight w:val="none"/>
        </w:rPr>
        <w:t xml:space="preserve"> </w:t>
      </w:r>
      <w:r>
        <w:rPr>
          <w:rFonts w:ascii="宋体" w:hAnsi="宋体" w:eastAsia="宋体" w:cs="宋体"/>
          <w:color w:val="auto"/>
          <w:spacing w:val="-3"/>
          <w:sz w:val="20"/>
          <w:szCs w:val="20"/>
          <w:highlight w:val="none"/>
        </w:rPr>
        <w:t>2021</w:t>
      </w:r>
      <w:r>
        <w:rPr>
          <w:rFonts w:ascii="宋体" w:hAnsi="宋体" w:eastAsia="宋体" w:cs="宋体"/>
          <w:color w:val="auto"/>
          <w:spacing w:val="-60"/>
          <w:sz w:val="20"/>
          <w:szCs w:val="20"/>
          <w:highlight w:val="none"/>
        </w:rPr>
        <w:t xml:space="preserve"> </w:t>
      </w:r>
      <w:r>
        <w:rPr>
          <w:rFonts w:ascii="宋体" w:hAnsi="宋体" w:eastAsia="宋体" w:cs="宋体"/>
          <w:color w:val="auto"/>
          <w:spacing w:val="-3"/>
          <w:sz w:val="20"/>
          <w:szCs w:val="20"/>
          <w:highlight w:val="none"/>
        </w:rPr>
        <w:t>〕</w:t>
      </w:r>
      <w:r>
        <w:rPr>
          <w:rFonts w:ascii="宋体" w:hAnsi="宋体" w:eastAsia="宋体" w:cs="宋体"/>
          <w:color w:val="auto"/>
          <w:spacing w:val="-45"/>
          <w:sz w:val="20"/>
          <w:szCs w:val="20"/>
          <w:highlight w:val="none"/>
        </w:rPr>
        <w:t xml:space="preserve"> </w:t>
      </w:r>
      <w:r>
        <w:rPr>
          <w:rFonts w:ascii="宋体" w:hAnsi="宋体" w:eastAsia="宋体" w:cs="宋体"/>
          <w:color w:val="auto"/>
          <w:spacing w:val="-3"/>
          <w:sz w:val="20"/>
          <w:szCs w:val="20"/>
          <w:highlight w:val="none"/>
        </w:rPr>
        <w:t>258 号</w:t>
      </w:r>
      <w:r>
        <w:rPr>
          <w:rFonts w:ascii="宋体" w:hAnsi="宋体" w:eastAsia="宋体" w:cs="宋体"/>
          <w:color w:val="auto"/>
          <w:spacing w:val="-31"/>
          <w:sz w:val="20"/>
          <w:szCs w:val="20"/>
          <w:highlight w:val="none"/>
        </w:rPr>
        <w:t xml:space="preserve"> </w:t>
      </w:r>
      <w:r>
        <w:rPr>
          <w:rFonts w:ascii="宋体" w:hAnsi="宋体" w:eastAsia="宋体" w:cs="宋体"/>
          <w:color w:val="auto"/>
          <w:spacing w:val="-3"/>
          <w:sz w:val="20"/>
          <w:szCs w:val="20"/>
          <w:highlight w:val="none"/>
        </w:rPr>
        <w:t>）</w:t>
      </w:r>
      <w:r>
        <w:rPr>
          <w:rFonts w:ascii="宋体" w:hAnsi="宋体" w:eastAsia="宋体" w:cs="宋体"/>
          <w:color w:val="auto"/>
          <w:spacing w:val="-47"/>
          <w:sz w:val="20"/>
          <w:szCs w:val="20"/>
          <w:highlight w:val="none"/>
        </w:rPr>
        <w:t xml:space="preserve"> </w:t>
      </w:r>
      <w:r>
        <w:rPr>
          <w:rFonts w:ascii="宋体" w:hAnsi="宋体" w:eastAsia="宋体" w:cs="宋体"/>
          <w:color w:val="auto"/>
          <w:spacing w:val="-3"/>
          <w:sz w:val="20"/>
          <w:szCs w:val="20"/>
          <w:highlight w:val="none"/>
        </w:rPr>
        <w:t>文</w:t>
      </w:r>
      <w:r>
        <w:rPr>
          <w:rFonts w:ascii="宋体" w:hAnsi="宋体" w:eastAsia="宋体" w:cs="宋体"/>
          <w:color w:val="auto"/>
          <w:spacing w:val="-57"/>
          <w:sz w:val="20"/>
          <w:szCs w:val="20"/>
          <w:highlight w:val="none"/>
        </w:rPr>
        <w:t xml:space="preserve"> </w:t>
      </w:r>
      <w:r>
        <w:rPr>
          <w:rFonts w:ascii="宋体" w:hAnsi="宋体" w:eastAsia="宋体" w:cs="宋体"/>
          <w:color w:val="auto"/>
          <w:spacing w:val="-3"/>
          <w:sz w:val="20"/>
          <w:szCs w:val="20"/>
          <w:highlight w:val="none"/>
        </w:rPr>
        <w:t>（</w:t>
      </w:r>
      <w:r>
        <w:rPr>
          <w:rFonts w:ascii="宋体" w:hAnsi="宋体" w:eastAsia="宋体" w:cs="宋体"/>
          <w:color w:val="auto"/>
          <w:spacing w:val="-22"/>
          <w:sz w:val="20"/>
          <w:szCs w:val="20"/>
          <w:highlight w:val="none"/>
        </w:rPr>
        <w:t xml:space="preserve"> </w:t>
      </w:r>
      <w:r>
        <w:rPr>
          <w:rFonts w:ascii="宋体" w:hAnsi="宋体" w:eastAsia="宋体" w:cs="宋体"/>
          <w:color w:val="auto"/>
          <w:spacing w:val="-3"/>
          <w:sz w:val="20"/>
          <w:szCs w:val="20"/>
          <w:highlight w:val="none"/>
        </w:rPr>
        <w:t>文</w:t>
      </w:r>
      <w:r>
        <w:rPr>
          <w:rFonts w:ascii="宋体" w:hAnsi="宋体" w:eastAsia="宋体" w:cs="宋体"/>
          <w:color w:val="auto"/>
          <w:spacing w:val="-54"/>
          <w:sz w:val="20"/>
          <w:szCs w:val="20"/>
          <w:highlight w:val="none"/>
        </w:rPr>
        <w:t xml:space="preserve"> </w:t>
      </w:r>
      <w:r>
        <w:rPr>
          <w:rFonts w:ascii="宋体" w:hAnsi="宋体" w:eastAsia="宋体" w:cs="宋体"/>
          <w:color w:val="auto"/>
          <w:spacing w:val="-3"/>
          <w:sz w:val="20"/>
          <w:szCs w:val="20"/>
          <w:highlight w:val="none"/>
        </w:rPr>
        <w:t>件</w:t>
      </w:r>
      <w:r>
        <w:rPr>
          <w:rFonts w:ascii="宋体" w:hAnsi="宋体" w:eastAsia="宋体" w:cs="宋体"/>
          <w:color w:val="auto"/>
          <w:spacing w:val="-47"/>
          <w:sz w:val="20"/>
          <w:szCs w:val="20"/>
          <w:highlight w:val="none"/>
        </w:rPr>
        <w:t xml:space="preserve"> </w:t>
      </w:r>
      <w:r>
        <w:rPr>
          <w:rFonts w:ascii="宋体" w:hAnsi="宋体" w:eastAsia="宋体" w:cs="宋体"/>
          <w:color w:val="auto"/>
          <w:spacing w:val="-3"/>
          <w:sz w:val="20"/>
          <w:szCs w:val="20"/>
          <w:highlight w:val="none"/>
        </w:rPr>
        <w:t>公</w:t>
      </w:r>
      <w:r>
        <w:rPr>
          <w:rFonts w:ascii="宋体" w:hAnsi="宋体" w:eastAsia="宋体" w:cs="宋体"/>
          <w:color w:val="auto"/>
          <w:spacing w:val="-53"/>
          <w:sz w:val="20"/>
          <w:szCs w:val="20"/>
          <w:highlight w:val="none"/>
        </w:rPr>
        <w:t xml:space="preserve"> </w:t>
      </w:r>
      <w:r>
        <w:rPr>
          <w:rFonts w:ascii="宋体" w:hAnsi="宋体" w:eastAsia="宋体" w:cs="宋体"/>
          <w:color w:val="auto"/>
          <w:spacing w:val="-3"/>
          <w:sz w:val="20"/>
          <w:szCs w:val="20"/>
          <w:highlight w:val="none"/>
        </w:rPr>
        <w:t>开</w:t>
      </w:r>
      <w:r>
        <w:rPr>
          <w:rFonts w:ascii="宋体" w:hAnsi="宋体" w:eastAsia="宋体" w:cs="宋体"/>
          <w:color w:val="auto"/>
          <w:spacing w:val="-38"/>
          <w:sz w:val="20"/>
          <w:szCs w:val="20"/>
          <w:highlight w:val="none"/>
        </w:rPr>
        <w:t xml:space="preserve"> </w:t>
      </w:r>
      <w:r>
        <w:rPr>
          <w:rFonts w:ascii="宋体" w:hAnsi="宋体" w:eastAsia="宋体" w:cs="宋体"/>
          <w:color w:val="auto"/>
          <w:spacing w:val="-3"/>
          <w:sz w:val="20"/>
          <w:szCs w:val="20"/>
          <w:highlight w:val="none"/>
        </w:rPr>
        <w:t>网</w:t>
      </w:r>
      <w:r>
        <w:rPr>
          <w:rFonts w:ascii="宋体" w:hAnsi="宋体" w:eastAsia="宋体" w:cs="宋体"/>
          <w:color w:val="auto"/>
          <w:spacing w:val="-55"/>
          <w:sz w:val="20"/>
          <w:szCs w:val="20"/>
          <w:highlight w:val="none"/>
        </w:rPr>
        <w:t xml:space="preserve"> </w:t>
      </w:r>
      <w:r>
        <w:rPr>
          <w:rFonts w:ascii="宋体" w:hAnsi="宋体" w:eastAsia="宋体" w:cs="宋体"/>
          <w:color w:val="auto"/>
          <w:spacing w:val="-3"/>
          <w:sz w:val="20"/>
          <w:szCs w:val="20"/>
          <w:highlight w:val="none"/>
        </w:rPr>
        <w:t>址</w:t>
      </w:r>
      <w:r>
        <w:rPr>
          <w:rFonts w:ascii="宋体" w:hAnsi="宋体" w:eastAsia="宋体" w:cs="宋体"/>
          <w:color w:val="auto"/>
          <w:spacing w:val="-51"/>
          <w:sz w:val="20"/>
          <w:szCs w:val="20"/>
          <w:highlight w:val="none"/>
        </w:rPr>
        <w:t xml:space="preserve"> </w:t>
      </w:r>
      <w:r>
        <w:rPr>
          <w:rFonts w:ascii="宋体" w:hAnsi="宋体" w:eastAsia="宋体" w:cs="宋体"/>
          <w:color w:val="auto"/>
          <w:spacing w:val="-3"/>
          <w:sz w:val="20"/>
          <w:szCs w:val="20"/>
          <w:highlight w:val="none"/>
        </w:rPr>
        <w:t>详</w:t>
      </w:r>
      <w:r>
        <w:rPr>
          <w:rFonts w:ascii="宋体" w:hAnsi="宋体" w:eastAsia="宋体" w:cs="宋体"/>
          <w:color w:val="auto"/>
          <w:spacing w:val="-55"/>
          <w:sz w:val="20"/>
          <w:szCs w:val="20"/>
          <w:highlight w:val="none"/>
        </w:rPr>
        <w:t xml:space="preserve"> </w:t>
      </w:r>
      <w:r>
        <w:rPr>
          <w:rFonts w:ascii="宋体" w:hAnsi="宋体" w:eastAsia="宋体" w:cs="宋体"/>
          <w:color w:val="auto"/>
          <w:spacing w:val="-3"/>
          <w:sz w:val="20"/>
          <w:szCs w:val="20"/>
          <w:highlight w:val="none"/>
        </w:rPr>
        <w:t>情</w:t>
      </w:r>
      <w:r>
        <w:rPr>
          <w:rFonts w:ascii="宋体" w:hAnsi="宋体" w:eastAsia="宋体" w:cs="宋体"/>
          <w:color w:val="auto"/>
          <w:spacing w:val="-51"/>
          <w:sz w:val="20"/>
          <w:szCs w:val="20"/>
          <w:highlight w:val="none"/>
        </w:rPr>
        <w:t xml:space="preserve"> </w:t>
      </w:r>
      <w:r>
        <w:rPr>
          <w:rFonts w:ascii="宋体" w:hAnsi="宋体" w:eastAsia="宋体" w:cs="宋体"/>
          <w:color w:val="auto"/>
          <w:spacing w:val="-3"/>
          <w:sz w:val="20"/>
          <w:szCs w:val="20"/>
          <w:highlight w:val="none"/>
        </w:rPr>
        <w:t>见</w:t>
      </w:r>
      <w:r>
        <w:rPr>
          <w:rFonts w:ascii="宋体" w:hAnsi="宋体" w:eastAsia="宋体" w:cs="宋体"/>
          <w:color w:val="auto"/>
          <w:spacing w:val="-35"/>
          <w:sz w:val="20"/>
          <w:szCs w:val="20"/>
          <w:highlight w:val="none"/>
        </w:rPr>
        <w:t xml:space="preserve"> </w:t>
      </w:r>
      <w:r>
        <w:rPr>
          <w:rFonts w:ascii="宋体" w:hAnsi="宋体" w:eastAsia="宋体" w:cs="宋体"/>
          <w:color w:val="auto"/>
          <w:spacing w:val="-3"/>
          <w:sz w:val="20"/>
          <w:szCs w:val="20"/>
          <w:highlight w:val="none"/>
        </w:rPr>
        <w:t>：</w:t>
      </w:r>
      <w:r>
        <w:rPr>
          <w:rFonts w:ascii="宋体" w:hAnsi="宋体" w:eastAsia="宋体" w:cs="宋体"/>
          <w:color w:val="auto"/>
          <w:spacing w:val="-47"/>
          <w:sz w:val="20"/>
          <w:szCs w:val="20"/>
          <w:highlight w:val="none"/>
        </w:rPr>
        <w:t xml:space="preserve"> </w:t>
      </w:r>
      <w:r>
        <w:rPr>
          <w:rFonts w:ascii="宋体" w:hAnsi="宋体" w:eastAsia="宋体" w:cs="宋体"/>
          <w:color w:val="auto"/>
          <w:spacing w:val="-3"/>
          <w:sz w:val="20"/>
          <w:szCs w:val="20"/>
          <w:highlight w:val="none"/>
        </w:rPr>
        <w:t>“</w:t>
      </w:r>
      <w:r>
        <w:rPr>
          <w:rFonts w:ascii="宋体" w:hAnsi="宋体" w:eastAsia="宋体" w:cs="宋体"/>
          <w:color w:val="auto"/>
          <w:spacing w:val="-53"/>
          <w:sz w:val="20"/>
          <w:szCs w:val="20"/>
          <w:highlight w:val="none"/>
        </w:rPr>
        <w:t xml:space="preserve"> </w:t>
      </w:r>
      <w:r>
        <w:rPr>
          <w:rFonts w:ascii="宋体" w:hAnsi="宋体" w:eastAsia="宋体" w:cs="宋体"/>
          <w:color w:val="auto"/>
          <w:spacing w:val="-3"/>
          <w:sz w:val="20"/>
          <w:szCs w:val="20"/>
          <w:highlight w:val="none"/>
        </w:rPr>
        <w:t>广</w:t>
      </w:r>
      <w:r>
        <w:rPr>
          <w:rFonts w:ascii="宋体" w:hAnsi="宋体" w:eastAsia="宋体" w:cs="宋体"/>
          <w:color w:val="auto"/>
          <w:spacing w:val="-49"/>
          <w:sz w:val="20"/>
          <w:szCs w:val="20"/>
          <w:highlight w:val="none"/>
        </w:rPr>
        <w:t xml:space="preserve"> </w:t>
      </w:r>
      <w:r>
        <w:rPr>
          <w:rFonts w:ascii="宋体" w:hAnsi="宋体" w:eastAsia="宋体" w:cs="宋体"/>
          <w:color w:val="auto"/>
          <w:spacing w:val="-3"/>
          <w:sz w:val="20"/>
          <w:szCs w:val="20"/>
          <w:highlight w:val="none"/>
        </w:rPr>
        <w:t>西</w:t>
      </w:r>
      <w:r>
        <w:rPr>
          <w:rFonts w:ascii="宋体" w:hAnsi="宋体" w:eastAsia="宋体" w:cs="宋体"/>
          <w:color w:val="auto"/>
          <w:spacing w:val="-54"/>
          <w:sz w:val="20"/>
          <w:szCs w:val="20"/>
          <w:highlight w:val="none"/>
        </w:rPr>
        <w:t xml:space="preserve"> </w:t>
      </w:r>
      <w:r>
        <w:rPr>
          <w:rFonts w:ascii="宋体" w:hAnsi="宋体" w:eastAsia="宋体" w:cs="宋体"/>
          <w:color w:val="auto"/>
          <w:spacing w:val="-3"/>
          <w:sz w:val="20"/>
          <w:szCs w:val="20"/>
          <w:highlight w:val="none"/>
        </w:rPr>
        <w:t>政</w:t>
      </w:r>
      <w:r>
        <w:rPr>
          <w:rFonts w:ascii="宋体" w:hAnsi="宋体" w:eastAsia="宋体" w:cs="宋体"/>
          <w:color w:val="auto"/>
          <w:spacing w:val="-55"/>
          <w:sz w:val="20"/>
          <w:szCs w:val="20"/>
          <w:highlight w:val="none"/>
        </w:rPr>
        <w:t xml:space="preserve"> </w:t>
      </w:r>
      <w:r>
        <w:rPr>
          <w:rFonts w:ascii="宋体" w:hAnsi="宋体" w:eastAsia="宋体" w:cs="宋体"/>
          <w:color w:val="auto"/>
          <w:spacing w:val="-3"/>
          <w:sz w:val="20"/>
          <w:szCs w:val="20"/>
          <w:highlight w:val="none"/>
        </w:rPr>
        <w:t>府</w:t>
      </w:r>
      <w:r>
        <w:rPr>
          <w:rFonts w:ascii="宋体" w:hAnsi="宋体" w:eastAsia="宋体" w:cs="宋体"/>
          <w:color w:val="auto"/>
          <w:spacing w:val="-54"/>
          <w:sz w:val="20"/>
          <w:szCs w:val="20"/>
          <w:highlight w:val="none"/>
        </w:rPr>
        <w:t xml:space="preserve"> </w:t>
      </w:r>
      <w:r>
        <w:rPr>
          <w:rFonts w:ascii="宋体" w:hAnsi="宋体" w:eastAsia="宋体" w:cs="宋体"/>
          <w:color w:val="auto"/>
          <w:spacing w:val="-3"/>
          <w:sz w:val="20"/>
          <w:szCs w:val="20"/>
          <w:highlight w:val="none"/>
        </w:rPr>
        <w:t>采</w:t>
      </w:r>
      <w:r>
        <w:rPr>
          <w:rFonts w:ascii="宋体" w:hAnsi="宋体" w:eastAsia="宋体" w:cs="宋体"/>
          <w:color w:val="auto"/>
          <w:spacing w:val="-56"/>
          <w:sz w:val="20"/>
          <w:szCs w:val="20"/>
          <w:highlight w:val="none"/>
        </w:rPr>
        <w:t xml:space="preserve"> </w:t>
      </w:r>
      <w:r>
        <w:rPr>
          <w:rFonts w:ascii="宋体" w:hAnsi="宋体" w:eastAsia="宋体" w:cs="宋体"/>
          <w:color w:val="auto"/>
          <w:spacing w:val="-3"/>
          <w:sz w:val="20"/>
          <w:szCs w:val="20"/>
          <w:highlight w:val="none"/>
        </w:rPr>
        <w:t>购</w:t>
      </w:r>
      <w:r>
        <w:rPr>
          <w:rFonts w:ascii="宋体" w:hAnsi="宋体" w:eastAsia="宋体" w:cs="宋体"/>
          <w:color w:val="auto"/>
          <w:spacing w:val="-37"/>
          <w:sz w:val="20"/>
          <w:szCs w:val="20"/>
          <w:highlight w:val="none"/>
        </w:rPr>
        <w:t xml:space="preserve"> </w:t>
      </w:r>
      <w:r>
        <w:rPr>
          <w:rFonts w:ascii="宋体" w:hAnsi="宋体" w:eastAsia="宋体" w:cs="宋体"/>
          <w:color w:val="auto"/>
          <w:spacing w:val="-3"/>
          <w:sz w:val="20"/>
          <w:szCs w:val="20"/>
          <w:highlight w:val="none"/>
        </w:rPr>
        <w:t>网</w:t>
      </w:r>
      <w:r>
        <w:rPr>
          <w:rFonts w:ascii="宋体" w:hAnsi="宋体" w:eastAsia="宋体" w:cs="宋体"/>
          <w:color w:val="auto"/>
          <w:spacing w:val="-36"/>
          <w:sz w:val="20"/>
          <w:szCs w:val="20"/>
          <w:highlight w:val="none"/>
        </w:rPr>
        <w:t xml:space="preserve"> </w:t>
      </w:r>
      <w:r>
        <w:rPr>
          <w:rFonts w:ascii="宋体" w:hAnsi="宋体" w:eastAsia="宋体" w:cs="宋体"/>
          <w:color w:val="auto"/>
          <w:spacing w:val="-3"/>
          <w:sz w:val="20"/>
          <w:szCs w:val="20"/>
          <w:highlight w:val="none"/>
        </w:rPr>
        <w:t>”</w:t>
      </w:r>
      <w:r>
        <w:rPr>
          <w:rFonts w:ascii="宋体" w:hAnsi="宋体" w:eastAsia="宋体" w:cs="宋体"/>
          <w:color w:val="auto"/>
          <w:spacing w:val="-74"/>
          <w:sz w:val="20"/>
          <w:szCs w:val="20"/>
          <w:highlight w:val="none"/>
        </w:rPr>
        <w:t xml:space="preserve"> </w:t>
      </w:r>
      <w:r>
        <w:rPr>
          <w:rFonts w:ascii="宋体" w:hAnsi="宋体" w:eastAsia="宋体" w:cs="宋体"/>
          <w:color w:val="auto"/>
          <w:spacing w:val="-3"/>
          <w:sz w:val="20"/>
          <w:szCs w:val="20"/>
          <w:highlight w:val="none"/>
        </w:rPr>
        <w:t>—</w:t>
      </w:r>
      <w:r>
        <w:rPr>
          <w:rFonts w:ascii="宋体" w:hAnsi="宋体" w:eastAsia="宋体" w:cs="宋体"/>
          <w:color w:val="auto"/>
          <w:spacing w:val="-56"/>
          <w:sz w:val="20"/>
          <w:szCs w:val="20"/>
          <w:highlight w:val="none"/>
        </w:rPr>
        <w:t xml:space="preserve"> </w:t>
      </w:r>
      <w:r>
        <w:rPr>
          <w:rFonts w:ascii="宋体" w:hAnsi="宋体" w:eastAsia="宋体" w:cs="宋体"/>
          <w:color w:val="auto"/>
          <w:spacing w:val="-3"/>
          <w:sz w:val="20"/>
          <w:szCs w:val="20"/>
          <w:highlight w:val="none"/>
        </w:rPr>
        <w:t>—</w:t>
      </w:r>
    </w:p>
    <w:p w14:paraId="392ABF90">
      <w:pPr>
        <w:spacing w:line="383" w:lineRule="auto"/>
        <w:rPr>
          <w:rFonts w:ascii="宋体" w:hAnsi="宋体" w:eastAsia="宋体" w:cs="宋体"/>
          <w:color w:val="auto"/>
          <w:sz w:val="20"/>
          <w:szCs w:val="20"/>
          <w:highlight w:val="none"/>
        </w:rPr>
        <w:sectPr>
          <w:footerReference r:id="rId32" w:type="default"/>
          <w:pgSz w:w="11905" w:h="16839"/>
          <w:pgMar w:top="400" w:right="1511" w:bottom="1149" w:left="1593" w:header="0" w:footer="913" w:gutter="0"/>
          <w:pgNumType w:fmt="decimal"/>
          <w:cols w:space="720" w:num="1"/>
        </w:sectPr>
      </w:pPr>
      <w:r>
        <w:rPr>
          <w:color w:val="auto"/>
          <w:highlight w:val="none"/>
        </w:rPr>
        <w:fldChar w:fldCharType="begin"/>
      </w:r>
      <w:r>
        <w:rPr>
          <w:color w:val="auto"/>
          <w:highlight w:val="none"/>
        </w:rPr>
        <w:instrText xml:space="preserve"> HYPERLINK "http://www.ccgp-guangxi.gov.cn/AdministrativeRegulations/AutonomousRegion/9830442.html" </w:instrText>
      </w:r>
      <w:r>
        <w:rPr>
          <w:color w:val="auto"/>
          <w:highlight w:val="none"/>
        </w:rPr>
        <w:fldChar w:fldCharType="separate"/>
      </w:r>
      <w:r>
        <w:rPr>
          <w:rFonts w:ascii="宋体" w:hAnsi="宋体" w:eastAsia="宋体" w:cs="宋体"/>
          <w:color w:val="auto"/>
          <w:sz w:val="20"/>
          <w:szCs w:val="20"/>
          <w:highlight w:val="none"/>
        </w:rPr>
        <w:t>http</w:t>
      </w:r>
      <w:r>
        <w:rPr>
          <w:rFonts w:ascii="宋体" w:hAnsi="宋体" w:eastAsia="宋体" w:cs="宋体"/>
          <w:color w:val="auto"/>
          <w:spacing w:val="21"/>
          <w:sz w:val="20"/>
          <w:szCs w:val="20"/>
          <w:highlight w:val="none"/>
        </w:rPr>
        <w:t>://</w:t>
      </w:r>
      <w:r>
        <w:rPr>
          <w:rFonts w:ascii="宋体" w:hAnsi="宋体" w:eastAsia="宋体" w:cs="宋体"/>
          <w:color w:val="auto"/>
          <w:sz w:val="20"/>
          <w:szCs w:val="20"/>
          <w:highlight w:val="none"/>
        </w:rPr>
        <w:t>www</w:t>
      </w:r>
      <w:r>
        <w:rPr>
          <w:rFonts w:ascii="宋体" w:hAnsi="宋体" w:eastAsia="宋体" w:cs="宋体"/>
          <w:color w:val="auto"/>
          <w:spacing w:val="21"/>
          <w:sz w:val="20"/>
          <w:szCs w:val="20"/>
          <w:highlight w:val="none"/>
        </w:rPr>
        <w:t>.</w:t>
      </w:r>
      <w:r>
        <w:rPr>
          <w:rFonts w:ascii="宋体" w:hAnsi="宋体" w:eastAsia="宋体" w:cs="宋体"/>
          <w:color w:val="auto"/>
          <w:sz w:val="20"/>
          <w:szCs w:val="20"/>
          <w:highlight w:val="none"/>
        </w:rPr>
        <w:t>ccgp</w:t>
      </w:r>
      <w:r>
        <w:rPr>
          <w:rFonts w:ascii="宋体" w:hAnsi="宋体" w:eastAsia="宋体" w:cs="宋体"/>
          <w:color w:val="auto"/>
          <w:spacing w:val="21"/>
          <w:sz w:val="20"/>
          <w:szCs w:val="20"/>
          <w:highlight w:val="none"/>
        </w:rPr>
        <w:t>-</w:t>
      </w:r>
      <w:r>
        <w:rPr>
          <w:rFonts w:ascii="宋体" w:hAnsi="宋体" w:eastAsia="宋体" w:cs="宋体"/>
          <w:color w:val="auto"/>
          <w:sz w:val="20"/>
          <w:szCs w:val="20"/>
          <w:highlight w:val="none"/>
        </w:rPr>
        <w:t>guangxi</w:t>
      </w:r>
      <w:r>
        <w:rPr>
          <w:rFonts w:ascii="宋体" w:hAnsi="宋体" w:eastAsia="宋体" w:cs="宋体"/>
          <w:color w:val="auto"/>
          <w:spacing w:val="21"/>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21"/>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pacing w:val="21"/>
          <w:sz w:val="20"/>
          <w:szCs w:val="20"/>
          <w:highlight w:val="none"/>
        </w:rPr>
        <w:t>/</w:t>
      </w:r>
      <w:r>
        <w:rPr>
          <w:rFonts w:ascii="宋体" w:hAnsi="宋体" w:eastAsia="宋体" w:cs="宋体"/>
          <w:color w:val="auto"/>
          <w:sz w:val="20"/>
          <w:szCs w:val="20"/>
          <w:highlight w:val="none"/>
        </w:rPr>
        <w:t>AdministrativeRegulations</w:t>
      </w:r>
      <w:r>
        <w:rPr>
          <w:rFonts w:ascii="宋体" w:hAnsi="宋体" w:eastAsia="宋体" w:cs="宋体"/>
          <w:color w:val="auto"/>
          <w:spacing w:val="21"/>
          <w:sz w:val="20"/>
          <w:szCs w:val="20"/>
          <w:highlight w:val="none"/>
        </w:rPr>
        <w:t>/</w:t>
      </w:r>
      <w:r>
        <w:rPr>
          <w:rFonts w:ascii="宋体" w:hAnsi="宋体" w:eastAsia="宋体" w:cs="宋体"/>
          <w:color w:val="auto"/>
          <w:sz w:val="20"/>
          <w:szCs w:val="20"/>
          <w:highlight w:val="none"/>
        </w:rPr>
        <w:t>AutonomousRegion</w:t>
      </w:r>
      <w:r>
        <w:rPr>
          <w:rFonts w:ascii="宋体" w:hAnsi="宋体" w:eastAsia="宋体" w:cs="宋体"/>
          <w:color w:val="auto"/>
          <w:spacing w:val="21"/>
          <w:sz w:val="20"/>
          <w:szCs w:val="20"/>
          <w:highlight w:val="none"/>
        </w:rPr>
        <w:t>/9830442.h</w:t>
      </w:r>
      <w:r>
        <w:rPr>
          <w:rFonts w:ascii="宋体" w:hAnsi="宋体" w:eastAsia="宋体" w:cs="宋体"/>
          <w:color w:val="auto"/>
          <w:spacing w:val="21"/>
          <w:sz w:val="20"/>
          <w:szCs w:val="20"/>
          <w:highlight w:val="none"/>
        </w:rPr>
        <w:fldChar w:fldCharType="end"/>
      </w:r>
      <w:r>
        <w:rPr>
          <w:rFonts w:ascii="宋体" w:hAnsi="宋体" w:eastAsia="宋体" w:cs="宋体"/>
          <w:color w:val="auto"/>
          <w:spacing w:val="9"/>
          <w:sz w:val="20"/>
          <w:szCs w:val="20"/>
          <w:highlight w:val="none"/>
        </w:rPr>
        <w:t xml:space="preserve"> </w:t>
      </w:r>
      <w:r>
        <w:rPr>
          <w:color w:val="auto"/>
          <w:highlight w:val="none"/>
        </w:rPr>
        <w:fldChar w:fldCharType="begin"/>
      </w:r>
      <w:r>
        <w:rPr>
          <w:color w:val="auto"/>
          <w:highlight w:val="none"/>
        </w:rPr>
        <w:instrText xml:space="preserve"> HYPERLINK "http://www.ccgp-guangxi.gov.cn/AdministrativeRegulations/AutonomousRegion/9830442.html" </w:instrText>
      </w:r>
      <w:r>
        <w:rPr>
          <w:color w:val="auto"/>
          <w:highlight w:val="none"/>
        </w:rPr>
        <w:fldChar w:fldCharType="separate"/>
      </w:r>
      <w:r>
        <w:rPr>
          <w:rFonts w:ascii="宋体" w:hAnsi="宋体" w:eastAsia="宋体" w:cs="宋体"/>
          <w:color w:val="auto"/>
          <w:sz w:val="20"/>
          <w:szCs w:val="20"/>
          <w:highlight w:val="none"/>
        </w:rPr>
        <w:t>tml</w:t>
      </w:r>
      <w:r>
        <w:rPr>
          <w:rFonts w:ascii="宋体" w:hAnsi="宋体" w:eastAsia="宋体" w:cs="宋体"/>
          <w:color w:val="auto"/>
          <w:sz w:val="20"/>
          <w:szCs w:val="20"/>
          <w:highlight w:val="none"/>
        </w:rPr>
        <w:fldChar w:fldCharType="end"/>
      </w:r>
      <w:r>
        <w:rPr>
          <w:rFonts w:ascii="宋体" w:hAnsi="宋体" w:eastAsia="宋体" w:cs="宋体"/>
          <w:color w:val="auto"/>
          <w:spacing w:val="2"/>
          <w:sz w:val="20"/>
          <w:szCs w:val="20"/>
          <w:highlight w:val="none"/>
        </w:rPr>
        <w:t>）</w:t>
      </w:r>
    </w:p>
    <w:p w14:paraId="21D92E09">
      <w:pPr>
        <w:spacing w:before="140" w:line="223" w:lineRule="auto"/>
        <w:ind w:left="512"/>
        <w:outlineLvl w:val="9"/>
        <w:rPr>
          <w:rFonts w:ascii="宋体" w:hAnsi="宋体" w:eastAsia="宋体" w:cs="宋体"/>
          <w:b/>
          <w:bCs/>
          <w:color w:val="auto"/>
          <w:spacing w:val="6"/>
          <w:sz w:val="43"/>
          <w:szCs w:val="43"/>
          <w:highlight w:val="none"/>
        </w:rPr>
      </w:pPr>
      <w:bookmarkStart w:id="12" w:name="_Toc15533"/>
    </w:p>
    <w:p w14:paraId="63F1D492">
      <w:pPr>
        <w:spacing w:before="140" w:line="223" w:lineRule="auto"/>
        <w:ind w:left="512"/>
        <w:outlineLvl w:val="0"/>
        <w:rPr>
          <w:rFonts w:ascii="宋体" w:hAnsi="宋体" w:eastAsia="宋体" w:cs="宋体"/>
          <w:color w:val="auto"/>
          <w:sz w:val="43"/>
          <w:szCs w:val="43"/>
          <w:highlight w:val="none"/>
        </w:rPr>
      </w:pPr>
      <w:r>
        <w:rPr>
          <w:rFonts w:ascii="宋体" w:hAnsi="宋体" w:eastAsia="宋体" w:cs="宋体"/>
          <w:b/>
          <w:bCs/>
          <w:color w:val="auto"/>
          <w:spacing w:val="6"/>
          <w:sz w:val="43"/>
          <w:szCs w:val="43"/>
          <w:highlight w:val="none"/>
        </w:rPr>
        <w:t>第四章</w:t>
      </w:r>
      <w:r>
        <w:rPr>
          <w:rFonts w:ascii="宋体" w:hAnsi="宋体" w:eastAsia="宋体" w:cs="宋体"/>
          <w:color w:val="auto"/>
          <w:spacing w:val="6"/>
          <w:sz w:val="43"/>
          <w:szCs w:val="43"/>
          <w:highlight w:val="none"/>
        </w:rPr>
        <w:t xml:space="preserve"> </w:t>
      </w:r>
      <w:r>
        <w:rPr>
          <w:rFonts w:ascii="宋体" w:hAnsi="宋体" w:eastAsia="宋体" w:cs="宋体"/>
          <w:b/>
          <w:bCs/>
          <w:color w:val="auto"/>
          <w:spacing w:val="6"/>
          <w:sz w:val="43"/>
          <w:szCs w:val="43"/>
          <w:highlight w:val="none"/>
        </w:rPr>
        <w:t>评审程序、评审方法和评审标准</w:t>
      </w:r>
      <w:bookmarkEnd w:id="12"/>
    </w:p>
    <w:p w14:paraId="3BF87301">
      <w:pPr>
        <w:spacing w:before="339" w:line="225" w:lineRule="auto"/>
        <w:ind w:left="2372"/>
        <w:outlineLvl w:val="1"/>
        <w:rPr>
          <w:rFonts w:ascii="宋体" w:hAnsi="宋体" w:eastAsia="宋体" w:cs="宋体"/>
          <w:color w:val="auto"/>
          <w:sz w:val="31"/>
          <w:szCs w:val="31"/>
          <w:highlight w:val="none"/>
        </w:rPr>
      </w:pPr>
      <w:bookmarkStart w:id="13" w:name="_Toc29360"/>
      <w:r>
        <w:rPr>
          <w:rFonts w:ascii="宋体" w:hAnsi="宋体" w:eastAsia="宋体" w:cs="宋体"/>
          <w:color w:val="auto"/>
          <w:spacing w:val="8"/>
          <w:sz w:val="31"/>
          <w:szCs w:val="31"/>
          <w:highlight w:val="none"/>
        </w:rPr>
        <w:t>第一节 评审程序和评审方法</w:t>
      </w:r>
      <w:bookmarkEnd w:id="13"/>
    </w:p>
    <w:p w14:paraId="5D75C9B7">
      <w:pPr>
        <w:spacing w:before="282" w:line="220" w:lineRule="auto"/>
        <w:ind w:left="440"/>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1.确认磋商文件</w:t>
      </w:r>
    </w:p>
    <w:p w14:paraId="4C5AE53C">
      <w:pPr>
        <w:spacing w:before="177" w:line="228" w:lineRule="auto"/>
        <w:ind w:left="446"/>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由磋商小组确认磋商文件。</w:t>
      </w:r>
    </w:p>
    <w:p w14:paraId="331ACD38">
      <w:pPr>
        <w:spacing w:before="165" w:line="220" w:lineRule="auto"/>
        <w:ind w:left="425"/>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2.资格审查</w:t>
      </w:r>
    </w:p>
    <w:p w14:paraId="0DC6803C">
      <w:pPr>
        <w:spacing w:before="177" w:line="228" w:lineRule="auto"/>
        <w:ind w:left="424"/>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2.1</w:t>
      </w:r>
      <w:r>
        <w:rPr>
          <w:rFonts w:ascii="宋体" w:hAnsi="宋体" w:eastAsia="宋体" w:cs="宋体"/>
          <w:color w:val="auto"/>
          <w:spacing w:val="-20"/>
          <w:sz w:val="20"/>
          <w:szCs w:val="20"/>
          <w:highlight w:val="none"/>
        </w:rPr>
        <w:t xml:space="preserve"> </w:t>
      </w:r>
      <w:r>
        <w:rPr>
          <w:rFonts w:ascii="宋体" w:hAnsi="宋体" w:eastAsia="宋体" w:cs="宋体"/>
          <w:color w:val="auto"/>
          <w:spacing w:val="8"/>
          <w:sz w:val="20"/>
          <w:szCs w:val="20"/>
          <w:highlight w:val="none"/>
        </w:rPr>
        <w:t>响应文件开启后，磋商小组依法对供应商的资格证明文件进行审查。</w:t>
      </w:r>
    </w:p>
    <w:p w14:paraId="60152535">
      <w:pPr>
        <w:spacing w:before="161" w:line="228" w:lineRule="auto"/>
        <w:ind w:left="421"/>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注：采购人代表或者采购代理机构在资格审查结束前，对供应商进行信用查询。</w:t>
      </w:r>
    </w:p>
    <w:p w14:paraId="4BB0DA06">
      <w:pPr>
        <w:spacing w:before="161" w:line="300" w:lineRule="auto"/>
        <w:ind w:right="70" w:firstLine="430"/>
        <w:rPr>
          <w:rFonts w:ascii="宋体" w:hAnsi="宋体" w:eastAsia="宋体" w:cs="宋体"/>
          <w:color w:val="auto"/>
          <w:sz w:val="20"/>
          <w:szCs w:val="20"/>
          <w:highlight w:val="none"/>
        </w:rPr>
      </w:pPr>
      <w:r>
        <w:rPr>
          <w:rFonts w:hint="eastAsia" w:ascii="宋体" w:hAnsi="宋体" w:eastAsia="宋体" w:cs="宋体"/>
          <w:color w:val="auto"/>
          <w:spacing w:val="11"/>
          <w:sz w:val="20"/>
          <w:szCs w:val="20"/>
          <w:highlight w:val="none"/>
          <w:lang w:val="en-US" w:eastAsia="zh-CN"/>
        </w:rPr>
        <w:t>2.1.1</w:t>
      </w:r>
      <w:r>
        <w:rPr>
          <w:rFonts w:ascii="宋体" w:hAnsi="宋体" w:eastAsia="宋体" w:cs="宋体"/>
          <w:color w:val="auto"/>
          <w:spacing w:val="11"/>
          <w:sz w:val="20"/>
          <w:szCs w:val="20"/>
          <w:highlight w:val="none"/>
        </w:rPr>
        <w:t>查询渠道：广西政府采购云平台“信用中国”网站(</w:t>
      </w:r>
      <w:r>
        <w:rPr>
          <w:color w:val="auto"/>
          <w:highlight w:val="none"/>
        </w:rPr>
        <w:fldChar w:fldCharType="begin"/>
      </w:r>
      <w:r>
        <w:rPr>
          <w:color w:val="auto"/>
          <w:highlight w:val="none"/>
        </w:rPr>
        <w:instrText xml:space="preserve"> HYPERLINK "https://www.creditchina.gov.cn" </w:instrText>
      </w:r>
      <w:r>
        <w:rPr>
          <w:color w:val="auto"/>
          <w:highlight w:val="none"/>
        </w:rPr>
        <w:fldChar w:fldCharType="separate"/>
      </w:r>
      <w:r>
        <w:rPr>
          <w:rFonts w:ascii="宋体" w:hAnsi="宋体" w:eastAsia="宋体" w:cs="宋体"/>
          <w:color w:val="auto"/>
          <w:sz w:val="20"/>
          <w:szCs w:val="20"/>
          <w:highlight w:val="none"/>
        </w:rPr>
        <w:t>www</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creditchina</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z w:val="20"/>
          <w:szCs w:val="20"/>
          <w:highlight w:val="none"/>
        </w:rPr>
        <w:fldChar w:fldCharType="end"/>
      </w:r>
      <w:r>
        <w:rPr>
          <w:rFonts w:ascii="宋体" w:hAnsi="宋体" w:eastAsia="宋体" w:cs="宋体"/>
          <w:color w:val="auto"/>
          <w:spacing w:val="11"/>
          <w:sz w:val="20"/>
          <w:szCs w:val="20"/>
          <w:highlight w:val="none"/>
        </w:rPr>
        <w:t>)、中国</w:t>
      </w:r>
      <w:r>
        <w:rPr>
          <w:rFonts w:ascii="宋体" w:hAnsi="宋体" w:eastAsia="宋体" w:cs="宋体"/>
          <w:color w:val="auto"/>
          <w:spacing w:val="12"/>
          <w:sz w:val="20"/>
          <w:szCs w:val="20"/>
          <w:highlight w:val="none"/>
        </w:rPr>
        <w:t xml:space="preserve"> </w:t>
      </w:r>
      <w:r>
        <w:rPr>
          <w:rFonts w:ascii="宋体" w:hAnsi="宋体" w:eastAsia="宋体" w:cs="宋体"/>
          <w:color w:val="auto"/>
          <w:spacing w:val="10"/>
          <w:sz w:val="20"/>
          <w:szCs w:val="20"/>
          <w:highlight w:val="none"/>
        </w:rPr>
        <w:t>政府采购网(</w:t>
      </w:r>
      <w:r>
        <w:rPr>
          <w:color w:val="auto"/>
          <w:highlight w:val="none"/>
        </w:rPr>
        <w:fldChar w:fldCharType="begin"/>
      </w:r>
      <w:r>
        <w:rPr>
          <w:color w:val="auto"/>
          <w:highlight w:val="none"/>
        </w:rPr>
        <w:instrText xml:space="preserve"> HYPERLINK "https://www.ccgp.gov.cn" </w:instrText>
      </w:r>
      <w:r>
        <w:rPr>
          <w:color w:val="auto"/>
          <w:highlight w:val="none"/>
        </w:rPr>
        <w:fldChar w:fldCharType="separate"/>
      </w:r>
      <w:r>
        <w:rPr>
          <w:rFonts w:ascii="宋体" w:hAnsi="宋体" w:eastAsia="宋体" w:cs="宋体"/>
          <w:color w:val="auto"/>
          <w:sz w:val="20"/>
          <w:szCs w:val="20"/>
          <w:highlight w:val="none"/>
        </w:rPr>
        <w:t>www</w:t>
      </w:r>
      <w:r>
        <w:rPr>
          <w:rFonts w:ascii="宋体" w:hAnsi="宋体" w:eastAsia="宋体" w:cs="宋体"/>
          <w:color w:val="auto"/>
          <w:spacing w:val="10"/>
          <w:sz w:val="20"/>
          <w:szCs w:val="20"/>
          <w:highlight w:val="none"/>
        </w:rPr>
        <w:t>.</w:t>
      </w:r>
      <w:r>
        <w:rPr>
          <w:rFonts w:ascii="宋体" w:hAnsi="宋体" w:eastAsia="宋体" w:cs="宋体"/>
          <w:color w:val="auto"/>
          <w:sz w:val="20"/>
          <w:szCs w:val="20"/>
          <w:highlight w:val="none"/>
        </w:rPr>
        <w:t>ccgp</w:t>
      </w:r>
      <w:r>
        <w:rPr>
          <w:rFonts w:ascii="宋体" w:hAnsi="宋体" w:eastAsia="宋体" w:cs="宋体"/>
          <w:color w:val="auto"/>
          <w:spacing w:val="10"/>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10"/>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z w:val="20"/>
          <w:szCs w:val="20"/>
          <w:highlight w:val="none"/>
        </w:rPr>
        <w:fldChar w:fldCharType="end"/>
      </w:r>
      <w:r>
        <w:rPr>
          <w:rFonts w:ascii="宋体" w:hAnsi="宋体" w:eastAsia="宋体" w:cs="宋体"/>
          <w:color w:val="auto"/>
          <w:spacing w:val="10"/>
          <w:sz w:val="20"/>
          <w:szCs w:val="20"/>
          <w:highlight w:val="none"/>
        </w:rPr>
        <w:t>)链接入口。</w:t>
      </w:r>
    </w:p>
    <w:p w14:paraId="1A3CA9D5">
      <w:pPr>
        <w:spacing w:before="167" w:line="228" w:lineRule="auto"/>
        <w:ind w:left="431"/>
        <w:rPr>
          <w:rFonts w:ascii="宋体" w:hAnsi="宋体" w:eastAsia="宋体" w:cs="宋体"/>
          <w:color w:val="auto"/>
          <w:sz w:val="20"/>
          <w:szCs w:val="20"/>
          <w:highlight w:val="none"/>
        </w:rPr>
      </w:pPr>
      <w:r>
        <w:rPr>
          <w:rFonts w:hint="eastAsia" w:ascii="宋体" w:hAnsi="宋体" w:eastAsia="宋体" w:cs="宋体"/>
          <w:color w:val="auto"/>
          <w:spacing w:val="8"/>
          <w:sz w:val="20"/>
          <w:szCs w:val="20"/>
          <w:highlight w:val="none"/>
          <w:lang w:val="en-US" w:eastAsia="zh-CN"/>
        </w:rPr>
        <w:t>2.1.2</w:t>
      </w:r>
      <w:r>
        <w:rPr>
          <w:rFonts w:ascii="宋体" w:hAnsi="宋体" w:eastAsia="宋体" w:cs="宋体"/>
          <w:color w:val="auto"/>
          <w:spacing w:val="8"/>
          <w:sz w:val="20"/>
          <w:szCs w:val="20"/>
          <w:highlight w:val="none"/>
        </w:rPr>
        <w:t>信用查询截止时点：资格审查结束前。</w:t>
      </w:r>
    </w:p>
    <w:p w14:paraId="6D5FF922">
      <w:pPr>
        <w:spacing w:before="160" w:line="378" w:lineRule="auto"/>
        <w:ind w:left="10" w:right="53" w:firstLine="41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查询记录和证据留存方式：在查询网站中直</w:t>
      </w:r>
      <w:r>
        <w:rPr>
          <w:rFonts w:ascii="宋体" w:hAnsi="宋体" w:eastAsia="宋体" w:cs="宋体"/>
          <w:color w:val="auto"/>
          <w:spacing w:val="7"/>
          <w:sz w:val="20"/>
          <w:szCs w:val="20"/>
          <w:highlight w:val="none"/>
        </w:rPr>
        <w:t>接打印查询记录，截图另存为电子文档作为评审</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资料保存。</w:t>
      </w:r>
    </w:p>
    <w:p w14:paraId="4923B9BF">
      <w:pPr>
        <w:spacing w:before="6" w:line="376" w:lineRule="auto"/>
        <w:ind w:firstLine="431"/>
        <w:jc w:val="both"/>
        <w:rPr>
          <w:rFonts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lang w:val="en-US" w:eastAsia="zh-CN"/>
        </w:rPr>
        <w:t>2.1.3</w:t>
      </w:r>
      <w:r>
        <w:rPr>
          <w:rFonts w:ascii="宋体" w:hAnsi="宋体" w:eastAsia="宋体" w:cs="宋体"/>
          <w:color w:val="auto"/>
          <w:spacing w:val="9"/>
          <w:sz w:val="20"/>
          <w:szCs w:val="20"/>
          <w:highlight w:val="none"/>
        </w:rPr>
        <w:t>信用信息使用规则：对在“信用中国”</w:t>
      </w:r>
      <w:r>
        <w:rPr>
          <w:rFonts w:ascii="宋体" w:hAnsi="宋体" w:eastAsia="宋体" w:cs="宋体"/>
          <w:color w:val="auto"/>
          <w:spacing w:val="8"/>
          <w:sz w:val="20"/>
          <w:szCs w:val="20"/>
          <w:highlight w:val="none"/>
        </w:rPr>
        <w:t>网站(</w:t>
      </w:r>
      <w:r>
        <w:rPr>
          <w:color w:val="auto"/>
          <w:highlight w:val="none"/>
        </w:rPr>
        <w:fldChar w:fldCharType="begin"/>
      </w:r>
      <w:r>
        <w:rPr>
          <w:color w:val="auto"/>
          <w:highlight w:val="none"/>
        </w:rPr>
        <w:instrText xml:space="preserve"> HYPERLINK "https://www.creditchina.gov.cn" </w:instrText>
      </w:r>
      <w:r>
        <w:rPr>
          <w:color w:val="auto"/>
          <w:highlight w:val="none"/>
        </w:rPr>
        <w:fldChar w:fldCharType="separate"/>
      </w:r>
      <w:r>
        <w:rPr>
          <w:rFonts w:ascii="宋体" w:hAnsi="宋体" w:eastAsia="宋体" w:cs="宋体"/>
          <w:color w:val="auto"/>
          <w:sz w:val="20"/>
          <w:szCs w:val="20"/>
          <w:highlight w:val="none"/>
        </w:rPr>
        <w:t>www</w:t>
      </w:r>
      <w:r>
        <w:rPr>
          <w:rFonts w:ascii="宋体" w:hAnsi="宋体" w:eastAsia="宋体" w:cs="宋体"/>
          <w:color w:val="auto"/>
          <w:spacing w:val="8"/>
          <w:sz w:val="20"/>
          <w:szCs w:val="20"/>
          <w:highlight w:val="none"/>
        </w:rPr>
        <w:t>.</w:t>
      </w:r>
      <w:r>
        <w:rPr>
          <w:rFonts w:ascii="宋体" w:hAnsi="宋体" w:eastAsia="宋体" w:cs="宋体"/>
          <w:color w:val="auto"/>
          <w:sz w:val="20"/>
          <w:szCs w:val="20"/>
          <w:highlight w:val="none"/>
        </w:rPr>
        <w:t>creditchina</w:t>
      </w:r>
      <w:r>
        <w:rPr>
          <w:rFonts w:ascii="宋体" w:hAnsi="宋体" w:eastAsia="宋体" w:cs="宋体"/>
          <w:color w:val="auto"/>
          <w:spacing w:val="8"/>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8"/>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z w:val="20"/>
          <w:szCs w:val="20"/>
          <w:highlight w:val="none"/>
        </w:rPr>
        <w:fldChar w:fldCharType="end"/>
      </w:r>
      <w:r>
        <w:rPr>
          <w:rFonts w:ascii="宋体" w:hAnsi="宋体" w:eastAsia="宋体" w:cs="宋体"/>
          <w:color w:val="auto"/>
          <w:spacing w:val="8"/>
          <w:sz w:val="20"/>
          <w:szCs w:val="20"/>
          <w:highlight w:val="none"/>
        </w:rPr>
        <w:t>) 、中国政府采</w:t>
      </w:r>
      <w:r>
        <w:rPr>
          <w:rFonts w:ascii="宋体" w:hAnsi="宋体" w:eastAsia="宋体" w:cs="宋体"/>
          <w:color w:val="auto"/>
          <w:sz w:val="20"/>
          <w:szCs w:val="20"/>
          <w:highlight w:val="none"/>
        </w:rPr>
        <w:t xml:space="preserve"> </w:t>
      </w:r>
      <w:r>
        <w:rPr>
          <w:rFonts w:ascii="宋体" w:hAnsi="宋体" w:eastAsia="宋体" w:cs="宋体"/>
          <w:color w:val="auto"/>
          <w:spacing w:val="11"/>
          <w:sz w:val="20"/>
          <w:szCs w:val="20"/>
          <w:highlight w:val="none"/>
        </w:rPr>
        <w:t>购网(</w:t>
      </w:r>
      <w:r>
        <w:rPr>
          <w:color w:val="auto"/>
          <w:highlight w:val="none"/>
        </w:rPr>
        <w:fldChar w:fldCharType="begin"/>
      </w:r>
      <w:r>
        <w:rPr>
          <w:color w:val="auto"/>
          <w:highlight w:val="none"/>
        </w:rPr>
        <w:instrText xml:space="preserve"> HYPERLINK "https://www.ccgp.gov.cn" </w:instrText>
      </w:r>
      <w:r>
        <w:rPr>
          <w:color w:val="auto"/>
          <w:highlight w:val="none"/>
        </w:rPr>
        <w:fldChar w:fldCharType="separate"/>
      </w:r>
      <w:r>
        <w:rPr>
          <w:rFonts w:ascii="宋体" w:hAnsi="宋体" w:eastAsia="宋体" w:cs="宋体"/>
          <w:color w:val="auto"/>
          <w:sz w:val="20"/>
          <w:szCs w:val="20"/>
          <w:highlight w:val="none"/>
        </w:rPr>
        <w:t>www</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ccgp</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gov</w:t>
      </w:r>
      <w:r>
        <w:rPr>
          <w:rFonts w:ascii="宋体" w:hAnsi="宋体" w:eastAsia="宋体" w:cs="宋体"/>
          <w:color w:val="auto"/>
          <w:spacing w:val="11"/>
          <w:sz w:val="20"/>
          <w:szCs w:val="20"/>
          <w:highlight w:val="none"/>
        </w:rPr>
        <w:t>.</w:t>
      </w:r>
      <w:r>
        <w:rPr>
          <w:rFonts w:ascii="宋体" w:hAnsi="宋体" w:eastAsia="宋体" w:cs="宋体"/>
          <w:color w:val="auto"/>
          <w:sz w:val="20"/>
          <w:szCs w:val="20"/>
          <w:highlight w:val="none"/>
        </w:rPr>
        <w:t>cn</w:t>
      </w:r>
      <w:r>
        <w:rPr>
          <w:rFonts w:ascii="宋体" w:hAnsi="宋体" w:eastAsia="宋体" w:cs="宋体"/>
          <w:color w:val="auto"/>
          <w:sz w:val="20"/>
          <w:szCs w:val="20"/>
          <w:highlight w:val="none"/>
        </w:rPr>
        <w:fldChar w:fldCharType="end"/>
      </w:r>
      <w:r>
        <w:rPr>
          <w:rFonts w:ascii="宋体" w:hAnsi="宋体" w:eastAsia="宋体" w:cs="宋体"/>
          <w:color w:val="auto"/>
          <w:spacing w:val="11"/>
          <w:sz w:val="20"/>
          <w:szCs w:val="20"/>
          <w:highlight w:val="none"/>
        </w:rPr>
        <w:t>)被列入失信被执行人、重大税收违法案件当事人名单、政府采购严重违</w:t>
      </w:r>
      <w:r>
        <w:rPr>
          <w:rFonts w:ascii="宋体" w:hAnsi="宋体" w:eastAsia="宋体" w:cs="宋体"/>
          <w:color w:val="auto"/>
          <w:spacing w:val="3"/>
          <w:sz w:val="20"/>
          <w:szCs w:val="20"/>
          <w:highlight w:val="none"/>
        </w:rPr>
        <w:t xml:space="preserve"> </w:t>
      </w:r>
      <w:r>
        <w:rPr>
          <w:rFonts w:ascii="宋体" w:hAnsi="宋体" w:eastAsia="宋体" w:cs="宋体"/>
          <w:color w:val="auto"/>
          <w:spacing w:val="4"/>
          <w:sz w:val="20"/>
          <w:szCs w:val="20"/>
          <w:highlight w:val="none"/>
        </w:rPr>
        <w:t>法失信行为记录名单及其他不符合《中华人民共和国政府采购法》第二十二条规定条件的供应商，</w:t>
      </w:r>
      <w:r>
        <w:rPr>
          <w:rFonts w:ascii="宋体" w:hAnsi="宋体" w:eastAsia="宋体" w:cs="宋体"/>
          <w:color w:val="auto"/>
          <w:spacing w:val="5"/>
          <w:sz w:val="20"/>
          <w:szCs w:val="20"/>
          <w:highlight w:val="none"/>
        </w:rPr>
        <w:t xml:space="preserve"> </w:t>
      </w:r>
      <w:r>
        <w:rPr>
          <w:rFonts w:ascii="宋体" w:hAnsi="宋体" w:eastAsia="宋体" w:cs="宋体"/>
          <w:color w:val="auto"/>
          <w:spacing w:val="8"/>
          <w:sz w:val="20"/>
          <w:szCs w:val="20"/>
          <w:highlight w:val="none"/>
        </w:rPr>
        <w:t>资格审查不通过，不得参与政府采购活动。两个以上的自然人</w:t>
      </w:r>
      <w:r>
        <w:rPr>
          <w:rFonts w:ascii="宋体" w:hAnsi="宋体" w:eastAsia="宋体" w:cs="宋体"/>
          <w:color w:val="auto"/>
          <w:spacing w:val="7"/>
          <w:sz w:val="20"/>
          <w:szCs w:val="20"/>
          <w:highlight w:val="none"/>
        </w:rPr>
        <w:t>、法人或者其他组织组成一个联合</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体，以一个供应商的身份共同参加政府采购活动的，应当对所有联合体成员进行信用记录查询，</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联合体成员存在不良信用记录的，视同联合体存在不良信用记录。</w:t>
      </w:r>
    </w:p>
    <w:p w14:paraId="2C46A4FD">
      <w:pPr>
        <w:spacing w:before="1" w:line="302" w:lineRule="auto"/>
        <w:ind w:left="3" w:right="53" w:firstLine="42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w:t>
      </w:r>
      <w:r>
        <w:rPr>
          <w:rFonts w:hint="eastAsia" w:ascii="宋体" w:hAnsi="宋体" w:eastAsia="宋体" w:cs="宋体"/>
          <w:color w:val="auto"/>
          <w:spacing w:val="8"/>
          <w:sz w:val="20"/>
          <w:szCs w:val="20"/>
          <w:highlight w:val="none"/>
          <w:lang w:val="en-US" w:eastAsia="zh-CN"/>
        </w:rPr>
        <w:t>1.4</w:t>
      </w:r>
      <w:r>
        <w:rPr>
          <w:rFonts w:ascii="宋体" w:hAnsi="宋体" w:eastAsia="宋体" w:cs="宋体"/>
          <w:color w:val="auto"/>
          <w:spacing w:val="-29"/>
          <w:sz w:val="20"/>
          <w:szCs w:val="20"/>
          <w:highlight w:val="none"/>
        </w:rPr>
        <w:t xml:space="preserve"> </w:t>
      </w:r>
      <w:r>
        <w:rPr>
          <w:rFonts w:ascii="宋体" w:hAnsi="宋体" w:eastAsia="宋体" w:cs="宋体"/>
          <w:color w:val="auto"/>
          <w:spacing w:val="8"/>
          <w:sz w:val="20"/>
          <w:szCs w:val="20"/>
          <w:highlight w:val="none"/>
        </w:rPr>
        <w:t>资格审查标准为本磋商文件中载明对供应商资格要求的条件。资格审查采用合格制，凡</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符合磋商文件规定的供应商资格要求的响应文件均通过资格审查。</w:t>
      </w:r>
    </w:p>
    <w:p w14:paraId="38422168">
      <w:pPr>
        <w:spacing w:before="163" w:line="228" w:lineRule="auto"/>
        <w:ind w:left="424"/>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2.</w:t>
      </w:r>
      <w:r>
        <w:rPr>
          <w:rFonts w:hint="eastAsia" w:ascii="宋体" w:hAnsi="宋体" w:eastAsia="宋体" w:cs="宋体"/>
          <w:color w:val="auto"/>
          <w:spacing w:val="9"/>
          <w:sz w:val="20"/>
          <w:szCs w:val="20"/>
          <w:highlight w:val="none"/>
          <w:lang w:val="en-US" w:eastAsia="zh-CN"/>
        </w:rPr>
        <w:t>1.5</w:t>
      </w:r>
      <w:r>
        <w:rPr>
          <w:rFonts w:ascii="宋体" w:hAnsi="宋体" w:eastAsia="宋体" w:cs="宋体"/>
          <w:color w:val="auto"/>
          <w:spacing w:val="-40"/>
          <w:sz w:val="20"/>
          <w:szCs w:val="20"/>
          <w:highlight w:val="none"/>
        </w:rPr>
        <w:t xml:space="preserve"> </w:t>
      </w:r>
      <w:r>
        <w:rPr>
          <w:rFonts w:ascii="宋体" w:hAnsi="宋体" w:eastAsia="宋体" w:cs="宋体"/>
          <w:color w:val="auto"/>
          <w:spacing w:val="9"/>
          <w:sz w:val="20"/>
          <w:szCs w:val="20"/>
          <w:highlight w:val="none"/>
        </w:rPr>
        <w:t>供应商有下列情形之一的，资格审查不通过，其响</w:t>
      </w:r>
      <w:r>
        <w:rPr>
          <w:rFonts w:ascii="宋体" w:hAnsi="宋体" w:eastAsia="宋体" w:cs="宋体"/>
          <w:color w:val="auto"/>
          <w:spacing w:val="8"/>
          <w:sz w:val="20"/>
          <w:szCs w:val="20"/>
          <w:highlight w:val="none"/>
        </w:rPr>
        <w:t>应文件按无效响应处理：</w:t>
      </w:r>
    </w:p>
    <w:p w14:paraId="5B34D9CB">
      <w:pPr>
        <w:spacing w:before="162" w:line="228" w:lineRule="auto"/>
        <w:ind w:left="431"/>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（1）不具备磋商文件中规定的资格要求的；</w:t>
      </w:r>
    </w:p>
    <w:p w14:paraId="078B28E5">
      <w:pPr>
        <w:spacing w:before="159" w:line="303" w:lineRule="auto"/>
        <w:ind w:right="53" w:firstLine="43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（2）响应文件未提供任一项“供应商须知前附表</w:t>
      </w:r>
      <w:r>
        <w:rPr>
          <w:rFonts w:ascii="宋体" w:hAnsi="宋体" w:eastAsia="宋体" w:cs="宋体"/>
          <w:color w:val="auto"/>
          <w:spacing w:val="-58"/>
          <w:sz w:val="20"/>
          <w:szCs w:val="20"/>
          <w:highlight w:val="none"/>
        </w:rPr>
        <w:t xml:space="preserve"> </w:t>
      </w:r>
      <w:r>
        <w:rPr>
          <w:rFonts w:ascii="宋体" w:hAnsi="宋体" w:eastAsia="宋体" w:cs="宋体"/>
          <w:color w:val="auto"/>
          <w:spacing w:val="8"/>
          <w:sz w:val="20"/>
          <w:szCs w:val="20"/>
          <w:highlight w:val="none"/>
        </w:rPr>
        <w:t>”资格证明文件规定的“必须提供</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”的文</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件资料的；</w:t>
      </w:r>
    </w:p>
    <w:p w14:paraId="48F2D29C">
      <w:pPr>
        <w:spacing w:before="164" w:line="302" w:lineRule="auto"/>
        <w:ind w:left="2" w:right="56" w:firstLine="429"/>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（3）响应文件提供的资格证明文件出现任一项不符合“供应商须知前附表</w:t>
      </w:r>
      <w:r>
        <w:rPr>
          <w:rFonts w:ascii="宋体" w:hAnsi="宋体" w:eastAsia="宋体" w:cs="宋体"/>
          <w:color w:val="auto"/>
          <w:spacing w:val="-71"/>
          <w:sz w:val="20"/>
          <w:szCs w:val="20"/>
          <w:highlight w:val="none"/>
        </w:rPr>
        <w:t xml:space="preserve"> </w:t>
      </w:r>
      <w:r>
        <w:rPr>
          <w:rFonts w:ascii="宋体" w:hAnsi="宋体" w:eastAsia="宋体" w:cs="宋体"/>
          <w:color w:val="auto"/>
          <w:spacing w:val="9"/>
          <w:sz w:val="20"/>
          <w:szCs w:val="20"/>
          <w:highlight w:val="none"/>
        </w:rPr>
        <w:t>”资格证明文件</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规定的“必须提供</w:t>
      </w:r>
      <w:r>
        <w:rPr>
          <w:rFonts w:ascii="宋体" w:hAnsi="宋体" w:eastAsia="宋体" w:cs="宋体"/>
          <w:color w:val="auto"/>
          <w:spacing w:val="-56"/>
          <w:sz w:val="20"/>
          <w:szCs w:val="20"/>
          <w:highlight w:val="none"/>
        </w:rPr>
        <w:t xml:space="preserve"> </w:t>
      </w:r>
      <w:r>
        <w:rPr>
          <w:rFonts w:ascii="宋体" w:hAnsi="宋体" w:eastAsia="宋体" w:cs="宋体"/>
          <w:color w:val="auto"/>
          <w:spacing w:val="7"/>
          <w:sz w:val="20"/>
          <w:szCs w:val="20"/>
          <w:highlight w:val="none"/>
        </w:rPr>
        <w:t>”的文件资料要求或者无效的。</w:t>
      </w:r>
    </w:p>
    <w:p w14:paraId="7CA931E0">
      <w:pPr>
        <w:spacing w:before="161" w:line="302" w:lineRule="auto"/>
        <w:ind w:left="4" w:right="109" w:firstLine="427"/>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（4）同一合同项下的不同供应商，单位负责人为同一人或者存在直接控股、管理关系的；</w:t>
      </w:r>
      <w:r>
        <w:rPr>
          <w:rFonts w:ascii="宋体" w:hAnsi="宋体" w:eastAsia="宋体" w:cs="宋体"/>
          <w:color w:val="auto"/>
          <w:spacing w:val="16"/>
          <w:sz w:val="20"/>
          <w:szCs w:val="20"/>
          <w:highlight w:val="none"/>
        </w:rPr>
        <w:t xml:space="preserve"> </w:t>
      </w:r>
      <w:r>
        <w:rPr>
          <w:rFonts w:ascii="宋体" w:hAnsi="宋体" w:eastAsia="宋体" w:cs="宋体"/>
          <w:color w:val="auto"/>
          <w:spacing w:val="9"/>
          <w:sz w:val="20"/>
          <w:szCs w:val="20"/>
          <w:highlight w:val="none"/>
        </w:rPr>
        <w:t>为本项目提供过整体设计、规范编制或者项目管理、监理、检测等服务的。</w:t>
      </w:r>
    </w:p>
    <w:p w14:paraId="4564C580">
      <w:pPr>
        <w:spacing w:before="163" w:line="378" w:lineRule="auto"/>
        <w:ind w:left="4" w:right="56" w:firstLine="42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w:t>
      </w:r>
      <w:r>
        <w:rPr>
          <w:rFonts w:hint="eastAsia" w:ascii="宋体" w:hAnsi="宋体" w:eastAsia="宋体" w:cs="宋体"/>
          <w:color w:val="auto"/>
          <w:spacing w:val="8"/>
          <w:sz w:val="20"/>
          <w:szCs w:val="20"/>
          <w:highlight w:val="none"/>
          <w:lang w:val="en-US" w:eastAsia="zh-CN"/>
        </w:rPr>
        <w:t>1.6</w:t>
      </w:r>
      <w:r>
        <w:rPr>
          <w:rFonts w:ascii="宋体" w:hAnsi="宋体" w:eastAsia="宋体" w:cs="宋体"/>
          <w:color w:val="auto"/>
          <w:spacing w:val="-40"/>
          <w:sz w:val="20"/>
          <w:szCs w:val="20"/>
          <w:highlight w:val="none"/>
        </w:rPr>
        <w:t xml:space="preserve"> </w:t>
      </w:r>
      <w:r>
        <w:rPr>
          <w:rFonts w:ascii="宋体" w:hAnsi="宋体" w:eastAsia="宋体" w:cs="宋体"/>
          <w:color w:val="auto"/>
          <w:spacing w:val="8"/>
          <w:sz w:val="20"/>
          <w:szCs w:val="20"/>
          <w:highlight w:val="none"/>
        </w:rPr>
        <w:t>通过资格审查的合格供应商不足</w:t>
      </w:r>
      <w:r>
        <w:rPr>
          <w:rFonts w:ascii="宋体" w:hAnsi="宋体" w:eastAsia="宋体" w:cs="宋体"/>
          <w:color w:val="auto"/>
          <w:spacing w:val="-33"/>
          <w:sz w:val="20"/>
          <w:szCs w:val="20"/>
          <w:highlight w:val="none"/>
        </w:rPr>
        <w:t xml:space="preserve"> </w:t>
      </w:r>
      <w:r>
        <w:rPr>
          <w:rFonts w:ascii="宋体" w:hAnsi="宋体" w:eastAsia="宋体" w:cs="宋体"/>
          <w:color w:val="auto"/>
          <w:spacing w:val="8"/>
          <w:sz w:val="20"/>
          <w:szCs w:val="20"/>
          <w:highlight w:val="none"/>
        </w:rPr>
        <w:t>3</w:t>
      </w:r>
      <w:r>
        <w:rPr>
          <w:rFonts w:ascii="宋体" w:hAnsi="宋体" w:eastAsia="宋体" w:cs="宋体"/>
          <w:color w:val="auto"/>
          <w:spacing w:val="-36"/>
          <w:sz w:val="20"/>
          <w:szCs w:val="20"/>
          <w:highlight w:val="none"/>
        </w:rPr>
        <w:t xml:space="preserve"> </w:t>
      </w:r>
      <w:r>
        <w:rPr>
          <w:rFonts w:ascii="宋体" w:hAnsi="宋体" w:eastAsia="宋体" w:cs="宋体"/>
          <w:color w:val="auto"/>
          <w:spacing w:val="8"/>
          <w:sz w:val="20"/>
          <w:szCs w:val="20"/>
          <w:highlight w:val="none"/>
        </w:rPr>
        <w:t>家</w:t>
      </w:r>
      <w:r>
        <w:rPr>
          <w:rFonts w:ascii="宋体" w:hAnsi="宋体" w:eastAsia="宋体" w:cs="宋体"/>
          <w:color w:val="auto"/>
          <w:spacing w:val="7"/>
          <w:sz w:val="20"/>
          <w:szCs w:val="20"/>
          <w:highlight w:val="none"/>
        </w:rPr>
        <w:t>的，不得进入符合性审查环节，采购人或者采购代</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理机构应当重新开展采购活动。</w:t>
      </w:r>
    </w:p>
    <w:p w14:paraId="381C2EEC">
      <w:pPr>
        <w:spacing w:before="3" w:line="220" w:lineRule="auto"/>
        <w:ind w:left="427"/>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3.符合性审查</w:t>
      </w:r>
    </w:p>
    <w:p w14:paraId="1953135D">
      <w:pPr>
        <w:spacing w:before="177" w:line="378" w:lineRule="auto"/>
        <w:ind w:left="2" w:right="56" w:firstLine="42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3.1</w:t>
      </w:r>
      <w:r>
        <w:rPr>
          <w:rFonts w:ascii="宋体" w:hAnsi="宋体" w:eastAsia="宋体" w:cs="宋体"/>
          <w:color w:val="auto"/>
          <w:spacing w:val="-15"/>
          <w:sz w:val="20"/>
          <w:szCs w:val="20"/>
          <w:highlight w:val="none"/>
        </w:rPr>
        <w:t xml:space="preserve"> </w:t>
      </w:r>
      <w:r>
        <w:rPr>
          <w:rFonts w:ascii="宋体" w:hAnsi="宋体" w:eastAsia="宋体" w:cs="宋体"/>
          <w:color w:val="auto"/>
          <w:spacing w:val="8"/>
          <w:sz w:val="20"/>
          <w:szCs w:val="20"/>
          <w:highlight w:val="none"/>
        </w:rPr>
        <w:t>由磋商小组对通过资格审查的合格供应商的响</w:t>
      </w:r>
      <w:r>
        <w:rPr>
          <w:rFonts w:ascii="宋体" w:hAnsi="宋体" w:eastAsia="宋体" w:cs="宋体"/>
          <w:color w:val="auto"/>
          <w:spacing w:val="7"/>
          <w:sz w:val="20"/>
          <w:szCs w:val="20"/>
          <w:highlight w:val="none"/>
        </w:rPr>
        <w:t>应文件的响应报价、商务、技术等实质性</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要求进行符合性审查，以确定其是否满足磋商文件的实质性要求。</w:t>
      </w:r>
    </w:p>
    <w:p w14:paraId="430002B3">
      <w:pPr>
        <w:spacing w:line="378" w:lineRule="auto"/>
        <w:rPr>
          <w:rFonts w:ascii="宋体" w:hAnsi="宋体" w:eastAsia="宋体" w:cs="宋体"/>
          <w:color w:val="auto"/>
          <w:sz w:val="20"/>
          <w:szCs w:val="20"/>
          <w:highlight w:val="none"/>
        </w:rPr>
        <w:sectPr>
          <w:footerReference r:id="rId33" w:type="default"/>
          <w:pgSz w:w="11905" w:h="16839"/>
          <w:pgMar w:top="400" w:right="1533" w:bottom="1079" w:left="1592" w:header="0" w:footer="843" w:gutter="0"/>
          <w:pgNumType w:fmt="decimal"/>
          <w:cols w:space="720" w:num="1"/>
        </w:sectPr>
      </w:pPr>
    </w:p>
    <w:p w14:paraId="06E8B8B8">
      <w:pPr>
        <w:pStyle w:val="6"/>
        <w:spacing w:line="348" w:lineRule="auto"/>
        <w:rPr>
          <w:color w:val="auto"/>
          <w:highlight w:val="none"/>
        </w:rPr>
      </w:pPr>
    </w:p>
    <w:p w14:paraId="1DFAE44F">
      <w:pPr>
        <w:pStyle w:val="6"/>
        <w:spacing w:line="348" w:lineRule="auto"/>
        <w:rPr>
          <w:color w:val="auto"/>
          <w:highlight w:val="none"/>
        </w:rPr>
      </w:pPr>
    </w:p>
    <w:p w14:paraId="7490A66F">
      <w:pPr>
        <w:spacing w:before="65" w:line="327" w:lineRule="auto"/>
        <w:ind w:left="5" w:right="83" w:firstLine="42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3.2</w:t>
      </w:r>
      <w:r>
        <w:rPr>
          <w:rFonts w:ascii="宋体" w:hAnsi="宋体" w:eastAsia="宋体" w:cs="宋体"/>
          <w:color w:val="auto"/>
          <w:spacing w:val="-29"/>
          <w:sz w:val="20"/>
          <w:szCs w:val="20"/>
          <w:highlight w:val="none"/>
        </w:rPr>
        <w:t xml:space="preserve"> </w:t>
      </w:r>
      <w:r>
        <w:rPr>
          <w:rFonts w:ascii="宋体" w:hAnsi="宋体" w:eastAsia="宋体" w:cs="宋体"/>
          <w:color w:val="auto"/>
          <w:spacing w:val="8"/>
          <w:sz w:val="20"/>
          <w:szCs w:val="20"/>
          <w:highlight w:val="none"/>
        </w:rPr>
        <w:t>磋商小组在对响应文件进行符合性审查时，可以要求供应商对响应文件中含义不明确、</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同类问题表述不一致或者有明显文字和计算错误</w:t>
      </w:r>
      <w:r>
        <w:rPr>
          <w:rFonts w:ascii="宋体" w:hAnsi="宋体" w:eastAsia="宋体" w:cs="宋体"/>
          <w:color w:val="auto"/>
          <w:spacing w:val="7"/>
          <w:sz w:val="20"/>
          <w:szCs w:val="20"/>
          <w:highlight w:val="none"/>
        </w:rPr>
        <w:t>的内容等作出必要的澄清、说明或者更正。供应</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商的澄清、说明或者更正不得超出响应文件的范围或者改变响应文件的实质性内容。</w:t>
      </w:r>
    </w:p>
    <w:p w14:paraId="3FBA45CB">
      <w:pPr>
        <w:spacing w:before="162" w:line="347" w:lineRule="auto"/>
        <w:ind w:left="4" w:right="31" w:firstLine="42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3.3</w:t>
      </w:r>
      <w:r>
        <w:rPr>
          <w:rFonts w:ascii="宋体" w:hAnsi="宋体" w:eastAsia="宋体" w:cs="宋体"/>
          <w:color w:val="auto"/>
          <w:spacing w:val="-30"/>
          <w:sz w:val="20"/>
          <w:szCs w:val="20"/>
          <w:highlight w:val="none"/>
        </w:rPr>
        <w:t xml:space="preserve"> </w:t>
      </w:r>
      <w:r>
        <w:rPr>
          <w:rFonts w:ascii="宋体" w:hAnsi="宋体" w:eastAsia="宋体" w:cs="宋体"/>
          <w:color w:val="auto"/>
          <w:spacing w:val="8"/>
          <w:sz w:val="20"/>
          <w:szCs w:val="20"/>
          <w:highlight w:val="none"/>
        </w:rPr>
        <w:t>磋商小组要求供应商澄清、说明或者更正响应文件应当以电子澄清函形式作出。供应商</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的澄清、说明或者更正应当已电子回函形式按照磋商小组的要求作出明确的澄清、说明或者更正，</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未按磋商小组的要求作出明确澄清、说明或者更正</w:t>
      </w:r>
      <w:r>
        <w:rPr>
          <w:rFonts w:ascii="宋体" w:hAnsi="宋体" w:eastAsia="宋体" w:cs="宋体"/>
          <w:color w:val="auto"/>
          <w:spacing w:val="7"/>
          <w:sz w:val="20"/>
          <w:szCs w:val="20"/>
          <w:highlight w:val="none"/>
        </w:rPr>
        <w:t>的供应商的响应文件将按照有利于采购人的原</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则由磋商小组进行判定。供应商的澄清、说明或者更正必须加盖电子公章。供应商为</w:t>
      </w:r>
      <w:r>
        <w:rPr>
          <w:rFonts w:ascii="宋体" w:hAnsi="宋体" w:eastAsia="宋体" w:cs="宋体"/>
          <w:color w:val="auto"/>
          <w:spacing w:val="7"/>
          <w:sz w:val="20"/>
          <w:szCs w:val="20"/>
          <w:highlight w:val="none"/>
        </w:rPr>
        <w:t>自然人的，</w:t>
      </w:r>
      <w:r>
        <w:rPr>
          <w:rFonts w:ascii="宋体" w:hAnsi="宋体" w:eastAsia="宋体" w:cs="宋体"/>
          <w:color w:val="auto"/>
          <w:sz w:val="20"/>
          <w:szCs w:val="20"/>
          <w:highlight w:val="none"/>
        </w:rPr>
        <w:t xml:space="preserve"> </w:t>
      </w:r>
      <w:r>
        <w:rPr>
          <w:rFonts w:ascii="宋体" w:hAnsi="宋体" w:eastAsia="宋体" w:cs="宋体"/>
          <w:color w:val="auto"/>
          <w:spacing w:val="-2"/>
          <w:sz w:val="20"/>
          <w:szCs w:val="20"/>
          <w:highlight w:val="none"/>
        </w:rPr>
        <w:t>必须由本人签字并附身份证明。</w:t>
      </w:r>
    </w:p>
    <w:p w14:paraId="7CA8CB37">
      <w:pPr>
        <w:spacing w:before="163" w:line="227" w:lineRule="auto"/>
        <w:ind w:left="401"/>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3.4</w:t>
      </w:r>
      <w:r>
        <w:rPr>
          <w:rFonts w:ascii="宋体" w:hAnsi="宋体" w:eastAsia="宋体" w:cs="宋体"/>
          <w:color w:val="auto"/>
          <w:spacing w:val="-49"/>
          <w:sz w:val="20"/>
          <w:szCs w:val="20"/>
          <w:highlight w:val="none"/>
        </w:rPr>
        <w:t xml:space="preserve"> </w:t>
      </w:r>
      <w:r>
        <w:rPr>
          <w:rFonts w:ascii="宋体" w:hAnsi="宋体" w:eastAsia="宋体" w:cs="宋体"/>
          <w:color w:val="auto"/>
          <w:spacing w:val="8"/>
          <w:sz w:val="20"/>
          <w:szCs w:val="20"/>
          <w:highlight w:val="none"/>
        </w:rPr>
        <w:t>首次响应文件报价出现前后不一致的，按照下列规定修</w:t>
      </w:r>
      <w:r>
        <w:rPr>
          <w:rFonts w:ascii="宋体" w:hAnsi="宋体" w:eastAsia="宋体" w:cs="宋体"/>
          <w:color w:val="auto"/>
          <w:spacing w:val="7"/>
          <w:sz w:val="20"/>
          <w:szCs w:val="20"/>
          <w:highlight w:val="none"/>
        </w:rPr>
        <w:t>正：</w:t>
      </w:r>
    </w:p>
    <w:p w14:paraId="1C0AE6C8">
      <w:pPr>
        <w:spacing w:before="162" w:line="227" w:lineRule="auto"/>
        <w:ind w:left="43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（1）响应文件中报价表内容与响应文件中相应内容不一致的，以报价表</w:t>
      </w:r>
      <w:r>
        <w:rPr>
          <w:rFonts w:ascii="宋体" w:hAnsi="宋体" w:eastAsia="宋体" w:cs="宋体"/>
          <w:color w:val="auto"/>
          <w:spacing w:val="8"/>
          <w:sz w:val="20"/>
          <w:szCs w:val="20"/>
          <w:highlight w:val="none"/>
        </w:rPr>
        <w:t>为准；</w:t>
      </w:r>
    </w:p>
    <w:p w14:paraId="5DFBE526">
      <w:pPr>
        <w:spacing w:before="162" w:line="228" w:lineRule="auto"/>
        <w:ind w:left="43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（2）大写金额和小写金额不一致的，以大写金额为准；</w:t>
      </w:r>
    </w:p>
    <w:p w14:paraId="5E3D7CFF">
      <w:pPr>
        <w:spacing w:before="160" w:line="227" w:lineRule="auto"/>
        <w:ind w:left="43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（3）单价金额小数点或者百分比有明显错位的，以报价表的总价为准，并修改单价；</w:t>
      </w:r>
    </w:p>
    <w:p w14:paraId="5619D109">
      <w:pPr>
        <w:spacing w:before="162" w:line="227" w:lineRule="auto"/>
        <w:ind w:left="43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（4）总价金额与按单价汇总金额不一致的，以单价金额计算</w:t>
      </w:r>
      <w:r>
        <w:rPr>
          <w:rFonts w:ascii="宋体" w:hAnsi="宋体" w:eastAsia="宋体" w:cs="宋体"/>
          <w:color w:val="auto"/>
          <w:spacing w:val="8"/>
          <w:sz w:val="20"/>
          <w:szCs w:val="20"/>
          <w:highlight w:val="none"/>
        </w:rPr>
        <w:t>结果为准。</w:t>
      </w:r>
    </w:p>
    <w:p w14:paraId="36400584">
      <w:pPr>
        <w:spacing w:before="162" w:line="378" w:lineRule="auto"/>
        <w:ind w:left="1" w:right="87" w:firstLine="439"/>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同时出现两种以上不一致的，按照以上（1）-（4）规定的顺序逐条进行修正。修正后的报</w:t>
      </w:r>
      <w:r>
        <w:rPr>
          <w:rFonts w:ascii="宋体" w:hAnsi="宋体" w:eastAsia="宋体" w:cs="宋体"/>
          <w:color w:val="auto"/>
          <w:spacing w:val="10"/>
          <w:sz w:val="20"/>
          <w:szCs w:val="20"/>
          <w:highlight w:val="none"/>
        </w:rPr>
        <w:t xml:space="preserve"> </w:t>
      </w:r>
      <w:r>
        <w:rPr>
          <w:rFonts w:ascii="宋体" w:hAnsi="宋体" w:eastAsia="宋体" w:cs="宋体"/>
          <w:color w:val="auto"/>
          <w:spacing w:val="9"/>
          <w:sz w:val="20"/>
          <w:szCs w:val="20"/>
          <w:highlight w:val="none"/>
        </w:rPr>
        <w:t>价经供应商确认后产生约束力，供应商不确认的，其响应文件按无效响应处理。</w:t>
      </w:r>
    </w:p>
    <w:p w14:paraId="56F0EB42">
      <w:pPr>
        <w:spacing w:before="1" w:line="226" w:lineRule="auto"/>
        <w:ind w:left="425"/>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3.5</w:t>
      </w:r>
      <w:r>
        <w:rPr>
          <w:rFonts w:ascii="宋体" w:hAnsi="宋体" w:eastAsia="宋体" w:cs="宋体"/>
          <w:color w:val="auto"/>
          <w:spacing w:val="-30"/>
          <w:sz w:val="20"/>
          <w:szCs w:val="20"/>
          <w:highlight w:val="none"/>
        </w:rPr>
        <w:t xml:space="preserve"> </w:t>
      </w:r>
      <w:r>
        <w:rPr>
          <w:rFonts w:ascii="宋体" w:hAnsi="宋体" w:eastAsia="宋体" w:cs="宋体"/>
          <w:color w:val="auto"/>
          <w:spacing w:val="6"/>
          <w:sz w:val="20"/>
          <w:szCs w:val="20"/>
          <w:highlight w:val="none"/>
        </w:rPr>
        <w:t>商务技术、报价评审</w:t>
      </w:r>
    </w:p>
    <w:p w14:paraId="5FAD3340">
      <w:pPr>
        <w:spacing w:before="162" w:line="228" w:lineRule="auto"/>
        <w:ind w:left="42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在评审时，如发现下列情形之一的，将被视为响应文件无效处理：</w:t>
      </w:r>
    </w:p>
    <w:p w14:paraId="6D766DBB">
      <w:pPr>
        <w:spacing w:before="161" w:line="228" w:lineRule="auto"/>
        <w:ind w:left="430"/>
        <w:rPr>
          <w:rFonts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lang w:val="en-US" w:eastAsia="zh-CN"/>
        </w:rPr>
        <w:t>3.5.1</w:t>
      </w:r>
      <w:r>
        <w:rPr>
          <w:rFonts w:ascii="宋体" w:hAnsi="宋体" w:eastAsia="宋体" w:cs="宋体"/>
          <w:color w:val="auto"/>
          <w:spacing w:val="7"/>
          <w:sz w:val="20"/>
          <w:szCs w:val="20"/>
          <w:highlight w:val="none"/>
        </w:rPr>
        <w:t>商务技术评审</w:t>
      </w:r>
    </w:p>
    <w:p w14:paraId="473CB6E0">
      <w:pPr>
        <w:spacing w:before="163" w:line="228" w:lineRule="auto"/>
        <w:ind w:left="436"/>
        <w:rPr>
          <w:rFonts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lang w:eastAsia="zh-CN"/>
        </w:rPr>
        <w:t>（</w:t>
      </w:r>
      <w:r>
        <w:rPr>
          <w:rFonts w:ascii="宋体" w:hAnsi="宋体" w:eastAsia="宋体" w:cs="宋体"/>
          <w:color w:val="auto"/>
          <w:spacing w:val="7"/>
          <w:sz w:val="20"/>
          <w:szCs w:val="20"/>
          <w:highlight w:val="none"/>
        </w:rPr>
        <w:t>1）响应文件未按磋商文件要求签署、盖章；</w:t>
      </w:r>
    </w:p>
    <w:p w14:paraId="285D08DE">
      <w:pPr>
        <w:spacing w:before="161" w:line="228" w:lineRule="auto"/>
        <w:ind w:left="423"/>
        <w:rPr>
          <w:rFonts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lang w:eastAsia="zh-CN"/>
        </w:rPr>
        <w:t>（</w:t>
      </w:r>
      <w:r>
        <w:rPr>
          <w:rFonts w:ascii="宋体" w:hAnsi="宋体" w:eastAsia="宋体" w:cs="宋体"/>
          <w:color w:val="auto"/>
          <w:spacing w:val="9"/>
          <w:sz w:val="20"/>
          <w:szCs w:val="20"/>
          <w:highlight w:val="none"/>
        </w:rPr>
        <w:t>2）委托代理人未能出具有效身份证明或者出具的身份证明与授权委托书中的信息不符；</w:t>
      </w:r>
    </w:p>
    <w:p w14:paraId="69F4A50D">
      <w:pPr>
        <w:spacing w:before="162" w:line="340" w:lineRule="auto"/>
        <w:ind w:right="84" w:firstLine="425"/>
        <w:rPr>
          <w:rFonts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lang w:eastAsia="zh-CN"/>
        </w:rPr>
        <w:t>（</w:t>
      </w:r>
      <w:r>
        <w:rPr>
          <w:rFonts w:ascii="宋体" w:hAnsi="宋体" w:eastAsia="宋体" w:cs="宋体"/>
          <w:color w:val="auto"/>
          <w:spacing w:val="8"/>
          <w:sz w:val="20"/>
          <w:szCs w:val="20"/>
          <w:highlight w:val="none"/>
        </w:rPr>
        <w:t>3）响应文件未提供任一项“供应商须知前附表</w:t>
      </w:r>
      <w:r>
        <w:rPr>
          <w:rFonts w:ascii="宋体" w:hAnsi="宋体" w:eastAsia="宋体" w:cs="宋体"/>
          <w:color w:val="auto"/>
          <w:spacing w:val="-60"/>
          <w:sz w:val="20"/>
          <w:szCs w:val="20"/>
          <w:highlight w:val="none"/>
        </w:rPr>
        <w:t xml:space="preserve"> </w:t>
      </w:r>
      <w:r>
        <w:rPr>
          <w:rFonts w:ascii="宋体" w:hAnsi="宋体" w:eastAsia="宋体" w:cs="宋体"/>
          <w:color w:val="auto"/>
          <w:spacing w:val="8"/>
          <w:sz w:val="20"/>
          <w:szCs w:val="20"/>
          <w:highlight w:val="none"/>
        </w:rPr>
        <w:t>” 商务技术文件中 “必须提供</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”或者“委</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托时必须提供</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”的文件资料；响应文件提供的商务技术文件出现任一项不符合“供应商</w:t>
      </w:r>
      <w:r>
        <w:rPr>
          <w:rFonts w:ascii="宋体" w:hAnsi="宋体" w:eastAsia="宋体" w:cs="宋体"/>
          <w:color w:val="auto"/>
          <w:spacing w:val="6"/>
          <w:sz w:val="20"/>
          <w:szCs w:val="20"/>
          <w:highlight w:val="none"/>
        </w:rPr>
        <w:t>须知前附</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”商务技术文件中 “必须提供</w:t>
      </w:r>
      <w:r>
        <w:rPr>
          <w:rFonts w:ascii="宋体" w:hAnsi="宋体" w:eastAsia="宋体" w:cs="宋体"/>
          <w:color w:val="auto"/>
          <w:spacing w:val="-72"/>
          <w:sz w:val="20"/>
          <w:szCs w:val="20"/>
          <w:highlight w:val="none"/>
        </w:rPr>
        <w:t xml:space="preserve"> </w:t>
      </w:r>
      <w:r>
        <w:rPr>
          <w:rFonts w:ascii="宋体" w:hAnsi="宋体" w:eastAsia="宋体" w:cs="宋体"/>
          <w:color w:val="auto"/>
          <w:spacing w:val="8"/>
          <w:sz w:val="20"/>
          <w:szCs w:val="20"/>
          <w:highlight w:val="none"/>
        </w:rPr>
        <w:t>”或者“委托时必须提供</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”文件资料要求的规定或者</w:t>
      </w:r>
      <w:r>
        <w:rPr>
          <w:rFonts w:ascii="宋体" w:hAnsi="宋体" w:eastAsia="宋体" w:cs="宋体"/>
          <w:color w:val="auto"/>
          <w:spacing w:val="7"/>
          <w:sz w:val="20"/>
          <w:szCs w:val="20"/>
          <w:highlight w:val="none"/>
        </w:rPr>
        <w:t>提供的商</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务技术文件无效。</w:t>
      </w:r>
    </w:p>
    <w:p w14:paraId="7371C1BC">
      <w:pPr>
        <w:spacing w:before="161" w:line="302" w:lineRule="auto"/>
        <w:ind w:left="17" w:right="87" w:firstLine="402"/>
        <w:rPr>
          <w:rFonts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lang w:eastAsia="zh-CN"/>
        </w:rPr>
        <w:t>（</w:t>
      </w:r>
      <w:r>
        <w:rPr>
          <w:rFonts w:ascii="宋体" w:hAnsi="宋体" w:eastAsia="宋体" w:cs="宋体"/>
          <w:color w:val="auto"/>
          <w:spacing w:val="9"/>
          <w:sz w:val="20"/>
          <w:szCs w:val="20"/>
          <w:highlight w:val="none"/>
        </w:rPr>
        <w:t>4）商务条款中标“▲</w:t>
      </w:r>
      <w:r>
        <w:rPr>
          <w:rFonts w:ascii="宋体" w:hAnsi="宋体" w:eastAsia="宋体" w:cs="宋体"/>
          <w:color w:val="auto"/>
          <w:spacing w:val="-60"/>
          <w:sz w:val="20"/>
          <w:szCs w:val="20"/>
          <w:highlight w:val="none"/>
        </w:rPr>
        <w:t xml:space="preserve"> </w:t>
      </w:r>
      <w:r>
        <w:rPr>
          <w:rFonts w:ascii="宋体" w:hAnsi="宋体" w:eastAsia="宋体" w:cs="宋体"/>
          <w:color w:val="auto"/>
          <w:spacing w:val="9"/>
          <w:sz w:val="20"/>
          <w:szCs w:val="20"/>
          <w:highlight w:val="none"/>
        </w:rPr>
        <w:t>”的条款发生负偏离的或者允许负偏离的条款数超过“供应商须知前</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附表</w:t>
      </w:r>
      <w:r>
        <w:rPr>
          <w:rFonts w:ascii="宋体" w:hAnsi="宋体" w:eastAsia="宋体" w:cs="宋体"/>
          <w:color w:val="auto"/>
          <w:spacing w:val="-65"/>
          <w:sz w:val="20"/>
          <w:szCs w:val="20"/>
          <w:highlight w:val="none"/>
        </w:rPr>
        <w:t xml:space="preserve"> </w:t>
      </w:r>
      <w:r>
        <w:rPr>
          <w:rFonts w:ascii="宋体" w:hAnsi="宋体" w:eastAsia="宋体" w:cs="宋体"/>
          <w:color w:val="auto"/>
          <w:spacing w:val="7"/>
          <w:sz w:val="20"/>
          <w:szCs w:val="20"/>
          <w:highlight w:val="none"/>
        </w:rPr>
        <w:t>”规定项数的或者标明实质性的要求发生负偏离；</w:t>
      </w:r>
    </w:p>
    <w:p w14:paraId="4F007278">
      <w:pPr>
        <w:spacing w:before="162" w:line="228" w:lineRule="auto"/>
        <w:ind w:left="425"/>
        <w:rPr>
          <w:rFonts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lang w:eastAsia="zh-CN"/>
        </w:rPr>
        <w:t>（</w:t>
      </w:r>
      <w:r>
        <w:rPr>
          <w:rFonts w:ascii="宋体" w:hAnsi="宋体" w:eastAsia="宋体" w:cs="宋体"/>
          <w:color w:val="auto"/>
          <w:spacing w:val="9"/>
          <w:sz w:val="20"/>
          <w:szCs w:val="20"/>
          <w:highlight w:val="none"/>
        </w:rPr>
        <w:t>5）未对竞标有效期作出响应或者响应文件承诺的竞标有效期不满足磋商文件要求；</w:t>
      </w:r>
    </w:p>
    <w:p w14:paraId="2876E319">
      <w:pPr>
        <w:spacing w:before="161" w:line="228" w:lineRule="auto"/>
        <w:ind w:left="422"/>
        <w:rPr>
          <w:rFonts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lang w:eastAsia="zh-CN"/>
        </w:rPr>
        <w:t>（</w:t>
      </w:r>
      <w:r>
        <w:rPr>
          <w:rFonts w:ascii="宋体" w:hAnsi="宋体" w:eastAsia="宋体" w:cs="宋体"/>
          <w:color w:val="auto"/>
          <w:spacing w:val="9"/>
          <w:sz w:val="20"/>
          <w:szCs w:val="20"/>
          <w:highlight w:val="none"/>
        </w:rPr>
        <w:t>6）响应文件的实质性内容未使用中文表述、使用计量单位不符合磋商文件要求；</w:t>
      </w:r>
    </w:p>
    <w:p w14:paraId="178DFB36">
      <w:pPr>
        <w:spacing w:before="162" w:line="303" w:lineRule="auto"/>
        <w:ind w:right="87" w:firstLine="425"/>
        <w:rPr>
          <w:rFonts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lang w:eastAsia="zh-CN"/>
        </w:rPr>
        <w:t>（</w:t>
      </w:r>
      <w:r>
        <w:rPr>
          <w:rFonts w:ascii="宋体" w:hAnsi="宋体" w:eastAsia="宋体" w:cs="宋体"/>
          <w:color w:val="auto"/>
          <w:spacing w:val="10"/>
          <w:sz w:val="20"/>
          <w:szCs w:val="20"/>
          <w:highlight w:val="none"/>
        </w:rPr>
        <w:t>7）响应文件中的文件资料因填写不齐全或者内容虚假或者出现其他情形而导</w:t>
      </w:r>
      <w:r>
        <w:rPr>
          <w:rFonts w:ascii="宋体" w:hAnsi="宋体" w:eastAsia="宋体" w:cs="宋体"/>
          <w:color w:val="auto"/>
          <w:spacing w:val="9"/>
          <w:sz w:val="20"/>
          <w:szCs w:val="20"/>
          <w:highlight w:val="none"/>
        </w:rPr>
        <w:t>致被磋商小组</w:t>
      </w:r>
      <w:r>
        <w:rPr>
          <w:rFonts w:ascii="宋体" w:hAnsi="宋体" w:eastAsia="宋体" w:cs="宋体"/>
          <w:color w:val="auto"/>
          <w:sz w:val="20"/>
          <w:szCs w:val="20"/>
          <w:highlight w:val="none"/>
        </w:rPr>
        <w:t xml:space="preserve"> </w:t>
      </w:r>
      <w:r>
        <w:rPr>
          <w:rFonts w:ascii="宋体" w:hAnsi="宋体" w:eastAsia="宋体" w:cs="宋体"/>
          <w:color w:val="auto"/>
          <w:spacing w:val="5"/>
          <w:sz w:val="20"/>
          <w:szCs w:val="20"/>
          <w:highlight w:val="none"/>
        </w:rPr>
        <w:t>认定无效；</w:t>
      </w:r>
    </w:p>
    <w:p w14:paraId="78E64274">
      <w:pPr>
        <w:spacing w:before="160" w:line="228" w:lineRule="auto"/>
        <w:ind w:left="421"/>
        <w:rPr>
          <w:rFonts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lang w:eastAsia="zh-CN"/>
        </w:rPr>
        <w:t>（</w:t>
      </w:r>
      <w:r>
        <w:rPr>
          <w:rFonts w:ascii="宋体" w:hAnsi="宋体" w:eastAsia="宋体" w:cs="宋体"/>
          <w:color w:val="auto"/>
          <w:spacing w:val="8"/>
          <w:sz w:val="20"/>
          <w:szCs w:val="20"/>
          <w:highlight w:val="none"/>
        </w:rPr>
        <w:t>8）响应文件含有采购人不能接受的附加条件；</w:t>
      </w:r>
    </w:p>
    <w:p w14:paraId="788B9BE6">
      <w:pPr>
        <w:spacing w:before="161" w:line="228" w:lineRule="auto"/>
        <w:ind w:left="421"/>
        <w:rPr>
          <w:rFonts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lang w:eastAsia="zh-CN"/>
        </w:rPr>
        <w:t>（</w:t>
      </w:r>
      <w:r>
        <w:rPr>
          <w:rFonts w:ascii="宋体" w:hAnsi="宋体" w:eastAsia="宋体" w:cs="宋体"/>
          <w:color w:val="auto"/>
          <w:spacing w:val="5"/>
          <w:sz w:val="20"/>
          <w:szCs w:val="20"/>
          <w:highlight w:val="none"/>
        </w:rPr>
        <w:t>9）属于“供应商须知正文</w:t>
      </w:r>
      <w:r>
        <w:rPr>
          <w:rFonts w:ascii="宋体" w:hAnsi="宋体" w:eastAsia="宋体" w:cs="宋体"/>
          <w:color w:val="auto"/>
          <w:spacing w:val="-59"/>
          <w:sz w:val="20"/>
          <w:szCs w:val="20"/>
          <w:highlight w:val="none"/>
        </w:rPr>
        <w:t xml:space="preserve"> </w:t>
      </w:r>
      <w:r>
        <w:rPr>
          <w:rFonts w:ascii="宋体" w:hAnsi="宋体" w:eastAsia="宋体" w:cs="宋体"/>
          <w:color w:val="auto"/>
          <w:spacing w:val="5"/>
          <w:sz w:val="20"/>
          <w:szCs w:val="20"/>
          <w:highlight w:val="none"/>
        </w:rPr>
        <w:t>”第</w:t>
      </w:r>
      <w:r>
        <w:rPr>
          <w:rFonts w:ascii="宋体" w:hAnsi="宋体" w:eastAsia="宋体" w:cs="宋体"/>
          <w:color w:val="auto"/>
          <w:spacing w:val="-34"/>
          <w:sz w:val="20"/>
          <w:szCs w:val="20"/>
          <w:highlight w:val="none"/>
        </w:rPr>
        <w:t xml:space="preserve"> </w:t>
      </w:r>
      <w:r>
        <w:rPr>
          <w:rFonts w:ascii="宋体" w:hAnsi="宋体" w:eastAsia="宋体" w:cs="宋体"/>
          <w:color w:val="auto"/>
          <w:spacing w:val="5"/>
          <w:sz w:val="20"/>
          <w:szCs w:val="20"/>
          <w:highlight w:val="none"/>
        </w:rPr>
        <w:t>7.5</w:t>
      </w:r>
      <w:r>
        <w:rPr>
          <w:rFonts w:ascii="宋体" w:hAnsi="宋体" w:eastAsia="宋体" w:cs="宋体"/>
          <w:color w:val="auto"/>
          <w:spacing w:val="-39"/>
          <w:sz w:val="20"/>
          <w:szCs w:val="20"/>
          <w:highlight w:val="none"/>
        </w:rPr>
        <w:t xml:space="preserve"> </w:t>
      </w:r>
      <w:r>
        <w:rPr>
          <w:rFonts w:ascii="宋体" w:hAnsi="宋体" w:eastAsia="宋体" w:cs="宋体"/>
          <w:color w:val="auto"/>
          <w:spacing w:val="5"/>
          <w:sz w:val="20"/>
          <w:szCs w:val="20"/>
          <w:highlight w:val="none"/>
        </w:rPr>
        <w:t>条情形；</w:t>
      </w:r>
    </w:p>
    <w:p w14:paraId="3ADAD54C">
      <w:pPr>
        <w:spacing w:before="163" w:line="228" w:lineRule="auto"/>
        <w:ind w:left="436"/>
        <w:rPr>
          <w:rFonts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lang w:eastAsia="zh-CN"/>
        </w:rPr>
        <w:t>（</w:t>
      </w:r>
      <w:r>
        <w:rPr>
          <w:rFonts w:ascii="宋体" w:hAnsi="宋体" w:eastAsia="宋体" w:cs="宋体"/>
          <w:color w:val="auto"/>
          <w:spacing w:val="8"/>
          <w:sz w:val="20"/>
          <w:szCs w:val="20"/>
          <w:highlight w:val="none"/>
        </w:rPr>
        <w:t>10）技术需求允许负偏离的条款数超过“供应商须</w:t>
      </w:r>
      <w:r>
        <w:rPr>
          <w:rFonts w:ascii="宋体" w:hAnsi="宋体" w:eastAsia="宋体" w:cs="宋体"/>
          <w:color w:val="auto"/>
          <w:spacing w:val="7"/>
          <w:sz w:val="20"/>
          <w:szCs w:val="20"/>
          <w:highlight w:val="none"/>
        </w:rPr>
        <w:t>知前附表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”规定项数；</w:t>
      </w:r>
    </w:p>
    <w:p w14:paraId="0267A97E">
      <w:pPr>
        <w:spacing w:before="161" w:line="228" w:lineRule="auto"/>
        <w:ind w:left="436"/>
        <w:rPr>
          <w:rFonts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lang w:eastAsia="zh-CN"/>
        </w:rPr>
        <w:t>（</w:t>
      </w:r>
      <w:r>
        <w:rPr>
          <w:rFonts w:ascii="宋体" w:hAnsi="宋体" w:eastAsia="宋体" w:cs="宋体"/>
          <w:color w:val="auto"/>
          <w:spacing w:val="8"/>
          <w:sz w:val="20"/>
          <w:szCs w:val="20"/>
          <w:highlight w:val="none"/>
        </w:rPr>
        <w:t>11）虚假竞标，或者出现其他情形而导致被磋商小组认定无效；</w:t>
      </w:r>
    </w:p>
    <w:p w14:paraId="5557AC17">
      <w:pPr>
        <w:spacing w:before="162" w:line="228" w:lineRule="auto"/>
        <w:jc w:val="right"/>
        <w:rPr>
          <w:rFonts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lang w:eastAsia="zh-CN"/>
        </w:rPr>
        <w:t>（</w:t>
      </w:r>
      <w:r>
        <w:rPr>
          <w:rFonts w:ascii="宋体" w:hAnsi="宋体" w:eastAsia="宋体" w:cs="宋体"/>
          <w:color w:val="auto"/>
          <w:spacing w:val="4"/>
          <w:sz w:val="20"/>
          <w:szCs w:val="20"/>
          <w:highlight w:val="none"/>
        </w:rPr>
        <w:t>12）竞标技术方案不明确，磋商文件未允许但响应文件中存在一个或者一个以上备选（替代）</w:t>
      </w:r>
    </w:p>
    <w:p w14:paraId="7B1D82FF">
      <w:pPr>
        <w:spacing w:line="228" w:lineRule="auto"/>
        <w:rPr>
          <w:rFonts w:ascii="宋体" w:hAnsi="宋体" w:eastAsia="宋体" w:cs="宋体"/>
          <w:color w:val="auto"/>
          <w:sz w:val="20"/>
          <w:szCs w:val="20"/>
          <w:highlight w:val="none"/>
        </w:rPr>
        <w:sectPr>
          <w:footerReference r:id="rId34" w:type="default"/>
          <w:pgSz w:w="11905" w:h="16839"/>
          <w:pgMar w:top="400" w:right="1502" w:bottom="1079" w:left="1593" w:header="0" w:footer="843" w:gutter="0"/>
          <w:pgNumType w:fmt="decimal"/>
          <w:cols w:space="720" w:num="1"/>
        </w:sectPr>
      </w:pPr>
    </w:p>
    <w:p w14:paraId="661691C8">
      <w:pPr>
        <w:pStyle w:val="6"/>
        <w:spacing w:line="348" w:lineRule="auto"/>
        <w:rPr>
          <w:color w:val="auto"/>
          <w:highlight w:val="none"/>
        </w:rPr>
      </w:pPr>
    </w:p>
    <w:p w14:paraId="5C24927A">
      <w:pPr>
        <w:pStyle w:val="6"/>
        <w:spacing w:line="348" w:lineRule="auto"/>
        <w:rPr>
          <w:color w:val="auto"/>
          <w:highlight w:val="none"/>
        </w:rPr>
      </w:pPr>
    </w:p>
    <w:p w14:paraId="70CDD0D4">
      <w:pPr>
        <w:spacing w:before="65" w:line="229" w:lineRule="auto"/>
        <w:ind w:left="4"/>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竞标方案；</w:t>
      </w:r>
    </w:p>
    <w:p w14:paraId="310A7470">
      <w:pPr>
        <w:spacing w:before="159" w:line="303" w:lineRule="auto"/>
        <w:ind w:left="5" w:right="71" w:firstLine="432"/>
        <w:rPr>
          <w:rFonts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lang w:eastAsia="zh-CN"/>
        </w:rPr>
        <w:t>（</w:t>
      </w:r>
      <w:r>
        <w:rPr>
          <w:rFonts w:ascii="宋体" w:hAnsi="宋体" w:eastAsia="宋体" w:cs="宋体"/>
          <w:color w:val="auto"/>
          <w:spacing w:val="7"/>
          <w:sz w:val="20"/>
          <w:szCs w:val="20"/>
          <w:highlight w:val="none"/>
        </w:rPr>
        <w:t>13）响应文件标注的项目名称或者项目编号与竞争性磋商文件标注的项目名称或者项</w:t>
      </w:r>
      <w:r>
        <w:rPr>
          <w:rFonts w:ascii="宋体" w:hAnsi="宋体" w:eastAsia="宋体" w:cs="宋体"/>
          <w:color w:val="auto"/>
          <w:spacing w:val="6"/>
          <w:sz w:val="20"/>
          <w:szCs w:val="20"/>
          <w:highlight w:val="none"/>
        </w:rPr>
        <w:t>目编号</w:t>
      </w:r>
      <w:r>
        <w:rPr>
          <w:rFonts w:ascii="宋体" w:hAnsi="宋体" w:eastAsia="宋体" w:cs="宋体"/>
          <w:color w:val="auto"/>
          <w:sz w:val="20"/>
          <w:szCs w:val="20"/>
          <w:highlight w:val="none"/>
        </w:rPr>
        <w:t xml:space="preserve"> </w:t>
      </w:r>
      <w:r>
        <w:rPr>
          <w:rFonts w:ascii="宋体" w:hAnsi="宋体" w:eastAsia="宋体" w:cs="宋体"/>
          <w:color w:val="auto"/>
          <w:spacing w:val="5"/>
          <w:sz w:val="20"/>
          <w:szCs w:val="20"/>
          <w:highlight w:val="none"/>
        </w:rPr>
        <w:t>不一致的；</w:t>
      </w:r>
    </w:p>
    <w:p w14:paraId="7490E2FB">
      <w:pPr>
        <w:spacing w:before="160" w:line="228" w:lineRule="auto"/>
        <w:ind w:left="437"/>
        <w:rPr>
          <w:rFonts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lang w:eastAsia="zh-CN"/>
        </w:rPr>
        <w:t>（</w:t>
      </w:r>
      <w:r>
        <w:rPr>
          <w:rFonts w:ascii="宋体" w:hAnsi="宋体" w:eastAsia="宋体" w:cs="宋体"/>
          <w:color w:val="auto"/>
          <w:spacing w:val="7"/>
          <w:sz w:val="20"/>
          <w:szCs w:val="20"/>
          <w:highlight w:val="none"/>
        </w:rPr>
        <w:t>14）未响应磋商文件实质性要求；</w:t>
      </w:r>
    </w:p>
    <w:p w14:paraId="1EEF7AE5">
      <w:pPr>
        <w:spacing w:before="163" w:line="228" w:lineRule="auto"/>
        <w:ind w:left="437"/>
        <w:rPr>
          <w:rFonts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lang w:eastAsia="zh-CN"/>
        </w:rPr>
        <w:t>（</w:t>
      </w:r>
      <w:r>
        <w:rPr>
          <w:rFonts w:ascii="宋体" w:hAnsi="宋体" w:eastAsia="宋体" w:cs="宋体"/>
          <w:color w:val="auto"/>
          <w:spacing w:val="8"/>
          <w:sz w:val="20"/>
          <w:szCs w:val="20"/>
          <w:highlight w:val="none"/>
        </w:rPr>
        <w:t>15）法律、法规和磋商文件规定的其他无效情形。</w:t>
      </w:r>
    </w:p>
    <w:p w14:paraId="36654558">
      <w:pPr>
        <w:spacing w:before="160" w:line="227" w:lineRule="auto"/>
        <w:ind w:left="431"/>
        <w:rPr>
          <w:rFonts w:ascii="宋体" w:hAnsi="宋体" w:eastAsia="宋体" w:cs="宋体"/>
          <w:color w:val="auto"/>
          <w:sz w:val="20"/>
          <w:szCs w:val="20"/>
          <w:highlight w:val="none"/>
        </w:rPr>
      </w:pPr>
      <w:r>
        <w:rPr>
          <w:rFonts w:hint="eastAsia" w:ascii="宋体" w:hAnsi="宋体" w:eastAsia="宋体" w:cs="宋体"/>
          <w:color w:val="auto"/>
          <w:spacing w:val="6"/>
          <w:sz w:val="20"/>
          <w:szCs w:val="20"/>
          <w:highlight w:val="none"/>
          <w:lang w:val="en-US" w:eastAsia="zh-CN"/>
        </w:rPr>
        <w:t>3.5.</w:t>
      </w:r>
      <w:r>
        <w:rPr>
          <w:rFonts w:ascii="宋体" w:hAnsi="宋体" w:eastAsia="宋体" w:cs="宋体"/>
          <w:color w:val="auto"/>
          <w:spacing w:val="6"/>
          <w:sz w:val="20"/>
          <w:szCs w:val="20"/>
          <w:highlight w:val="none"/>
        </w:rPr>
        <w:t>2报价评审</w:t>
      </w:r>
    </w:p>
    <w:p w14:paraId="36918D26">
      <w:pPr>
        <w:spacing w:before="161" w:line="303" w:lineRule="auto"/>
        <w:ind w:left="1" w:right="70" w:firstLine="435"/>
        <w:rPr>
          <w:rFonts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lang w:eastAsia="zh-CN"/>
        </w:rPr>
        <w:t>（</w:t>
      </w:r>
      <w:r>
        <w:rPr>
          <w:rFonts w:ascii="宋体" w:hAnsi="宋体" w:eastAsia="宋体" w:cs="宋体"/>
          <w:color w:val="auto"/>
          <w:spacing w:val="7"/>
          <w:sz w:val="20"/>
          <w:szCs w:val="20"/>
          <w:highlight w:val="none"/>
        </w:rPr>
        <w:t>1) 响应文件未提供“供应商须知前附表</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w:t>
      </w:r>
      <w:r>
        <w:rPr>
          <w:rFonts w:ascii="宋体" w:hAnsi="宋体" w:eastAsia="宋体" w:cs="宋体"/>
          <w:color w:val="auto"/>
          <w:spacing w:val="-28"/>
          <w:sz w:val="20"/>
          <w:szCs w:val="20"/>
          <w:highlight w:val="none"/>
        </w:rPr>
        <w:t xml:space="preserve"> </w:t>
      </w:r>
      <w:r>
        <w:rPr>
          <w:rFonts w:ascii="宋体" w:hAnsi="宋体" w:eastAsia="宋体" w:cs="宋体"/>
          <w:color w:val="auto"/>
          <w:spacing w:val="7"/>
          <w:sz w:val="20"/>
          <w:szCs w:val="20"/>
          <w:highlight w:val="none"/>
        </w:rPr>
        <w:t>报价文件中规定的“响应报价表、已</w:t>
      </w:r>
      <w:r>
        <w:rPr>
          <w:rFonts w:ascii="宋体" w:hAnsi="宋体" w:eastAsia="宋体" w:cs="宋体"/>
          <w:color w:val="auto"/>
          <w:spacing w:val="6"/>
          <w:sz w:val="20"/>
          <w:szCs w:val="20"/>
          <w:highlight w:val="none"/>
        </w:rPr>
        <w:t>标价工程量</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清单</w:t>
      </w:r>
      <w:r>
        <w:rPr>
          <w:rFonts w:ascii="宋体" w:hAnsi="宋体" w:eastAsia="宋体" w:cs="宋体"/>
          <w:color w:val="auto"/>
          <w:spacing w:val="-68"/>
          <w:sz w:val="20"/>
          <w:szCs w:val="20"/>
          <w:highlight w:val="none"/>
        </w:rPr>
        <w:t xml:space="preserve"> </w:t>
      </w:r>
      <w:r>
        <w:rPr>
          <w:rFonts w:ascii="宋体" w:hAnsi="宋体" w:eastAsia="宋体" w:cs="宋体"/>
          <w:color w:val="auto"/>
          <w:spacing w:val="4"/>
          <w:sz w:val="20"/>
          <w:szCs w:val="20"/>
          <w:highlight w:val="none"/>
        </w:rPr>
        <w:t>”；</w:t>
      </w:r>
    </w:p>
    <w:p w14:paraId="498685E6">
      <w:pPr>
        <w:spacing w:before="164" w:line="327" w:lineRule="auto"/>
        <w:ind w:left="1" w:right="70" w:firstLine="422"/>
        <w:rPr>
          <w:rFonts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lang w:eastAsia="zh-CN"/>
        </w:rPr>
        <w:t>（</w:t>
      </w:r>
      <w:r>
        <w:rPr>
          <w:rFonts w:ascii="宋体" w:hAnsi="宋体" w:eastAsia="宋体" w:cs="宋体"/>
          <w:b/>
          <w:bCs/>
          <w:color w:val="auto"/>
          <w:spacing w:val="8"/>
          <w:sz w:val="20"/>
          <w:szCs w:val="20"/>
          <w:highlight w:val="none"/>
        </w:rPr>
        <w:t>2）未采用人民币报价或者未按照谈判文件标明的币种报价；供应商已标价</w:t>
      </w:r>
      <w:r>
        <w:rPr>
          <w:rFonts w:ascii="宋体" w:hAnsi="宋体" w:eastAsia="宋体" w:cs="宋体"/>
          <w:b/>
          <w:bCs/>
          <w:color w:val="auto"/>
          <w:spacing w:val="7"/>
          <w:sz w:val="20"/>
          <w:szCs w:val="20"/>
          <w:highlight w:val="none"/>
        </w:rPr>
        <w:t>工程量清单（包</w:t>
      </w:r>
      <w:r>
        <w:rPr>
          <w:rFonts w:ascii="宋体" w:hAnsi="宋体" w:eastAsia="宋体" w:cs="宋体"/>
          <w:color w:val="auto"/>
          <w:sz w:val="20"/>
          <w:szCs w:val="20"/>
          <w:highlight w:val="none"/>
        </w:rPr>
        <w:t xml:space="preserve"> </w:t>
      </w:r>
      <w:r>
        <w:rPr>
          <w:rFonts w:ascii="宋体" w:hAnsi="宋体" w:eastAsia="宋体" w:cs="宋体"/>
          <w:b/>
          <w:bCs/>
          <w:color w:val="auto"/>
          <w:spacing w:val="10"/>
          <w:sz w:val="20"/>
          <w:szCs w:val="20"/>
          <w:highlight w:val="none"/>
        </w:rPr>
        <w:t>含首次报价、最后报价）</w:t>
      </w:r>
      <w:r>
        <w:rPr>
          <w:rFonts w:ascii="宋体" w:hAnsi="宋体" w:eastAsia="宋体" w:cs="宋体"/>
          <w:color w:val="auto"/>
          <w:spacing w:val="-59"/>
          <w:sz w:val="20"/>
          <w:szCs w:val="20"/>
          <w:highlight w:val="none"/>
        </w:rPr>
        <w:t xml:space="preserve"> </w:t>
      </w:r>
      <w:r>
        <w:rPr>
          <w:rFonts w:ascii="宋体" w:hAnsi="宋体" w:eastAsia="宋体" w:cs="宋体"/>
          <w:b/>
          <w:bCs/>
          <w:color w:val="auto"/>
          <w:spacing w:val="10"/>
          <w:sz w:val="20"/>
          <w:szCs w:val="20"/>
          <w:highlight w:val="none"/>
        </w:rPr>
        <w:t>的项目编码、项目名称及项</w:t>
      </w:r>
      <w:r>
        <w:rPr>
          <w:rFonts w:ascii="宋体" w:hAnsi="宋体" w:eastAsia="宋体" w:cs="宋体"/>
          <w:b/>
          <w:bCs/>
          <w:color w:val="auto"/>
          <w:spacing w:val="9"/>
          <w:sz w:val="20"/>
          <w:szCs w:val="20"/>
          <w:highlight w:val="none"/>
        </w:rPr>
        <w:t>目特征描述、计量单位、工程量任何一处</w:t>
      </w:r>
      <w:r>
        <w:rPr>
          <w:rFonts w:ascii="宋体" w:hAnsi="宋体" w:eastAsia="宋体" w:cs="宋体"/>
          <w:color w:val="auto"/>
          <w:sz w:val="20"/>
          <w:szCs w:val="20"/>
          <w:highlight w:val="none"/>
        </w:rPr>
        <w:t xml:space="preserve"> </w:t>
      </w:r>
      <w:r>
        <w:rPr>
          <w:rFonts w:ascii="宋体" w:hAnsi="宋体" w:eastAsia="宋体" w:cs="宋体"/>
          <w:b/>
          <w:bCs/>
          <w:color w:val="auto"/>
          <w:spacing w:val="7"/>
          <w:sz w:val="20"/>
          <w:szCs w:val="20"/>
          <w:highlight w:val="none"/>
        </w:rPr>
        <w:t>与招标工程量清单不一致的；</w:t>
      </w:r>
    </w:p>
    <w:p w14:paraId="26758880">
      <w:pPr>
        <w:spacing w:before="160" w:line="340" w:lineRule="auto"/>
        <w:ind w:right="70" w:firstLine="425"/>
        <w:rPr>
          <w:rFonts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lang w:eastAsia="zh-CN"/>
        </w:rPr>
        <w:t>（</w:t>
      </w:r>
      <w:r>
        <w:rPr>
          <w:rFonts w:ascii="宋体" w:hAnsi="宋体" w:eastAsia="宋体" w:cs="宋体"/>
          <w:b/>
          <w:bCs/>
          <w:color w:val="auto"/>
          <w:spacing w:val="8"/>
          <w:sz w:val="20"/>
          <w:szCs w:val="20"/>
          <w:highlight w:val="none"/>
        </w:rPr>
        <w:t>3）供应商在进行工程量清单报价（包含首次报价、最后报价）时，应</w:t>
      </w:r>
      <w:r>
        <w:rPr>
          <w:rFonts w:ascii="宋体" w:hAnsi="宋体" w:eastAsia="宋体" w:cs="宋体"/>
          <w:b/>
          <w:bCs/>
          <w:color w:val="auto"/>
          <w:spacing w:val="7"/>
          <w:sz w:val="20"/>
          <w:szCs w:val="20"/>
          <w:highlight w:val="none"/>
        </w:rPr>
        <w:t>按照采购人提供的工</w:t>
      </w:r>
      <w:r>
        <w:rPr>
          <w:rFonts w:ascii="宋体" w:hAnsi="宋体" w:eastAsia="宋体" w:cs="宋体"/>
          <w:color w:val="auto"/>
          <w:sz w:val="20"/>
          <w:szCs w:val="20"/>
          <w:highlight w:val="none"/>
        </w:rPr>
        <w:t xml:space="preserve"> </w:t>
      </w:r>
      <w:r>
        <w:rPr>
          <w:rFonts w:ascii="宋体" w:hAnsi="宋体" w:eastAsia="宋体" w:cs="宋体"/>
          <w:b/>
          <w:bCs/>
          <w:color w:val="auto"/>
          <w:spacing w:val="11"/>
          <w:sz w:val="20"/>
          <w:szCs w:val="20"/>
          <w:highlight w:val="none"/>
        </w:rPr>
        <w:t>程量清单进行报价。供应商对自己所填写的项目编码、</w:t>
      </w:r>
      <w:r>
        <w:rPr>
          <w:rFonts w:ascii="宋体" w:hAnsi="宋体" w:eastAsia="宋体" w:cs="宋体"/>
          <w:b/>
          <w:bCs/>
          <w:color w:val="auto"/>
          <w:spacing w:val="10"/>
          <w:sz w:val="20"/>
          <w:szCs w:val="20"/>
          <w:highlight w:val="none"/>
        </w:rPr>
        <w:t>项目名称及项目特征描述、计量单位、</w:t>
      </w:r>
      <w:r>
        <w:rPr>
          <w:rFonts w:ascii="宋体" w:hAnsi="宋体" w:eastAsia="宋体" w:cs="宋体"/>
          <w:color w:val="auto"/>
          <w:sz w:val="20"/>
          <w:szCs w:val="20"/>
          <w:highlight w:val="none"/>
        </w:rPr>
        <w:t xml:space="preserve"> </w:t>
      </w:r>
      <w:r>
        <w:rPr>
          <w:rFonts w:ascii="宋体" w:hAnsi="宋体" w:eastAsia="宋体" w:cs="宋体"/>
          <w:b/>
          <w:bCs/>
          <w:color w:val="auto"/>
          <w:spacing w:val="11"/>
          <w:sz w:val="20"/>
          <w:szCs w:val="20"/>
          <w:highlight w:val="none"/>
        </w:rPr>
        <w:t>工程量负责。如项目编码、项目名称及项目特征描述、</w:t>
      </w:r>
      <w:r>
        <w:rPr>
          <w:rFonts w:ascii="宋体" w:hAnsi="宋体" w:eastAsia="宋体" w:cs="宋体"/>
          <w:b/>
          <w:bCs/>
          <w:color w:val="auto"/>
          <w:spacing w:val="10"/>
          <w:sz w:val="20"/>
          <w:szCs w:val="20"/>
          <w:highlight w:val="none"/>
        </w:rPr>
        <w:t>计量单位、工程量任何一处与招标工程</w:t>
      </w:r>
      <w:r>
        <w:rPr>
          <w:rFonts w:ascii="宋体" w:hAnsi="宋体" w:eastAsia="宋体" w:cs="宋体"/>
          <w:color w:val="auto"/>
          <w:sz w:val="20"/>
          <w:szCs w:val="20"/>
          <w:highlight w:val="none"/>
        </w:rPr>
        <w:t xml:space="preserve"> </w:t>
      </w:r>
      <w:r>
        <w:rPr>
          <w:rFonts w:ascii="宋体" w:hAnsi="宋体" w:eastAsia="宋体" w:cs="宋体"/>
          <w:b/>
          <w:bCs/>
          <w:color w:val="auto"/>
          <w:spacing w:val="8"/>
          <w:sz w:val="20"/>
          <w:szCs w:val="20"/>
          <w:highlight w:val="none"/>
        </w:rPr>
        <w:t>量清单不一致的，视为不响应竞争性磋商文件实质性内容，将作无效标处理；</w:t>
      </w:r>
    </w:p>
    <w:p w14:paraId="7AB0844B">
      <w:pPr>
        <w:spacing w:before="160" w:line="302" w:lineRule="auto"/>
        <w:ind w:left="3" w:right="71" w:firstLine="417"/>
        <w:rPr>
          <w:rFonts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lang w:eastAsia="zh-CN"/>
        </w:rPr>
        <w:t>（</w:t>
      </w:r>
      <w:r>
        <w:rPr>
          <w:rFonts w:ascii="宋体" w:hAnsi="宋体" w:eastAsia="宋体" w:cs="宋体"/>
          <w:color w:val="auto"/>
          <w:spacing w:val="10"/>
          <w:sz w:val="20"/>
          <w:szCs w:val="20"/>
          <w:highlight w:val="none"/>
        </w:rPr>
        <w:t>4）供应商未就所竞标分标的全部内容作唯一总价报价；供应商响应文件中存在有选择、有</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条件报价的（磋商文件允许有备选方案或者其他约定的除外</w:t>
      </w:r>
      <w:r>
        <w:rPr>
          <w:rFonts w:ascii="宋体" w:hAnsi="宋体" w:eastAsia="宋体" w:cs="宋体"/>
          <w:color w:val="auto"/>
          <w:spacing w:val="6"/>
          <w:sz w:val="20"/>
          <w:szCs w:val="20"/>
          <w:highlight w:val="none"/>
        </w:rPr>
        <w:t>）；</w:t>
      </w:r>
    </w:p>
    <w:p w14:paraId="0DC1DE1F">
      <w:pPr>
        <w:spacing w:before="164" w:line="327" w:lineRule="auto"/>
        <w:ind w:left="2" w:firstLine="423"/>
        <w:rPr>
          <w:rFonts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lang w:eastAsia="zh-CN"/>
        </w:rPr>
        <w:t>（</w:t>
      </w:r>
      <w:r>
        <w:rPr>
          <w:rFonts w:ascii="宋体" w:hAnsi="宋体" w:eastAsia="宋体" w:cs="宋体"/>
          <w:color w:val="auto"/>
          <w:spacing w:val="10"/>
          <w:sz w:val="20"/>
          <w:szCs w:val="20"/>
          <w:highlight w:val="none"/>
        </w:rPr>
        <w:t>5）供应商未就所竞标分标进行报价或者存在漏项报价；供应商未就所竞标分标</w:t>
      </w:r>
      <w:r>
        <w:rPr>
          <w:rFonts w:ascii="宋体" w:hAnsi="宋体" w:eastAsia="宋体" w:cs="宋体"/>
          <w:color w:val="auto"/>
          <w:spacing w:val="9"/>
          <w:sz w:val="20"/>
          <w:szCs w:val="20"/>
          <w:highlight w:val="none"/>
        </w:rPr>
        <w:t>的单项内容</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作唯一报价；供应商未就所竞标分标的全部内容作唯一总价报价；供应商响应文件中存在有选择、</w:t>
      </w:r>
      <w:r>
        <w:rPr>
          <w:rFonts w:ascii="宋体" w:hAnsi="宋体" w:eastAsia="宋体" w:cs="宋体"/>
          <w:color w:val="auto"/>
          <w:spacing w:val="17"/>
          <w:sz w:val="20"/>
          <w:szCs w:val="20"/>
          <w:highlight w:val="none"/>
        </w:rPr>
        <w:t xml:space="preserve"> </w:t>
      </w:r>
      <w:r>
        <w:rPr>
          <w:rFonts w:ascii="宋体" w:hAnsi="宋体" w:eastAsia="宋体" w:cs="宋体"/>
          <w:color w:val="auto"/>
          <w:spacing w:val="9"/>
          <w:sz w:val="20"/>
          <w:szCs w:val="20"/>
          <w:highlight w:val="none"/>
        </w:rPr>
        <w:t>有条件报价的（磋商文件允许有备选方案或者其他约定的除外</w:t>
      </w:r>
      <w:r>
        <w:rPr>
          <w:rFonts w:ascii="宋体" w:hAnsi="宋体" w:eastAsia="宋体" w:cs="宋体"/>
          <w:color w:val="auto"/>
          <w:spacing w:val="7"/>
          <w:sz w:val="20"/>
          <w:szCs w:val="20"/>
          <w:highlight w:val="none"/>
        </w:rPr>
        <w:t>）；</w:t>
      </w:r>
    </w:p>
    <w:p w14:paraId="445A140B">
      <w:pPr>
        <w:spacing w:before="164" w:line="327" w:lineRule="auto"/>
        <w:ind w:right="68" w:firstLine="423"/>
        <w:rPr>
          <w:rFonts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lang w:eastAsia="zh-CN"/>
        </w:rPr>
        <w:t>（</w:t>
      </w:r>
      <w:r>
        <w:rPr>
          <w:rFonts w:ascii="宋体" w:hAnsi="宋体" w:eastAsia="宋体" w:cs="宋体"/>
          <w:color w:val="auto"/>
          <w:spacing w:val="10"/>
          <w:sz w:val="20"/>
          <w:szCs w:val="20"/>
          <w:highlight w:val="none"/>
        </w:rPr>
        <w:t>6）响应报价（包含首次报价、最后报价）超过所竞标分标规定的采购预算金额或者</w:t>
      </w:r>
      <w:r>
        <w:rPr>
          <w:rFonts w:ascii="宋体" w:hAnsi="宋体" w:eastAsia="宋体" w:cs="宋体"/>
          <w:color w:val="auto"/>
          <w:spacing w:val="9"/>
          <w:sz w:val="20"/>
          <w:szCs w:val="20"/>
          <w:highlight w:val="none"/>
        </w:rPr>
        <w:t>最高限</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价的（如本项目公布了最高限价</w:t>
      </w:r>
      <w:r>
        <w:rPr>
          <w:rFonts w:ascii="宋体" w:hAnsi="宋体" w:eastAsia="宋体" w:cs="宋体"/>
          <w:color w:val="auto"/>
          <w:spacing w:val="5"/>
          <w:sz w:val="20"/>
          <w:szCs w:val="20"/>
          <w:highlight w:val="none"/>
        </w:rPr>
        <w:t>）；</w:t>
      </w:r>
      <w:r>
        <w:rPr>
          <w:rFonts w:ascii="宋体" w:hAnsi="宋体" w:eastAsia="宋体" w:cs="宋体"/>
          <w:color w:val="auto"/>
          <w:spacing w:val="8"/>
          <w:sz w:val="20"/>
          <w:szCs w:val="20"/>
          <w:highlight w:val="none"/>
        </w:rPr>
        <w:t>响应报价（包含首次报价、最后报价）超过</w:t>
      </w:r>
      <w:r>
        <w:rPr>
          <w:rFonts w:ascii="宋体" w:hAnsi="宋体" w:eastAsia="宋体" w:cs="宋体"/>
          <w:color w:val="auto"/>
          <w:spacing w:val="7"/>
          <w:sz w:val="20"/>
          <w:szCs w:val="20"/>
          <w:highlight w:val="none"/>
        </w:rPr>
        <w:t>磋商文件分项采</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购预算金额或者最高限价的（如本项目公布了最高限价</w:t>
      </w:r>
      <w:r>
        <w:rPr>
          <w:rFonts w:ascii="宋体" w:hAnsi="宋体" w:eastAsia="宋体" w:cs="宋体"/>
          <w:color w:val="auto"/>
          <w:spacing w:val="7"/>
          <w:sz w:val="20"/>
          <w:szCs w:val="20"/>
          <w:highlight w:val="none"/>
        </w:rPr>
        <w:t>）；</w:t>
      </w:r>
    </w:p>
    <w:p w14:paraId="1744E73D">
      <w:pPr>
        <w:spacing w:before="163" w:line="339" w:lineRule="auto"/>
        <w:ind w:left="3" w:firstLine="423"/>
        <w:rPr>
          <w:rFonts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lang w:eastAsia="zh-CN"/>
        </w:rPr>
        <w:t>（</w:t>
      </w:r>
      <w:r>
        <w:rPr>
          <w:rFonts w:ascii="宋体" w:hAnsi="宋体" w:eastAsia="宋体" w:cs="宋体"/>
          <w:color w:val="auto"/>
          <w:spacing w:val="7"/>
          <w:sz w:val="20"/>
          <w:szCs w:val="20"/>
          <w:highlight w:val="none"/>
        </w:rPr>
        <w:t>7）修正后的报价，供应商不确认的；或者</w:t>
      </w:r>
      <w:r>
        <w:rPr>
          <w:rFonts w:ascii="宋体" w:hAnsi="宋体" w:eastAsia="宋体" w:cs="宋体"/>
          <w:color w:val="auto"/>
          <w:spacing w:val="6"/>
          <w:sz w:val="20"/>
          <w:szCs w:val="20"/>
          <w:highlight w:val="none"/>
        </w:rPr>
        <w:t>经供应商确认修正后的响应报价（包含首次报价、</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最后报价）超过所竞标分标规定的采购预算金额或者最高限价（如本项目公布了最高限价</w:t>
      </w:r>
      <w:r>
        <w:rPr>
          <w:rFonts w:ascii="宋体" w:hAnsi="宋体" w:eastAsia="宋体" w:cs="宋体"/>
          <w:color w:val="auto"/>
          <w:sz w:val="20"/>
          <w:szCs w:val="20"/>
          <w:highlight w:val="none"/>
        </w:rPr>
        <w:t>）；</w:t>
      </w:r>
      <w:r>
        <w:rPr>
          <w:rFonts w:ascii="宋体" w:hAnsi="宋体" w:eastAsia="宋体" w:cs="宋体"/>
          <w:color w:val="auto"/>
          <w:spacing w:val="8"/>
          <w:sz w:val="20"/>
          <w:szCs w:val="20"/>
          <w:highlight w:val="none"/>
        </w:rPr>
        <w:t>或</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者经供应商确认修正后响应报价（包含首次报价、最后报价</w:t>
      </w:r>
      <w:r>
        <w:rPr>
          <w:rFonts w:ascii="宋体" w:hAnsi="宋体" w:eastAsia="宋体" w:cs="宋体"/>
          <w:color w:val="auto"/>
          <w:spacing w:val="7"/>
          <w:sz w:val="20"/>
          <w:szCs w:val="20"/>
          <w:highlight w:val="none"/>
        </w:rPr>
        <w:t>）超过磋商文件分项采购预算金额或</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者最高限价的（如本项目公布了最高限价）。</w:t>
      </w:r>
    </w:p>
    <w:p w14:paraId="7F4E96E5">
      <w:pPr>
        <w:spacing w:before="161" w:line="228" w:lineRule="auto"/>
        <w:ind w:left="422"/>
        <w:rPr>
          <w:rFonts w:ascii="宋体" w:hAnsi="宋体" w:eastAsia="宋体" w:cs="宋体"/>
          <w:color w:val="auto"/>
          <w:spacing w:val="9"/>
          <w:sz w:val="20"/>
          <w:szCs w:val="20"/>
          <w:highlight w:val="none"/>
        </w:rPr>
      </w:pPr>
      <w:r>
        <w:rPr>
          <w:rFonts w:hint="eastAsia" w:ascii="宋体" w:hAnsi="宋体" w:eastAsia="宋体" w:cs="宋体"/>
          <w:color w:val="auto"/>
          <w:spacing w:val="7"/>
          <w:sz w:val="20"/>
          <w:szCs w:val="20"/>
          <w:highlight w:val="none"/>
          <w:lang w:eastAsia="zh-CN"/>
        </w:rPr>
        <w:t>（</w:t>
      </w:r>
      <w:r>
        <w:rPr>
          <w:rFonts w:ascii="宋体" w:hAnsi="宋体" w:eastAsia="宋体" w:cs="宋体"/>
          <w:color w:val="auto"/>
          <w:spacing w:val="9"/>
          <w:sz w:val="20"/>
          <w:szCs w:val="20"/>
          <w:highlight w:val="none"/>
        </w:rPr>
        <w:t>8）响应文件响应的标的数量及单位与竞争性磋商采购文件要求实质性不一致的。</w:t>
      </w:r>
    </w:p>
    <w:p w14:paraId="52816697">
      <w:pPr>
        <w:spacing w:before="164" w:line="327" w:lineRule="auto"/>
        <w:ind w:left="3" w:right="68" w:firstLine="422"/>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3.6</w:t>
      </w:r>
      <w:r>
        <w:rPr>
          <w:rFonts w:ascii="宋体" w:hAnsi="宋体" w:eastAsia="宋体" w:cs="宋体"/>
          <w:color w:val="auto"/>
          <w:spacing w:val="-30"/>
          <w:sz w:val="20"/>
          <w:szCs w:val="20"/>
          <w:highlight w:val="none"/>
        </w:rPr>
        <w:t xml:space="preserve"> </w:t>
      </w:r>
      <w:r>
        <w:rPr>
          <w:rFonts w:ascii="宋体" w:hAnsi="宋体" w:eastAsia="宋体" w:cs="宋体"/>
          <w:color w:val="auto"/>
          <w:spacing w:val="8"/>
          <w:sz w:val="20"/>
          <w:szCs w:val="20"/>
          <w:highlight w:val="none"/>
        </w:rPr>
        <w:t>磋商小组对响应文件进行评审，未实质性响应磋商文件的响应文件按无效处理，磋商小</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组应当将资格和符合性不通过的情况告知有关供应商。</w:t>
      </w:r>
      <w:r>
        <w:rPr>
          <w:rFonts w:ascii="宋体" w:hAnsi="宋体" w:eastAsia="宋体" w:cs="宋体"/>
          <w:color w:val="auto"/>
          <w:spacing w:val="7"/>
          <w:sz w:val="20"/>
          <w:szCs w:val="20"/>
          <w:highlight w:val="none"/>
        </w:rPr>
        <w:t>磋商小组从符合磋商文件规定的相应资格</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条件的供应商名单中确定不少于</w:t>
      </w:r>
      <w:r>
        <w:rPr>
          <w:rFonts w:ascii="宋体" w:hAnsi="宋体" w:eastAsia="宋体" w:cs="宋体"/>
          <w:color w:val="auto"/>
          <w:spacing w:val="-33"/>
          <w:sz w:val="20"/>
          <w:szCs w:val="20"/>
          <w:highlight w:val="none"/>
        </w:rPr>
        <w:t xml:space="preserve"> </w:t>
      </w:r>
      <w:r>
        <w:rPr>
          <w:rFonts w:ascii="宋体" w:hAnsi="宋体" w:eastAsia="宋体" w:cs="宋体"/>
          <w:color w:val="auto"/>
          <w:spacing w:val="8"/>
          <w:sz w:val="20"/>
          <w:szCs w:val="20"/>
          <w:highlight w:val="none"/>
        </w:rPr>
        <w:t>3</w:t>
      </w:r>
      <w:r>
        <w:rPr>
          <w:rFonts w:ascii="宋体" w:hAnsi="宋体" w:eastAsia="宋体" w:cs="宋体"/>
          <w:color w:val="auto"/>
          <w:spacing w:val="-36"/>
          <w:sz w:val="20"/>
          <w:szCs w:val="20"/>
          <w:highlight w:val="none"/>
        </w:rPr>
        <w:t xml:space="preserve"> </w:t>
      </w:r>
      <w:r>
        <w:rPr>
          <w:rFonts w:ascii="宋体" w:hAnsi="宋体" w:eastAsia="宋体" w:cs="宋体"/>
          <w:color w:val="auto"/>
          <w:spacing w:val="8"/>
          <w:sz w:val="20"/>
          <w:szCs w:val="20"/>
          <w:highlight w:val="none"/>
        </w:rPr>
        <w:t>家的供应商参加磋</w:t>
      </w:r>
      <w:r>
        <w:rPr>
          <w:rFonts w:ascii="宋体" w:hAnsi="宋体" w:eastAsia="宋体" w:cs="宋体"/>
          <w:color w:val="auto"/>
          <w:spacing w:val="7"/>
          <w:sz w:val="20"/>
          <w:szCs w:val="20"/>
          <w:highlight w:val="none"/>
        </w:rPr>
        <w:t>商。</w:t>
      </w:r>
    </w:p>
    <w:p w14:paraId="6606EB49">
      <w:pPr>
        <w:pStyle w:val="6"/>
        <w:spacing w:line="343" w:lineRule="auto"/>
        <w:rPr>
          <w:color w:val="auto"/>
          <w:highlight w:val="none"/>
        </w:rPr>
      </w:pPr>
      <w:r>
        <w:rPr>
          <w:rFonts w:ascii="宋体" w:hAnsi="宋体" w:eastAsia="宋体" w:cs="宋体"/>
          <w:color w:val="auto"/>
          <w:spacing w:val="8"/>
          <w:sz w:val="20"/>
          <w:szCs w:val="20"/>
          <w:highlight w:val="none"/>
        </w:rPr>
        <w:t>3.7</w:t>
      </w:r>
      <w:r>
        <w:rPr>
          <w:rFonts w:ascii="宋体" w:hAnsi="宋体" w:eastAsia="宋体" w:cs="宋体"/>
          <w:color w:val="auto"/>
          <w:spacing w:val="-37"/>
          <w:sz w:val="20"/>
          <w:szCs w:val="20"/>
          <w:highlight w:val="none"/>
        </w:rPr>
        <w:t xml:space="preserve"> </w:t>
      </w:r>
      <w:r>
        <w:rPr>
          <w:rFonts w:ascii="宋体" w:hAnsi="宋体" w:eastAsia="宋体" w:cs="宋体"/>
          <w:color w:val="auto"/>
          <w:spacing w:val="8"/>
          <w:sz w:val="20"/>
          <w:szCs w:val="20"/>
          <w:highlight w:val="none"/>
        </w:rPr>
        <w:t>非政府购买服务项目，通过符合性审</w:t>
      </w:r>
      <w:r>
        <w:rPr>
          <w:rFonts w:ascii="宋体" w:hAnsi="宋体" w:eastAsia="宋体" w:cs="宋体"/>
          <w:color w:val="auto"/>
          <w:spacing w:val="7"/>
          <w:sz w:val="20"/>
          <w:szCs w:val="20"/>
          <w:highlight w:val="none"/>
        </w:rPr>
        <w:t>查的合格供应商不足</w:t>
      </w:r>
      <w:r>
        <w:rPr>
          <w:rFonts w:ascii="宋体" w:hAnsi="宋体" w:eastAsia="宋体" w:cs="宋体"/>
          <w:color w:val="auto"/>
          <w:spacing w:val="-33"/>
          <w:sz w:val="20"/>
          <w:szCs w:val="20"/>
          <w:highlight w:val="none"/>
        </w:rPr>
        <w:t xml:space="preserve"> </w:t>
      </w:r>
      <w:r>
        <w:rPr>
          <w:rFonts w:ascii="宋体" w:hAnsi="宋体" w:eastAsia="宋体" w:cs="宋体"/>
          <w:color w:val="auto"/>
          <w:spacing w:val="7"/>
          <w:sz w:val="20"/>
          <w:szCs w:val="20"/>
          <w:highlight w:val="none"/>
        </w:rPr>
        <w:t>3</w:t>
      </w:r>
      <w:r>
        <w:rPr>
          <w:rFonts w:ascii="宋体" w:hAnsi="宋体" w:eastAsia="宋体" w:cs="宋体"/>
          <w:color w:val="auto"/>
          <w:spacing w:val="-38"/>
          <w:sz w:val="20"/>
          <w:szCs w:val="20"/>
          <w:highlight w:val="none"/>
        </w:rPr>
        <w:t xml:space="preserve"> </w:t>
      </w:r>
      <w:r>
        <w:rPr>
          <w:rFonts w:ascii="宋体" w:hAnsi="宋体" w:eastAsia="宋体" w:cs="宋体"/>
          <w:color w:val="auto"/>
          <w:spacing w:val="7"/>
          <w:sz w:val="20"/>
          <w:szCs w:val="20"/>
          <w:highlight w:val="none"/>
        </w:rPr>
        <w:t>家的，不得进入磋商环节，</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采购人或者采购代理机构应当重新开展采购活动。政府购买服务项</w:t>
      </w:r>
      <w:r>
        <w:rPr>
          <w:rFonts w:ascii="宋体" w:hAnsi="宋体" w:eastAsia="宋体" w:cs="宋体"/>
          <w:color w:val="auto"/>
          <w:spacing w:val="7"/>
          <w:sz w:val="20"/>
          <w:szCs w:val="20"/>
          <w:highlight w:val="none"/>
        </w:rPr>
        <w:t>目，按《财政部关于政府采购</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竞争性磋商采购方式管理暂行办法有关问题的补充通知》（财库〔2015〕124</w:t>
      </w:r>
      <w:r>
        <w:rPr>
          <w:rFonts w:ascii="宋体" w:hAnsi="宋体" w:eastAsia="宋体" w:cs="宋体"/>
          <w:color w:val="auto"/>
          <w:spacing w:val="-35"/>
          <w:sz w:val="20"/>
          <w:szCs w:val="20"/>
          <w:highlight w:val="none"/>
        </w:rPr>
        <w:t xml:space="preserve"> </w:t>
      </w:r>
      <w:r>
        <w:rPr>
          <w:rFonts w:ascii="宋体" w:hAnsi="宋体" w:eastAsia="宋体" w:cs="宋体"/>
          <w:color w:val="auto"/>
          <w:spacing w:val="8"/>
          <w:sz w:val="20"/>
          <w:szCs w:val="20"/>
          <w:highlight w:val="none"/>
        </w:rPr>
        <w:t>号）规定，采</w:t>
      </w:r>
      <w:r>
        <w:rPr>
          <w:rFonts w:ascii="宋体" w:hAnsi="宋体" w:eastAsia="宋体" w:cs="宋体"/>
          <w:color w:val="auto"/>
          <w:spacing w:val="7"/>
          <w:sz w:val="20"/>
          <w:szCs w:val="20"/>
          <w:highlight w:val="none"/>
        </w:rPr>
        <w:t>购过</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程中通过符合性审查的供应商（社会资本）只有</w:t>
      </w:r>
      <w:r>
        <w:rPr>
          <w:rFonts w:ascii="宋体" w:hAnsi="宋体" w:eastAsia="宋体" w:cs="宋体"/>
          <w:color w:val="auto"/>
          <w:spacing w:val="-37"/>
          <w:sz w:val="20"/>
          <w:szCs w:val="20"/>
          <w:highlight w:val="none"/>
        </w:rPr>
        <w:t xml:space="preserve"> </w:t>
      </w:r>
      <w:r>
        <w:rPr>
          <w:rFonts w:ascii="宋体" w:hAnsi="宋体" w:eastAsia="宋体" w:cs="宋体"/>
          <w:color w:val="auto"/>
          <w:spacing w:val="9"/>
          <w:sz w:val="20"/>
          <w:szCs w:val="20"/>
          <w:highlight w:val="none"/>
        </w:rPr>
        <w:t>2</w:t>
      </w:r>
      <w:r>
        <w:rPr>
          <w:rFonts w:ascii="宋体" w:hAnsi="宋体" w:eastAsia="宋体" w:cs="宋体"/>
          <w:color w:val="auto"/>
          <w:spacing w:val="-36"/>
          <w:sz w:val="20"/>
          <w:szCs w:val="20"/>
          <w:highlight w:val="none"/>
        </w:rPr>
        <w:t xml:space="preserve"> </w:t>
      </w:r>
      <w:r>
        <w:rPr>
          <w:rFonts w:ascii="宋体" w:hAnsi="宋体" w:eastAsia="宋体" w:cs="宋体"/>
          <w:color w:val="auto"/>
          <w:spacing w:val="9"/>
          <w:sz w:val="20"/>
          <w:szCs w:val="20"/>
          <w:highlight w:val="none"/>
        </w:rPr>
        <w:t>家的，磋商采购</w:t>
      </w:r>
      <w:r>
        <w:rPr>
          <w:rFonts w:ascii="宋体" w:hAnsi="宋体" w:eastAsia="宋体" w:cs="宋体"/>
          <w:color w:val="auto"/>
          <w:spacing w:val="8"/>
          <w:sz w:val="20"/>
          <w:szCs w:val="20"/>
          <w:highlight w:val="none"/>
        </w:rPr>
        <w:t>活动可以继续进行。</w:t>
      </w:r>
    </w:p>
    <w:p w14:paraId="5438914F">
      <w:pPr>
        <w:pStyle w:val="6"/>
        <w:spacing w:line="344" w:lineRule="auto"/>
        <w:rPr>
          <w:color w:val="auto"/>
          <w:highlight w:val="none"/>
        </w:rPr>
      </w:pPr>
    </w:p>
    <w:p w14:paraId="5E5DF55B">
      <w:pPr>
        <w:spacing w:before="78" w:line="221" w:lineRule="auto"/>
        <w:ind w:left="42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4.磋商程序</w:t>
      </w:r>
    </w:p>
    <w:p w14:paraId="424345E2">
      <w:pPr>
        <w:spacing w:before="174" w:line="341" w:lineRule="auto"/>
        <w:ind w:left="5" w:right="2" w:firstLine="414"/>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4.1</w:t>
      </w:r>
      <w:r>
        <w:rPr>
          <w:rFonts w:ascii="宋体" w:hAnsi="宋体" w:eastAsia="宋体" w:cs="宋体"/>
          <w:color w:val="auto"/>
          <w:spacing w:val="-39"/>
          <w:sz w:val="20"/>
          <w:szCs w:val="20"/>
          <w:highlight w:val="none"/>
        </w:rPr>
        <w:t xml:space="preserve"> </w:t>
      </w:r>
      <w:r>
        <w:rPr>
          <w:rFonts w:ascii="宋体" w:hAnsi="宋体" w:eastAsia="宋体" w:cs="宋体"/>
          <w:color w:val="auto"/>
          <w:spacing w:val="10"/>
          <w:sz w:val="20"/>
          <w:szCs w:val="20"/>
          <w:highlight w:val="none"/>
        </w:rPr>
        <w:t>磋商小组按照“供应商须知前附表</w:t>
      </w:r>
      <w:r>
        <w:rPr>
          <w:rFonts w:ascii="宋体" w:hAnsi="宋体" w:eastAsia="宋体" w:cs="宋体"/>
          <w:color w:val="auto"/>
          <w:spacing w:val="-68"/>
          <w:sz w:val="20"/>
          <w:szCs w:val="20"/>
          <w:highlight w:val="none"/>
        </w:rPr>
        <w:t xml:space="preserve"> </w:t>
      </w:r>
      <w:r>
        <w:rPr>
          <w:rFonts w:ascii="宋体" w:hAnsi="宋体" w:eastAsia="宋体" w:cs="宋体"/>
          <w:color w:val="auto"/>
          <w:spacing w:val="10"/>
          <w:sz w:val="20"/>
          <w:szCs w:val="20"/>
          <w:highlight w:val="none"/>
        </w:rPr>
        <w:t>” 确定的顺序，集中与单一供应商分别进行磋商，</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并给予所有参加磋商的供应商平等的磋商机会。符合</w:t>
      </w:r>
      <w:r>
        <w:rPr>
          <w:rFonts w:ascii="宋体" w:hAnsi="宋体" w:eastAsia="宋体" w:cs="宋体"/>
          <w:color w:val="auto"/>
          <w:spacing w:val="7"/>
          <w:sz w:val="20"/>
          <w:szCs w:val="20"/>
          <w:highlight w:val="none"/>
        </w:rPr>
        <w:t>磋商资格的供应商必须在接到磋商通知后规</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定时间内参加磋商，未在规定时间内参加磋商的</w:t>
      </w:r>
      <w:r>
        <w:rPr>
          <w:rFonts w:ascii="宋体" w:hAnsi="宋体" w:eastAsia="宋体" w:cs="宋体"/>
          <w:color w:val="auto"/>
          <w:spacing w:val="7"/>
          <w:sz w:val="20"/>
          <w:szCs w:val="20"/>
          <w:highlight w:val="none"/>
        </w:rPr>
        <w:t>视同放弃参加磋商权利，其响应文件按无效响应</w:t>
      </w:r>
      <w:r>
        <w:rPr>
          <w:rFonts w:ascii="宋体" w:hAnsi="宋体" w:eastAsia="宋体" w:cs="宋体"/>
          <w:color w:val="auto"/>
          <w:sz w:val="20"/>
          <w:szCs w:val="20"/>
          <w:highlight w:val="none"/>
        </w:rPr>
        <w:t xml:space="preserve"> </w:t>
      </w:r>
      <w:r>
        <w:rPr>
          <w:rFonts w:ascii="宋体" w:hAnsi="宋体" w:eastAsia="宋体" w:cs="宋体"/>
          <w:color w:val="auto"/>
          <w:spacing w:val="1"/>
          <w:sz w:val="20"/>
          <w:szCs w:val="20"/>
          <w:highlight w:val="none"/>
        </w:rPr>
        <w:t>处理。</w:t>
      </w:r>
    </w:p>
    <w:p w14:paraId="56F3F177">
      <w:pPr>
        <w:spacing w:before="155" w:line="327" w:lineRule="auto"/>
        <w:ind w:firstLine="419"/>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4.2</w:t>
      </w:r>
      <w:r>
        <w:rPr>
          <w:rFonts w:ascii="宋体" w:hAnsi="宋体" w:eastAsia="宋体" w:cs="宋体"/>
          <w:color w:val="auto"/>
          <w:spacing w:val="-24"/>
          <w:sz w:val="20"/>
          <w:szCs w:val="20"/>
          <w:highlight w:val="none"/>
        </w:rPr>
        <w:t xml:space="preserve"> </w:t>
      </w:r>
      <w:r>
        <w:rPr>
          <w:rFonts w:ascii="宋体" w:hAnsi="宋体" w:eastAsia="宋体" w:cs="宋体"/>
          <w:color w:val="auto"/>
          <w:spacing w:val="8"/>
          <w:sz w:val="20"/>
          <w:szCs w:val="20"/>
          <w:highlight w:val="none"/>
        </w:rPr>
        <w:t>在磋商过程中，磋商小组可以根据磋商文件和磋商情况实质性变动采购需求中的技术、</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服务要求以及合同草案条款，但不得变动磋商文件中的其</w:t>
      </w:r>
      <w:r>
        <w:rPr>
          <w:rFonts w:ascii="宋体" w:hAnsi="宋体" w:eastAsia="宋体" w:cs="宋体"/>
          <w:color w:val="auto"/>
          <w:spacing w:val="7"/>
          <w:sz w:val="20"/>
          <w:szCs w:val="20"/>
          <w:highlight w:val="none"/>
        </w:rPr>
        <w:t>他内容。实质性变动的内容，须经采购</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人代表确认。可能实质性变动的内容为采购需求中的技术、服务要求以及合同草案条款。</w:t>
      </w:r>
    </w:p>
    <w:p w14:paraId="30C0557D">
      <w:pPr>
        <w:spacing w:before="164" w:line="302" w:lineRule="auto"/>
        <w:ind w:left="14" w:right="4" w:firstLine="405"/>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4.3</w:t>
      </w:r>
      <w:r>
        <w:rPr>
          <w:rFonts w:ascii="宋体" w:hAnsi="宋体" w:eastAsia="宋体" w:cs="宋体"/>
          <w:color w:val="auto"/>
          <w:spacing w:val="-28"/>
          <w:sz w:val="20"/>
          <w:szCs w:val="20"/>
          <w:highlight w:val="none"/>
        </w:rPr>
        <w:t xml:space="preserve"> </w:t>
      </w:r>
      <w:r>
        <w:rPr>
          <w:rFonts w:ascii="宋体" w:hAnsi="宋体" w:eastAsia="宋体" w:cs="宋体"/>
          <w:color w:val="auto"/>
          <w:spacing w:val="8"/>
          <w:sz w:val="20"/>
          <w:szCs w:val="20"/>
          <w:highlight w:val="none"/>
        </w:rPr>
        <w:t>对磋商文件作出的实质性变动是磋商文件的有效组成部分，由磋商小组及时以电子澄清</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函形式同时通知所有参加磋商的供应商。</w:t>
      </w:r>
    </w:p>
    <w:p w14:paraId="3B172F85">
      <w:pPr>
        <w:spacing w:before="161" w:line="328" w:lineRule="auto"/>
        <w:ind w:right="2" w:firstLine="420"/>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4.4</w:t>
      </w:r>
      <w:r>
        <w:rPr>
          <w:rFonts w:ascii="宋体" w:hAnsi="宋体" w:eastAsia="宋体" w:cs="宋体"/>
          <w:color w:val="auto"/>
          <w:spacing w:val="-20"/>
          <w:sz w:val="20"/>
          <w:szCs w:val="20"/>
          <w:highlight w:val="none"/>
        </w:rPr>
        <w:t xml:space="preserve"> </w:t>
      </w:r>
      <w:r>
        <w:rPr>
          <w:rFonts w:ascii="宋体" w:hAnsi="宋体" w:eastAsia="宋体" w:cs="宋体"/>
          <w:color w:val="auto"/>
          <w:spacing w:val="13"/>
          <w:sz w:val="20"/>
          <w:szCs w:val="20"/>
          <w:highlight w:val="none"/>
        </w:rPr>
        <w:t>供应商必须按照磋商文件的变动情况和磋商小组的要求以回函的形式重新提交响应文</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件，并加盖电子公章。供应商为自然人的，必须由本人签字并附身</w:t>
      </w:r>
      <w:r>
        <w:rPr>
          <w:rFonts w:ascii="宋体" w:hAnsi="宋体" w:eastAsia="宋体" w:cs="宋体"/>
          <w:color w:val="auto"/>
          <w:spacing w:val="7"/>
          <w:sz w:val="20"/>
          <w:szCs w:val="20"/>
          <w:highlight w:val="none"/>
        </w:rPr>
        <w:t>份证明。参加磋商的供应商未</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在规定时间内重新提交响应文件的，视同退出磋商。</w:t>
      </w:r>
    </w:p>
    <w:p w14:paraId="79080646">
      <w:pPr>
        <w:spacing w:before="160" w:line="227" w:lineRule="auto"/>
        <w:jc w:val="right"/>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4.5</w:t>
      </w:r>
      <w:r>
        <w:rPr>
          <w:rFonts w:ascii="宋体" w:hAnsi="宋体" w:eastAsia="宋体" w:cs="宋体"/>
          <w:color w:val="auto"/>
          <w:spacing w:val="-41"/>
          <w:sz w:val="20"/>
          <w:szCs w:val="20"/>
          <w:highlight w:val="none"/>
        </w:rPr>
        <w:t xml:space="preserve"> </w:t>
      </w:r>
      <w:r>
        <w:rPr>
          <w:rFonts w:ascii="宋体" w:hAnsi="宋体" w:eastAsia="宋体" w:cs="宋体"/>
          <w:color w:val="auto"/>
          <w:spacing w:val="-1"/>
          <w:sz w:val="20"/>
          <w:szCs w:val="20"/>
          <w:highlight w:val="none"/>
        </w:rPr>
        <w:t>磋商中，磋商的任何一方不得透露与磋商有关的其他供应商的技术</w:t>
      </w:r>
      <w:r>
        <w:rPr>
          <w:rFonts w:ascii="宋体" w:hAnsi="宋体" w:eastAsia="宋体" w:cs="宋体"/>
          <w:color w:val="auto"/>
          <w:spacing w:val="-2"/>
          <w:sz w:val="20"/>
          <w:szCs w:val="20"/>
          <w:highlight w:val="none"/>
        </w:rPr>
        <w:t>资料、价格和其他信息。</w:t>
      </w:r>
    </w:p>
    <w:p w14:paraId="4444BCFD">
      <w:pPr>
        <w:spacing w:before="162" w:line="303" w:lineRule="auto"/>
        <w:ind w:left="1" w:right="4" w:firstLine="418"/>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4.6</w:t>
      </w:r>
      <w:r>
        <w:rPr>
          <w:rFonts w:ascii="宋体" w:hAnsi="宋体" w:eastAsia="宋体" w:cs="宋体"/>
          <w:color w:val="auto"/>
          <w:spacing w:val="-28"/>
          <w:sz w:val="20"/>
          <w:szCs w:val="20"/>
          <w:highlight w:val="none"/>
        </w:rPr>
        <w:t xml:space="preserve"> </w:t>
      </w:r>
      <w:r>
        <w:rPr>
          <w:rFonts w:ascii="宋体" w:hAnsi="宋体" w:eastAsia="宋体" w:cs="宋体"/>
          <w:color w:val="auto"/>
          <w:spacing w:val="8"/>
          <w:sz w:val="20"/>
          <w:szCs w:val="20"/>
          <w:highlight w:val="none"/>
        </w:rPr>
        <w:t>磋商小组应对磋商过程和重要磋商内容进行记录，作为评标报告一部分，磋商小组在记</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录上签字确认。</w:t>
      </w:r>
      <w:r>
        <w:rPr>
          <w:rFonts w:ascii="宋体" w:hAnsi="宋体" w:eastAsia="宋体" w:cs="宋体"/>
          <w:b/>
          <w:bCs/>
          <w:color w:val="auto"/>
          <w:spacing w:val="7"/>
          <w:sz w:val="20"/>
          <w:szCs w:val="20"/>
          <w:highlight w:val="none"/>
        </w:rPr>
        <w:t>主要内容包括：</w:t>
      </w:r>
    </w:p>
    <w:p w14:paraId="5000DEDF">
      <w:pPr>
        <w:spacing w:before="161" w:line="228" w:lineRule="auto"/>
        <w:ind w:left="406"/>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（1）按照相关规定进行公示的，公示情况说明；</w:t>
      </w:r>
    </w:p>
    <w:p w14:paraId="20CC0ACA">
      <w:pPr>
        <w:spacing w:before="163" w:line="229" w:lineRule="auto"/>
        <w:ind w:left="406"/>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（2）磋商日期和地点，磋商人员名单；</w:t>
      </w:r>
    </w:p>
    <w:p w14:paraId="60018E0E">
      <w:pPr>
        <w:spacing w:before="159" w:line="227" w:lineRule="auto"/>
        <w:ind w:left="406"/>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（3）合同主要条款及价格商定情况。</w:t>
      </w:r>
    </w:p>
    <w:p w14:paraId="52AF51C5">
      <w:pPr>
        <w:spacing w:before="162" w:line="228" w:lineRule="auto"/>
        <w:ind w:left="42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4.7</w:t>
      </w:r>
      <w:r>
        <w:rPr>
          <w:rFonts w:ascii="宋体" w:hAnsi="宋体" w:eastAsia="宋体" w:cs="宋体"/>
          <w:color w:val="auto"/>
          <w:spacing w:val="-41"/>
          <w:sz w:val="20"/>
          <w:szCs w:val="20"/>
          <w:highlight w:val="none"/>
        </w:rPr>
        <w:t xml:space="preserve"> </w:t>
      </w:r>
      <w:r>
        <w:rPr>
          <w:rFonts w:ascii="宋体" w:hAnsi="宋体" w:eastAsia="宋体" w:cs="宋体"/>
          <w:color w:val="auto"/>
          <w:spacing w:val="9"/>
          <w:sz w:val="20"/>
          <w:szCs w:val="20"/>
          <w:highlight w:val="none"/>
        </w:rPr>
        <w:t>磋商过程中重新提交的响应文件，供应商可以在</w:t>
      </w:r>
      <w:r>
        <w:rPr>
          <w:rFonts w:ascii="宋体" w:hAnsi="宋体" w:eastAsia="宋体" w:cs="宋体"/>
          <w:color w:val="auto"/>
          <w:spacing w:val="8"/>
          <w:sz w:val="20"/>
          <w:szCs w:val="20"/>
          <w:highlight w:val="none"/>
        </w:rPr>
        <w:t>开启前补充、修改。</w:t>
      </w:r>
    </w:p>
    <w:p w14:paraId="0D4D617D">
      <w:pPr>
        <w:spacing w:before="162" w:line="303" w:lineRule="auto"/>
        <w:ind w:left="5" w:right="2" w:firstLine="414"/>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4.8</w:t>
      </w:r>
      <w:r>
        <w:rPr>
          <w:rFonts w:ascii="宋体" w:hAnsi="宋体" w:eastAsia="宋体" w:cs="宋体"/>
          <w:color w:val="auto"/>
          <w:spacing w:val="-25"/>
          <w:sz w:val="20"/>
          <w:szCs w:val="20"/>
          <w:highlight w:val="none"/>
        </w:rPr>
        <w:t xml:space="preserve"> </w:t>
      </w:r>
      <w:r>
        <w:rPr>
          <w:rFonts w:ascii="宋体" w:hAnsi="宋体" w:eastAsia="宋体" w:cs="宋体"/>
          <w:color w:val="auto"/>
          <w:spacing w:val="8"/>
          <w:sz w:val="20"/>
          <w:szCs w:val="20"/>
          <w:highlight w:val="none"/>
        </w:rPr>
        <w:t>对磋商过程提交的响应文件进行有效性、完整性和响应程度审查，通过审查的合格供应</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商不足</w:t>
      </w:r>
      <w:r>
        <w:rPr>
          <w:rFonts w:ascii="宋体" w:hAnsi="宋体" w:eastAsia="宋体" w:cs="宋体"/>
          <w:color w:val="auto"/>
          <w:spacing w:val="-32"/>
          <w:sz w:val="20"/>
          <w:szCs w:val="20"/>
          <w:highlight w:val="none"/>
        </w:rPr>
        <w:t xml:space="preserve"> </w:t>
      </w:r>
      <w:r>
        <w:rPr>
          <w:rFonts w:ascii="宋体" w:hAnsi="宋体" w:eastAsia="宋体" w:cs="宋体"/>
          <w:color w:val="auto"/>
          <w:spacing w:val="8"/>
          <w:sz w:val="20"/>
          <w:szCs w:val="20"/>
          <w:highlight w:val="none"/>
        </w:rPr>
        <w:t>3</w:t>
      </w:r>
      <w:r>
        <w:rPr>
          <w:rFonts w:ascii="宋体" w:hAnsi="宋体" w:eastAsia="宋体" w:cs="宋体"/>
          <w:color w:val="auto"/>
          <w:spacing w:val="-36"/>
          <w:sz w:val="20"/>
          <w:szCs w:val="20"/>
          <w:highlight w:val="none"/>
        </w:rPr>
        <w:t xml:space="preserve"> </w:t>
      </w:r>
      <w:r>
        <w:rPr>
          <w:rFonts w:ascii="宋体" w:hAnsi="宋体" w:eastAsia="宋体" w:cs="宋体"/>
          <w:color w:val="auto"/>
          <w:spacing w:val="8"/>
          <w:sz w:val="20"/>
          <w:szCs w:val="20"/>
          <w:highlight w:val="none"/>
        </w:rPr>
        <w:t>家的，采购人或者采购代理机构应当重新开展采购活动。</w:t>
      </w:r>
    </w:p>
    <w:p w14:paraId="5178A5EF">
      <w:pPr>
        <w:spacing w:before="165" w:line="219" w:lineRule="auto"/>
        <w:ind w:left="426"/>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5.最后报价</w:t>
      </w:r>
    </w:p>
    <w:p w14:paraId="2F4DF1C6">
      <w:pPr>
        <w:spacing w:before="176" w:line="328" w:lineRule="auto"/>
        <w:ind w:right="2" w:firstLine="424"/>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5.1</w:t>
      </w:r>
      <w:r>
        <w:rPr>
          <w:rFonts w:ascii="宋体" w:hAnsi="宋体" w:eastAsia="宋体" w:cs="宋体"/>
          <w:color w:val="auto"/>
          <w:spacing w:val="-33"/>
          <w:sz w:val="20"/>
          <w:szCs w:val="20"/>
          <w:highlight w:val="none"/>
        </w:rPr>
        <w:t xml:space="preserve"> </w:t>
      </w:r>
      <w:r>
        <w:rPr>
          <w:rFonts w:ascii="宋体" w:hAnsi="宋体" w:eastAsia="宋体" w:cs="宋体"/>
          <w:color w:val="auto"/>
          <w:spacing w:val="8"/>
          <w:sz w:val="20"/>
          <w:szCs w:val="20"/>
          <w:highlight w:val="none"/>
        </w:rPr>
        <w:t>磋商文件能够详细列明采购标的的技术、服务要求的，磋商结束后，由磋商小组要求所</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有继续参加磋商的供应商在规定时间内密封提交最后报价，除本章第</w:t>
      </w:r>
      <w:r>
        <w:rPr>
          <w:rFonts w:ascii="宋体" w:hAnsi="宋体" w:eastAsia="宋体" w:cs="宋体"/>
          <w:color w:val="auto"/>
          <w:spacing w:val="-30"/>
          <w:sz w:val="20"/>
          <w:szCs w:val="20"/>
          <w:highlight w:val="none"/>
        </w:rPr>
        <w:t xml:space="preserve"> </w:t>
      </w:r>
      <w:r>
        <w:rPr>
          <w:rFonts w:ascii="宋体" w:hAnsi="宋体" w:eastAsia="宋体" w:cs="宋体"/>
          <w:color w:val="auto"/>
          <w:spacing w:val="7"/>
          <w:sz w:val="20"/>
          <w:szCs w:val="20"/>
          <w:highlight w:val="none"/>
        </w:rPr>
        <w:t>5.3</w:t>
      </w:r>
      <w:r>
        <w:rPr>
          <w:rFonts w:ascii="宋体" w:hAnsi="宋体" w:eastAsia="宋体" w:cs="宋体"/>
          <w:color w:val="auto"/>
          <w:spacing w:val="-41"/>
          <w:sz w:val="20"/>
          <w:szCs w:val="20"/>
          <w:highlight w:val="none"/>
        </w:rPr>
        <w:t xml:space="preserve"> </w:t>
      </w:r>
      <w:r>
        <w:rPr>
          <w:rFonts w:ascii="宋体" w:hAnsi="宋体" w:eastAsia="宋体" w:cs="宋体"/>
          <w:color w:val="auto"/>
          <w:spacing w:val="7"/>
          <w:sz w:val="20"/>
          <w:szCs w:val="20"/>
          <w:highlight w:val="none"/>
        </w:rPr>
        <w:t>条外</w:t>
      </w:r>
      <w:r>
        <w:rPr>
          <w:rFonts w:ascii="宋体" w:hAnsi="宋体" w:eastAsia="宋体" w:cs="宋体"/>
          <w:color w:val="auto"/>
          <w:spacing w:val="6"/>
          <w:sz w:val="20"/>
          <w:szCs w:val="20"/>
          <w:highlight w:val="none"/>
        </w:rPr>
        <w:t>，提交最后报价的</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供应商不得少于</w:t>
      </w:r>
      <w:r>
        <w:rPr>
          <w:rFonts w:ascii="宋体" w:hAnsi="宋体" w:eastAsia="宋体" w:cs="宋体"/>
          <w:color w:val="auto"/>
          <w:spacing w:val="-29"/>
          <w:sz w:val="20"/>
          <w:szCs w:val="20"/>
          <w:highlight w:val="none"/>
        </w:rPr>
        <w:t xml:space="preserve"> </w:t>
      </w:r>
      <w:r>
        <w:rPr>
          <w:rFonts w:ascii="宋体" w:hAnsi="宋体" w:eastAsia="宋体" w:cs="宋体"/>
          <w:color w:val="auto"/>
          <w:spacing w:val="7"/>
          <w:sz w:val="20"/>
          <w:szCs w:val="20"/>
          <w:highlight w:val="none"/>
        </w:rPr>
        <w:t>3</w:t>
      </w:r>
      <w:r>
        <w:rPr>
          <w:rFonts w:ascii="宋体" w:hAnsi="宋体" w:eastAsia="宋体" w:cs="宋体"/>
          <w:color w:val="auto"/>
          <w:spacing w:val="-36"/>
          <w:sz w:val="20"/>
          <w:szCs w:val="20"/>
          <w:highlight w:val="none"/>
        </w:rPr>
        <w:t xml:space="preserve"> </w:t>
      </w:r>
      <w:r>
        <w:rPr>
          <w:rFonts w:ascii="宋体" w:hAnsi="宋体" w:eastAsia="宋体" w:cs="宋体"/>
          <w:color w:val="auto"/>
          <w:spacing w:val="7"/>
          <w:sz w:val="20"/>
          <w:szCs w:val="20"/>
          <w:highlight w:val="none"/>
        </w:rPr>
        <w:t>家，否则必须重新采购。</w:t>
      </w:r>
    </w:p>
    <w:p w14:paraId="34C0F575">
      <w:pPr>
        <w:spacing w:before="163" w:line="327" w:lineRule="auto"/>
        <w:ind w:left="2" w:right="2" w:firstLine="422"/>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5.2</w:t>
      </w:r>
      <w:r>
        <w:rPr>
          <w:rFonts w:ascii="宋体" w:hAnsi="宋体" w:eastAsia="宋体" w:cs="宋体"/>
          <w:color w:val="auto"/>
          <w:spacing w:val="-31"/>
          <w:sz w:val="20"/>
          <w:szCs w:val="20"/>
          <w:highlight w:val="none"/>
        </w:rPr>
        <w:t xml:space="preserve"> </w:t>
      </w:r>
      <w:r>
        <w:rPr>
          <w:rFonts w:ascii="宋体" w:hAnsi="宋体" w:eastAsia="宋体" w:cs="宋体"/>
          <w:color w:val="auto"/>
          <w:spacing w:val="8"/>
          <w:sz w:val="20"/>
          <w:szCs w:val="20"/>
          <w:highlight w:val="none"/>
        </w:rPr>
        <w:t>磋商文件不能详细列明采购标的的技术、服务要求，需经磋商由供应商提供最后设计方</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案或者解决方案的，磋商结束后，由磋商小组按照少数服从多数的原则投票推荐</w:t>
      </w:r>
      <w:r>
        <w:rPr>
          <w:rFonts w:ascii="宋体" w:hAnsi="宋体" w:eastAsia="宋体" w:cs="宋体"/>
          <w:color w:val="auto"/>
          <w:spacing w:val="-35"/>
          <w:sz w:val="20"/>
          <w:szCs w:val="20"/>
          <w:highlight w:val="none"/>
        </w:rPr>
        <w:t xml:space="preserve"> </w:t>
      </w:r>
      <w:r>
        <w:rPr>
          <w:rFonts w:ascii="宋体" w:hAnsi="宋体" w:eastAsia="宋体" w:cs="宋体"/>
          <w:color w:val="auto"/>
          <w:spacing w:val="7"/>
          <w:sz w:val="20"/>
          <w:szCs w:val="20"/>
          <w:highlight w:val="none"/>
        </w:rPr>
        <w:t>3</w:t>
      </w:r>
      <w:r>
        <w:rPr>
          <w:rFonts w:ascii="宋体" w:hAnsi="宋体" w:eastAsia="宋体" w:cs="宋体"/>
          <w:color w:val="auto"/>
          <w:spacing w:val="-36"/>
          <w:sz w:val="20"/>
          <w:szCs w:val="20"/>
          <w:highlight w:val="none"/>
        </w:rPr>
        <w:t xml:space="preserve"> </w:t>
      </w:r>
      <w:r>
        <w:rPr>
          <w:rFonts w:ascii="宋体" w:hAnsi="宋体" w:eastAsia="宋体" w:cs="宋体"/>
          <w:color w:val="auto"/>
          <w:spacing w:val="7"/>
          <w:sz w:val="20"/>
          <w:szCs w:val="20"/>
          <w:highlight w:val="none"/>
        </w:rPr>
        <w:t>家</w:t>
      </w:r>
      <w:r>
        <w:rPr>
          <w:rFonts w:ascii="宋体" w:hAnsi="宋体" w:eastAsia="宋体" w:cs="宋体"/>
          <w:color w:val="auto"/>
          <w:spacing w:val="6"/>
          <w:sz w:val="20"/>
          <w:szCs w:val="20"/>
          <w:highlight w:val="none"/>
        </w:rPr>
        <w:t>以上供应商</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的设计方案或者解决方案，并要求其在规定时间内密封提交最后报价。</w:t>
      </w:r>
    </w:p>
    <w:p w14:paraId="6C9BC383">
      <w:pPr>
        <w:spacing w:before="161" w:line="327" w:lineRule="auto"/>
        <w:ind w:left="7" w:right="2" w:firstLine="417"/>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5.3 最后报价是供应商响应文件的有效组成部分。符合《政府采购竞争性磋商采购方式管理</w:t>
      </w:r>
      <w:r>
        <w:rPr>
          <w:rFonts w:ascii="宋体" w:hAnsi="宋体" w:eastAsia="宋体" w:cs="宋体"/>
          <w:color w:val="auto"/>
          <w:spacing w:val="3"/>
          <w:sz w:val="20"/>
          <w:szCs w:val="20"/>
          <w:highlight w:val="none"/>
        </w:rPr>
        <w:t xml:space="preserve"> </w:t>
      </w:r>
      <w:r>
        <w:rPr>
          <w:rFonts w:ascii="宋体" w:hAnsi="宋体" w:eastAsia="宋体" w:cs="宋体"/>
          <w:color w:val="auto"/>
          <w:spacing w:val="8"/>
          <w:sz w:val="20"/>
          <w:szCs w:val="20"/>
          <w:highlight w:val="none"/>
        </w:rPr>
        <w:t>暂行办法》（财库〔2014〕214</w:t>
      </w:r>
      <w:r>
        <w:rPr>
          <w:rFonts w:ascii="宋体" w:hAnsi="宋体" w:eastAsia="宋体" w:cs="宋体"/>
          <w:color w:val="auto"/>
          <w:spacing w:val="-35"/>
          <w:sz w:val="20"/>
          <w:szCs w:val="20"/>
          <w:highlight w:val="none"/>
        </w:rPr>
        <w:t xml:space="preserve"> </w:t>
      </w:r>
      <w:r>
        <w:rPr>
          <w:rFonts w:ascii="宋体" w:hAnsi="宋体" w:eastAsia="宋体" w:cs="宋体"/>
          <w:color w:val="auto"/>
          <w:spacing w:val="8"/>
          <w:sz w:val="20"/>
          <w:szCs w:val="20"/>
          <w:highlight w:val="none"/>
        </w:rPr>
        <w:t>号）第三条第四项“市场竞争不充分</w:t>
      </w:r>
      <w:r>
        <w:rPr>
          <w:rFonts w:ascii="宋体" w:hAnsi="宋体" w:eastAsia="宋体" w:cs="宋体"/>
          <w:color w:val="auto"/>
          <w:spacing w:val="7"/>
          <w:sz w:val="20"/>
          <w:szCs w:val="20"/>
          <w:highlight w:val="none"/>
        </w:rPr>
        <w:t>的科研项目，以及需要扶持</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的科技成果转化项目</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”的，提交最后报价的供应商可以为</w:t>
      </w:r>
      <w:r>
        <w:rPr>
          <w:rFonts w:ascii="宋体" w:hAnsi="宋体" w:eastAsia="宋体" w:cs="宋体"/>
          <w:color w:val="auto"/>
          <w:spacing w:val="-37"/>
          <w:sz w:val="20"/>
          <w:szCs w:val="20"/>
          <w:highlight w:val="none"/>
        </w:rPr>
        <w:t xml:space="preserve"> </w:t>
      </w:r>
      <w:r>
        <w:rPr>
          <w:rFonts w:ascii="宋体" w:hAnsi="宋体" w:eastAsia="宋体" w:cs="宋体"/>
          <w:color w:val="auto"/>
          <w:spacing w:val="7"/>
          <w:sz w:val="20"/>
          <w:szCs w:val="20"/>
          <w:highlight w:val="none"/>
        </w:rPr>
        <w:t>2</w:t>
      </w:r>
      <w:r>
        <w:rPr>
          <w:rFonts w:ascii="宋体" w:hAnsi="宋体" w:eastAsia="宋体" w:cs="宋体"/>
          <w:color w:val="auto"/>
          <w:spacing w:val="-36"/>
          <w:sz w:val="20"/>
          <w:szCs w:val="20"/>
          <w:highlight w:val="none"/>
        </w:rPr>
        <w:t xml:space="preserve"> </w:t>
      </w:r>
      <w:r>
        <w:rPr>
          <w:rFonts w:ascii="宋体" w:hAnsi="宋体" w:eastAsia="宋体" w:cs="宋体"/>
          <w:color w:val="auto"/>
          <w:spacing w:val="7"/>
          <w:sz w:val="20"/>
          <w:szCs w:val="20"/>
          <w:highlight w:val="none"/>
        </w:rPr>
        <w:t>家。</w:t>
      </w:r>
    </w:p>
    <w:p w14:paraId="3F85F1F4">
      <w:pPr>
        <w:spacing w:before="161" w:line="327" w:lineRule="auto"/>
        <w:ind w:left="7" w:right="2" w:firstLine="417"/>
        <w:rPr>
          <w:rFonts w:ascii="宋体" w:hAnsi="宋体" w:eastAsia="宋体" w:cs="宋体"/>
          <w:color w:val="auto"/>
          <w:spacing w:val="7"/>
          <w:sz w:val="20"/>
          <w:szCs w:val="20"/>
          <w:highlight w:val="none"/>
        </w:rPr>
      </w:pPr>
      <w:r>
        <w:rPr>
          <w:rFonts w:ascii="宋体" w:hAnsi="宋体" w:eastAsia="宋体" w:cs="宋体"/>
          <w:color w:val="auto"/>
          <w:spacing w:val="7"/>
          <w:sz w:val="20"/>
          <w:szCs w:val="20"/>
          <w:highlight w:val="none"/>
        </w:rPr>
        <w:t>5.4 已经提交响应文件的供应商，在提交最后报价之前，可以根据磋商情况退出磋商，退出 磋商的供应商的响应文件按无效响应处理。</w:t>
      </w:r>
    </w:p>
    <w:p w14:paraId="76A147A2">
      <w:pPr>
        <w:spacing w:before="161" w:line="327" w:lineRule="auto"/>
        <w:ind w:left="7" w:right="2" w:firstLine="417"/>
        <w:rPr>
          <w:rFonts w:ascii="宋体" w:hAnsi="宋体" w:eastAsia="宋体" w:cs="宋体"/>
          <w:color w:val="auto"/>
          <w:spacing w:val="7"/>
          <w:sz w:val="20"/>
          <w:szCs w:val="20"/>
          <w:highlight w:val="none"/>
        </w:rPr>
      </w:pPr>
      <w:r>
        <w:rPr>
          <w:rFonts w:ascii="宋体" w:hAnsi="宋体" w:eastAsia="宋体" w:cs="宋体"/>
          <w:color w:val="auto"/>
          <w:spacing w:val="7"/>
          <w:sz w:val="20"/>
          <w:szCs w:val="20"/>
          <w:highlight w:val="none"/>
        </w:rPr>
        <w:t>5.5 供应商未在规定时间内提交最后报价的，视同退出磋商。</w:t>
      </w:r>
    </w:p>
    <w:p w14:paraId="692D315E">
      <w:pPr>
        <w:spacing w:before="65" w:line="303" w:lineRule="auto"/>
        <w:ind w:left="1" w:right="53" w:firstLine="42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5.6</w:t>
      </w:r>
      <w:r>
        <w:rPr>
          <w:rFonts w:ascii="宋体" w:hAnsi="宋体" w:eastAsia="宋体" w:cs="宋体"/>
          <w:color w:val="auto"/>
          <w:spacing w:val="-30"/>
          <w:sz w:val="20"/>
          <w:szCs w:val="20"/>
          <w:highlight w:val="none"/>
        </w:rPr>
        <w:t xml:space="preserve"> </w:t>
      </w:r>
      <w:r>
        <w:rPr>
          <w:rFonts w:ascii="宋体" w:hAnsi="宋体" w:eastAsia="宋体" w:cs="宋体"/>
          <w:color w:val="auto"/>
          <w:spacing w:val="8"/>
          <w:sz w:val="20"/>
          <w:szCs w:val="20"/>
          <w:highlight w:val="none"/>
        </w:rPr>
        <w:t>磋商小组收齐某一分标最后报价后统一开启，磋商小组对最后报价进行有效性、完整性</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和响应程度的审查。</w:t>
      </w:r>
    </w:p>
    <w:p w14:paraId="7C472C4E">
      <w:pPr>
        <w:spacing w:before="159" w:line="227" w:lineRule="auto"/>
        <w:ind w:left="425"/>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5.7</w:t>
      </w:r>
      <w:r>
        <w:rPr>
          <w:rFonts w:ascii="宋体" w:hAnsi="宋体" w:eastAsia="宋体" w:cs="宋体"/>
          <w:color w:val="auto"/>
          <w:spacing w:val="-37"/>
          <w:sz w:val="20"/>
          <w:szCs w:val="20"/>
          <w:highlight w:val="none"/>
        </w:rPr>
        <w:t xml:space="preserve"> </w:t>
      </w:r>
      <w:r>
        <w:rPr>
          <w:rFonts w:ascii="宋体" w:hAnsi="宋体" w:eastAsia="宋体" w:cs="宋体"/>
          <w:color w:val="auto"/>
          <w:spacing w:val="8"/>
          <w:sz w:val="20"/>
          <w:szCs w:val="20"/>
          <w:highlight w:val="none"/>
        </w:rPr>
        <w:t>最终响应文件的报价出现前后不一致</w:t>
      </w:r>
      <w:r>
        <w:rPr>
          <w:rFonts w:ascii="宋体" w:hAnsi="宋体" w:eastAsia="宋体" w:cs="宋体"/>
          <w:color w:val="auto"/>
          <w:spacing w:val="7"/>
          <w:sz w:val="20"/>
          <w:szCs w:val="20"/>
          <w:highlight w:val="none"/>
        </w:rPr>
        <w:t>的，按照本章第</w:t>
      </w:r>
      <w:r>
        <w:rPr>
          <w:rFonts w:ascii="宋体" w:hAnsi="宋体" w:eastAsia="宋体" w:cs="宋体"/>
          <w:color w:val="auto"/>
          <w:spacing w:val="-33"/>
          <w:sz w:val="20"/>
          <w:szCs w:val="20"/>
          <w:highlight w:val="none"/>
        </w:rPr>
        <w:t xml:space="preserve"> </w:t>
      </w:r>
      <w:r>
        <w:rPr>
          <w:rFonts w:ascii="宋体" w:hAnsi="宋体" w:eastAsia="宋体" w:cs="宋体"/>
          <w:color w:val="auto"/>
          <w:spacing w:val="7"/>
          <w:sz w:val="20"/>
          <w:szCs w:val="20"/>
          <w:highlight w:val="none"/>
        </w:rPr>
        <w:t>3.4</w:t>
      </w:r>
      <w:r>
        <w:rPr>
          <w:rFonts w:ascii="宋体" w:hAnsi="宋体" w:eastAsia="宋体" w:cs="宋体"/>
          <w:color w:val="auto"/>
          <w:spacing w:val="-39"/>
          <w:sz w:val="20"/>
          <w:szCs w:val="20"/>
          <w:highlight w:val="none"/>
        </w:rPr>
        <w:t xml:space="preserve"> </w:t>
      </w:r>
      <w:r>
        <w:rPr>
          <w:rFonts w:ascii="宋体" w:hAnsi="宋体" w:eastAsia="宋体" w:cs="宋体"/>
          <w:color w:val="auto"/>
          <w:spacing w:val="7"/>
          <w:sz w:val="20"/>
          <w:szCs w:val="20"/>
          <w:highlight w:val="none"/>
        </w:rPr>
        <w:t>条的规定修正。</w:t>
      </w:r>
    </w:p>
    <w:p w14:paraId="350C5F09">
      <w:pPr>
        <w:spacing w:before="162" w:line="227" w:lineRule="auto"/>
        <w:ind w:left="425"/>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5.8</w:t>
      </w:r>
      <w:r>
        <w:rPr>
          <w:rFonts w:ascii="宋体" w:hAnsi="宋体" w:eastAsia="宋体" w:cs="宋体"/>
          <w:color w:val="auto"/>
          <w:spacing w:val="-34"/>
          <w:sz w:val="20"/>
          <w:szCs w:val="20"/>
          <w:highlight w:val="none"/>
        </w:rPr>
        <w:t xml:space="preserve"> </w:t>
      </w:r>
      <w:r>
        <w:rPr>
          <w:rFonts w:ascii="宋体" w:hAnsi="宋体" w:eastAsia="宋体" w:cs="宋体"/>
          <w:color w:val="auto"/>
          <w:spacing w:val="8"/>
          <w:sz w:val="20"/>
          <w:szCs w:val="20"/>
          <w:highlight w:val="none"/>
        </w:rPr>
        <w:t>修正后的最终报价出现下列情形的，按无效响应处理：</w:t>
      </w:r>
    </w:p>
    <w:p w14:paraId="4645A1CB">
      <w:pPr>
        <w:spacing w:before="164" w:line="228" w:lineRule="auto"/>
        <w:ind w:left="43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（1）供应商不确认的（全流程电子化评标采取在线</w:t>
      </w:r>
      <w:r>
        <w:rPr>
          <w:rFonts w:ascii="宋体" w:hAnsi="宋体" w:eastAsia="宋体" w:cs="宋体"/>
          <w:color w:val="auto"/>
          <w:spacing w:val="8"/>
          <w:sz w:val="20"/>
          <w:szCs w:val="20"/>
          <w:highlight w:val="none"/>
        </w:rPr>
        <w:t>确认</w:t>
      </w:r>
      <w:r>
        <w:rPr>
          <w:rFonts w:ascii="宋体" w:hAnsi="宋体" w:eastAsia="宋体" w:cs="宋体"/>
          <w:color w:val="auto"/>
          <w:sz w:val="20"/>
          <w:szCs w:val="20"/>
          <w:highlight w:val="none"/>
        </w:rPr>
        <w:t>）；</w:t>
      </w:r>
    </w:p>
    <w:p w14:paraId="455E8BD1">
      <w:pPr>
        <w:spacing w:before="160" w:line="302" w:lineRule="auto"/>
        <w:ind w:right="56" w:firstLine="430"/>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（2）经供应商确认修正后的响应报价（包含首次报价、最后报价</w:t>
      </w:r>
      <w:r>
        <w:rPr>
          <w:rFonts w:ascii="宋体" w:hAnsi="宋体" w:eastAsia="宋体" w:cs="宋体"/>
          <w:color w:val="auto"/>
          <w:spacing w:val="9"/>
          <w:sz w:val="20"/>
          <w:szCs w:val="20"/>
          <w:highlight w:val="none"/>
        </w:rPr>
        <w:t>）超过所竞标分标规定的</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采购预算金额或者最高限价的（如本项目公布了最高限价</w:t>
      </w:r>
      <w:r>
        <w:rPr>
          <w:rFonts w:ascii="宋体" w:hAnsi="宋体" w:eastAsia="宋体" w:cs="宋体"/>
          <w:color w:val="auto"/>
          <w:spacing w:val="7"/>
          <w:sz w:val="20"/>
          <w:szCs w:val="20"/>
          <w:highlight w:val="none"/>
        </w:rPr>
        <w:t>）；</w:t>
      </w:r>
    </w:p>
    <w:p w14:paraId="687A8845">
      <w:pPr>
        <w:spacing w:before="162" w:line="303" w:lineRule="auto"/>
        <w:ind w:left="3" w:right="56" w:firstLine="427"/>
        <w:rPr>
          <w:rFonts w:ascii="宋体" w:hAnsi="宋体" w:eastAsia="宋体" w:cs="宋体"/>
          <w:color w:val="auto"/>
          <w:spacing w:val="10"/>
          <w:sz w:val="20"/>
          <w:szCs w:val="20"/>
          <w:highlight w:val="none"/>
        </w:rPr>
      </w:pPr>
      <w:r>
        <w:rPr>
          <w:rFonts w:ascii="宋体" w:hAnsi="宋体" w:eastAsia="宋体" w:cs="宋体"/>
          <w:color w:val="auto"/>
          <w:spacing w:val="10"/>
          <w:sz w:val="20"/>
          <w:szCs w:val="20"/>
          <w:highlight w:val="none"/>
        </w:rPr>
        <w:t>（3）经供应商确认修正后的响应报价（包含首次报价、最后报价</w:t>
      </w:r>
      <w:r>
        <w:rPr>
          <w:rFonts w:ascii="宋体" w:hAnsi="宋体" w:eastAsia="宋体" w:cs="宋体"/>
          <w:color w:val="auto"/>
          <w:spacing w:val="9"/>
          <w:sz w:val="20"/>
          <w:szCs w:val="20"/>
          <w:highlight w:val="none"/>
        </w:rPr>
        <w:t>）超过分项采购预算金额</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或者最高限价的（如本项目公布了最高</w:t>
      </w:r>
      <w:r>
        <w:rPr>
          <w:rFonts w:ascii="宋体" w:hAnsi="宋体" w:eastAsia="宋体" w:cs="宋体"/>
          <w:color w:val="auto"/>
          <w:spacing w:val="10"/>
          <w:sz w:val="20"/>
          <w:szCs w:val="20"/>
          <w:highlight w:val="none"/>
        </w:rPr>
        <w:t>限价）。</w:t>
      </w:r>
    </w:p>
    <w:p w14:paraId="1C058FE5">
      <w:pPr>
        <w:spacing w:before="162" w:line="303" w:lineRule="auto"/>
        <w:ind w:left="3" w:right="56" w:firstLine="427"/>
        <w:rPr>
          <w:rFonts w:ascii="宋体" w:hAnsi="宋体" w:eastAsia="宋体" w:cs="宋体"/>
          <w:color w:val="auto"/>
          <w:spacing w:val="10"/>
          <w:sz w:val="20"/>
          <w:szCs w:val="20"/>
          <w:highlight w:val="none"/>
        </w:rPr>
      </w:pPr>
      <w:r>
        <w:rPr>
          <w:rFonts w:ascii="宋体" w:hAnsi="宋体" w:eastAsia="宋体" w:cs="宋体"/>
          <w:color w:val="auto"/>
          <w:spacing w:val="10"/>
          <w:sz w:val="20"/>
          <w:szCs w:val="20"/>
          <w:highlight w:val="none"/>
        </w:rPr>
        <w:t>5.9 经供应商确认修正后的最后报价作为评审及签订合同的依据。</w:t>
      </w:r>
    </w:p>
    <w:p w14:paraId="75ABCDA9">
      <w:pPr>
        <w:spacing w:before="162" w:line="303" w:lineRule="auto"/>
        <w:ind w:left="3" w:right="56" w:firstLine="427"/>
        <w:rPr>
          <w:rFonts w:hint="eastAsia" w:ascii="宋体" w:hAnsi="宋体" w:eastAsia="宋体" w:cs="宋体"/>
          <w:color w:val="auto"/>
          <w:spacing w:val="10"/>
          <w:sz w:val="20"/>
          <w:szCs w:val="20"/>
          <w:highlight w:val="none"/>
          <w:lang w:val="en-US" w:eastAsia="zh-CN"/>
        </w:rPr>
      </w:pPr>
      <w:r>
        <w:rPr>
          <w:rFonts w:hint="eastAsia" w:ascii="宋体" w:hAnsi="宋体" w:eastAsia="宋体" w:cs="宋体"/>
          <w:color w:val="auto"/>
          <w:spacing w:val="10"/>
          <w:sz w:val="20"/>
          <w:szCs w:val="20"/>
          <w:highlight w:val="none"/>
        </w:rPr>
        <w:t>5.10</w:t>
      </w:r>
      <w:r>
        <w:rPr>
          <w:rFonts w:hint="eastAsia" w:ascii="宋体" w:hAnsi="宋体" w:eastAsia="宋体" w:cs="宋体"/>
          <w:color w:val="auto"/>
          <w:spacing w:val="10"/>
          <w:sz w:val="20"/>
          <w:szCs w:val="20"/>
          <w:highlight w:val="none"/>
          <w:lang w:val="en-US" w:eastAsia="zh-CN"/>
        </w:rPr>
        <w:t>采购异常低价审查</w:t>
      </w:r>
    </w:p>
    <w:p w14:paraId="170D5181">
      <w:pPr>
        <w:spacing w:before="162" w:line="303" w:lineRule="auto"/>
        <w:ind w:left="3" w:right="56" w:firstLine="427"/>
        <w:rPr>
          <w:rFonts w:hint="eastAsia" w:ascii="宋体" w:hAnsi="宋体" w:eastAsia="宋体" w:cs="宋体"/>
          <w:color w:val="auto"/>
          <w:spacing w:val="10"/>
          <w:sz w:val="20"/>
          <w:szCs w:val="20"/>
          <w:highlight w:val="none"/>
          <w:lang w:val="en-US" w:eastAsia="zh-CN"/>
        </w:rPr>
      </w:pPr>
      <w:r>
        <w:rPr>
          <w:rFonts w:hint="eastAsia" w:ascii="宋体" w:hAnsi="宋体" w:eastAsia="宋体" w:cs="宋体"/>
          <w:color w:val="auto"/>
          <w:spacing w:val="10"/>
          <w:sz w:val="20"/>
          <w:szCs w:val="20"/>
          <w:highlight w:val="none"/>
          <w:lang w:val="en-US" w:eastAsia="zh-CN"/>
        </w:rPr>
        <w:t>（1）采购评审中出现下列情形之一的，评审委员会应当启动异常低价投标（响应）审查程序：</w:t>
      </w:r>
    </w:p>
    <w:p w14:paraId="1433E96C">
      <w:pPr>
        <w:spacing w:before="162" w:line="303" w:lineRule="auto"/>
        <w:ind w:left="3" w:right="56" w:firstLine="427"/>
        <w:rPr>
          <w:rFonts w:hint="eastAsia" w:ascii="宋体" w:hAnsi="宋体" w:eastAsia="宋体" w:cs="宋体"/>
          <w:color w:val="auto"/>
          <w:spacing w:val="10"/>
          <w:sz w:val="20"/>
          <w:szCs w:val="20"/>
          <w:highlight w:val="none"/>
          <w:lang w:val="en-US" w:eastAsia="zh-CN"/>
        </w:rPr>
      </w:pPr>
      <w:r>
        <w:rPr>
          <w:rFonts w:hint="eastAsia" w:ascii="宋体" w:hAnsi="宋体" w:eastAsia="宋体" w:cs="宋体"/>
          <w:color w:val="auto"/>
          <w:spacing w:val="10"/>
          <w:sz w:val="20"/>
          <w:szCs w:val="20"/>
          <w:highlight w:val="none"/>
          <w:lang w:val="en-US" w:eastAsia="zh-CN"/>
        </w:rPr>
        <w:t>1）投标（响应）报价低于全部通过符合性审查供应商投标（响应）报价平均值50%的，即投标（响应）报价&lt;全部通过符合性审查供应商投标（响应）报价平均值×50%；</w:t>
      </w:r>
    </w:p>
    <w:p w14:paraId="3C6C6782">
      <w:pPr>
        <w:spacing w:before="162" w:line="303" w:lineRule="auto"/>
        <w:ind w:left="3" w:right="56" w:firstLine="427"/>
        <w:rPr>
          <w:rFonts w:hint="eastAsia" w:ascii="宋体" w:hAnsi="宋体" w:eastAsia="宋体" w:cs="宋体"/>
          <w:color w:val="auto"/>
          <w:spacing w:val="10"/>
          <w:sz w:val="20"/>
          <w:szCs w:val="20"/>
          <w:highlight w:val="none"/>
          <w:lang w:val="en-US" w:eastAsia="zh-CN"/>
        </w:rPr>
      </w:pPr>
      <w:r>
        <w:rPr>
          <w:rFonts w:hint="eastAsia" w:ascii="宋体" w:hAnsi="宋体" w:eastAsia="宋体" w:cs="宋体"/>
          <w:color w:val="auto"/>
          <w:spacing w:val="10"/>
          <w:sz w:val="20"/>
          <w:szCs w:val="20"/>
          <w:highlight w:val="none"/>
          <w:lang w:val="en-US" w:eastAsia="zh-CN"/>
        </w:rPr>
        <w:t>2）投标（响应）报价低于通过符合性审查的次低报价供应商投标（响应）报价50%的，即投标（响应）报价&lt;通过符合性审查的次低报价供应商投标（响应）报价×50%；</w:t>
      </w:r>
    </w:p>
    <w:p w14:paraId="23D31CE1">
      <w:pPr>
        <w:spacing w:before="162" w:line="303" w:lineRule="auto"/>
        <w:ind w:left="3" w:right="56" w:firstLine="427"/>
        <w:rPr>
          <w:rFonts w:hint="eastAsia" w:ascii="宋体" w:hAnsi="宋体" w:eastAsia="宋体" w:cs="宋体"/>
          <w:color w:val="auto"/>
          <w:spacing w:val="10"/>
          <w:sz w:val="20"/>
          <w:szCs w:val="20"/>
          <w:highlight w:val="none"/>
          <w:lang w:val="en-US" w:eastAsia="zh-CN"/>
        </w:rPr>
      </w:pPr>
      <w:r>
        <w:rPr>
          <w:rFonts w:hint="eastAsia" w:ascii="宋体" w:hAnsi="宋体" w:eastAsia="宋体" w:cs="宋体"/>
          <w:color w:val="auto"/>
          <w:spacing w:val="10"/>
          <w:sz w:val="20"/>
          <w:szCs w:val="20"/>
          <w:highlight w:val="none"/>
          <w:lang w:val="en-US" w:eastAsia="zh-CN"/>
        </w:rPr>
        <w:t>3）投标（响应）报价低于采购项目最高限价50%的，即投标（响应）报价&lt;采购项目最高限价×50%；</w:t>
      </w:r>
    </w:p>
    <w:p w14:paraId="2FD53E56">
      <w:pPr>
        <w:spacing w:before="162" w:line="303" w:lineRule="auto"/>
        <w:ind w:left="3" w:right="56" w:firstLine="427"/>
        <w:rPr>
          <w:rFonts w:hint="eastAsia" w:ascii="宋体" w:hAnsi="宋体" w:eastAsia="宋体" w:cs="宋体"/>
          <w:color w:val="auto"/>
          <w:spacing w:val="10"/>
          <w:sz w:val="20"/>
          <w:szCs w:val="20"/>
          <w:highlight w:val="none"/>
          <w:lang w:val="en-US" w:eastAsia="zh-CN"/>
        </w:rPr>
      </w:pPr>
      <w:r>
        <w:rPr>
          <w:rFonts w:hint="eastAsia" w:ascii="宋体" w:hAnsi="宋体" w:eastAsia="宋体" w:cs="宋体"/>
          <w:color w:val="auto"/>
          <w:spacing w:val="10"/>
          <w:sz w:val="20"/>
          <w:szCs w:val="20"/>
          <w:highlight w:val="none"/>
          <w:lang w:val="en-US" w:eastAsia="zh-CN"/>
        </w:rPr>
        <w:t>4）评审委员会基于专业判断，认为供应商报价过低，有可能影响产品质量或者不能诚信履约的其他情形。</w:t>
      </w:r>
    </w:p>
    <w:p w14:paraId="79167C03">
      <w:pPr>
        <w:spacing w:before="162" w:line="303" w:lineRule="auto"/>
        <w:ind w:left="3" w:right="56" w:firstLine="427"/>
        <w:rPr>
          <w:rFonts w:hint="eastAsia" w:ascii="宋体" w:hAnsi="宋体" w:eastAsia="宋体" w:cs="宋体"/>
          <w:color w:val="auto"/>
          <w:spacing w:val="10"/>
          <w:sz w:val="20"/>
          <w:szCs w:val="20"/>
          <w:highlight w:val="none"/>
          <w:lang w:val="en-US" w:eastAsia="zh-CN"/>
        </w:rPr>
      </w:pPr>
      <w:r>
        <w:rPr>
          <w:rFonts w:hint="eastAsia" w:ascii="宋体" w:hAnsi="宋体" w:eastAsia="宋体" w:cs="宋体"/>
          <w:color w:val="auto"/>
          <w:spacing w:val="10"/>
          <w:sz w:val="20"/>
          <w:szCs w:val="20"/>
          <w:highlight w:val="none"/>
          <w:lang w:val="en-US" w:eastAsia="zh-CN"/>
        </w:rPr>
        <w:t>相关法律法规对供应商报价有规定的，从其规定。</w:t>
      </w:r>
    </w:p>
    <w:p w14:paraId="2158DA4E">
      <w:pPr>
        <w:spacing w:before="162" w:line="303" w:lineRule="auto"/>
        <w:ind w:left="3" w:right="56" w:firstLine="427"/>
        <w:rPr>
          <w:rFonts w:hint="eastAsia" w:ascii="宋体" w:hAnsi="宋体" w:eastAsia="宋体" w:cs="宋体"/>
          <w:color w:val="auto"/>
          <w:spacing w:val="10"/>
          <w:sz w:val="20"/>
          <w:szCs w:val="20"/>
          <w:highlight w:val="none"/>
          <w:lang w:val="en-US" w:eastAsia="zh-CN"/>
        </w:rPr>
      </w:pPr>
      <w:r>
        <w:rPr>
          <w:rFonts w:hint="eastAsia" w:ascii="宋体" w:hAnsi="宋体" w:eastAsia="宋体" w:cs="宋体"/>
          <w:color w:val="auto"/>
          <w:spacing w:val="10"/>
          <w:sz w:val="20"/>
          <w:szCs w:val="20"/>
          <w:highlight w:val="none"/>
          <w:lang w:val="en-US" w:eastAsia="zh-CN"/>
        </w:rPr>
        <w:t>（2）磋商小组启动异常低价竞标审查后，属于前述第1项至第4项情形的，应当要求相关供应商在评审现场合理的时间内对竞标价格作出解释，提供项目具体成本测算等与报价合理性相关的书面说明及必要的证明材料，包括但不限于原材料成本、人工成本、制造费用等，给予相关供应商的合理时间一般不少于30分钟。其中，属于第3）项情形，供应商已随竞标文件一并提交相关书面说明及必要的证明材料的，可不再重复提交。</w:t>
      </w:r>
    </w:p>
    <w:p w14:paraId="7A49764C">
      <w:pPr>
        <w:spacing w:before="162" w:line="303" w:lineRule="auto"/>
        <w:ind w:left="3" w:right="56" w:firstLine="427"/>
        <w:rPr>
          <w:rFonts w:hint="eastAsia" w:ascii="宋体" w:hAnsi="宋体" w:eastAsia="宋体" w:cs="宋体"/>
          <w:color w:val="auto"/>
          <w:spacing w:val="10"/>
          <w:sz w:val="20"/>
          <w:szCs w:val="20"/>
          <w:highlight w:val="none"/>
          <w:lang w:val="en-US" w:eastAsia="zh-CN"/>
        </w:rPr>
      </w:pPr>
      <w:r>
        <w:rPr>
          <w:rFonts w:hint="eastAsia" w:ascii="宋体" w:hAnsi="宋体" w:eastAsia="宋体" w:cs="宋体"/>
          <w:color w:val="auto"/>
          <w:spacing w:val="10"/>
          <w:sz w:val="20"/>
          <w:szCs w:val="20"/>
          <w:highlight w:val="none"/>
          <w:lang w:val="en-US" w:eastAsia="zh-CN"/>
        </w:rPr>
        <w:t>磋商小组依据专业经验，参考同类项目中标（成交）价格、类似产品市场价格水平、行业人工费用标准、国家有关部门指导行业协会发布的行业平均成本等情况，对报价合理性进行判断。竞标供应商不能提供书面说明、证明材料，或者提供的书面说明、证明材料不能证明其报价合理性的，磋商小组应当将其作为无效竞标处理。</w:t>
      </w:r>
    </w:p>
    <w:p w14:paraId="3C152A21">
      <w:pPr>
        <w:spacing w:before="162" w:line="303" w:lineRule="auto"/>
        <w:ind w:left="3" w:right="56" w:firstLine="427"/>
        <w:rPr>
          <w:rFonts w:hint="eastAsia" w:ascii="宋体" w:hAnsi="宋体" w:eastAsia="宋体" w:cs="宋体"/>
          <w:color w:val="auto"/>
          <w:spacing w:val="10"/>
          <w:sz w:val="20"/>
          <w:szCs w:val="20"/>
          <w:highlight w:val="none"/>
          <w:lang w:val="en-US" w:eastAsia="zh-CN"/>
        </w:rPr>
      </w:pPr>
      <w:r>
        <w:rPr>
          <w:rFonts w:hint="eastAsia" w:ascii="宋体" w:hAnsi="宋体" w:eastAsia="宋体" w:cs="宋体"/>
          <w:color w:val="auto"/>
          <w:spacing w:val="10"/>
          <w:sz w:val="20"/>
          <w:szCs w:val="20"/>
          <w:highlight w:val="none"/>
          <w:lang w:val="en-US" w:eastAsia="zh-CN"/>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19373EB4">
      <w:pPr>
        <w:spacing w:before="162" w:line="303" w:lineRule="auto"/>
        <w:ind w:left="3" w:right="56" w:firstLine="427"/>
        <w:rPr>
          <w:rFonts w:ascii="宋体" w:hAnsi="宋体" w:eastAsia="宋体" w:cs="宋体"/>
          <w:color w:val="auto"/>
          <w:spacing w:val="8"/>
          <w:sz w:val="20"/>
          <w:szCs w:val="20"/>
          <w:highlight w:val="none"/>
        </w:rPr>
      </w:pPr>
      <w:r>
        <w:rPr>
          <w:rFonts w:hint="eastAsia" w:ascii="宋体" w:hAnsi="宋体" w:eastAsia="宋体" w:cs="宋体"/>
          <w:color w:val="auto"/>
          <w:spacing w:val="10"/>
          <w:sz w:val="20"/>
          <w:szCs w:val="20"/>
          <w:highlight w:val="none"/>
          <w:lang w:val="en-US" w:eastAsia="zh-CN"/>
        </w:rPr>
        <w:t>异常低价竞标审查的启动原因、审查意见和审查结果应当在评审报告中记录，并随供应商提供的相关书面说明及证明材料；如有，以及磋商小组有关互联网浏览、查询历史一并归档。</w:t>
      </w:r>
    </w:p>
    <w:p w14:paraId="4EBA6DB6">
      <w:pPr>
        <w:spacing w:before="163" w:line="302" w:lineRule="auto"/>
        <w:ind w:left="1" w:right="54" w:firstLine="423"/>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5.1</w:t>
      </w:r>
      <w:r>
        <w:rPr>
          <w:rFonts w:hint="eastAsia" w:ascii="宋体" w:hAnsi="宋体" w:eastAsia="宋体" w:cs="宋体"/>
          <w:color w:val="auto"/>
          <w:spacing w:val="11"/>
          <w:sz w:val="20"/>
          <w:szCs w:val="20"/>
          <w:highlight w:val="none"/>
          <w:lang w:val="en-US" w:eastAsia="zh-CN"/>
        </w:rPr>
        <w:t>1</w:t>
      </w:r>
      <w:r>
        <w:rPr>
          <w:rFonts w:ascii="宋体" w:hAnsi="宋体" w:eastAsia="宋体" w:cs="宋体"/>
          <w:color w:val="auto"/>
          <w:spacing w:val="-38"/>
          <w:sz w:val="20"/>
          <w:szCs w:val="20"/>
          <w:highlight w:val="none"/>
        </w:rPr>
        <w:t xml:space="preserve"> </w:t>
      </w:r>
      <w:r>
        <w:rPr>
          <w:rFonts w:ascii="宋体" w:hAnsi="宋体" w:eastAsia="宋体" w:cs="宋体"/>
          <w:color w:val="auto"/>
          <w:spacing w:val="11"/>
          <w:sz w:val="20"/>
          <w:szCs w:val="20"/>
          <w:highlight w:val="none"/>
        </w:rPr>
        <w:t>供应商出现最后报价按无效响应处理或者响应文</w:t>
      </w:r>
      <w:r>
        <w:rPr>
          <w:rFonts w:ascii="宋体" w:hAnsi="宋体" w:eastAsia="宋体" w:cs="宋体"/>
          <w:color w:val="auto"/>
          <w:spacing w:val="10"/>
          <w:sz w:val="20"/>
          <w:szCs w:val="20"/>
          <w:highlight w:val="none"/>
        </w:rPr>
        <w:t>件按无效处理时，磋商小组应当告知</w:t>
      </w:r>
      <w:r>
        <w:rPr>
          <w:rFonts w:ascii="宋体" w:hAnsi="宋体" w:eastAsia="宋体" w:cs="宋体"/>
          <w:color w:val="auto"/>
          <w:spacing w:val="6"/>
          <w:sz w:val="20"/>
          <w:szCs w:val="20"/>
          <w:highlight w:val="none"/>
        </w:rPr>
        <w:t>有关供应商。</w:t>
      </w:r>
    </w:p>
    <w:p w14:paraId="62A4A08D">
      <w:pPr>
        <w:spacing w:before="274" w:line="227" w:lineRule="auto"/>
        <w:ind w:left="425"/>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5.1</w:t>
      </w:r>
      <w:r>
        <w:rPr>
          <w:rFonts w:hint="eastAsia" w:ascii="宋体" w:hAnsi="宋体" w:eastAsia="宋体" w:cs="宋体"/>
          <w:color w:val="auto"/>
          <w:spacing w:val="10"/>
          <w:sz w:val="20"/>
          <w:szCs w:val="20"/>
          <w:highlight w:val="none"/>
          <w:lang w:val="en-US" w:eastAsia="zh-CN"/>
        </w:rPr>
        <w:t>2</w:t>
      </w:r>
      <w:r>
        <w:rPr>
          <w:rFonts w:ascii="宋体" w:hAnsi="宋体" w:eastAsia="宋体" w:cs="宋体"/>
          <w:color w:val="auto"/>
          <w:spacing w:val="10"/>
          <w:sz w:val="20"/>
          <w:szCs w:val="20"/>
          <w:highlight w:val="none"/>
        </w:rPr>
        <w:t>最后报价结束后，磋商小组不得再与供应商进行任何形式的商谈。</w:t>
      </w:r>
    </w:p>
    <w:p w14:paraId="5F3989F9">
      <w:pPr>
        <w:spacing w:before="138" w:line="303" w:lineRule="auto"/>
        <w:ind w:left="1" w:right="56" w:firstLine="423"/>
        <w:rPr>
          <w:rFonts w:ascii="宋体" w:hAnsi="宋体" w:eastAsia="宋体" w:cs="宋体"/>
          <w:color w:val="auto"/>
          <w:sz w:val="20"/>
          <w:szCs w:val="20"/>
          <w:highlight w:val="none"/>
        </w:rPr>
      </w:pPr>
      <w:r>
        <w:rPr>
          <w:rFonts w:ascii="宋体" w:hAnsi="宋体" w:eastAsia="宋体" w:cs="宋体"/>
          <w:b/>
          <w:bCs/>
          <w:color w:val="auto"/>
          <w:spacing w:val="9"/>
          <w:sz w:val="20"/>
          <w:szCs w:val="20"/>
          <w:highlight w:val="none"/>
        </w:rPr>
        <w:t>5.1</w:t>
      </w:r>
      <w:r>
        <w:rPr>
          <w:rFonts w:hint="eastAsia" w:ascii="宋体" w:hAnsi="宋体" w:eastAsia="宋体" w:cs="宋体"/>
          <w:b/>
          <w:bCs/>
          <w:color w:val="auto"/>
          <w:spacing w:val="9"/>
          <w:sz w:val="20"/>
          <w:szCs w:val="20"/>
          <w:highlight w:val="none"/>
          <w:lang w:val="en-US" w:eastAsia="zh-CN"/>
        </w:rPr>
        <w:t>3</w:t>
      </w:r>
      <w:r>
        <w:rPr>
          <w:rFonts w:ascii="宋体" w:hAnsi="宋体" w:eastAsia="宋体" w:cs="宋体"/>
          <w:color w:val="auto"/>
          <w:spacing w:val="-38"/>
          <w:sz w:val="20"/>
          <w:szCs w:val="20"/>
          <w:highlight w:val="none"/>
        </w:rPr>
        <w:t xml:space="preserve"> </w:t>
      </w:r>
      <w:r>
        <w:rPr>
          <w:rFonts w:ascii="宋体" w:hAnsi="宋体" w:eastAsia="宋体" w:cs="宋体"/>
          <w:b/>
          <w:bCs/>
          <w:color w:val="auto"/>
          <w:spacing w:val="9"/>
          <w:sz w:val="20"/>
          <w:szCs w:val="20"/>
          <w:highlight w:val="none"/>
        </w:rPr>
        <w:t>供应商的最终竞标报价总额与首次</w:t>
      </w:r>
      <w:r>
        <w:rPr>
          <w:rFonts w:ascii="宋体" w:hAnsi="宋体" w:eastAsia="宋体" w:cs="宋体"/>
          <w:b/>
          <w:bCs/>
          <w:color w:val="auto"/>
          <w:spacing w:val="8"/>
          <w:sz w:val="20"/>
          <w:szCs w:val="20"/>
          <w:highlight w:val="none"/>
        </w:rPr>
        <w:t>递交响应文件中竞标报价总额不一致，须在二次报</w:t>
      </w:r>
      <w:r>
        <w:rPr>
          <w:rFonts w:ascii="宋体" w:hAnsi="宋体" w:eastAsia="宋体" w:cs="宋体"/>
          <w:color w:val="auto"/>
          <w:sz w:val="20"/>
          <w:szCs w:val="20"/>
          <w:highlight w:val="none"/>
        </w:rPr>
        <w:t xml:space="preserve"> </w:t>
      </w:r>
      <w:r>
        <w:rPr>
          <w:rFonts w:ascii="宋体" w:hAnsi="宋体" w:eastAsia="宋体" w:cs="宋体"/>
          <w:b/>
          <w:bCs/>
          <w:color w:val="auto"/>
          <w:spacing w:val="7"/>
          <w:sz w:val="20"/>
          <w:szCs w:val="20"/>
          <w:highlight w:val="none"/>
        </w:rPr>
        <w:t>价时提交一份已标价工程量清单。</w:t>
      </w:r>
    </w:p>
    <w:p w14:paraId="6F961FCF">
      <w:pPr>
        <w:spacing w:before="164" w:line="219" w:lineRule="auto"/>
        <w:ind w:left="423"/>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6.比较与评价</w:t>
      </w:r>
    </w:p>
    <w:p w14:paraId="08E0C50E">
      <w:pPr>
        <w:spacing w:before="179" w:line="229" w:lineRule="auto"/>
        <w:ind w:left="422"/>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6.1</w:t>
      </w:r>
      <w:r>
        <w:rPr>
          <w:rFonts w:ascii="宋体" w:hAnsi="宋体" w:eastAsia="宋体" w:cs="宋体"/>
          <w:color w:val="auto"/>
          <w:spacing w:val="-30"/>
          <w:sz w:val="20"/>
          <w:szCs w:val="20"/>
          <w:highlight w:val="none"/>
        </w:rPr>
        <w:t xml:space="preserve"> </w:t>
      </w:r>
      <w:r>
        <w:rPr>
          <w:rFonts w:ascii="宋体" w:hAnsi="宋体" w:eastAsia="宋体" w:cs="宋体"/>
          <w:color w:val="auto"/>
          <w:spacing w:val="6"/>
          <w:sz w:val="20"/>
          <w:szCs w:val="20"/>
          <w:highlight w:val="none"/>
        </w:rPr>
        <w:t>评审方法：综合评分法。</w:t>
      </w:r>
    </w:p>
    <w:p w14:paraId="66B709FD">
      <w:pPr>
        <w:spacing w:before="162" w:line="302" w:lineRule="auto"/>
        <w:ind w:left="5" w:right="56" w:firstLine="417"/>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6.2</w:t>
      </w:r>
      <w:r>
        <w:rPr>
          <w:rFonts w:ascii="宋体" w:hAnsi="宋体" w:eastAsia="宋体" w:cs="宋体"/>
          <w:color w:val="auto"/>
          <w:spacing w:val="-30"/>
          <w:sz w:val="20"/>
          <w:szCs w:val="20"/>
          <w:highlight w:val="none"/>
        </w:rPr>
        <w:t xml:space="preserve"> </w:t>
      </w:r>
      <w:r>
        <w:rPr>
          <w:rFonts w:ascii="宋体" w:hAnsi="宋体" w:eastAsia="宋体" w:cs="宋体"/>
          <w:color w:val="auto"/>
          <w:spacing w:val="8"/>
          <w:sz w:val="20"/>
          <w:szCs w:val="20"/>
          <w:highlight w:val="none"/>
        </w:rPr>
        <w:t>经磋商确定最终采购需求和提交最后报价的供应商后，由磋商小组采用综合评分法对提</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交最后报价的供应商的响应文件和最后报价进行综合评分。</w:t>
      </w:r>
    </w:p>
    <w:p w14:paraId="3CA365D5">
      <w:pPr>
        <w:spacing w:before="162" w:line="302" w:lineRule="auto"/>
        <w:ind w:right="56" w:firstLine="421"/>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6.3</w:t>
      </w:r>
      <w:r>
        <w:rPr>
          <w:rFonts w:ascii="宋体" w:hAnsi="宋体" w:eastAsia="宋体" w:cs="宋体"/>
          <w:color w:val="auto"/>
          <w:spacing w:val="-30"/>
          <w:sz w:val="20"/>
          <w:szCs w:val="20"/>
          <w:highlight w:val="none"/>
        </w:rPr>
        <w:t xml:space="preserve"> </w:t>
      </w:r>
      <w:r>
        <w:rPr>
          <w:rFonts w:ascii="宋体" w:hAnsi="宋体" w:eastAsia="宋体" w:cs="宋体"/>
          <w:color w:val="auto"/>
          <w:spacing w:val="8"/>
          <w:sz w:val="20"/>
          <w:szCs w:val="20"/>
          <w:highlight w:val="none"/>
        </w:rPr>
        <w:t>评审时，磋商小组各成员应当独立对每个有效响应的文件进行评价、打分，然后汇总每</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个供应商每项评分因素的得分。</w:t>
      </w:r>
    </w:p>
    <w:p w14:paraId="709C2716">
      <w:pPr>
        <w:spacing w:before="161" w:line="328" w:lineRule="auto"/>
        <w:ind w:left="4" w:right="56" w:firstLine="426"/>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（1）评审委员会成员要根据政府采购法律法规和采购文件所载明</w:t>
      </w:r>
      <w:r>
        <w:rPr>
          <w:rFonts w:ascii="宋体" w:hAnsi="宋体" w:eastAsia="宋体" w:cs="宋体"/>
          <w:color w:val="auto"/>
          <w:spacing w:val="9"/>
          <w:sz w:val="20"/>
          <w:szCs w:val="20"/>
          <w:highlight w:val="none"/>
        </w:rPr>
        <w:t>的评审方法、标准进行评</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审。对供应商的价格分等客观评分项的评分应当一</w:t>
      </w:r>
      <w:r>
        <w:rPr>
          <w:rFonts w:ascii="宋体" w:hAnsi="宋体" w:eastAsia="宋体" w:cs="宋体"/>
          <w:color w:val="auto"/>
          <w:spacing w:val="7"/>
          <w:sz w:val="20"/>
          <w:szCs w:val="20"/>
          <w:highlight w:val="none"/>
        </w:rPr>
        <w:t>致，对其他需要借助专业知识评判的主观评分</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项，应当严格按照评分细则公正评分。</w:t>
      </w:r>
    </w:p>
    <w:p w14:paraId="23C271FA">
      <w:pPr>
        <w:spacing w:before="160" w:line="302" w:lineRule="auto"/>
        <w:ind w:left="4" w:firstLine="426"/>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（2）磋商小组按照磋商文件中规定的评审标准计算各供应商的报价得分。项目评审过程中，</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不得去掉最后报价中的最高报价和最低报价。</w:t>
      </w:r>
    </w:p>
    <w:p w14:paraId="4EA1905E">
      <w:pPr>
        <w:spacing w:before="162" w:line="228" w:lineRule="auto"/>
        <w:ind w:left="43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（3）各供应商的得分为磋商小组所有成员的有效评分</w:t>
      </w:r>
      <w:r>
        <w:rPr>
          <w:rFonts w:ascii="宋体" w:hAnsi="宋体" w:eastAsia="宋体" w:cs="宋体"/>
          <w:color w:val="auto"/>
          <w:spacing w:val="8"/>
          <w:sz w:val="20"/>
          <w:szCs w:val="20"/>
          <w:highlight w:val="none"/>
        </w:rPr>
        <w:t>的算术平均数。</w:t>
      </w:r>
    </w:p>
    <w:p w14:paraId="5D8D1F64">
      <w:pPr>
        <w:spacing w:before="163" w:line="302" w:lineRule="auto"/>
        <w:ind w:left="4" w:right="53" w:firstLine="418"/>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6.4</w:t>
      </w:r>
      <w:r>
        <w:rPr>
          <w:rFonts w:ascii="宋体" w:hAnsi="宋体" w:eastAsia="宋体" w:cs="宋体"/>
          <w:color w:val="auto"/>
          <w:spacing w:val="-28"/>
          <w:sz w:val="20"/>
          <w:szCs w:val="20"/>
          <w:highlight w:val="none"/>
        </w:rPr>
        <w:t xml:space="preserve"> </w:t>
      </w:r>
      <w:r>
        <w:rPr>
          <w:rFonts w:ascii="宋体" w:hAnsi="宋体" w:eastAsia="宋体" w:cs="宋体"/>
          <w:color w:val="auto"/>
          <w:spacing w:val="8"/>
          <w:sz w:val="20"/>
          <w:szCs w:val="20"/>
          <w:highlight w:val="none"/>
        </w:rPr>
        <w:t>评审价为供应商的最后报价进行政策性扣除后的价格，评审价只是作为评审时使用。最</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终成交供应商的成交金额等于最后报价（如有修正，以确认修正后的最后报价为准）。</w:t>
      </w:r>
    </w:p>
    <w:p w14:paraId="094CB56D">
      <w:pPr>
        <w:spacing w:before="164" w:line="339" w:lineRule="auto"/>
        <w:ind w:left="1" w:right="53" w:firstLine="420"/>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6.5</w:t>
      </w:r>
      <w:r>
        <w:rPr>
          <w:rFonts w:ascii="宋体" w:hAnsi="宋体" w:eastAsia="宋体" w:cs="宋体"/>
          <w:color w:val="auto"/>
          <w:spacing w:val="-15"/>
          <w:sz w:val="20"/>
          <w:szCs w:val="20"/>
          <w:highlight w:val="none"/>
        </w:rPr>
        <w:t xml:space="preserve"> </w:t>
      </w:r>
      <w:r>
        <w:rPr>
          <w:rFonts w:ascii="宋体" w:hAnsi="宋体" w:eastAsia="宋体" w:cs="宋体"/>
          <w:color w:val="auto"/>
          <w:spacing w:val="7"/>
          <w:sz w:val="20"/>
          <w:szCs w:val="20"/>
          <w:highlight w:val="none"/>
        </w:rPr>
        <w:t>由磋商小组根据综合评分情况，按照评审得分由高到低顺序推荐</w:t>
      </w:r>
      <w:r>
        <w:rPr>
          <w:rFonts w:ascii="宋体" w:hAnsi="宋体" w:eastAsia="宋体" w:cs="宋体"/>
          <w:color w:val="auto"/>
          <w:spacing w:val="-33"/>
          <w:sz w:val="20"/>
          <w:szCs w:val="20"/>
          <w:highlight w:val="none"/>
        </w:rPr>
        <w:t xml:space="preserve"> </w:t>
      </w:r>
      <w:r>
        <w:rPr>
          <w:rFonts w:ascii="宋体" w:hAnsi="宋体" w:eastAsia="宋体" w:cs="宋体"/>
          <w:color w:val="auto"/>
          <w:spacing w:val="7"/>
          <w:sz w:val="20"/>
          <w:szCs w:val="20"/>
          <w:highlight w:val="none"/>
        </w:rPr>
        <w:t>3</w:t>
      </w:r>
      <w:r>
        <w:rPr>
          <w:rFonts w:ascii="宋体" w:hAnsi="宋体" w:eastAsia="宋体" w:cs="宋体"/>
          <w:color w:val="auto"/>
          <w:spacing w:val="-35"/>
          <w:sz w:val="20"/>
          <w:szCs w:val="20"/>
          <w:highlight w:val="none"/>
        </w:rPr>
        <w:t xml:space="preserve"> </w:t>
      </w:r>
      <w:r>
        <w:rPr>
          <w:rFonts w:ascii="宋体" w:hAnsi="宋体" w:eastAsia="宋体" w:cs="宋体"/>
          <w:color w:val="auto"/>
          <w:spacing w:val="7"/>
          <w:sz w:val="20"/>
          <w:szCs w:val="20"/>
          <w:highlight w:val="none"/>
        </w:rPr>
        <w:t>名以上成交</w:t>
      </w:r>
      <w:r>
        <w:rPr>
          <w:rFonts w:ascii="宋体" w:hAnsi="宋体" w:eastAsia="宋体" w:cs="宋体"/>
          <w:color w:val="auto"/>
          <w:spacing w:val="6"/>
          <w:sz w:val="20"/>
          <w:szCs w:val="20"/>
          <w:highlight w:val="none"/>
        </w:rPr>
        <w:t>候选供应</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商，并编写评审报告。符合本章第4.3</w:t>
      </w:r>
      <w:r>
        <w:rPr>
          <w:rFonts w:ascii="宋体" w:hAnsi="宋体" w:eastAsia="宋体" w:cs="宋体"/>
          <w:color w:val="auto"/>
          <w:spacing w:val="-39"/>
          <w:sz w:val="20"/>
          <w:szCs w:val="20"/>
          <w:highlight w:val="none"/>
        </w:rPr>
        <w:t xml:space="preserve"> </w:t>
      </w:r>
      <w:r>
        <w:rPr>
          <w:rFonts w:ascii="宋体" w:hAnsi="宋体" w:eastAsia="宋体" w:cs="宋体"/>
          <w:color w:val="auto"/>
          <w:spacing w:val="8"/>
          <w:sz w:val="20"/>
          <w:szCs w:val="20"/>
          <w:highlight w:val="none"/>
        </w:rPr>
        <w:t>条情形的，可以推荐</w:t>
      </w:r>
      <w:r>
        <w:rPr>
          <w:rFonts w:ascii="宋体" w:hAnsi="宋体" w:eastAsia="宋体" w:cs="宋体"/>
          <w:color w:val="auto"/>
          <w:spacing w:val="-34"/>
          <w:sz w:val="20"/>
          <w:szCs w:val="20"/>
          <w:highlight w:val="none"/>
        </w:rPr>
        <w:t xml:space="preserve"> </w:t>
      </w:r>
      <w:r>
        <w:rPr>
          <w:rFonts w:ascii="宋体" w:hAnsi="宋体" w:eastAsia="宋体" w:cs="宋体"/>
          <w:color w:val="auto"/>
          <w:spacing w:val="7"/>
          <w:sz w:val="20"/>
          <w:szCs w:val="20"/>
          <w:highlight w:val="none"/>
        </w:rPr>
        <w:t>2</w:t>
      </w:r>
      <w:r>
        <w:rPr>
          <w:rFonts w:ascii="宋体" w:hAnsi="宋体" w:eastAsia="宋体" w:cs="宋体"/>
          <w:color w:val="auto"/>
          <w:spacing w:val="-37"/>
          <w:sz w:val="20"/>
          <w:szCs w:val="20"/>
          <w:highlight w:val="none"/>
        </w:rPr>
        <w:t xml:space="preserve"> </w:t>
      </w:r>
      <w:r>
        <w:rPr>
          <w:rFonts w:ascii="宋体" w:hAnsi="宋体" w:eastAsia="宋体" w:cs="宋体"/>
          <w:color w:val="auto"/>
          <w:spacing w:val="7"/>
          <w:sz w:val="20"/>
          <w:szCs w:val="20"/>
          <w:highlight w:val="none"/>
        </w:rPr>
        <w:t>家成交候选供应商。评审得分相同</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的，按照最后报价由低到高的顺序推荐。评审得分且最后报价</w:t>
      </w:r>
      <w:r>
        <w:rPr>
          <w:rFonts w:ascii="宋体" w:hAnsi="宋体" w:eastAsia="宋体" w:cs="宋体"/>
          <w:color w:val="auto"/>
          <w:spacing w:val="7"/>
          <w:sz w:val="20"/>
          <w:szCs w:val="20"/>
          <w:highlight w:val="none"/>
        </w:rPr>
        <w:t>相同的，按照技术指标优劣顺序推</w:t>
      </w:r>
      <w:r>
        <w:rPr>
          <w:rFonts w:ascii="宋体" w:hAnsi="宋体" w:eastAsia="宋体" w:cs="宋体"/>
          <w:color w:val="auto"/>
          <w:sz w:val="20"/>
          <w:szCs w:val="20"/>
          <w:highlight w:val="none"/>
        </w:rPr>
        <w:t xml:space="preserve"> 荐。</w:t>
      </w:r>
    </w:p>
    <w:p w14:paraId="7DC0B31C">
      <w:pPr>
        <w:spacing w:before="163" w:line="302" w:lineRule="auto"/>
        <w:ind w:left="6" w:right="56" w:firstLine="416"/>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6.6</w:t>
      </w:r>
      <w:r>
        <w:rPr>
          <w:rFonts w:ascii="宋体" w:hAnsi="宋体" w:eastAsia="宋体" w:cs="宋体"/>
          <w:color w:val="auto"/>
          <w:spacing w:val="-30"/>
          <w:sz w:val="20"/>
          <w:szCs w:val="20"/>
          <w:highlight w:val="none"/>
        </w:rPr>
        <w:t xml:space="preserve"> </w:t>
      </w:r>
      <w:r>
        <w:rPr>
          <w:rFonts w:ascii="宋体" w:hAnsi="宋体" w:eastAsia="宋体" w:cs="宋体"/>
          <w:color w:val="auto"/>
          <w:spacing w:val="8"/>
          <w:sz w:val="20"/>
          <w:szCs w:val="20"/>
          <w:highlight w:val="none"/>
        </w:rPr>
        <w:t>评审报告应当由磋商小组全体人员签字认可。磋商小组成员对评审报告有异议的，磋商</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小组按照少数服从多数的原则推荐成交候选供</w:t>
      </w:r>
      <w:r>
        <w:rPr>
          <w:rFonts w:ascii="宋体" w:hAnsi="宋体" w:eastAsia="宋体" w:cs="宋体"/>
          <w:color w:val="auto"/>
          <w:spacing w:val="7"/>
          <w:sz w:val="20"/>
          <w:szCs w:val="20"/>
          <w:highlight w:val="none"/>
        </w:rPr>
        <w:t>应商，采购程序继续进行。对评审报告有异议的磋</w:t>
      </w:r>
      <w:r>
        <w:rPr>
          <w:rFonts w:ascii="宋体" w:hAnsi="宋体" w:eastAsia="宋体" w:cs="宋体"/>
          <w:color w:val="auto"/>
          <w:spacing w:val="8"/>
          <w:sz w:val="20"/>
          <w:szCs w:val="20"/>
          <w:highlight w:val="none"/>
        </w:rPr>
        <w:t>商小组成员，应当在报告上签署不同意见并说明</w:t>
      </w:r>
      <w:r>
        <w:rPr>
          <w:rFonts w:ascii="宋体" w:hAnsi="宋体" w:eastAsia="宋体" w:cs="宋体"/>
          <w:color w:val="auto"/>
          <w:spacing w:val="7"/>
          <w:sz w:val="20"/>
          <w:szCs w:val="20"/>
          <w:highlight w:val="none"/>
        </w:rPr>
        <w:t>理由，由磋商小组书面记录相关情况。磋商小组</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成员拒绝在报告上签字又不书面说明其不同意见和理由的，视为同意评审报告。</w:t>
      </w:r>
    </w:p>
    <w:p w14:paraId="77BDDC53">
      <w:pPr>
        <w:spacing w:before="2" w:line="221" w:lineRule="auto"/>
        <w:ind w:left="676"/>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7.评审复核</w:t>
      </w:r>
    </w:p>
    <w:p w14:paraId="68B9A660">
      <w:pPr>
        <w:spacing w:before="176" w:line="227" w:lineRule="auto"/>
        <w:ind w:left="674"/>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7.1</w:t>
      </w:r>
      <w:r>
        <w:rPr>
          <w:rFonts w:ascii="宋体" w:hAnsi="宋体" w:eastAsia="宋体" w:cs="宋体"/>
          <w:color w:val="auto"/>
          <w:spacing w:val="-41"/>
          <w:sz w:val="20"/>
          <w:szCs w:val="20"/>
          <w:highlight w:val="none"/>
        </w:rPr>
        <w:t xml:space="preserve"> </w:t>
      </w:r>
      <w:r>
        <w:rPr>
          <w:rFonts w:ascii="宋体" w:hAnsi="宋体" w:eastAsia="宋体" w:cs="宋体"/>
          <w:color w:val="auto"/>
          <w:spacing w:val="9"/>
          <w:sz w:val="20"/>
          <w:szCs w:val="20"/>
          <w:highlight w:val="none"/>
        </w:rPr>
        <w:t>评审报告签署前，评审委员会要对评审结果进行复核，复核意见要体现</w:t>
      </w:r>
      <w:r>
        <w:rPr>
          <w:rFonts w:ascii="宋体" w:hAnsi="宋体" w:eastAsia="宋体" w:cs="宋体"/>
          <w:color w:val="auto"/>
          <w:spacing w:val="8"/>
          <w:sz w:val="20"/>
          <w:szCs w:val="20"/>
          <w:highlight w:val="none"/>
        </w:rPr>
        <w:t>在评审报告中。</w:t>
      </w:r>
    </w:p>
    <w:p w14:paraId="1BE2019D">
      <w:pPr>
        <w:spacing w:before="163" w:line="339" w:lineRule="auto"/>
        <w:ind w:left="248" w:right="242" w:firstLine="425"/>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7.2</w:t>
      </w:r>
      <w:r>
        <w:rPr>
          <w:rFonts w:ascii="宋体" w:hAnsi="宋体" w:eastAsia="宋体" w:cs="宋体"/>
          <w:color w:val="auto"/>
          <w:spacing w:val="-34"/>
          <w:sz w:val="20"/>
          <w:szCs w:val="20"/>
          <w:highlight w:val="none"/>
        </w:rPr>
        <w:t xml:space="preserve"> </w:t>
      </w:r>
      <w:r>
        <w:rPr>
          <w:rFonts w:ascii="宋体" w:hAnsi="宋体" w:eastAsia="宋体" w:cs="宋体"/>
          <w:color w:val="auto"/>
          <w:spacing w:val="8"/>
          <w:sz w:val="20"/>
          <w:szCs w:val="20"/>
          <w:highlight w:val="none"/>
        </w:rPr>
        <w:t>评审结果汇总完成后，采购人、采购代理机构和评审委员会均不得修改评审结果或者要</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求重新评审，但资格性检查认定错误、分值汇总计算错误、分项评</w:t>
      </w:r>
      <w:r>
        <w:rPr>
          <w:rFonts w:ascii="宋体" w:hAnsi="宋体" w:eastAsia="宋体" w:cs="宋体"/>
          <w:color w:val="auto"/>
          <w:spacing w:val="7"/>
          <w:sz w:val="20"/>
          <w:szCs w:val="20"/>
          <w:highlight w:val="none"/>
        </w:rPr>
        <w:t>分超出评分标准范围、客观分</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评分不一致、经评审委员会一致认定评分畸高、畸低的情形除外。</w:t>
      </w:r>
      <w:r>
        <w:rPr>
          <w:rFonts w:ascii="宋体" w:hAnsi="宋体" w:eastAsia="宋体" w:cs="宋体"/>
          <w:color w:val="auto"/>
          <w:spacing w:val="7"/>
          <w:sz w:val="20"/>
          <w:szCs w:val="20"/>
          <w:highlight w:val="none"/>
        </w:rPr>
        <w:t>出现上述除外情形的，评审委</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员会应当现场修改评审结果，并在评审报告中明确记载。</w:t>
      </w:r>
    </w:p>
    <w:p w14:paraId="5A09CBBF">
      <w:pPr>
        <w:spacing w:before="168" w:line="221" w:lineRule="auto"/>
        <w:ind w:left="67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8.评审标准</w:t>
      </w:r>
    </w:p>
    <w:p w14:paraId="10F18787">
      <w:pPr>
        <w:spacing w:before="174" w:line="363" w:lineRule="auto"/>
        <w:ind w:left="250" w:right="244" w:firstLine="420"/>
        <w:rPr>
          <w:rFonts w:ascii="宋体" w:hAnsi="宋体" w:eastAsia="宋体" w:cs="宋体"/>
          <w:color w:val="auto"/>
          <w:spacing w:val="9"/>
          <w:sz w:val="20"/>
          <w:szCs w:val="20"/>
          <w:highlight w:val="none"/>
        </w:rPr>
      </w:pPr>
      <w:r>
        <w:rPr>
          <w:rFonts w:ascii="宋体" w:hAnsi="宋体" w:eastAsia="宋体" w:cs="宋体"/>
          <w:color w:val="auto"/>
          <w:spacing w:val="8"/>
          <w:sz w:val="20"/>
          <w:szCs w:val="20"/>
          <w:highlight w:val="none"/>
        </w:rPr>
        <w:t>8.1</w:t>
      </w:r>
      <w:r>
        <w:rPr>
          <w:rFonts w:ascii="宋体" w:hAnsi="宋体" w:eastAsia="宋体" w:cs="宋体"/>
          <w:color w:val="auto"/>
          <w:spacing w:val="-30"/>
          <w:sz w:val="20"/>
          <w:szCs w:val="20"/>
          <w:highlight w:val="none"/>
        </w:rPr>
        <w:t xml:space="preserve"> </w:t>
      </w:r>
      <w:r>
        <w:rPr>
          <w:rFonts w:ascii="宋体" w:hAnsi="宋体" w:eastAsia="宋体" w:cs="宋体"/>
          <w:color w:val="auto"/>
          <w:spacing w:val="8"/>
          <w:sz w:val="20"/>
          <w:szCs w:val="20"/>
          <w:highlight w:val="none"/>
        </w:rPr>
        <w:t>评审依据：磋商小组将以磋商响应文件为评审依据，对供应商的报价、技术、商务等方</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面内容按百分制打分。（计分方法按四舍五入取至百分位）</w:t>
      </w:r>
    </w:p>
    <w:p w14:paraId="215C1D9D">
      <w:pPr>
        <w:rPr>
          <w:rFonts w:ascii="宋体" w:hAnsi="宋体" w:eastAsia="宋体" w:cs="宋体"/>
          <w:color w:val="auto"/>
          <w:spacing w:val="9"/>
          <w:sz w:val="20"/>
          <w:szCs w:val="20"/>
          <w:highlight w:val="none"/>
        </w:rPr>
      </w:pPr>
      <w:r>
        <w:rPr>
          <w:rFonts w:ascii="宋体" w:hAnsi="宋体" w:eastAsia="宋体" w:cs="宋体"/>
          <w:color w:val="auto"/>
          <w:spacing w:val="9"/>
          <w:sz w:val="20"/>
          <w:szCs w:val="20"/>
          <w:highlight w:val="none"/>
        </w:rPr>
        <w:br w:type="page"/>
      </w:r>
    </w:p>
    <w:p w14:paraId="6C4166E1">
      <w:pPr>
        <w:spacing w:before="174" w:line="363" w:lineRule="auto"/>
        <w:ind w:right="244"/>
        <w:rPr>
          <w:rFonts w:ascii="宋体" w:hAnsi="宋体" w:eastAsia="宋体" w:cs="宋体"/>
          <w:color w:val="auto"/>
          <w:spacing w:val="9"/>
          <w:sz w:val="20"/>
          <w:szCs w:val="20"/>
          <w:highlight w:val="none"/>
        </w:rPr>
      </w:pPr>
    </w:p>
    <w:tbl>
      <w:tblPr>
        <w:tblStyle w:val="19"/>
        <w:tblW w:w="9613" w:type="dxa"/>
        <w:tblInd w:w="-1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7"/>
        <w:gridCol w:w="1281"/>
        <w:gridCol w:w="6821"/>
        <w:gridCol w:w="854"/>
      </w:tblGrid>
      <w:tr w14:paraId="540F1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57" w:type="dxa"/>
            <w:vAlign w:val="top"/>
          </w:tcPr>
          <w:p w14:paraId="7BE92EB5">
            <w:pPr>
              <w:pStyle w:val="20"/>
              <w:spacing w:before="209" w:line="230" w:lineRule="auto"/>
              <w:ind w:left="142"/>
              <w:rPr>
                <w:color w:val="auto"/>
                <w:highlight w:val="none"/>
              </w:rPr>
            </w:pPr>
            <w:r>
              <w:rPr>
                <w:b/>
                <w:bCs/>
                <w:color w:val="auto"/>
                <w:spacing w:val="4"/>
                <w:highlight w:val="none"/>
              </w:rPr>
              <w:t>序号</w:t>
            </w:r>
          </w:p>
        </w:tc>
        <w:tc>
          <w:tcPr>
            <w:tcW w:w="1281" w:type="dxa"/>
            <w:vAlign w:val="top"/>
          </w:tcPr>
          <w:p w14:paraId="6726505C">
            <w:pPr>
              <w:pStyle w:val="20"/>
              <w:spacing w:before="209" w:line="228" w:lineRule="auto"/>
              <w:ind w:left="235"/>
              <w:rPr>
                <w:color w:val="auto"/>
                <w:highlight w:val="none"/>
              </w:rPr>
            </w:pPr>
            <w:r>
              <w:rPr>
                <w:b/>
                <w:bCs/>
                <w:color w:val="auto"/>
                <w:spacing w:val="6"/>
                <w:highlight w:val="none"/>
              </w:rPr>
              <w:t>评审因素</w:t>
            </w:r>
          </w:p>
        </w:tc>
        <w:tc>
          <w:tcPr>
            <w:tcW w:w="6821" w:type="dxa"/>
            <w:vAlign w:val="top"/>
          </w:tcPr>
          <w:p w14:paraId="3935F592">
            <w:pPr>
              <w:pStyle w:val="20"/>
              <w:spacing w:before="209" w:line="228" w:lineRule="auto"/>
              <w:ind w:left="2337"/>
              <w:rPr>
                <w:color w:val="auto"/>
                <w:highlight w:val="none"/>
              </w:rPr>
            </w:pPr>
            <w:r>
              <w:rPr>
                <w:b/>
                <w:bCs/>
                <w:color w:val="auto"/>
                <w:spacing w:val="7"/>
                <w:highlight w:val="none"/>
              </w:rPr>
              <w:t>评审因素具体内容</w:t>
            </w:r>
          </w:p>
        </w:tc>
        <w:tc>
          <w:tcPr>
            <w:tcW w:w="854" w:type="dxa"/>
            <w:vAlign w:val="top"/>
          </w:tcPr>
          <w:p w14:paraId="585CE189">
            <w:pPr>
              <w:pStyle w:val="20"/>
              <w:spacing w:before="209" w:line="228" w:lineRule="auto"/>
              <w:ind w:left="223"/>
              <w:rPr>
                <w:color w:val="auto"/>
                <w:highlight w:val="none"/>
              </w:rPr>
            </w:pPr>
            <w:r>
              <w:rPr>
                <w:b/>
                <w:bCs/>
                <w:color w:val="auto"/>
                <w:spacing w:val="2"/>
                <w:highlight w:val="none"/>
              </w:rPr>
              <w:t>分值</w:t>
            </w:r>
          </w:p>
        </w:tc>
      </w:tr>
      <w:tr w14:paraId="7A07E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0" w:hRule="atLeast"/>
        </w:trPr>
        <w:tc>
          <w:tcPr>
            <w:tcW w:w="657" w:type="dxa"/>
            <w:vAlign w:val="top"/>
          </w:tcPr>
          <w:p w14:paraId="5EDD8A6B">
            <w:pPr>
              <w:spacing w:line="246" w:lineRule="auto"/>
              <w:rPr>
                <w:rFonts w:ascii="Arial"/>
                <w:color w:val="auto"/>
                <w:sz w:val="21"/>
                <w:highlight w:val="none"/>
              </w:rPr>
            </w:pPr>
          </w:p>
          <w:p w14:paraId="2F2C6F0B">
            <w:pPr>
              <w:spacing w:line="246" w:lineRule="auto"/>
              <w:rPr>
                <w:rFonts w:ascii="Arial"/>
                <w:color w:val="auto"/>
                <w:sz w:val="21"/>
                <w:highlight w:val="none"/>
              </w:rPr>
            </w:pPr>
          </w:p>
          <w:p w14:paraId="1DBC8018">
            <w:pPr>
              <w:spacing w:line="246" w:lineRule="auto"/>
              <w:rPr>
                <w:rFonts w:ascii="Arial"/>
                <w:color w:val="auto"/>
                <w:sz w:val="21"/>
                <w:highlight w:val="none"/>
              </w:rPr>
            </w:pPr>
          </w:p>
          <w:p w14:paraId="0865C915">
            <w:pPr>
              <w:spacing w:line="246" w:lineRule="auto"/>
              <w:rPr>
                <w:rFonts w:ascii="Arial"/>
                <w:color w:val="auto"/>
                <w:sz w:val="21"/>
                <w:highlight w:val="none"/>
              </w:rPr>
            </w:pPr>
          </w:p>
          <w:p w14:paraId="00E83DBD">
            <w:pPr>
              <w:spacing w:line="246" w:lineRule="auto"/>
              <w:rPr>
                <w:rFonts w:ascii="Arial"/>
                <w:color w:val="auto"/>
                <w:sz w:val="21"/>
                <w:highlight w:val="none"/>
              </w:rPr>
            </w:pPr>
          </w:p>
          <w:p w14:paraId="0DE2FB9C">
            <w:pPr>
              <w:spacing w:line="247" w:lineRule="auto"/>
              <w:rPr>
                <w:rFonts w:ascii="Arial"/>
                <w:color w:val="auto"/>
                <w:sz w:val="21"/>
                <w:highlight w:val="none"/>
              </w:rPr>
            </w:pPr>
          </w:p>
          <w:p w14:paraId="0E8515CB">
            <w:pPr>
              <w:spacing w:line="247" w:lineRule="auto"/>
              <w:rPr>
                <w:rFonts w:ascii="Arial"/>
                <w:color w:val="auto"/>
                <w:sz w:val="21"/>
                <w:highlight w:val="none"/>
              </w:rPr>
            </w:pPr>
          </w:p>
          <w:p w14:paraId="3E2897ED">
            <w:pPr>
              <w:spacing w:line="247" w:lineRule="auto"/>
              <w:rPr>
                <w:rFonts w:ascii="Arial"/>
                <w:color w:val="auto"/>
                <w:sz w:val="21"/>
                <w:highlight w:val="none"/>
              </w:rPr>
            </w:pPr>
          </w:p>
          <w:p w14:paraId="409BE732">
            <w:pPr>
              <w:spacing w:line="247" w:lineRule="auto"/>
              <w:rPr>
                <w:rFonts w:ascii="Arial"/>
                <w:color w:val="auto"/>
                <w:sz w:val="21"/>
                <w:highlight w:val="none"/>
              </w:rPr>
            </w:pPr>
          </w:p>
          <w:p w14:paraId="70F49BCB">
            <w:pPr>
              <w:spacing w:line="247" w:lineRule="auto"/>
              <w:rPr>
                <w:rFonts w:ascii="Arial"/>
                <w:color w:val="auto"/>
                <w:sz w:val="21"/>
                <w:highlight w:val="none"/>
              </w:rPr>
            </w:pPr>
          </w:p>
          <w:p w14:paraId="365A7E3E">
            <w:pPr>
              <w:spacing w:line="247" w:lineRule="auto"/>
              <w:rPr>
                <w:rFonts w:ascii="Arial"/>
                <w:color w:val="auto"/>
                <w:sz w:val="21"/>
                <w:highlight w:val="none"/>
              </w:rPr>
            </w:pPr>
          </w:p>
          <w:p w14:paraId="3D027626">
            <w:pPr>
              <w:spacing w:line="247" w:lineRule="auto"/>
              <w:rPr>
                <w:rFonts w:ascii="Arial"/>
                <w:color w:val="auto"/>
                <w:sz w:val="21"/>
                <w:highlight w:val="none"/>
              </w:rPr>
            </w:pPr>
          </w:p>
          <w:p w14:paraId="52F02A2E">
            <w:pPr>
              <w:spacing w:line="247" w:lineRule="auto"/>
              <w:rPr>
                <w:rFonts w:ascii="Arial"/>
                <w:color w:val="auto"/>
                <w:sz w:val="21"/>
                <w:highlight w:val="none"/>
              </w:rPr>
            </w:pPr>
          </w:p>
          <w:p w14:paraId="5C4080CD">
            <w:pPr>
              <w:spacing w:line="247" w:lineRule="auto"/>
              <w:rPr>
                <w:rFonts w:ascii="Arial"/>
                <w:color w:val="auto"/>
                <w:sz w:val="21"/>
                <w:highlight w:val="none"/>
              </w:rPr>
            </w:pPr>
          </w:p>
          <w:p w14:paraId="6499D1F8">
            <w:pPr>
              <w:spacing w:line="247" w:lineRule="auto"/>
              <w:rPr>
                <w:rFonts w:ascii="Arial"/>
                <w:color w:val="auto"/>
                <w:sz w:val="21"/>
                <w:highlight w:val="none"/>
              </w:rPr>
            </w:pPr>
          </w:p>
          <w:p w14:paraId="175BC394">
            <w:pPr>
              <w:spacing w:line="247" w:lineRule="auto"/>
              <w:rPr>
                <w:rFonts w:ascii="Arial"/>
                <w:color w:val="auto"/>
                <w:sz w:val="21"/>
                <w:highlight w:val="none"/>
              </w:rPr>
            </w:pPr>
          </w:p>
          <w:p w14:paraId="35E1BD7C">
            <w:pPr>
              <w:spacing w:line="247" w:lineRule="auto"/>
              <w:rPr>
                <w:rFonts w:ascii="Arial"/>
                <w:color w:val="auto"/>
                <w:sz w:val="21"/>
                <w:highlight w:val="none"/>
              </w:rPr>
            </w:pPr>
          </w:p>
          <w:p w14:paraId="335629D1">
            <w:pPr>
              <w:pStyle w:val="20"/>
              <w:spacing w:before="65" w:line="270" w:lineRule="exact"/>
              <w:ind w:left="317"/>
              <w:rPr>
                <w:color w:val="auto"/>
                <w:highlight w:val="none"/>
              </w:rPr>
            </w:pPr>
            <w:r>
              <w:rPr>
                <w:color w:val="auto"/>
                <w:position w:val="1"/>
                <w:highlight w:val="none"/>
              </w:rPr>
              <w:t>1</w:t>
            </w:r>
          </w:p>
        </w:tc>
        <w:tc>
          <w:tcPr>
            <w:tcW w:w="1281" w:type="dxa"/>
            <w:vAlign w:val="top"/>
          </w:tcPr>
          <w:p w14:paraId="71663A46">
            <w:pPr>
              <w:spacing w:line="246" w:lineRule="auto"/>
              <w:rPr>
                <w:rFonts w:ascii="Arial"/>
                <w:color w:val="auto"/>
                <w:sz w:val="21"/>
                <w:highlight w:val="none"/>
              </w:rPr>
            </w:pPr>
          </w:p>
          <w:p w14:paraId="6605CD98">
            <w:pPr>
              <w:spacing w:line="246" w:lineRule="auto"/>
              <w:rPr>
                <w:rFonts w:ascii="Arial"/>
                <w:color w:val="auto"/>
                <w:sz w:val="21"/>
                <w:highlight w:val="none"/>
              </w:rPr>
            </w:pPr>
          </w:p>
          <w:p w14:paraId="5123E691">
            <w:pPr>
              <w:spacing w:line="246" w:lineRule="auto"/>
              <w:rPr>
                <w:rFonts w:ascii="Arial"/>
                <w:color w:val="auto"/>
                <w:sz w:val="21"/>
                <w:highlight w:val="none"/>
              </w:rPr>
            </w:pPr>
          </w:p>
          <w:p w14:paraId="2D2CBADC">
            <w:pPr>
              <w:spacing w:line="246" w:lineRule="auto"/>
              <w:rPr>
                <w:rFonts w:ascii="Arial"/>
                <w:color w:val="auto"/>
                <w:sz w:val="21"/>
                <w:highlight w:val="none"/>
              </w:rPr>
            </w:pPr>
          </w:p>
          <w:p w14:paraId="3F9DC64B">
            <w:pPr>
              <w:spacing w:line="246" w:lineRule="auto"/>
              <w:rPr>
                <w:rFonts w:ascii="Arial"/>
                <w:color w:val="auto"/>
                <w:sz w:val="21"/>
                <w:highlight w:val="none"/>
              </w:rPr>
            </w:pPr>
          </w:p>
          <w:p w14:paraId="112F85D7">
            <w:pPr>
              <w:spacing w:line="246" w:lineRule="auto"/>
              <w:rPr>
                <w:rFonts w:ascii="Arial"/>
                <w:color w:val="auto"/>
                <w:sz w:val="21"/>
                <w:highlight w:val="none"/>
              </w:rPr>
            </w:pPr>
          </w:p>
          <w:p w14:paraId="0BC58B65">
            <w:pPr>
              <w:spacing w:line="247" w:lineRule="auto"/>
              <w:rPr>
                <w:rFonts w:ascii="Arial"/>
                <w:color w:val="auto"/>
                <w:sz w:val="21"/>
                <w:highlight w:val="none"/>
              </w:rPr>
            </w:pPr>
          </w:p>
          <w:p w14:paraId="31AEEE59">
            <w:pPr>
              <w:spacing w:line="247" w:lineRule="auto"/>
              <w:rPr>
                <w:rFonts w:ascii="Arial"/>
                <w:color w:val="auto"/>
                <w:sz w:val="21"/>
                <w:highlight w:val="none"/>
              </w:rPr>
            </w:pPr>
          </w:p>
          <w:p w14:paraId="5F8B4AFF">
            <w:pPr>
              <w:spacing w:line="247" w:lineRule="auto"/>
              <w:rPr>
                <w:rFonts w:ascii="Arial"/>
                <w:color w:val="auto"/>
                <w:sz w:val="21"/>
                <w:highlight w:val="none"/>
              </w:rPr>
            </w:pPr>
          </w:p>
          <w:p w14:paraId="23827096">
            <w:pPr>
              <w:spacing w:line="247" w:lineRule="auto"/>
              <w:rPr>
                <w:rFonts w:ascii="Arial"/>
                <w:color w:val="auto"/>
                <w:sz w:val="21"/>
                <w:highlight w:val="none"/>
              </w:rPr>
            </w:pPr>
          </w:p>
          <w:p w14:paraId="0156B842">
            <w:pPr>
              <w:spacing w:line="247" w:lineRule="auto"/>
              <w:rPr>
                <w:rFonts w:ascii="Arial"/>
                <w:color w:val="auto"/>
                <w:sz w:val="21"/>
                <w:highlight w:val="none"/>
              </w:rPr>
            </w:pPr>
          </w:p>
          <w:p w14:paraId="1E8E56B7">
            <w:pPr>
              <w:spacing w:line="247" w:lineRule="auto"/>
              <w:rPr>
                <w:rFonts w:ascii="Arial"/>
                <w:color w:val="auto"/>
                <w:sz w:val="21"/>
                <w:highlight w:val="none"/>
              </w:rPr>
            </w:pPr>
          </w:p>
          <w:p w14:paraId="5F1AE234">
            <w:pPr>
              <w:spacing w:line="247" w:lineRule="auto"/>
              <w:rPr>
                <w:rFonts w:ascii="Arial"/>
                <w:color w:val="auto"/>
                <w:sz w:val="21"/>
                <w:highlight w:val="none"/>
              </w:rPr>
            </w:pPr>
          </w:p>
          <w:p w14:paraId="12B0D618">
            <w:pPr>
              <w:spacing w:line="247" w:lineRule="auto"/>
              <w:rPr>
                <w:rFonts w:ascii="Arial"/>
                <w:color w:val="auto"/>
                <w:sz w:val="21"/>
                <w:highlight w:val="none"/>
              </w:rPr>
            </w:pPr>
          </w:p>
          <w:p w14:paraId="43C8FFB8">
            <w:pPr>
              <w:spacing w:line="247" w:lineRule="auto"/>
              <w:rPr>
                <w:rFonts w:ascii="Arial"/>
                <w:color w:val="auto"/>
                <w:sz w:val="21"/>
                <w:highlight w:val="none"/>
              </w:rPr>
            </w:pPr>
          </w:p>
          <w:p w14:paraId="3B652210">
            <w:pPr>
              <w:spacing w:line="247" w:lineRule="auto"/>
              <w:rPr>
                <w:rFonts w:ascii="Arial"/>
                <w:color w:val="auto"/>
                <w:sz w:val="21"/>
                <w:highlight w:val="none"/>
              </w:rPr>
            </w:pPr>
          </w:p>
          <w:p w14:paraId="4A04214A">
            <w:pPr>
              <w:spacing w:line="247" w:lineRule="auto"/>
              <w:rPr>
                <w:rFonts w:ascii="Arial"/>
                <w:color w:val="auto"/>
                <w:sz w:val="21"/>
                <w:highlight w:val="none"/>
              </w:rPr>
            </w:pPr>
          </w:p>
          <w:p w14:paraId="2915BAC4">
            <w:pPr>
              <w:pStyle w:val="20"/>
              <w:spacing w:before="65" w:line="227" w:lineRule="auto"/>
              <w:ind w:left="342"/>
              <w:rPr>
                <w:color w:val="auto"/>
                <w:highlight w:val="none"/>
              </w:rPr>
            </w:pPr>
            <w:r>
              <w:rPr>
                <w:color w:val="auto"/>
                <w:spacing w:val="6"/>
                <w:highlight w:val="none"/>
              </w:rPr>
              <w:t>价格分</w:t>
            </w:r>
          </w:p>
        </w:tc>
        <w:tc>
          <w:tcPr>
            <w:tcW w:w="6821" w:type="dxa"/>
            <w:vAlign w:val="top"/>
          </w:tcPr>
          <w:p w14:paraId="5BA5A6B9">
            <w:pPr>
              <w:pStyle w:val="20"/>
              <w:spacing w:before="204" w:line="335" w:lineRule="auto"/>
              <w:ind w:left="119" w:right="106" w:firstLine="423"/>
              <w:rPr>
                <w:color w:val="auto"/>
                <w:highlight w:val="none"/>
              </w:rPr>
            </w:pPr>
            <w:r>
              <w:rPr>
                <w:color w:val="auto"/>
                <w:spacing w:val="7"/>
                <w:highlight w:val="none"/>
              </w:rPr>
              <w:t>（1）本项目为专门面向小微企业采购项目，不执行价格扣除优</w:t>
            </w:r>
            <w:r>
              <w:rPr>
                <w:color w:val="auto"/>
                <w:highlight w:val="none"/>
              </w:rPr>
              <w:t xml:space="preserve"> </w:t>
            </w:r>
            <w:r>
              <w:rPr>
                <w:color w:val="auto"/>
                <w:spacing w:val="7"/>
                <w:highlight w:val="none"/>
              </w:rPr>
              <w:t>惠政策，评标价＝投标报价。</w:t>
            </w:r>
          </w:p>
          <w:p w14:paraId="21B50680">
            <w:pPr>
              <w:pStyle w:val="20"/>
              <w:spacing w:before="236" w:line="407" w:lineRule="auto"/>
              <w:ind w:left="112" w:right="33" w:firstLine="430"/>
              <w:rPr>
                <w:color w:val="auto"/>
                <w:highlight w:val="none"/>
              </w:rPr>
            </w:pPr>
            <w:r>
              <w:rPr>
                <w:color w:val="auto"/>
                <w:spacing w:val="7"/>
                <w:highlight w:val="none"/>
              </w:rPr>
              <w:t>（2）按照《财政部、司法部关于政府采购支持监狱企业发展有</w:t>
            </w:r>
            <w:r>
              <w:rPr>
                <w:color w:val="auto"/>
                <w:highlight w:val="none"/>
              </w:rPr>
              <w:t xml:space="preserve"> </w:t>
            </w:r>
            <w:r>
              <w:rPr>
                <w:color w:val="auto"/>
                <w:spacing w:val="4"/>
                <w:highlight w:val="none"/>
              </w:rPr>
              <w:t>关问题的通知》（财库〔2014〕68</w:t>
            </w:r>
            <w:r>
              <w:rPr>
                <w:color w:val="auto"/>
                <w:spacing w:val="-33"/>
                <w:highlight w:val="none"/>
              </w:rPr>
              <w:t xml:space="preserve"> </w:t>
            </w:r>
            <w:r>
              <w:rPr>
                <w:color w:val="auto"/>
                <w:spacing w:val="4"/>
                <w:highlight w:val="none"/>
              </w:rPr>
              <w:t>号）的规定，监狱企业视同小型、</w:t>
            </w:r>
            <w:r>
              <w:rPr>
                <w:color w:val="auto"/>
                <w:highlight w:val="none"/>
              </w:rPr>
              <w:t xml:space="preserve"> </w:t>
            </w:r>
            <w:r>
              <w:rPr>
                <w:color w:val="auto"/>
                <w:spacing w:val="11"/>
                <w:highlight w:val="none"/>
              </w:rPr>
              <w:t>微型企业，享受预留份额、评审中价格扣除等促进中小企业发展的</w:t>
            </w:r>
            <w:r>
              <w:rPr>
                <w:color w:val="auto"/>
                <w:spacing w:val="9"/>
                <w:highlight w:val="none"/>
              </w:rPr>
              <w:t xml:space="preserve"> </w:t>
            </w:r>
            <w:r>
              <w:rPr>
                <w:color w:val="auto"/>
                <w:spacing w:val="11"/>
                <w:highlight w:val="none"/>
              </w:rPr>
              <w:t>政府采购政策。监狱企业参加政府采购活动时，应当提供由省级以</w:t>
            </w:r>
            <w:r>
              <w:rPr>
                <w:color w:val="auto"/>
                <w:spacing w:val="9"/>
                <w:highlight w:val="none"/>
              </w:rPr>
              <w:t xml:space="preserve"> </w:t>
            </w:r>
            <w:r>
              <w:rPr>
                <w:color w:val="auto"/>
                <w:spacing w:val="11"/>
                <w:highlight w:val="none"/>
              </w:rPr>
              <w:t>上监狱管理局、戒毒管理局(含新疆生产建设兵团)出具的属于</w:t>
            </w:r>
            <w:r>
              <w:rPr>
                <w:color w:val="auto"/>
                <w:spacing w:val="10"/>
                <w:highlight w:val="none"/>
              </w:rPr>
              <w:t>监狱</w:t>
            </w:r>
            <w:r>
              <w:rPr>
                <w:color w:val="auto"/>
                <w:highlight w:val="none"/>
              </w:rPr>
              <w:t xml:space="preserve"> </w:t>
            </w:r>
            <w:r>
              <w:rPr>
                <w:color w:val="auto"/>
                <w:spacing w:val="8"/>
                <w:highlight w:val="none"/>
              </w:rPr>
              <w:t>企业的证明文件。不重复享受政策。</w:t>
            </w:r>
          </w:p>
          <w:p w14:paraId="0AD7A22B">
            <w:pPr>
              <w:pStyle w:val="20"/>
              <w:spacing w:before="234" w:line="407" w:lineRule="auto"/>
              <w:ind w:left="112" w:right="47" w:firstLine="430"/>
              <w:rPr>
                <w:color w:val="auto"/>
                <w:highlight w:val="none"/>
              </w:rPr>
            </w:pPr>
            <w:r>
              <w:rPr>
                <w:color w:val="auto"/>
                <w:spacing w:val="7"/>
                <w:highlight w:val="none"/>
              </w:rPr>
              <w:t>（3）按照《关于促进残疾人就业政府采购政策的通知》（财库</w:t>
            </w:r>
            <w:r>
              <w:rPr>
                <w:color w:val="auto"/>
                <w:highlight w:val="none"/>
              </w:rPr>
              <w:t xml:space="preserve"> </w:t>
            </w:r>
            <w:r>
              <w:rPr>
                <w:color w:val="auto"/>
                <w:spacing w:val="7"/>
                <w:highlight w:val="none"/>
              </w:rPr>
              <w:t>〔2017〕141</w:t>
            </w:r>
            <w:r>
              <w:rPr>
                <w:color w:val="auto"/>
                <w:spacing w:val="-36"/>
                <w:highlight w:val="none"/>
              </w:rPr>
              <w:t xml:space="preserve"> </w:t>
            </w:r>
            <w:r>
              <w:rPr>
                <w:color w:val="auto"/>
                <w:spacing w:val="7"/>
                <w:highlight w:val="none"/>
              </w:rPr>
              <w:t>号）的规定，残疾人福利性单</w:t>
            </w:r>
            <w:r>
              <w:rPr>
                <w:color w:val="auto"/>
                <w:spacing w:val="6"/>
                <w:highlight w:val="none"/>
              </w:rPr>
              <w:t>位视同小型、微型企业，</w:t>
            </w:r>
            <w:r>
              <w:rPr>
                <w:color w:val="auto"/>
                <w:highlight w:val="none"/>
              </w:rPr>
              <w:t xml:space="preserve"> </w:t>
            </w:r>
            <w:r>
              <w:rPr>
                <w:color w:val="auto"/>
                <w:spacing w:val="11"/>
                <w:highlight w:val="none"/>
              </w:rPr>
              <w:t>享受预留份额、评审中价格扣除等促进中小企业发展的政府采购政</w:t>
            </w:r>
            <w:r>
              <w:rPr>
                <w:color w:val="auto"/>
                <w:spacing w:val="9"/>
                <w:highlight w:val="none"/>
              </w:rPr>
              <w:t xml:space="preserve"> </w:t>
            </w:r>
            <w:r>
              <w:rPr>
                <w:color w:val="auto"/>
                <w:spacing w:val="11"/>
                <w:highlight w:val="none"/>
              </w:rPr>
              <w:t>策。残疾人福利性单位参加政府采购活动时，应当提供该通知规定</w:t>
            </w:r>
            <w:r>
              <w:rPr>
                <w:color w:val="auto"/>
                <w:spacing w:val="9"/>
                <w:highlight w:val="none"/>
              </w:rPr>
              <w:t xml:space="preserve"> </w:t>
            </w:r>
            <w:r>
              <w:rPr>
                <w:color w:val="auto"/>
                <w:spacing w:val="11"/>
                <w:highlight w:val="none"/>
              </w:rPr>
              <w:t>的《残疾人福利性单位声明函》，并对声明的真实性负责。残疾人</w:t>
            </w:r>
            <w:r>
              <w:rPr>
                <w:color w:val="auto"/>
                <w:spacing w:val="9"/>
                <w:highlight w:val="none"/>
              </w:rPr>
              <w:t xml:space="preserve"> 福利性单位属于小型、微型企业的，不重复享受政策。</w:t>
            </w:r>
          </w:p>
          <w:p w14:paraId="01CB6AA7">
            <w:pPr>
              <w:pStyle w:val="20"/>
              <w:spacing w:before="232" w:line="335" w:lineRule="auto"/>
              <w:ind w:left="114" w:right="103" w:firstLine="429"/>
              <w:rPr>
                <w:color w:val="auto"/>
                <w:highlight w:val="none"/>
              </w:rPr>
            </w:pPr>
            <w:r>
              <w:rPr>
                <w:color w:val="auto"/>
                <w:spacing w:val="7"/>
                <w:highlight w:val="none"/>
              </w:rPr>
              <w:t>（4）满足招标文件要求且评标报价最低的评标报价为评标基准</w:t>
            </w:r>
            <w:r>
              <w:rPr>
                <w:color w:val="auto"/>
                <w:spacing w:val="1"/>
                <w:highlight w:val="none"/>
              </w:rPr>
              <w:t xml:space="preserve"> </w:t>
            </w:r>
            <w:r>
              <w:rPr>
                <w:color w:val="auto"/>
                <w:spacing w:val="7"/>
                <w:highlight w:val="none"/>
              </w:rPr>
              <w:t>价，其价格分为满分。</w:t>
            </w:r>
          </w:p>
          <w:p w14:paraId="2E600A34">
            <w:pPr>
              <w:pStyle w:val="20"/>
              <w:spacing w:before="234" w:line="227" w:lineRule="auto"/>
              <w:ind w:left="543"/>
              <w:rPr>
                <w:color w:val="auto"/>
                <w:highlight w:val="none"/>
              </w:rPr>
            </w:pPr>
            <w:r>
              <w:rPr>
                <w:color w:val="auto"/>
                <w:spacing w:val="6"/>
                <w:highlight w:val="none"/>
              </w:rPr>
              <w:t>（5）价格分计算公式：</w:t>
            </w:r>
          </w:p>
          <w:p w14:paraId="4BEA2FB9">
            <w:pPr>
              <w:pStyle w:val="20"/>
              <w:spacing w:before="234" w:line="227" w:lineRule="auto"/>
              <w:ind w:left="534"/>
              <w:rPr>
                <w:color w:val="auto"/>
                <w:highlight w:val="none"/>
              </w:rPr>
            </w:pPr>
            <w:r>
              <w:rPr>
                <w:color w:val="auto"/>
                <w:spacing w:val="7"/>
                <w:highlight w:val="none"/>
              </w:rPr>
              <w:t>价格分=(评标基准价／评标报价)×30</w:t>
            </w:r>
            <w:r>
              <w:rPr>
                <w:color w:val="auto"/>
                <w:spacing w:val="-24"/>
                <w:highlight w:val="none"/>
              </w:rPr>
              <w:t xml:space="preserve"> </w:t>
            </w:r>
            <w:r>
              <w:rPr>
                <w:color w:val="auto"/>
                <w:spacing w:val="7"/>
                <w:highlight w:val="none"/>
              </w:rPr>
              <w:t>分</w:t>
            </w:r>
          </w:p>
        </w:tc>
        <w:tc>
          <w:tcPr>
            <w:tcW w:w="854" w:type="dxa"/>
            <w:vAlign w:val="top"/>
          </w:tcPr>
          <w:p w14:paraId="6D48D4FC">
            <w:pPr>
              <w:spacing w:line="246" w:lineRule="auto"/>
              <w:rPr>
                <w:rFonts w:ascii="Arial"/>
                <w:color w:val="auto"/>
                <w:sz w:val="21"/>
                <w:highlight w:val="none"/>
              </w:rPr>
            </w:pPr>
          </w:p>
          <w:p w14:paraId="7E89C8A2">
            <w:pPr>
              <w:spacing w:line="246" w:lineRule="auto"/>
              <w:rPr>
                <w:rFonts w:ascii="Arial"/>
                <w:color w:val="auto"/>
                <w:sz w:val="21"/>
                <w:highlight w:val="none"/>
              </w:rPr>
            </w:pPr>
          </w:p>
          <w:p w14:paraId="51C4BA0E">
            <w:pPr>
              <w:spacing w:line="246" w:lineRule="auto"/>
              <w:rPr>
                <w:rFonts w:ascii="Arial"/>
                <w:color w:val="auto"/>
                <w:sz w:val="21"/>
                <w:highlight w:val="none"/>
              </w:rPr>
            </w:pPr>
          </w:p>
          <w:p w14:paraId="13231598">
            <w:pPr>
              <w:spacing w:line="246" w:lineRule="auto"/>
              <w:rPr>
                <w:rFonts w:ascii="Arial"/>
                <w:color w:val="auto"/>
                <w:sz w:val="21"/>
                <w:highlight w:val="none"/>
              </w:rPr>
            </w:pPr>
          </w:p>
          <w:p w14:paraId="69115F84">
            <w:pPr>
              <w:spacing w:line="246" w:lineRule="auto"/>
              <w:rPr>
                <w:rFonts w:ascii="Arial"/>
                <w:color w:val="auto"/>
                <w:sz w:val="21"/>
                <w:highlight w:val="none"/>
              </w:rPr>
            </w:pPr>
          </w:p>
          <w:p w14:paraId="46D14D10">
            <w:pPr>
              <w:spacing w:line="247" w:lineRule="auto"/>
              <w:rPr>
                <w:rFonts w:ascii="Arial"/>
                <w:color w:val="auto"/>
                <w:sz w:val="21"/>
                <w:highlight w:val="none"/>
              </w:rPr>
            </w:pPr>
          </w:p>
          <w:p w14:paraId="52D77F31">
            <w:pPr>
              <w:spacing w:line="247" w:lineRule="auto"/>
              <w:rPr>
                <w:rFonts w:ascii="Arial"/>
                <w:color w:val="auto"/>
                <w:sz w:val="21"/>
                <w:highlight w:val="none"/>
              </w:rPr>
            </w:pPr>
          </w:p>
          <w:p w14:paraId="2DCFB7C8">
            <w:pPr>
              <w:spacing w:line="247" w:lineRule="auto"/>
              <w:rPr>
                <w:rFonts w:ascii="Arial"/>
                <w:color w:val="auto"/>
                <w:sz w:val="21"/>
                <w:highlight w:val="none"/>
              </w:rPr>
            </w:pPr>
          </w:p>
          <w:p w14:paraId="08EFB3A8">
            <w:pPr>
              <w:spacing w:line="247" w:lineRule="auto"/>
              <w:rPr>
                <w:rFonts w:ascii="Arial"/>
                <w:color w:val="auto"/>
                <w:sz w:val="21"/>
                <w:highlight w:val="none"/>
              </w:rPr>
            </w:pPr>
          </w:p>
          <w:p w14:paraId="41DA9EA7">
            <w:pPr>
              <w:spacing w:line="247" w:lineRule="auto"/>
              <w:rPr>
                <w:rFonts w:ascii="Arial"/>
                <w:color w:val="auto"/>
                <w:sz w:val="21"/>
                <w:highlight w:val="none"/>
              </w:rPr>
            </w:pPr>
          </w:p>
          <w:p w14:paraId="7B2A9FA4">
            <w:pPr>
              <w:spacing w:line="247" w:lineRule="auto"/>
              <w:rPr>
                <w:rFonts w:ascii="Arial"/>
                <w:color w:val="auto"/>
                <w:sz w:val="21"/>
                <w:highlight w:val="none"/>
              </w:rPr>
            </w:pPr>
          </w:p>
          <w:p w14:paraId="385C8808">
            <w:pPr>
              <w:spacing w:line="247" w:lineRule="auto"/>
              <w:rPr>
                <w:rFonts w:ascii="Arial"/>
                <w:color w:val="auto"/>
                <w:sz w:val="21"/>
                <w:highlight w:val="none"/>
              </w:rPr>
            </w:pPr>
          </w:p>
          <w:p w14:paraId="0ED6BEEA">
            <w:pPr>
              <w:spacing w:line="247" w:lineRule="auto"/>
              <w:rPr>
                <w:rFonts w:ascii="Arial"/>
                <w:color w:val="auto"/>
                <w:sz w:val="21"/>
                <w:highlight w:val="none"/>
              </w:rPr>
            </w:pPr>
          </w:p>
          <w:p w14:paraId="16C2D377">
            <w:pPr>
              <w:spacing w:line="247" w:lineRule="auto"/>
              <w:rPr>
                <w:rFonts w:ascii="Arial"/>
                <w:color w:val="auto"/>
                <w:sz w:val="21"/>
                <w:highlight w:val="none"/>
              </w:rPr>
            </w:pPr>
          </w:p>
          <w:p w14:paraId="781A2932">
            <w:pPr>
              <w:spacing w:line="247" w:lineRule="auto"/>
              <w:rPr>
                <w:rFonts w:ascii="Arial"/>
                <w:color w:val="auto"/>
                <w:sz w:val="21"/>
                <w:highlight w:val="none"/>
              </w:rPr>
            </w:pPr>
          </w:p>
          <w:p w14:paraId="6693782B">
            <w:pPr>
              <w:spacing w:line="247" w:lineRule="auto"/>
              <w:rPr>
                <w:rFonts w:ascii="Arial"/>
                <w:color w:val="auto"/>
                <w:sz w:val="21"/>
                <w:highlight w:val="none"/>
              </w:rPr>
            </w:pPr>
          </w:p>
          <w:p w14:paraId="61080EB0">
            <w:pPr>
              <w:spacing w:line="247" w:lineRule="auto"/>
              <w:rPr>
                <w:rFonts w:ascii="Arial"/>
                <w:color w:val="auto"/>
                <w:sz w:val="21"/>
                <w:highlight w:val="none"/>
              </w:rPr>
            </w:pPr>
          </w:p>
          <w:p w14:paraId="17F8F7FE">
            <w:pPr>
              <w:pStyle w:val="20"/>
              <w:spacing w:before="65" w:line="229" w:lineRule="auto"/>
              <w:ind w:left="200"/>
              <w:rPr>
                <w:color w:val="auto"/>
                <w:highlight w:val="none"/>
              </w:rPr>
            </w:pPr>
            <w:r>
              <w:rPr>
                <w:b/>
                <w:bCs/>
                <w:color w:val="auto"/>
                <w:spacing w:val="-3"/>
                <w:highlight w:val="none"/>
              </w:rPr>
              <w:t>30</w:t>
            </w:r>
            <w:r>
              <w:rPr>
                <w:color w:val="auto"/>
                <w:spacing w:val="-36"/>
                <w:highlight w:val="none"/>
              </w:rPr>
              <w:t xml:space="preserve"> </w:t>
            </w:r>
            <w:r>
              <w:rPr>
                <w:b/>
                <w:bCs/>
                <w:color w:val="auto"/>
                <w:spacing w:val="-3"/>
                <w:highlight w:val="none"/>
              </w:rPr>
              <w:t>分</w:t>
            </w:r>
          </w:p>
        </w:tc>
      </w:tr>
      <w:tr w14:paraId="46B6F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657" w:type="dxa"/>
            <w:vAlign w:val="top"/>
          </w:tcPr>
          <w:p w14:paraId="68F2F979">
            <w:pPr>
              <w:pStyle w:val="20"/>
              <w:spacing w:before="209" w:line="269" w:lineRule="exact"/>
              <w:ind w:left="304"/>
              <w:rPr>
                <w:color w:val="auto"/>
                <w:highlight w:val="none"/>
              </w:rPr>
            </w:pPr>
            <w:r>
              <w:rPr>
                <w:b/>
                <w:bCs/>
                <w:color w:val="auto"/>
                <w:spacing w:val="-3"/>
                <w:position w:val="1"/>
                <w:highlight w:val="none"/>
              </w:rPr>
              <w:t>2</w:t>
            </w:r>
          </w:p>
        </w:tc>
        <w:tc>
          <w:tcPr>
            <w:tcW w:w="8102" w:type="dxa"/>
            <w:gridSpan w:val="2"/>
            <w:vAlign w:val="top"/>
          </w:tcPr>
          <w:p w14:paraId="44A13C1E">
            <w:pPr>
              <w:pStyle w:val="20"/>
              <w:spacing w:before="209" w:line="228" w:lineRule="auto"/>
              <w:ind w:left="3728"/>
              <w:rPr>
                <w:color w:val="auto"/>
                <w:highlight w:val="none"/>
              </w:rPr>
            </w:pPr>
            <w:r>
              <w:rPr>
                <w:b/>
                <w:bCs/>
                <w:color w:val="auto"/>
                <w:spacing w:val="5"/>
                <w:highlight w:val="none"/>
              </w:rPr>
              <w:t>技术分</w:t>
            </w:r>
          </w:p>
        </w:tc>
        <w:tc>
          <w:tcPr>
            <w:tcW w:w="854" w:type="dxa"/>
            <w:vAlign w:val="top"/>
          </w:tcPr>
          <w:p w14:paraId="6D90A9CB">
            <w:pPr>
              <w:pStyle w:val="20"/>
              <w:spacing w:before="209" w:line="229" w:lineRule="auto"/>
              <w:ind w:left="198"/>
              <w:rPr>
                <w:color w:val="auto"/>
                <w:highlight w:val="none"/>
              </w:rPr>
            </w:pPr>
            <w:r>
              <w:rPr>
                <w:b/>
                <w:bCs/>
                <w:color w:val="auto"/>
                <w:spacing w:val="-3"/>
                <w:highlight w:val="none"/>
              </w:rPr>
              <w:t>65</w:t>
            </w:r>
            <w:r>
              <w:rPr>
                <w:color w:val="auto"/>
                <w:spacing w:val="-34"/>
                <w:highlight w:val="none"/>
              </w:rPr>
              <w:t xml:space="preserve"> </w:t>
            </w:r>
            <w:r>
              <w:rPr>
                <w:b/>
                <w:bCs/>
                <w:color w:val="auto"/>
                <w:spacing w:val="-3"/>
                <w:highlight w:val="none"/>
              </w:rPr>
              <w:t>分</w:t>
            </w:r>
          </w:p>
        </w:tc>
      </w:tr>
      <w:tr w14:paraId="204EA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57" w:type="dxa"/>
            <w:vAlign w:val="top"/>
          </w:tcPr>
          <w:p w14:paraId="195BC47C">
            <w:pPr>
              <w:spacing w:line="258" w:lineRule="auto"/>
              <w:rPr>
                <w:rFonts w:ascii="Arial"/>
                <w:color w:val="auto"/>
                <w:sz w:val="21"/>
                <w:highlight w:val="none"/>
              </w:rPr>
            </w:pPr>
          </w:p>
          <w:p w14:paraId="719903D3">
            <w:pPr>
              <w:spacing w:line="259" w:lineRule="auto"/>
              <w:rPr>
                <w:rFonts w:ascii="Arial"/>
                <w:color w:val="auto"/>
                <w:sz w:val="21"/>
                <w:highlight w:val="none"/>
              </w:rPr>
            </w:pPr>
          </w:p>
          <w:p w14:paraId="1B4EACFE">
            <w:pPr>
              <w:spacing w:line="259" w:lineRule="auto"/>
              <w:rPr>
                <w:rFonts w:ascii="Arial"/>
                <w:color w:val="auto"/>
                <w:sz w:val="21"/>
                <w:highlight w:val="none"/>
              </w:rPr>
            </w:pPr>
          </w:p>
          <w:p w14:paraId="0F92ACF0">
            <w:pPr>
              <w:spacing w:line="259" w:lineRule="auto"/>
              <w:rPr>
                <w:rFonts w:ascii="Arial"/>
                <w:color w:val="auto"/>
                <w:sz w:val="21"/>
                <w:highlight w:val="none"/>
              </w:rPr>
            </w:pPr>
          </w:p>
          <w:p w14:paraId="2EF2D019">
            <w:pPr>
              <w:spacing w:line="259" w:lineRule="auto"/>
              <w:rPr>
                <w:rFonts w:ascii="Arial"/>
                <w:color w:val="auto"/>
                <w:sz w:val="21"/>
                <w:highlight w:val="none"/>
              </w:rPr>
            </w:pPr>
          </w:p>
          <w:p w14:paraId="2C22AD7F">
            <w:pPr>
              <w:spacing w:line="259" w:lineRule="auto"/>
              <w:rPr>
                <w:rFonts w:ascii="Arial"/>
                <w:color w:val="auto"/>
                <w:sz w:val="21"/>
                <w:highlight w:val="none"/>
              </w:rPr>
            </w:pPr>
          </w:p>
          <w:p w14:paraId="14D7B6ED">
            <w:pPr>
              <w:spacing w:line="259" w:lineRule="auto"/>
              <w:rPr>
                <w:rFonts w:ascii="Arial"/>
                <w:color w:val="auto"/>
                <w:sz w:val="21"/>
                <w:highlight w:val="none"/>
              </w:rPr>
            </w:pPr>
          </w:p>
          <w:p w14:paraId="070BFB28">
            <w:pPr>
              <w:pStyle w:val="20"/>
              <w:spacing w:before="65" w:line="269" w:lineRule="exact"/>
              <w:ind w:left="198" w:leftChars="0"/>
              <w:rPr>
                <w:b/>
                <w:bCs/>
                <w:color w:val="auto"/>
                <w:spacing w:val="-3"/>
                <w:position w:val="1"/>
                <w:highlight w:val="none"/>
              </w:rPr>
            </w:pPr>
            <w:r>
              <w:rPr>
                <w:color w:val="auto"/>
                <w:spacing w:val="1"/>
                <w:position w:val="1"/>
                <w:highlight w:val="none"/>
              </w:rPr>
              <w:t>2.1</w:t>
            </w:r>
          </w:p>
        </w:tc>
        <w:tc>
          <w:tcPr>
            <w:tcW w:w="1281" w:type="dxa"/>
            <w:tcBorders>
              <w:right w:val="single" w:color="auto" w:sz="4" w:space="0"/>
            </w:tcBorders>
            <w:vAlign w:val="top"/>
          </w:tcPr>
          <w:p w14:paraId="3F86D693">
            <w:pPr>
              <w:spacing w:line="262" w:lineRule="auto"/>
              <w:rPr>
                <w:rFonts w:ascii="Arial"/>
                <w:color w:val="auto"/>
                <w:sz w:val="21"/>
                <w:highlight w:val="none"/>
              </w:rPr>
            </w:pPr>
          </w:p>
          <w:p w14:paraId="15BE4CD8">
            <w:pPr>
              <w:spacing w:line="262" w:lineRule="auto"/>
              <w:rPr>
                <w:rFonts w:ascii="Arial"/>
                <w:color w:val="auto"/>
                <w:sz w:val="21"/>
                <w:highlight w:val="none"/>
              </w:rPr>
            </w:pPr>
          </w:p>
          <w:p w14:paraId="15B8C9EB">
            <w:pPr>
              <w:spacing w:line="262" w:lineRule="auto"/>
              <w:rPr>
                <w:rFonts w:ascii="Arial"/>
                <w:color w:val="auto"/>
                <w:sz w:val="21"/>
                <w:highlight w:val="none"/>
              </w:rPr>
            </w:pPr>
          </w:p>
          <w:p w14:paraId="3C81D820">
            <w:pPr>
              <w:spacing w:line="262" w:lineRule="auto"/>
              <w:rPr>
                <w:rFonts w:ascii="Arial"/>
                <w:color w:val="auto"/>
                <w:sz w:val="21"/>
                <w:highlight w:val="none"/>
              </w:rPr>
            </w:pPr>
          </w:p>
          <w:p w14:paraId="5ABB9318">
            <w:pPr>
              <w:spacing w:line="262" w:lineRule="auto"/>
              <w:rPr>
                <w:rFonts w:ascii="Arial"/>
                <w:color w:val="auto"/>
                <w:sz w:val="21"/>
                <w:highlight w:val="none"/>
              </w:rPr>
            </w:pPr>
          </w:p>
          <w:p w14:paraId="176D0085">
            <w:pPr>
              <w:spacing w:line="263" w:lineRule="auto"/>
              <w:rPr>
                <w:rFonts w:ascii="Arial"/>
                <w:color w:val="auto"/>
                <w:sz w:val="21"/>
                <w:highlight w:val="none"/>
              </w:rPr>
            </w:pPr>
          </w:p>
          <w:p w14:paraId="22F7C94F">
            <w:pPr>
              <w:pStyle w:val="20"/>
              <w:spacing w:before="65" w:line="228" w:lineRule="auto"/>
              <w:ind w:left="136"/>
              <w:rPr>
                <w:color w:val="auto"/>
                <w:highlight w:val="none"/>
              </w:rPr>
            </w:pPr>
            <w:r>
              <w:rPr>
                <w:color w:val="auto"/>
                <w:spacing w:val="7"/>
                <w:highlight w:val="none"/>
              </w:rPr>
              <w:t>项目管理机</w:t>
            </w:r>
          </w:p>
          <w:p w14:paraId="5EDE3155">
            <w:pPr>
              <w:pStyle w:val="20"/>
              <w:spacing w:before="233" w:line="229" w:lineRule="auto"/>
              <w:ind w:left="555" w:leftChars="0"/>
              <w:rPr>
                <w:b/>
                <w:bCs/>
                <w:color w:val="auto"/>
                <w:spacing w:val="5"/>
                <w:highlight w:val="none"/>
              </w:rPr>
            </w:pPr>
            <w:r>
              <w:rPr>
                <w:color w:val="auto"/>
                <w:highlight w:val="none"/>
              </w:rPr>
              <w:t>构</w:t>
            </w:r>
          </w:p>
        </w:tc>
        <w:tc>
          <w:tcPr>
            <w:tcW w:w="6821" w:type="dxa"/>
            <w:tcBorders>
              <w:left w:val="single" w:color="auto" w:sz="4" w:space="0"/>
            </w:tcBorders>
            <w:vAlign w:val="top"/>
          </w:tcPr>
          <w:p w14:paraId="2D8C57F0">
            <w:pPr>
              <w:pStyle w:val="20"/>
              <w:spacing w:before="209" w:line="335" w:lineRule="auto"/>
              <w:ind w:left="113" w:right="106" w:firstLine="15"/>
              <w:rPr>
                <w:color w:val="auto"/>
                <w:highlight w:val="none"/>
              </w:rPr>
            </w:pPr>
            <w:r>
              <w:rPr>
                <w:color w:val="auto"/>
                <w:spacing w:val="7"/>
                <w:highlight w:val="none"/>
              </w:rPr>
              <w:t>1、项目经理：项目经理</w:t>
            </w:r>
            <w:r>
              <w:rPr>
                <w:rFonts w:ascii="宋体" w:hAnsi="宋体" w:eastAsia="宋体" w:cs="宋体"/>
                <w:color w:val="auto"/>
                <w:spacing w:val="8"/>
                <w:sz w:val="20"/>
                <w:szCs w:val="20"/>
                <w:highlight w:val="none"/>
              </w:rPr>
              <w:t>具有建筑工程专业二级及以上注册建造师证书，</w:t>
            </w:r>
            <w:r>
              <w:rPr>
                <w:rFonts w:ascii="宋体" w:hAnsi="宋体" w:eastAsia="宋体" w:cs="宋体"/>
                <w:color w:val="auto"/>
                <w:spacing w:val="9"/>
                <w:sz w:val="20"/>
                <w:szCs w:val="20"/>
                <w:highlight w:val="none"/>
              </w:rPr>
              <w:t>具备有效的安全生产考核合格证书（B</w:t>
            </w:r>
            <w:r>
              <w:rPr>
                <w:rFonts w:ascii="宋体" w:hAnsi="宋体" w:eastAsia="宋体" w:cs="宋体"/>
                <w:color w:val="auto"/>
                <w:spacing w:val="-38"/>
                <w:sz w:val="20"/>
                <w:szCs w:val="20"/>
                <w:highlight w:val="none"/>
              </w:rPr>
              <w:t xml:space="preserve"> </w:t>
            </w:r>
            <w:r>
              <w:rPr>
                <w:rFonts w:ascii="宋体" w:hAnsi="宋体" w:eastAsia="宋体" w:cs="宋体"/>
                <w:color w:val="auto"/>
                <w:spacing w:val="9"/>
                <w:sz w:val="20"/>
                <w:szCs w:val="20"/>
                <w:highlight w:val="none"/>
              </w:rPr>
              <w:t>类）</w:t>
            </w:r>
            <w:r>
              <w:rPr>
                <w:color w:val="auto"/>
                <w:spacing w:val="6"/>
                <w:highlight w:val="none"/>
              </w:rPr>
              <w:t>得</w:t>
            </w:r>
            <w:r>
              <w:rPr>
                <w:color w:val="auto"/>
                <w:spacing w:val="-24"/>
                <w:highlight w:val="none"/>
              </w:rPr>
              <w:t xml:space="preserve"> </w:t>
            </w:r>
            <w:r>
              <w:rPr>
                <w:color w:val="auto"/>
                <w:spacing w:val="6"/>
                <w:highlight w:val="none"/>
              </w:rPr>
              <w:t>2.5</w:t>
            </w:r>
            <w:r>
              <w:rPr>
                <w:color w:val="auto"/>
                <w:spacing w:val="-38"/>
                <w:highlight w:val="none"/>
              </w:rPr>
              <w:t xml:space="preserve"> </w:t>
            </w:r>
            <w:r>
              <w:rPr>
                <w:color w:val="auto"/>
                <w:spacing w:val="6"/>
                <w:highlight w:val="none"/>
              </w:rPr>
              <w:t>分。此项满分</w:t>
            </w:r>
            <w:r>
              <w:rPr>
                <w:color w:val="auto"/>
                <w:spacing w:val="-34"/>
                <w:highlight w:val="none"/>
              </w:rPr>
              <w:t xml:space="preserve"> </w:t>
            </w:r>
            <w:r>
              <w:rPr>
                <w:color w:val="auto"/>
                <w:spacing w:val="6"/>
                <w:highlight w:val="none"/>
              </w:rPr>
              <w:t>2.5</w:t>
            </w:r>
            <w:r>
              <w:rPr>
                <w:color w:val="auto"/>
                <w:spacing w:val="-38"/>
                <w:highlight w:val="none"/>
              </w:rPr>
              <w:t xml:space="preserve"> </w:t>
            </w:r>
            <w:r>
              <w:rPr>
                <w:color w:val="auto"/>
                <w:spacing w:val="6"/>
                <w:highlight w:val="none"/>
              </w:rPr>
              <w:t>分。</w:t>
            </w:r>
          </w:p>
          <w:p w14:paraId="4644BD84">
            <w:pPr>
              <w:pStyle w:val="20"/>
              <w:spacing w:before="231" w:line="372" w:lineRule="auto"/>
              <w:ind w:left="115" w:right="102"/>
              <w:rPr>
                <w:color w:val="auto"/>
                <w:spacing w:val="7"/>
                <w:highlight w:val="none"/>
              </w:rPr>
            </w:pPr>
            <w:r>
              <w:rPr>
                <w:color w:val="auto"/>
                <w:spacing w:val="7"/>
                <w:highlight w:val="none"/>
              </w:rPr>
              <w:t>2、拟投入的本项目的技术负责人、施工员、质量员、安全员、材料</w:t>
            </w:r>
            <w:r>
              <w:rPr>
                <w:color w:val="auto"/>
                <w:spacing w:val="12"/>
                <w:highlight w:val="none"/>
              </w:rPr>
              <w:t xml:space="preserve"> </w:t>
            </w:r>
            <w:r>
              <w:rPr>
                <w:color w:val="auto"/>
                <w:spacing w:val="4"/>
                <w:highlight w:val="none"/>
              </w:rPr>
              <w:t>员等人员齐备，均具有相应岗位资格证书，得</w:t>
            </w:r>
            <w:r>
              <w:rPr>
                <w:color w:val="auto"/>
                <w:spacing w:val="-30"/>
                <w:highlight w:val="none"/>
              </w:rPr>
              <w:t xml:space="preserve"> </w:t>
            </w:r>
            <w:r>
              <w:rPr>
                <w:color w:val="auto"/>
                <w:spacing w:val="4"/>
                <w:highlight w:val="none"/>
              </w:rPr>
              <w:t>2.5</w:t>
            </w:r>
            <w:r>
              <w:rPr>
                <w:color w:val="auto"/>
                <w:spacing w:val="-38"/>
                <w:highlight w:val="none"/>
              </w:rPr>
              <w:t xml:space="preserve"> </w:t>
            </w:r>
            <w:r>
              <w:rPr>
                <w:color w:val="auto"/>
                <w:spacing w:val="4"/>
                <w:highlight w:val="none"/>
              </w:rPr>
              <w:t>分，此项满分</w:t>
            </w:r>
            <w:r>
              <w:rPr>
                <w:color w:val="auto"/>
                <w:spacing w:val="-34"/>
                <w:highlight w:val="none"/>
              </w:rPr>
              <w:t xml:space="preserve"> </w:t>
            </w:r>
            <w:r>
              <w:rPr>
                <w:color w:val="auto"/>
                <w:spacing w:val="4"/>
                <w:highlight w:val="none"/>
              </w:rPr>
              <w:t>2.5</w:t>
            </w:r>
            <w:r>
              <w:rPr>
                <w:color w:val="auto"/>
                <w:highlight w:val="none"/>
              </w:rPr>
              <w:t xml:space="preserve"> </w:t>
            </w:r>
            <w:r>
              <w:rPr>
                <w:color w:val="auto"/>
                <w:spacing w:val="7"/>
                <w:highlight w:val="none"/>
              </w:rPr>
              <w:t>分。（</w:t>
            </w:r>
            <w:r>
              <w:rPr>
                <w:rFonts w:hint="eastAsia"/>
                <w:color w:val="auto"/>
                <w:spacing w:val="7"/>
                <w:highlight w:val="none"/>
                <w:lang w:eastAsia="zh-CN"/>
              </w:rPr>
              <w:t>技术负责人具备工程类职称证书，</w:t>
            </w:r>
            <w:r>
              <w:rPr>
                <w:rFonts w:hint="eastAsia"/>
                <w:color w:val="auto"/>
                <w:spacing w:val="7"/>
                <w:highlight w:val="none"/>
              </w:rPr>
              <w:t>拟投入本工程的施工员、质量员、材料员应具有有效的相应施工现场专业人员职业培训合格证书，专职安全生产管理人员需有有效建筑施工企业三类人员C证</w:t>
            </w:r>
            <w:r>
              <w:rPr>
                <w:rFonts w:hint="eastAsia"/>
                <w:color w:val="auto"/>
                <w:spacing w:val="7"/>
                <w:highlight w:val="none"/>
                <w:lang w:eastAsia="zh-CN"/>
              </w:rPr>
              <w:t>，</w:t>
            </w:r>
            <w:r>
              <w:rPr>
                <w:color w:val="auto"/>
                <w:spacing w:val="7"/>
                <w:highlight w:val="none"/>
              </w:rPr>
              <w:t>缺一项不得分）</w:t>
            </w:r>
          </w:p>
          <w:p w14:paraId="49E0F6B4">
            <w:pPr>
              <w:pStyle w:val="20"/>
              <w:spacing w:before="231" w:line="372" w:lineRule="auto"/>
              <w:ind w:left="115" w:right="102"/>
              <w:rPr>
                <w:b/>
                <w:bCs/>
                <w:color w:val="auto"/>
                <w:spacing w:val="5"/>
                <w:highlight w:val="none"/>
              </w:rPr>
            </w:pPr>
            <w:r>
              <w:rPr>
                <w:color w:val="auto"/>
                <w:spacing w:val="12"/>
                <w:highlight w:val="none"/>
              </w:rPr>
              <w:t>注</w:t>
            </w:r>
            <w:r>
              <w:rPr>
                <w:color w:val="auto"/>
                <w:spacing w:val="-19"/>
                <w:highlight w:val="none"/>
              </w:rPr>
              <w:t>：（</w:t>
            </w:r>
            <w:r>
              <w:rPr>
                <w:color w:val="auto"/>
                <w:spacing w:val="12"/>
                <w:highlight w:val="none"/>
              </w:rPr>
              <w:t>注：项目经理及其他拟投入的本项目人员</w:t>
            </w:r>
            <w:r>
              <w:rPr>
                <w:color w:val="auto"/>
                <w:spacing w:val="11"/>
                <w:highlight w:val="none"/>
              </w:rPr>
              <w:t>需提供相关证书及</w:t>
            </w:r>
            <w:r>
              <w:rPr>
                <w:color w:val="auto"/>
                <w:spacing w:val="1"/>
                <w:highlight w:val="none"/>
              </w:rPr>
              <w:t xml:space="preserve"> </w:t>
            </w:r>
            <w:r>
              <w:rPr>
                <w:color w:val="auto"/>
                <w:spacing w:val="6"/>
                <w:highlight w:val="none"/>
              </w:rPr>
              <w:t>[</w:t>
            </w:r>
            <w:r>
              <w:rPr>
                <w:color w:val="auto"/>
                <w:spacing w:val="-37"/>
                <w:highlight w:val="none"/>
                <w:u w:val="single" w:color="auto"/>
              </w:rPr>
              <w:t xml:space="preserve"> </w:t>
            </w:r>
            <w:r>
              <w:rPr>
                <w:color w:val="auto"/>
                <w:spacing w:val="6"/>
                <w:highlight w:val="none"/>
                <w:u w:val="single" w:color="auto"/>
              </w:rPr>
              <w:t xml:space="preserve">2025 </w:t>
            </w:r>
            <w:r>
              <w:rPr>
                <w:color w:val="auto"/>
                <w:spacing w:val="6"/>
                <w:highlight w:val="none"/>
              </w:rPr>
              <w:t>年</w:t>
            </w:r>
            <w:r>
              <w:rPr>
                <w:color w:val="auto"/>
                <w:spacing w:val="6"/>
                <w:highlight w:val="none"/>
                <w:u w:val="single" w:color="auto"/>
              </w:rPr>
              <w:t xml:space="preserve"> </w:t>
            </w:r>
            <w:r>
              <w:rPr>
                <w:rFonts w:hint="eastAsia"/>
                <w:color w:val="auto"/>
                <w:spacing w:val="6"/>
                <w:highlight w:val="none"/>
                <w:u w:val="single" w:color="auto"/>
                <w:lang w:val="en-US" w:eastAsia="zh-CN"/>
              </w:rPr>
              <w:t>12</w:t>
            </w:r>
            <w:r>
              <w:rPr>
                <w:color w:val="auto"/>
                <w:spacing w:val="-35"/>
                <w:highlight w:val="none"/>
                <w:u w:val="single" w:color="auto"/>
              </w:rPr>
              <w:t xml:space="preserve"> </w:t>
            </w:r>
            <w:r>
              <w:rPr>
                <w:color w:val="auto"/>
                <w:spacing w:val="6"/>
                <w:highlight w:val="none"/>
              </w:rPr>
              <w:t>月至</w:t>
            </w:r>
            <w:r>
              <w:rPr>
                <w:color w:val="auto"/>
                <w:spacing w:val="6"/>
                <w:highlight w:val="none"/>
                <w:u w:val="single" w:color="auto"/>
              </w:rPr>
              <w:t xml:space="preserve"> 20</w:t>
            </w:r>
            <w:r>
              <w:rPr>
                <w:rFonts w:hint="eastAsia"/>
                <w:color w:val="auto"/>
                <w:spacing w:val="6"/>
                <w:highlight w:val="none"/>
                <w:u w:val="single" w:color="auto"/>
                <w:lang w:val="en-US" w:eastAsia="zh-CN"/>
              </w:rPr>
              <w:t>26</w:t>
            </w:r>
            <w:r>
              <w:rPr>
                <w:color w:val="auto"/>
                <w:spacing w:val="6"/>
                <w:highlight w:val="none"/>
                <w:u w:val="single" w:color="auto"/>
              </w:rPr>
              <w:t xml:space="preserve"> </w:t>
            </w:r>
            <w:r>
              <w:rPr>
                <w:color w:val="auto"/>
                <w:spacing w:val="6"/>
                <w:highlight w:val="none"/>
              </w:rPr>
              <w:t>年</w:t>
            </w:r>
            <w:r>
              <w:rPr>
                <w:color w:val="auto"/>
                <w:spacing w:val="17"/>
                <w:highlight w:val="none"/>
                <w:u w:val="single" w:color="auto"/>
              </w:rPr>
              <w:t xml:space="preserve"> </w:t>
            </w:r>
            <w:r>
              <w:rPr>
                <w:rFonts w:hint="eastAsia"/>
                <w:color w:val="auto"/>
                <w:spacing w:val="6"/>
                <w:highlight w:val="none"/>
                <w:u w:val="single" w:color="auto"/>
                <w:lang w:val="en-US" w:eastAsia="zh-CN"/>
              </w:rPr>
              <w:t>5</w:t>
            </w:r>
            <w:r>
              <w:rPr>
                <w:color w:val="auto"/>
                <w:spacing w:val="-35"/>
                <w:highlight w:val="none"/>
                <w:u w:val="single" w:color="auto"/>
              </w:rPr>
              <w:t xml:space="preserve"> </w:t>
            </w:r>
            <w:r>
              <w:rPr>
                <w:color w:val="auto"/>
                <w:spacing w:val="6"/>
                <w:highlight w:val="none"/>
              </w:rPr>
              <w:t>月]内连续三个月供应商为其依法缴纳</w:t>
            </w:r>
            <w:r>
              <w:rPr>
                <w:color w:val="auto"/>
                <w:highlight w:val="none"/>
              </w:rPr>
              <w:t xml:space="preserve"> </w:t>
            </w:r>
            <w:r>
              <w:rPr>
                <w:color w:val="auto"/>
                <w:spacing w:val="8"/>
                <w:highlight w:val="none"/>
              </w:rPr>
              <w:t>社保的证明材料，否则不得分。）</w:t>
            </w:r>
          </w:p>
        </w:tc>
        <w:tc>
          <w:tcPr>
            <w:tcW w:w="854" w:type="dxa"/>
            <w:vAlign w:val="top"/>
          </w:tcPr>
          <w:p w14:paraId="3BB712B3">
            <w:pPr>
              <w:spacing w:line="258" w:lineRule="auto"/>
              <w:rPr>
                <w:rFonts w:ascii="Arial"/>
                <w:color w:val="auto"/>
                <w:sz w:val="21"/>
                <w:highlight w:val="none"/>
              </w:rPr>
            </w:pPr>
          </w:p>
          <w:p w14:paraId="4C74B25C">
            <w:pPr>
              <w:spacing w:line="259" w:lineRule="auto"/>
              <w:rPr>
                <w:rFonts w:ascii="Arial"/>
                <w:color w:val="auto"/>
                <w:sz w:val="21"/>
                <w:highlight w:val="none"/>
              </w:rPr>
            </w:pPr>
          </w:p>
          <w:p w14:paraId="5719940F">
            <w:pPr>
              <w:spacing w:line="259" w:lineRule="auto"/>
              <w:rPr>
                <w:rFonts w:ascii="Arial"/>
                <w:color w:val="auto"/>
                <w:sz w:val="21"/>
                <w:highlight w:val="none"/>
              </w:rPr>
            </w:pPr>
          </w:p>
          <w:p w14:paraId="3D7616C6">
            <w:pPr>
              <w:spacing w:line="259" w:lineRule="auto"/>
              <w:rPr>
                <w:rFonts w:ascii="Arial"/>
                <w:color w:val="auto"/>
                <w:sz w:val="21"/>
                <w:highlight w:val="none"/>
              </w:rPr>
            </w:pPr>
          </w:p>
          <w:p w14:paraId="30235F9A">
            <w:pPr>
              <w:spacing w:line="259" w:lineRule="auto"/>
              <w:rPr>
                <w:rFonts w:ascii="Arial"/>
                <w:color w:val="auto"/>
                <w:sz w:val="21"/>
                <w:highlight w:val="none"/>
              </w:rPr>
            </w:pPr>
          </w:p>
          <w:p w14:paraId="5E19465E">
            <w:pPr>
              <w:spacing w:line="259" w:lineRule="auto"/>
              <w:rPr>
                <w:rFonts w:ascii="Arial"/>
                <w:color w:val="auto"/>
                <w:sz w:val="21"/>
                <w:highlight w:val="none"/>
              </w:rPr>
            </w:pPr>
          </w:p>
          <w:p w14:paraId="682E9534">
            <w:pPr>
              <w:spacing w:line="259" w:lineRule="auto"/>
              <w:rPr>
                <w:rFonts w:ascii="Arial"/>
                <w:color w:val="auto"/>
                <w:sz w:val="21"/>
                <w:highlight w:val="none"/>
              </w:rPr>
            </w:pPr>
          </w:p>
          <w:p w14:paraId="0F48B2ED">
            <w:pPr>
              <w:pStyle w:val="20"/>
              <w:spacing w:before="65" w:line="229" w:lineRule="auto"/>
              <w:ind w:left="253" w:leftChars="0"/>
              <w:rPr>
                <w:b/>
                <w:bCs/>
                <w:color w:val="auto"/>
                <w:spacing w:val="-3"/>
                <w:highlight w:val="none"/>
              </w:rPr>
            </w:pPr>
            <w:r>
              <w:rPr>
                <w:color w:val="auto"/>
                <w:spacing w:val="-4"/>
                <w:highlight w:val="none"/>
              </w:rPr>
              <w:t>5</w:t>
            </w:r>
            <w:r>
              <w:rPr>
                <w:color w:val="auto"/>
                <w:spacing w:val="-38"/>
                <w:highlight w:val="none"/>
              </w:rPr>
              <w:t xml:space="preserve"> </w:t>
            </w:r>
            <w:r>
              <w:rPr>
                <w:color w:val="auto"/>
                <w:spacing w:val="-4"/>
                <w:highlight w:val="none"/>
              </w:rPr>
              <w:t>分</w:t>
            </w:r>
          </w:p>
        </w:tc>
      </w:tr>
    </w:tbl>
    <w:p w14:paraId="503CA886">
      <w:pPr>
        <w:pStyle w:val="6"/>
        <w:rPr>
          <w:color w:val="auto"/>
          <w:highlight w:val="none"/>
        </w:rPr>
      </w:pPr>
    </w:p>
    <w:p w14:paraId="5BB29298">
      <w:pPr>
        <w:rPr>
          <w:color w:val="auto"/>
          <w:highlight w:val="none"/>
        </w:rPr>
        <w:sectPr>
          <w:footerReference r:id="rId35" w:type="default"/>
          <w:pgSz w:w="11905" w:h="16839"/>
          <w:pgMar w:top="400" w:right="1345" w:bottom="1079" w:left="1345" w:header="0" w:footer="843" w:gutter="0"/>
          <w:pgNumType w:fmt="decimal"/>
          <w:cols w:space="720" w:num="1"/>
        </w:sectPr>
      </w:pPr>
    </w:p>
    <w:tbl>
      <w:tblPr>
        <w:tblStyle w:val="19"/>
        <w:tblW w:w="92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7"/>
        <w:gridCol w:w="1306"/>
        <w:gridCol w:w="6351"/>
        <w:gridCol w:w="855"/>
      </w:tblGrid>
      <w:tr w14:paraId="7F67B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5" w:hRule="atLeast"/>
        </w:trPr>
        <w:tc>
          <w:tcPr>
            <w:tcW w:w="697" w:type="dxa"/>
            <w:shd w:val="clear" w:color="auto" w:fill="auto"/>
            <w:vAlign w:val="top"/>
          </w:tcPr>
          <w:p w14:paraId="57F62F12">
            <w:pPr>
              <w:spacing w:line="246" w:lineRule="auto"/>
              <w:rPr>
                <w:rFonts w:ascii="Arial"/>
                <w:color w:val="auto"/>
                <w:sz w:val="21"/>
                <w:highlight w:val="none"/>
              </w:rPr>
            </w:pPr>
          </w:p>
          <w:p w14:paraId="6196AB05">
            <w:pPr>
              <w:spacing w:line="246" w:lineRule="auto"/>
              <w:rPr>
                <w:rFonts w:ascii="Arial"/>
                <w:color w:val="auto"/>
                <w:sz w:val="21"/>
                <w:highlight w:val="none"/>
              </w:rPr>
            </w:pPr>
          </w:p>
          <w:p w14:paraId="33D37160">
            <w:pPr>
              <w:spacing w:line="246" w:lineRule="auto"/>
              <w:rPr>
                <w:rFonts w:ascii="Arial"/>
                <w:color w:val="auto"/>
                <w:sz w:val="21"/>
                <w:highlight w:val="none"/>
              </w:rPr>
            </w:pPr>
          </w:p>
          <w:p w14:paraId="4AAE73D0">
            <w:pPr>
              <w:spacing w:line="246" w:lineRule="auto"/>
              <w:rPr>
                <w:rFonts w:ascii="Arial"/>
                <w:color w:val="auto"/>
                <w:sz w:val="21"/>
                <w:highlight w:val="none"/>
              </w:rPr>
            </w:pPr>
          </w:p>
          <w:p w14:paraId="21D35AFC">
            <w:pPr>
              <w:spacing w:line="246" w:lineRule="auto"/>
              <w:rPr>
                <w:rFonts w:ascii="Arial"/>
                <w:color w:val="auto"/>
                <w:sz w:val="21"/>
                <w:highlight w:val="none"/>
              </w:rPr>
            </w:pPr>
          </w:p>
          <w:p w14:paraId="79D3833D">
            <w:pPr>
              <w:spacing w:line="246" w:lineRule="auto"/>
              <w:rPr>
                <w:rFonts w:ascii="Arial"/>
                <w:color w:val="auto"/>
                <w:sz w:val="21"/>
                <w:highlight w:val="none"/>
              </w:rPr>
            </w:pPr>
          </w:p>
          <w:p w14:paraId="49D04BCA">
            <w:pPr>
              <w:spacing w:line="246" w:lineRule="auto"/>
              <w:rPr>
                <w:rFonts w:ascii="Arial"/>
                <w:color w:val="auto"/>
                <w:sz w:val="21"/>
                <w:highlight w:val="none"/>
              </w:rPr>
            </w:pPr>
          </w:p>
          <w:p w14:paraId="4189A371">
            <w:pPr>
              <w:spacing w:line="247" w:lineRule="auto"/>
              <w:rPr>
                <w:rFonts w:ascii="Arial"/>
                <w:color w:val="auto"/>
                <w:sz w:val="21"/>
                <w:highlight w:val="none"/>
              </w:rPr>
            </w:pPr>
          </w:p>
          <w:p w14:paraId="28AFE974">
            <w:pPr>
              <w:pStyle w:val="20"/>
              <w:spacing w:before="65" w:line="268" w:lineRule="exact"/>
              <w:ind w:left="198" w:leftChars="0"/>
              <w:rPr>
                <w:rFonts w:ascii="宋体" w:hAnsi="宋体" w:eastAsia="宋体" w:cs="宋体"/>
                <w:snapToGrid w:val="0"/>
                <w:color w:val="auto"/>
                <w:kern w:val="0"/>
                <w:sz w:val="20"/>
                <w:szCs w:val="20"/>
                <w:highlight w:val="none"/>
                <w:lang w:val="en-US" w:eastAsia="en-US" w:bidi="ar-SA"/>
              </w:rPr>
            </w:pPr>
            <w:r>
              <w:rPr>
                <w:color w:val="auto"/>
                <w:spacing w:val="1"/>
                <w:position w:val="1"/>
                <w:highlight w:val="none"/>
              </w:rPr>
              <w:t>2.2</w:t>
            </w:r>
          </w:p>
        </w:tc>
        <w:tc>
          <w:tcPr>
            <w:tcW w:w="1306" w:type="dxa"/>
            <w:shd w:val="clear" w:color="auto" w:fill="auto"/>
            <w:vAlign w:val="top"/>
          </w:tcPr>
          <w:p w14:paraId="42116E2B">
            <w:pPr>
              <w:spacing w:line="247" w:lineRule="auto"/>
              <w:rPr>
                <w:rFonts w:ascii="Arial"/>
                <w:color w:val="auto"/>
                <w:sz w:val="21"/>
                <w:highlight w:val="none"/>
              </w:rPr>
            </w:pPr>
          </w:p>
          <w:p w14:paraId="2F03041C">
            <w:pPr>
              <w:spacing w:line="247" w:lineRule="auto"/>
              <w:rPr>
                <w:rFonts w:ascii="Arial"/>
                <w:color w:val="auto"/>
                <w:sz w:val="21"/>
                <w:highlight w:val="none"/>
              </w:rPr>
            </w:pPr>
          </w:p>
          <w:p w14:paraId="3BE2AD06">
            <w:pPr>
              <w:spacing w:line="247" w:lineRule="auto"/>
              <w:rPr>
                <w:rFonts w:ascii="Arial"/>
                <w:color w:val="auto"/>
                <w:sz w:val="21"/>
                <w:highlight w:val="none"/>
              </w:rPr>
            </w:pPr>
          </w:p>
          <w:p w14:paraId="47A0DE5F">
            <w:pPr>
              <w:spacing w:line="247" w:lineRule="auto"/>
              <w:rPr>
                <w:rFonts w:ascii="Arial"/>
                <w:color w:val="auto"/>
                <w:sz w:val="21"/>
                <w:highlight w:val="none"/>
              </w:rPr>
            </w:pPr>
          </w:p>
          <w:p w14:paraId="138D32F2">
            <w:pPr>
              <w:spacing w:line="247" w:lineRule="auto"/>
              <w:rPr>
                <w:rFonts w:ascii="Arial"/>
                <w:color w:val="auto"/>
                <w:sz w:val="21"/>
                <w:highlight w:val="none"/>
              </w:rPr>
            </w:pPr>
          </w:p>
          <w:p w14:paraId="20C83C78">
            <w:pPr>
              <w:spacing w:line="247" w:lineRule="auto"/>
              <w:rPr>
                <w:rFonts w:ascii="Arial"/>
                <w:color w:val="auto"/>
                <w:sz w:val="21"/>
                <w:highlight w:val="none"/>
              </w:rPr>
            </w:pPr>
          </w:p>
          <w:p w14:paraId="29DC1E73">
            <w:pPr>
              <w:spacing w:line="248" w:lineRule="auto"/>
              <w:rPr>
                <w:rFonts w:ascii="Arial"/>
                <w:color w:val="auto"/>
                <w:sz w:val="21"/>
                <w:highlight w:val="none"/>
              </w:rPr>
            </w:pPr>
          </w:p>
          <w:p w14:paraId="1AFE80EC">
            <w:pPr>
              <w:pStyle w:val="20"/>
              <w:spacing w:before="65" w:line="230" w:lineRule="auto"/>
              <w:ind w:left="134"/>
              <w:rPr>
                <w:color w:val="auto"/>
                <w:highlight w:val="none"/>
              </w:rPr>
            </w:pPr>
            <w:r>
              <w:rPr>
                <w:color w:val="auto"/>
                <w:spacing w:val="7"/>
                <w:highlight w:val="none"/>
              </w:rPr>
              <w:t>主要施工方</w:t>
            </w:r>
          </w:p>
          <w:p w14:paraId="25C12E4B">
            <w:pPr>
              <w:pStyle w:val="20"/>
              <w:spacing w:before="231" w:line="234" w:lineRule="auto"/>
              <w:ind w:left="553" w:leftChars="0"/>
              <w:rPr>
                <w:rFonts w:ascii="宋体" w:hAnsi="宋体" w:eastAsia="宋体" w:cs="宋体"/>
                <w:snapToGrid w:val="0"/>
                <w:color w:val="auto"/>
                <w:kern w:val="0"/>
                <w:sz w:val="20"/>
                <w:szCs w:val="20"/>
                <w:highlight w:val="none"/>
                <w:lang w:val="en-US" w:eastAsia="en-US" w:bidi="ar-SA"/>
              </w:rPr>
            </w:pPr>
            <w:r>
              <w:rPr>
                <w:color w:val="auto"/>
                <w:highlight w:val="none"/>
              </w:rPr>
              <w:t>法</w:t>
            </w:r>
          </w:p>
        </w:tc>
        <w:tc>
          <w:tcPr>
            <w:tcW w:w="6351" w:type="dxa"/>
            <w:shd w:val="clear" w:color="auto" w:fill="auto"/>
            <w:vAlign w:val="top"/>
          </w:tcPr>
          <w:p w14:paraId="362E4E39">
            <w:pPr>
              <w:pStyle w:val="20"/>
              <w:spacing w:before="142" w:line="369" w:lineRule="auto"/>
              <w:ind w:left="112" w:right="33" w:firstLine="4"/>
              <w:rPr>
                <w:color w:val="auto"/>
                <w:highlight w:val="none"/>
              </w:rPr>
            </w:pPr>
            <w:r>
              <w:rPr>
                <w:color w:val="auto"/>
                <w:spacing w:val="8"/>
                <w:highlight w:val="none"/>
              </w:rPr>
              <w:t>一档（10</w:t>
            </w:r>
            <w:r>
              <w:rPr>
                <w:color w:val="auto"/>
                <w:spacing w:val="-38"/>
                <w:highlight w:val="none"/>
              </w:rPr>
              <w:t xml:space="preserve"> </w:t>
            </w:r>
            <w:r>
              <w:rPr>
                <w:color w:val="auto"/>
                <w:spacing w:val="8"/>
                <w:highlight w:val="none"/>
              </w:rPr>
              <w:t>分</w:t>
            </w:r>
            <w:r>
              <w:rPr>
                <w:color w:val="auto"/>
                <w:spacing w:val="19"/>
                <w:highlight w:val="none"/>
              </w:rPr>
              <w:t>）：</w:t>
            </w:r>
            <w:r>
              <w:rPr>
                <w:color w:val="auto"/>
                <w:spacing w:val="8"/>
                <w:highlight w:val="none"/>
              </w:rPr>
              <w:t>对项目施工总体有深刻认识，表述清晰、完整、严</w:t>
            </w:r>
            <w:r>
              <w:rPr>
                <w:color w:val="auto"/>
                <w:highlight w:val="none"/>
              </w:rPr>
              <w:t xml:space="preserve"> </w:t>
            </w:r>
            <w:r>
              <w:rPr>
                <w:color w:val="auto"/>
                <w:spacing w:val="7"/>
                <w:highlight w:val="none"/>
              </w:rPr>
              <w:t>谨、合理，措施先进、具体、有效、成熟，</w:t>
            </w:r>
            <w:r>
              <w:rPr>
                <w:color w:val="auto"/>
                <w:spacing w:val="6"/>
                <w:highlight w:val="none"/>
              </w:rPr>
              <w:t>采用了已论证的新技术、</w:t>
            </w:r>
            <w:r>
              <w:rPr>
                <w:color w:val="auto"/>
                <w:highlight w:val="none"/>
              </w:rPr>
              <w:t xml:space="preserve"> </w:t>
            </w:r>
            <w:r>
              <w:rPr>
                <w:color w:val="auto"/>
                <w:spacing w:val="12"/>
                <w:highlight w:val="none"/>
              </w:rPr>
              <w:t>新工艺、新材料、新设备；施工段划分呼应总体表述</w:t>
            </w:r>
            <w:r>
              <w:rPr>
                <w:color w:val="auto"/>
                <w:spacing w:val="11"/>
                <w:highlight w:val="none"/>
              </w:rPr>
              <w:t>，划分清晰、</w:t>
            </w:r>
            <w:r>
              <w:rPr>
                <w:color w:val="auto"/>
                <w:highlight w:val="none"/>
              </w:rPr>
              <w:t xml:space="preserve"> </w:t>
            </w:r>
            <w:r>
              <w:rPr>
                <w:color w:val="auto"/>
                <w:spacing w:val="8"/>
                <w:highlight w:val="none"/>
              </w:rPr>
              <w:t>合理，符合规范要求。</w:t>
            </w:r>
          </w:p>
          <w:p w14:paraId="610CBC78">
            <w:pPr>
              <w:pStyle w:val="20"/>
              <w:spacing w:before="2" w:line="369" w:lineRule="auto"/>
              <w:ind w:left="113" w:right="103" w:firstLine="3"/>
              <w:rPr>
                <w:color w:val="auto"/>
                <w:highlight w:val="none"/>
              </w:rPr>
            </w:pPr>
            <w:r>
              <w:rPr>
                <w:color w:val="auto"/>
                <w:spacing w:val="11"/>
                <w:highlight w:val="none"/>
              </w:rPr>
              <w:t>二档（7</w:t>
            </w:r>
            <w:r>
              <w:rPr>
                <w:color w:val="auto"/>
                <w:spacing w:val="-29"/>
                <w:highlight w:val="none"/>
              </w:rPr>
              <w:t xml:space="preserve"> </w:t>
            </w:r>
            <w:r>
              <w:rPr>
                <w:color w:val="auto"/>
                <w:spacing w:val="11"/>
                <w:highlight w:val="none"/>
              </w:rPr>
              <w:t>分</w:t>
            </w:r>
            <w:r>
              <w:rPr>
                <w:color w:val="auto"/>
                <w:spacing w:val="6"/>
                <w:highlight w:val="none"/>
              </w:rPr>
              <w:t>）</w:t>
            </w:r>
            <w:r>
              <w:rPr>
                <w:color w:val="auto"/>
                <w:spacing w:val="-56"/>
                <w:highlight w:val="none"/>
              </w:rPr>
              <w:t xml:space="preserve"> </w:t>
            </w:r>
            <w:r>
              <w:rPr>
                <w:color w:val="auto"/>
                <w:spacing w:val="6"/>
                <w:highlight w:val="none"/>
              </w:rPr>
              <w:t>：</w:t>
            </w:r>
            <w:r>
              <w:rPr>
                <w:color w:val="auto"/>
                <w:spacing w:val="11"/>
                <w:highlight w:val="none"/>
              </w:rPr>
              <w:t>对项目总体有良好认识，表述清晰、完整，措施具</w:t>
            </w:r>
            <w:r>
              <w:rPr>
                <w:color w:val="auto"/>
                <w:highlight w:val="none"/>
              </w:rPr>
              <w:t xml:space="preserve"> </w:t>
            </w:r>
            <w:r>
              <w:rPr>
                <w:color w:val="auto"/>
                <w:spacing w:val="9"/>
                <w:highlight w:val="none"/>
              </w:rPr>
              <w:t>体有效；施工段划分呼应总体表述，划分清晰，符合规范要求。</w:t>
            </w:r>
          </w:p>
          <w:p w14:paraId="04ABE511">
            <w:pPr>
              <w:pStyle w:val="20"/>
              <w:spacing w:line="369" w:lineRule="auto"/>
              <w:ind w:left="112" w:right="32"/>
              <w:rPr>
                <w:color w:val="auto"/>
                <w:highlight w:val="none"/>
              </w:rPr>
            </w:pPr>
            <w:r>
              <w:rPr>
                <w:color w:val="auto"/>
                <w:spacing w:val="12"/>
                <w:highlight w:val="none"/>
              </w:rPr>
              <w:t>三档（4</w:t>
            </w:r>
            <w:r>
              <w:rPr>
                <w:color w:val="auto"/>
                <w:spacing w:val="-30"/>
                <w:highlight w:val="none"/>
              </w:rPr>
              <w:t xml:space="preserve"> </w:t>
            </w:r>
            <w:r>
              <w:rPr>
                <w:color w:val="auto"/>
                <w:spacing w:val="12"/>
                <w:highlight w:val="none"/>
              </w:rPr>
              <w:t>分</w:t>
            </w:r>
            <w:r>
              <w:rPr>
                <w:color w:val="auto"/>
                <w:spacing w:val="-3"/>
                <w:highlight w:val="none"/>
              </w:rPr>
              <w:t>）</w:t>
            </w:r>
            <w:r>
              <w:rPr>
                <w:color w:val="auto"/>
                <w:spacing w:val="-56"/>
                <w:highlight w:val="none"/>
              </w:rPr>
              <w:t xml:space="preserve"> </w:t>
            </w:r>
            <w:r>
              <w:rPr>
                <w:color w:val="auto"/>
                <w:spacing w:val="-3"/>
                <w:highlight w:val="none"/>
              </w:rPr>
              <w:t>：</w:t>
            </w:r>
            <w:r>
              <w:rPr>
                <w:color w:val="auto"/>
                <w:spacing w:val="12"/>
                <w:highlight w:val="none"/>
              </w:rPr>
              <w:t>对项目总体有一定认识，表述基本清晰</w:t>
            </w:r>
            <w:r>
              <w:rPr>
                <w:color w:val="auto"/>
                <w:spacing w:val="11"/>
                <w:highlight w:val="none"/>
              </w:rPr>
              <w:t>、完整，措</w:t>
            </w:r>
            <w:r>
              <w:rPr>
                <w:color w:val="auto"/>
                <w:highlight w:val="none"/>
              </w:rPr>
              <w:t xml:space="preserve"> </w:t>
            </w:r>
            <w:r>
              <w:rPr>
                <w:color w:val="auto"/>
                <w:spacing w:val="7"/>
                <w:highlight w:val="none"/>
              </w:rPr>
              <w:t>施具体有效；施工段划分呼应总体表述，划分</w:t>
            </w:r>
            <w:r>
              <w:rPr>
                <w:color w:val="auto"/>
                <w:spacing w:val="6"/>
                <w:highlight w:val="none"/>
              </w:rPr>
              <w:t>清晰，符合规范要求。</w:t>
            </w:r>
          </w:p>
          <w:p w14:paraId="18E5F392">
            <w:pPr>
              <w:pStyle w:val="20"/>
              <w:spacing w:before="64" w:line="344" w:lineRule="auto"/>
              <w:ind w:left="112" w:leftChars="0" w:right="156" w:rightChars="0" w:firstLine="20" w:firstLineChars="0"/>
              <w:rPr>
                <w:rFonts w:ascii="宋体" w:hAnsi="宋体" w:eastAsia="宋体" w:cs="宋体"/>
                <w:snapToGrid w:val="0"/>
                <w:color w:val="auto"/>
                <w:kern w:val="0"/>
                <w:sz w:val="20"/>
                <w:szCs w:val="20"/>
                <w:highlight w:val="none"/>
                <w:lang w:val="en-US" w:eastAsia="en-US" w:bidi="ar-SA"/>
              </w:rPr>
            </w:pPr>
            <w:r>
              <w:rPr>
                <w:color w:val="auto"/>
                <w:spacing w:val="9"/>
                <w:highlight w:val="none"/>
              </w:rPr>
              <w:t>四档（1</w:t>
            </w:r>
            <w:r>
              <w:rPr>
                <w:color w:val="auto"/>
                <w:spacing w:val="-30"/>
                <w:highlight w:val="none"/>
              </w:rPr>
              <w:t xml:space="preserve"> </w:t>
            </w:r>
            <w:r>
              <w:rPr>
                <w:color w:val="auto"/>
                <w:spacing w:val="9"/>
                <w:highlight w:val="none"/>
              </w:rPr>
              <w:t>分</w:t>
            </w:r>
            <w:r>
              <w:rPr>
                <w:color w:val="auto"/>
                <w:spacing w:val="-1"/>
                <w:highlight w:val="none"/>
              </w:rPr>
              <w:t>）</w:t>
            </w:r>
            <w:r>
              <w:rPr>
                <w:color w:val="auto"/>
                <w:spacing w:val="-56"/>
                <w:highlight w:val="none"/>
              </w:rPr>
              <w:t xml:space="preserve"> </w:t>
            </w:r>
            <w:r>
              <w:rPr>
                <w:color w:val="auto"/>
                <w:spacing w:val="-1"/>
                <w:highlight w:val="none"/>
              </w:rPr>
              <w:t>：</w:t>
            </w:r>
            <w:r>
              <w:rPr>
                <w:color w:val="auto"/>
                <w:spacing w:val="9"/>
                <w:highlight w:val="none"/>
              </w:rPr>
              <w:t>对项目施工认识不足，表述不清晰，措施不具体；</w:t>
            </w:r>
            <w:r>
              <w:rPr>
                <w:color w:val="auto"/>
                <w:highlight w:val="none"/>
              </w:rPr>
              <w:t xml:space="preserve"> </w:t>
            </w:r>
            <w:r>
              <w:rPr>
                <w:color w:val="auto"/>
                <w:spacing w:val="7"/>
                <w:highlight w:val="none"/>
              </w:rPr>
              <w:t>施工段划分不合理。</w:t>
            </w:r>
          </w:p>
        </w:tc>
        <w:tc>
          <w:tcPr>
            <w:tcW w:w="855" w:type="dxa"/>
            <w:shd w:val="clear" w:color="auto" w:fill="auto"/>
            <w:vAlign w:val="top"/>
          </w:tcPr>
          <w:p w14:paraId="51C74C6D">
            <w:pPr>
              <w:spacing w:line="246" w:lineRule="auto"/>
              <w:rPr>
                <w:rFonts w:ascii="Arial"/>
                <w:color w:val="auto"/>
                <w:sz w:val="21"/>
                <w:highlight w:val="none"/>
              </w:rPr>
            </w:pPr>
          </w:p>
          <w:p w14:paraId="5C77F59C">
            <w:pPr>
              <w:spacing w:line="246" w:lineRule="auto"/>
              <w:rPr>
                <w:rFonts w:ascii="Arial"/>
                <w:color w:val="auto"/>
                <w:sz w:val="21"/>
                <w:highlight w:val="none"/>
              </w:rPr>
            </w:pPr>
          </w:p>
          <w:p w14:paraId="6668B62A">
            <w:pPr>
              <w:spacing w:line="246" w:lineRule="auto"/>
              <w:rPr>
                <w:rFonts w:ascii="Arial"/>
                <w:color w:val="auto"/>
                <w:sz w:val="21"/>
                <w:highlight w:val="none"/>
              </w:rPr>
            </w:pPr>
          </w:p>
          <w:p w14:paraId="07E80914">
            <w:pPr>
              <w:spacing w:line="246" w:lineRule="auto"/>
              <w:rPr>
                <w:rFonts w:ascii="Arial"/>
                <w:color w:val="auto"/>
                <w:sz w:val="21"/>
                <w:highlight w:val="none"/>
              </w:rPr>
            </w:pPr>
          </w:p>
          <w:p w14:paraId="79730152">
            <w:pPr>
              <w:spacing w:line="246" w:lineRule="auto"/>
              <w:rPr>
                <w:rFonts w:ascii="Arial"/>
                <w:color w:val="auto"/>
                <w:sz w:val="21"/>
                <w:highlight w:val="none"/>
              </w:rPr>
            </w:pPr>
          </w:p>
          <w:p w14:paraId="4F1403CD">
            <w:pPr>
              <w:spacing w:line="246" w:lineRule="auto"/>
              <w:rPr>
                <w:rFonts w:ascii="Arial"/>
                <w:color w:val="auto"/>
                <w:sz w:val="21"/>
                <w:highlight w:val="none"/>
              </w:rPr>
            </w:pPr>
          </w:p>
          <w:p w14:paraId="5C533C04">
            <w:pPr>
              <w:spacing w:line="246" w:lineRule="auto"/>
              <w:rPr>
                <w:rFonts w:ascii="Arial"/>
                <w:color w:val="auto"/>
                <w:sz w:val="21"/>
                <w:highlight w:val="none"/>
              </w:rPr>
            </w:pPr>
          </w:p>
          <w:p w14:paraId="51D3F392">
            <w:pPr>
              <w:spacing w:line="247" w:lineRule="auto"/>
              <w:rPr>
                <w:rFonts w:ascii="Arial"/>
                <w:color w:val="auto"/>
                <w:sz w:val="21"/>
                <w:highlight w:val="none"/>
              </w:rPr>
            </w:pPr>
          </w:p>
          <w:p w14:paraId="5A4288C1">
            <w:pPr>
              <w:pStyle w:val="20"/>
              <w:spacing w:before="65" w:line="229" w:lineRule="auto"/>
              <w:ind w:left="212" w:leftChars="0"/>
              <w:rPr>
                <w:rFonts w:ascii="宋体" w:hAnsi="宋体" w:eastAsia="宋体" w:cs="宋体"/>
                <w:snapToGrid w:val="0"/>
                <w:color w:val="auto"/>
                <w:kern w:val="0"/>
                <w:sz w:val="20"/>
                <w:szCs w:val="20"/>
                <w:highlight w:val="none"/>
                <w:lang w:val="en-US" w:eastAsia="en-US" w:bidi="ar-SA"/>
              </w:rPr>
            </w:pPr>
            <w:r>
              <w:rPr>
                <w:color w:val="auto"/>
                <w:spacing w:val="-5"/>
                <w:highlight w:val="none"/>
              </w:rPr>
              <w:t>10</w:t>
            </w:r>
            <w:r>
              <w:rPr>
                <w:color w:val="auto"/>
                <w:spacing w:val="-38"/>
                <w:highlight w:val="none"/>
              </w:rPr>
              <w:t xml:space="preserve"> </w:t>
            </w:r>
            <w:r>
              <w:rPr>
                <w:color w:val="auto"/>
                <w:spacing w:val="-5"/>
                <w:highlight w:val="none"/>
              </w:rPr>
              <w:t>分</w:t>
            </w:r>
          </w:p>
        </w:tc>
      </w:tr>
      <w:tr w14:paraId="0C92D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6" w:hRule="atLeast"/>
        </w:trPr>
        <w:tc>
          <w:tcPr>
            <w:tcW w:w="697" w:type="dxa"/>
            <w:shd w:val="clear" w:color="auto" w:fill="auto"/>
            <w:vAlign w:val="top"/>
          </w:tcPr>
          <w:p w14:paraId="155BDAF8">
            <w:pPr>
              <w:spacing w:line="262" w:lineRule="auto"/>
              <w:rPr>
                <w:rFonts w:ascii="Arial"/>
                <w:color w:val="auto"/>
                <w:sz w:val="21"/>
                <w:highlight w:val="none"/>
              </w:rPr>
            </w:pPr>
          </w:p>
          <w:p w14:paraId="219A51AD">
            <w:pPr>
              <w:spacing w:line="262" w:lineRule="auto"/>
              <w:rPr>
                <w:rFonts w:ascii="Arial"/>
                <w:color w:val="auto"/>
                <w:sz w:val="21"/>
                <w:highlight w:val="none"/>
              </w:rPr>
            </w:pPr>
          </w:p>
          <w:p w14:paraId="3E949913">
            <w:pPr>
              <w:spacing w:line="262" w:lineRule="auto"/>
              <w:rPr>
                <w:rFonts w:ascii="Arial"/>
                <w:color w:val="auto"/>
                <w:sz w:val="21"/>
                <w:highlight w:val="none"/>
              </w:rPr>
            </w:pPr>
          </w:p>
          <w:p w14:paraId="25A6E786">
            <w:pPr>
              <w:spacing w:line="262" w:lineRule="auto"/>
              <w:rPr>
                <w:rFonts w:ascii="Arial"/>
                <w:color w:val="auto"/>
                <w:sz w:val="21"/>
                <w:highlight w:val="none"/>
              </w:rPr>
            </w:pPr>
          </w:p>
          <w:p w14:paraId="032AFCB5">
            <w:pPr>
              <w:spacing w:line="262" w:lineRule="auto"/>
              <w:rPr>
                <w:rFonts w:ascii="Arial"/>
                <w:color w:val="auto"/>
                <w:sz w:val="21"/>
                <w:highlight w:val="none"/>
              </w:rPr>
            </w:pPr>
          </w:p>
          <w:p w14:paraId="70491ACC">
            <w:pPr>
              <w:spacing w:line="263" w:lineRule="auto"/>
              <w:rPr>
                <w:rFonts w:ascii="Arial"/>
                <w:color w:val="auto"/>
                <w:sz w:val="21"/>
                <w:highlight w:val="none"/>
              </w:rPr>
            </w:pPr>
          </w:p>
          <w:p w14:paraId="1C4FB4F0">
            <w:pPr>
              <w:pStyle w:val="20"/>
              <w:spacing w:before="65" w:line="269" w:lineRule="exact"/>
              <w:ind w:left="198" w:leftChars="0"/>
              <w:rPr>
                <w:rFonts w:ascii="宋体" w:hAnsi="宋体" w:eastAsia="宋体" w:cs="宋体"/>
                <w:snapToGrid w:val="0"/>
                <w:color w:val="auto"/>
                <w:kern w:val="0"/>
                <w:sz w:val="20"/>
                <w:szCs w:val="20"/>
                <w:highlight w:val="none"/>
                <w:lang w:val="en-US" w:eastAsia="en-US" w:bidi="ar-SA"/>
              </w:rPr>
            </w:pPr>
            <w:r>
              <w:rPr>
                <w:color w:val="auto"/>
                <w:spacing w:val="1"/>
                <w:position w:val="1"/>
                <w:highlight w:val="none"/>
              </w:rPr>
              <w:t>2.3</w:t>
            </w:r>
          </w:p>
        </w:tc>
        <w:tc>
          <w:tcPr>
            <w:tcW w:w="1306" w:type="dxa"/>
            <w:shd w:val="clear" w:color="auto" w:fill="auto"/>
            <w:vAlign w:val="top"/>
          </w:tcPr>
          <w:p w14:paraId="76A77B30">
            <w:pPr>
              <w:spacing w:line="267" w:lineRule="auto"/>
              <w:rPr>
                <w:rFonts w:ascii="Arial"/>
                <w:color w:val="auto"/>
                <w:sz w:val="21"/>
                <w:highlight w:val="none"/>
              </w:rPr>
            </w:pPr>
          </w:p>
          <w:p w14:paraId="2DF2A18D">
            <w:pPr>
              <w:spacing w:line="267" w:lineRule="auto"/>
              <w:rPr>
                <w:rFonts w:ascii="Arial"/>
                <w:color w:val="auto"/>
                <w:sz w:val="21"/>
                <w:highlight w:val="none"/>
              </w:rPr>
            </w:pPr>
          </w:p>
          <w:p w14:paraId="60C64DC7">
            <w:pPr>
              <w:spacing w:line="267" w:lineRule="auto"/>
              <w:rPr>
                <w:rFonts w:ascii="Arial"/>
                <w:color w:val="auto"/>
                <w:sz w:val="21"/>
                <w:highlight w:val="none"/>
              </w:rPr>
            </w:pPr>
          </w:p>
          <w:p w14:paraId="6A8A8AA6">
            <w:pPr>
              <w:spacing w:line="267" w:lineRule="auto"/>
              <w:rPr>
                <w:rFonts w:ascii="Arial"/>
                <w:color w:val="auto"/>
                <w:sz w:val="21"/>
                <w:highlight w:val="none"/>
              </w:rPr>
            </w:pPr>
          </w:p>
          <w:p w14:paraId="774C2C98">
            <w:pPr>
              <w:spacing w:line="267" w:lineRule="auto"/>
              <w:rPr>
                <w:rFonts w:ascii="Arial"/>
                <w:color w:val="auto"/>
                <w:sz w:val="21"/>
                <w:highlight w:val="none"/>
              </w:rPr>
            </w:pPr>
          </w:p>
          <w:p w14:paraId="4CFFE82B">
            <w:pPr>
              <w:pStyle w:val="20"/>
              <w:spacing w:before="65" w:line="228" w:lineRule="auto"/>
              <w:ind w:left="132"/>
              <w:rPr>
                <w:color w:val="auto"/>
                <w:highlight w:val="none"/>
              </w:rPr>
            </w:pPr>
            <w:r>
              <w:rPr>
                <w:color w:val="auto"/>
                <w:spacing w:val="8"/>
                <w:highlight w:val="none"/>
              </w:rPr>
              <w:t>拟投入的主</w:t>
            </w:r>
          </w:p>
          <w:p w14:paraId="1C7B5AB1">
            <w:pPr>
              <w:pStyle w:val="20"/>
              <w:spacing w:before="233" w:line="230" w:lineRule="auto"/>
              <w:ind w:left="133" w:leftChars="0"/>
              <w:rPr>
                <w:rFonts w:ascii="宋体" w:hAnsi="宋体" w:eastAsia="宋体" w:cs="宋体"/>
                <w:snapToGrid w:val="0"/>
                <w:color w:val="auto"/>
                <w:kern w:val="0"/>
                <w:sz w:val="20"/>
                <w:szCs w:val="20"/>
                <w:highlight w:val="none"/>
                <w:lang w:val="en-US" w:eastAsia="en-US" w:bidi="ar-SA"/>
              </w:rPr>
            </w:pPr>
            <w:r>
              <w:rPr>
                <w:color w:val="auto"/>
                <w:spacing w:val="7"/>
                <w:highlight w:val="none"/>
              </w:rPr>
              <w:t>要物资计划</w:t>
            </w:r>
          </w:p>
        </w:tc>
        <w:tc>
          <w:tcPr>
            <w:tcW w:w="6351" w:type="dxa"/>
            <w:shd w:val="clear" w:color="auto" w:fill="auto"/>
            <w:vAlign w:val="top"/>
          </w:tcPr>
          <w:p w14:paraId="48612B06">
            <w:pPr>
              <w:pStyle w:val="20"/>
              <w:spacing w:before="143" w:line="370" w:lineRule="auto"/>
              <w:ind w:left="113" w:right="103" w:firstLine="3"/>
              <w:rPr>
                <w:color w:val="auto"/>
                <w:highlight w:val="none"/>
              </w:rPr>
            </w:pPr>
            <w:r>
              <w:rPr>
                <w:color w:val="auto"/>
                <w:spacing w:val="8"/>
                <w:highlight w:val="none"/>
              </w:rPr>
              <w:t>一档（10</w:t>
            </w:r>
            <w:r>
              <w:rPr>
                <w:color w:val="auto"/>
                <w:spacing w:val="-34"/>
                <w:highlight w:val="none"/>
              </w:rPr>
              <w:t xml:space="preserve"> </w:t>
            </w:r>
            <w:r>
              <w:rPr>
                <w:color w:val="auto"/>
                <w:spacing w:val="8"/>
                <w:highlight w:val="none"/>
              </w:rPr>
              <w:t>分</w:t>
            </w:r>
            <w:r>
              <w:rPr>
                <w:color w:val="auto"/>
                <w:spacing w:val="17"/>
                <w:highlight w:val="none"/>
              </w:rPr>
              <w:t>）：</w:t>
            </w:r>
            <w:r>
              <w:rPr>
                <w:color w:val="auto"/>
                <w:spacing w:val="8"/>
                <w:highlight w:val="none"/>
              </w:rPr>
              <w:t>投入的施工材料有详细的组织计划且计划周密，数</w:t>
            </w:r>
            <w:r>
              <w:rPr>
                <w:color w:val="auto"/>
                <w:highlight w:val="none"/>
              </w:rPr>
              <w:t xml:space="preserve"> </w:t>
            </w:r>
            <w:r>
              <w:rPr>
                <w:color w:val="auto"/>
                <w:spacing w:val="9"/>
                <w:highlight w:val="none"/>
              </w:rPr>
              <w:t>量、选型配置、进场时间安排合理，满足施工需要。</w:t>
            </w:r>
          </w:p>
          <w:p w14:paraId="1DCDAE94">
            <w:pPr>
              <w:pStyle w:val="20"/>
              <w:spacing w:before="1" w:line="368" w:lineRule="auto"/>
              <w:ind w:left="113" w:right="103" w:firstLine="3"/>
              <w:rPr>
                <w:color w:val="auto"/>
                <w:highlight w:val="none"/>
              </w:rPr>
            </w:pPr>
            <w:r>
              <w:rPr>
                <w:color w:val="auto"/>
                <w:spacing w:val="11"/>
                <w:highlight w:val="none"/>
              </w:rPr>
              <w:t>二档（7</w:t>
            </w:r>
            <w:r>
              <w:rPr>
                <w:color w:val="auto"/>
                <w:spacing w:val="-29"/>
                <w:highlight w:val="none"/>
              </w:rPr>
              <w:t xml:space="preserve"> </w:t>
            </w:r>
            <w:r>
              <w:rPr>
                <w:color w:val="auto"/>
                <w:spacing w:val="11"/>
                <w:highlight w:val="none"/>
              </w:rPr>
              <w:t>分</w:t>
            </w:r>
            <w:r>
              <w:rPr>
                <w:color w:val="auto"/>
                <w:spacing w:val="6"/>
                <w:highlight w:val="none"/>
              </w:rPr>
              <w:t>）</w:t>
            </w:r>
            <w:r>
              <w:rPr>
                <w:color w:val="auto"/>
                <w:spacing w:val="-56"/>
                <w:highlight w:val="none"/>
              </w:rPr>
              <w:t xml:space="preserve"> </w:t>
            </w:r>
            <w:r>
              <w:rPr>
                <w:color w:val="auto"/>
                <w:spacing w:val="6"/>
                <w:highlight w:val="none"/>
              </w:rPr>
              <w:t>：</w:t>
            </w:r>
            <w:r>
              <w:rPr>
                <w:color w:val="auto"/>
                <w:spacing w:val="11"/>
                <w:highlight w:val="none"/>
              </w:rPr>
              <w:t>投入的施工材料有满足施工的组织计划，在材料数</w:t>
            </w:r>
            <w:r>
              <w:rPr>
                <w:color w:val="auto"/>
                <w:highlight w:val="none"/>
              </w:rPr>
              <w:t xml:space="preserve"> </w:t>
            </w:r>
            <w:r>
              <w:rPr>
                <w:color w:val="auto"/>
                <w:spacing w:val="9"/>
                <w:highlight w:val="none"/>
              </w:rPr>
              <w:t>量、选型配置、进场时间上有安排，较好满足施工需要。</w:t>
            </w:r>
          </w:p>
          <w:p w14:paraId="158CDEE1">
            <w:pPr>
              <w:pStyle w:val="20"/>
              <w:spacing w:before="2" w:line="370" w:lineRule="auto"/>
              <w:ind w:left="114" w:right="103" w:hanging="1"/>
              <w:rPr>
                <w:color w:val="auto"/>
                <w:highlight w:val="none"/>
              </w:rPr>
            </w:pPr>
            <w:r>
              <w:rPr>
                <w:color w:val="auto"/>
                <w:spacing w:val="11"/>
                <w:highlight w:val="none"/>
              </w:rPr>
              <w:t>三档（4</w:t>
            </w:r>
            <w:r>
              <w:rPr>
                <w:color w:val="auto"/>
                <w:spacing w:val="-30"/>
                <w:highlight w:val="none"/>
              </w:rPr>
              <w:t xml:space="preserve"> </w:t>
            </w:r>
            <w:r>
              <w:rPr>
                <w:color w:val="auto"/>
                <w:spacing w:val="11"/>
                <w:highlight w:val="none"/>
              </w:rPr>
              <w:t>分</w:t>
            </w:r>
            <w:r>
              <w:rPr>
                <w:color w:val="auto"/>
                <w:spacing w:val="8"/>
                <w:highlight w:val="none"/>
              </w:rPr>
              <w:t>）</w:t>
            </w:r>
            <w:r>
              <w:rPr>
                <w:color w:val="auto"/>
                <w:spacing w:val="-56"/>
                <w:highlight w:val="none"/>
              </w:rPr>
              <w:t xml:space="preserve"> </w:t>
            </w:r>
            <w:r>
              <w:rPr>
                <w:color w:val="auto"/>
                <w:spacing w:val="8"/>
                <w:highlight w:val="none"/>
              </w:rPr>
              <w:t>：</w:t>
            </w:r>
            <w:r>
              <w:rPr>
                <w:color w:val="auto"/>
                <w:spacing w:val="11"/>
                <w:highlight w:val="none"/>
              </w:rPr>
              <w:t>投入的施工材料基本满足施工的组织计划，在材料</w:t>
            </w:r>
            <w:r>
              <w:rPr>
                <w:color w:val="auto"/>
                <w:highlight w:val="none"/>
              </w:rPr>
              <w:t xml:space="preserve"> </w:t>
            </w:r>
            <w:r>
              <w:rPr>
                <w:color w:val="auto"/>
                <w:spacing w:val="9"/>
                <w:highlight w:val="none"/>
              </w:rPr>
              <w:t>数量、选型配置、进场时间上有安排，基本满足施工需要。</w:t>
            </w:r>
          </w:p>
          <w:p w14:paraId="1F192FEB">
            <w:pPr>
              <w:pStyle w:val="20"/>
              <w:spacing w:before="60" w:line="344" w:lineRule="auto"/>
              <w:ind w:left="121" w:leftChars="0" w:right="103" w:rightChars="0" w:firstLine="11" w:firstLineChars="0"/>
              <w:rPr>
                <w:rFonts w:ascii="宋体" w:hAnsi="宋体" w:eastAsia="宋体" w:cs="宋体"/>
                <w:snapToGrid w:val="0"/>
                <w:color w:val="auto"/>
                <w:kern w:val="0"/>
                <w:sz w:val="20"/>
                <w:szCs w:val="20"/>
                <w:highlight w:val="none"/>
                <w:lang w:val="en-US" w:eastAsia="en-US" w:bidi="ar-SA"/>
              </w:rPr>
            </w:pPr>
            <w:r>
              <w:rPr>
                <w:color w:val="auto"/>
                <w:spacing w:val="11"/>
                <w:highlight w:val="none"/>
              </w:rPr>
              <w:t>四档（1</w:t>
            </w:r>
            <w:r>
              <w:rPr>
                <w:color w:val="auto"/>
                <w:spacing w:val="-31"/>
                <w:highlight w:val="none"/>
              </w:rPr>
              <w:t xml:space="preserve"> </w:t>
            </w:r>
            <w:r>
              <w:rPr>
                <w:color w:val="auto"/>
                <w:spacing w:val="11"/>
                <w:highlight w:val="none"/>
              </w:rPr>
              <w:t>分</w:t>
            </w:r>
            <w:r>
              <w:rPr>
                <w:color w:val="auto"/>
                <w:spacing w:val="-1"/>
                <w:highlight w:val="none"/>
              </w:rPr>
              <w:t>）</w:t>
            </w:r>
            <w:r>
              <w:rPr>
                <w:color w:val="auto"/>
                <w:spacing w:val="-56"/>
                <w:highlight w:val="none"/>
              </w:rPr>
              <w:t xml:space="preserve"> </w:t>
            </w:r>
            <w:r>
              <w:rPr>
                <w:color w:val="auto"/>
                <w:spacing w:val="-1"/>
                <w:highlight w:val="none"/>
              </w:rPr>
              <w:t>：</w:t>
            </w:r>
            <w:r>
              <w:rPr>
                <w:color w:val="auto"/>
                <w:spacing w:val="11"/>
                <w:highlight w:val="none"/>
              </w:rPr>
              <w:t>投入的施工材料组织计划不合理，表述不清晰，不</w:t>
            </w:r>
            <w:r>
              <w:rPr>
                <w:color w:val="auto"/>
                <w:highlight w:val="none"/>
              </w:rPr>
              <w:t xml:space="preserve"> </w:t>
            </w:r>
            <w:r>
              <w:rPr>
                <w:color w:val="auto"/>
                <w:spacing w:val="6"/>
                <w:highlight w:val="none"/>
              </w:rPr>
              <w:t>能满足施工需要。</w:t>
            </w:r>
          </w:p>
        </w:tc>
        <w:tc>
          <w:tcPr>
            <w:tcW w:w="855" w:type="dxa"/>
            <w:shd w:val="clear" w:color="auto" w:fill="auto"/>
            <w:vAlign w:val="top"/>
          </w:tcPr>
          <w:p w14:paraId="1AF8B87B">
            <w:pPr>
              <w:spacing w:line="262" w:lineRule="auto"/>
              <w:rPr>
                <w:rFonts w:ascii="Arial"/>
                <w:color w:val="auto"/>
                <w:sz w:val="21"/>
                <w:highlight w:val="none"/>
              </w:rPr>
            </w:pPr>
          </w:p>
          <w:p w14:paraId="0FFF4A80">
            <w:pPr>
              <w:spacing w:line="262" w:lineRule="auto"/>
              <w:rPr>
                <w:rFonts w:ascii="Arial"/>
                <w:color w:val="auto"/>
                <w:sz w:val="21"/>
                <w:highlight w:val="none"/>
              </w:rPr>
            </w:pPr>
          </w:p>
          <w:p w14:paraId="4E76DC4E">
            <w:pPr>
              <w:spacing w:line="262" w:lineRule="auto"/>
              <w:rPr>
                <w:rFonts w:ascii="Arial"/>
                <w:color w:val="auto"/>
                <w:sz w:val="21"/>
                <w:highlight w:val="none"/>
              </w:rPr>
            </w:pPr>
          </w:p>
          <w:p w14:paraId="5D0B7C20">
            <w:pPr>
              <w:spacing w:line="262" w:lineRule="auto"/>
              <w:rPr>
                <w:rFonts w:ascii="Arial"/>
                <w:color w:val="auto"/>
                <w:sz w:val="21"/>
                <w:highlight w:val="none"/>
              </w:rPr>
            </w:pPr>
          </w:p>
          <w:p w14:paraId="138887D8">
            <w:pPr>
              <w:spacing w:line="263" w:lineRule="auto"/>
              <w:rPr>
                <w:rFonts w:ascii="Arial"/>
                <w:color w:val="auto"/>
                <w:sz w:val="21"/>
                <w:highlight w:val="none"/>
              </w:rPr>
            </w:pPr>
          </w:p>
          <w:p w14:paraId="46416D22">
            <w:pPr>
              <w:spacing w:line="263" w:lineRule="auto"/>
              <w:rPr>
                <w:rFonts w:ascii="Arial"/>
                <w:color w:val="auto"/>
                <w:sz w:val="21"/>
                <w:highlight w:val="none"/>
              </w:rPr>
            </w:pPr>
          </w:p>
          <w:p w14:paraId="430B89C6">
            <w:pPr>
              <w:pStyle w:val="20"/>
              <w:spacing w:before="65" w:line="229" w:lineRule="auto"/>
              <w:ind w:left="212" w:leftChars="0"/>
              <w:rPr>
                <w:rFonts w:ascii="宋体" w:hAnsi="宋体" w:eastAsia="宋体" w:cs="宋体"/>
                <w:snapToGrid w:val="0"/>
                <w:color w:val="auto"/>
                <w:kern w:val="0"/>
                <w:sz w:val="20"/>
                <w:szCs w:val="20"/>
                <w:highlight w:val="none"/>
                <w:lang w:val="en-US" w:eastAsia="en-US" w:bidi="ar-SA"/>
              </w:rPr>
            </w:pPr>
            <w:r>
              <w:rPr>
                <w:color w:val="auto"/>
                <w:spacing w:val="-5"/>
                <w:highlight w:val="none"/>
              </w:rPr>
              <w:t>10</w:t>
            </w:r>
            <w:r>
              <w:rPr>
                <w:color w:val="auto"/>
                <w:spacing w:val="-38"/>
                <w:highlight w:val="none"/>
              </w:rPr>
              <w:t xml:space="preserve"> </w:t>
            </w:r>
            <w:r>
              <w:rPr>
                <w:color w:val="auto"/>
                <w:spacing w:val="-5"/>
                <w:highlight w:val="none"/>
              </w:rPr>
              <w:t>分</w:t>
            </w:r>
          </w:p>
        </w:tc>
      </w:tr>
      <w:tr w14:paraId="77413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0" w:hRule="atLeast"/>
        </w:trPr>
        <w:tc>
          <w:tcPr>
            <w:tcW w:w="697" w:type="dxa"/>
            <w:shd w:val="clear" w:color="auto" w:fill="auto"/>
            <w:vAlign w:val="top"/>
          </w:tcPr>
          <w:p w14:paraId="62394608">
            <w:pPr>
              <w:spacing w:line="284" w:lineRule="auto"/>
              <w:rPr>
                <w:rFonts w:ascii="Arial"/>
                <w:color w:val="auto"/>
                <w:sz w:val="21"/>
                <w:highlight w:val="none"/>
              </w:rPr>
            </w:pPr>
          </w:p>
          <w:p w14:paraId="3B0114C6">
            <w:pPr>
              <w:spacing w:line="284" w:lineRule="auto"/>
              <w:rPr>
                <w:rFonts w:ascii="Arial"/>
                <w:color w:val="auto"/>
                <w:sz w:val="21"/>
                <w:highlight w:val="none"/>
              </w:rPr>
            </w:pPr>
          </w:p>
          <w:p w14:paraId="3FEA6498">
            <w:pPr>
              <w:spacing w:line="285" w:lineRule="auto"/>
              <w:rPr>
                <w:rFonts w:ascii="Arial"/>
                <w:color w:val="auto"/>
                <w:sz w:val="21"/>
                <w:highlight w:val="none"/>
              </w:rPr>
            </w:pPr>
          </w:p>
          <w:p w14:paraId="6916B007">
            <w:pPr>
              <w:spacing w:line="285" w:lineRule="auto"/>
              <w:rPr>
                <w:rFonts w:ascii="Arial"/>
                <w:color w:val="auto"/>
                <w:sz w:val="21"/>
                <w:highlight w:val="none"/>
              </w:rPr>
            </w:pPr>
          </w:p>
          <w:p w14:paraId="321A80B6">
            <w:pPr>
              <w:pStyle w:val="20"/>
              <w:spacing w:before="65" w:line="268" w:lineRule="exact"/>
              <w:ind w:left="198" w:leftChars="0"/>
              <w:rPr>
                <w:rFonts w:ascii="宋体" w:hAnsi="宋体" w:eastAsia="宋体" w:cs="宋体"/>
                <w:snapToGrid w:val="0"/>
                <w:color w:val="auto"/>
                <w:kern w:val="0"/>
                <w:sz w:val="20"/>
                <w:szCs w:val="20"/>
                <w:highlight w:val="none"/>
                <w:lang w:val="en-US" w:eastAsia="en-US" w:bidi="ar-SA"/>
              </w:rPr>
            </w:pPr>
            <w:r>
              <w:rPr>
                <w:color w:val="auto"/>
                <w:spacing w:val="1"/>
                <w:position w:val="1"/>
                <w:highlight w:val="none"/>
              </w:rPr>
              <w:t>2.4</w:t>
            </w:r>
          </w:p>
        </w:tc>
        <w:tc>
          <w:tcPr>
            <w:tcW w:w="1306" w:type="dxa"/>
            <w:shd w:val="clear" w:color="auto" w:fill="auto"/>
            <w:vAlign w:val="top"/>
          </w:tcPr>
          <w:p w14:paraId="4F286D89">
            <w:pPr>
              <w:spacing w:line="422" w:lineRule="auto"/>
              <w:rPr>
                <w:rFonts w:ascii="Arial"/>
                <w:color w:val="auto"/>
                <w:sz w:val="21"/>
                <w:highlight w:val="none"/>
              </w:rPr>
            </w:pPr>
          </w:p>
          <w:p w14:paraId="2B85CBF4">
            <w:pPr>
              <w:pStyle w:val="20"/>
              <w:spacing w:before="65" w:line="228" w:lineRule="auto"/>
              <w:ind w:left="132"/>
              <w:rPr>
                <w:color w:val="auto"/>
                <w:highlight w:val="none"/>
              </w:rPr>
            </w:pPr>
            <w:r>
              <w:rPr>
                <w:color w:val="auto"/>
                <w:spacing w:val="8"/>
                <w:highlight w:val="none"/>
              </w:rPr>
              <w:t>拟投入的主</w:t>
            </w:r>
          </w:p>
          <w:p w14:paraId="7400FF75">
            <w:pPr>
              <w:pStyle w:val="20"/>
              <w:spacing w:before="233" w:line="228" w:lineRule="auto"/>
              <w:ind w:left="236"/>
              <w:rPr>
                <w:color w:val="auto"/>
                <w:highlight w:val="none"/>
              </w:rPr>
            </w:pPr>
            <w:r>
              <w:rPr>
                <w:color w:val="auto"/>
                <w:spacing w:val="7"/>
                <w:highlight w:val="none"/>
              </w:rPr>
              <w:t>要施工机</w:t>
            </w:r>
          </w:p>
          <w:p w14:paraId="748F4435">
            <w:pPr>
              <w:pStyle w:val="20"/>
              <w:spacing w:before="233" w:line="228" w:lineRule="auto"/>
              <w:ind w:left="132"/>
              <w:rPr>
                <w:color w:val="auto"/>
                <w:highlight w:val="none"/>
              </w:rPr>
            </w:pPr>
            <w:r>
              <w:rPr>
                <w:color w:val="auto"/>
                <w:spacing w:val="8"/>
                <w:highlight w:val="none"/>
              </w:rPr>
              <w:t>械、设备计</w:t>
            </w:r>
          </w:p>
          <w:p w14:paraId="380A78EA">
            <w:pPr>
              <w:pStyle w:val="20"/>
              <w:spacing w:before="232" w:line="231" w:lineRule="auto"/>
              <w:ind w:left="552" w:leftChars="0"/>
              <w:rPr>
                <w:rFonts w:ascii="宋体" w:hAnsi="宋体" w:eastAsia="宋体" w:cs="宋体"/>
                <w:snapToGrid w:val="0"/>
                <w:color w:val="auto"/>
                <w:kern w:val="0"/>
                <w:sz w:val="20"/>
                <w:szCs w:val="20"/>
                <w:highlight w:val="none"/>
                <w:lang w:val="en-US" w:eastAsia="en-US" w:bidi="ar-SA"/>
              </w:rPr>
            </w:pPr>
            <w:r>
              <w:rPr>
                <w:color w:val="auto"/>
                <w:spacing w:val="1"/>
                <w:highlight w:val="none"/>
              </w:rPr>
              <w:t>划</w:t>
            </w:r>
          </w:p>
        </w:tc>
        <w:tc>
          <w:tcPr>
            <w:tcW w:w="6351" w:type="dxa"/>
            <w:shd w:val="clear" w:color="auto" w:fill="auto"/>
            <w:vAlign w:val="top"/>
          </w:tcPr>
          <w:p w14:paraId="7A90B581">
            <w:pPr>
              <w:pStyle w:val="20"/>
              <w:spacing w:before="144" w:line="370" w:lineRule="auto"/>
              <w:ind w:left="115" w:right="103" w:firstLine="1"/>
              <w:rPr>
                <w:color w:val="auto"/>
                <w:highlight w:val="none"/>
              </w:rPr>
            </w:pPr>
            <w:r>
              <w:rPr>
                <w:color w:val="auto"/>
                <w:spacing w:val="11"/>
                <w:highlight w:val="none"/>
              </w:rPr>
              <w:t>一档（5</w:t>
            </w:r>
            <w:r>
              <w:rPr>
                <w:color w:val="auto"/>
                <w:spacing w:val="-29"/>
                <w:highlight w:val="none"/>
              </w:rPr>
              <w:t xml:space="preserve"> </w:t>
            </w:r>
            <w:r>
              <w:rPr>
                <w:color w:val="auto"/>
                <w:spacing w:val="11"/>
                <w:highlight w:val="none"/>
              </w:rPr>
              <w:t>分</w:t>
            </w:r>
            <w:r>
              <w:rPr>
                <w:color w:val="auto"/>
                <w:spacing w:val="6"/>
                <w:highlight w:val="none"/>
              </w:rPr>
              <w:t>）</w:t>
            </w:r>
            <w:r>
              <w:rPr>
                <w:color w:val="auto"/>
                <w:spacing w:val="-56"/>
                <w:highlight w:val="none"/>
              </w:rPr>
              <w:t xml:space="preserve"> </w:t>
            </w:r>
            <w:r>
              <w:rPr>
                <w:color w:val="auto"/>
                <w:spacing w:val="6"/>
                <w:highlight w:val="none"/>
              </w:rPr>
              <w:t>：</w:t>
            </w:r>
            <w:r>
              <w:rPr>
                <w:color w:val="auto"/>
                <w:spacing w:val="11"/>
                <w:highlight w:val="none"/>
              </w:rPr>
              <w:t>投入计划与进度计划呼应，较好满足施工需要，采</w:t>
            </w:r>
            <w:r>
              <w:rPr>
                <w:color w:val="auto"/>
                <w:highlight w:val="none"/>
              </w:rPr>
              <w:t xml:space="preserve"> </w:t>
            </w:r>
            <w:r>
              <w:rPr>
                <w:color w:val="auto"/>
                <w:spacing w:val="7"/>
                <w:highlight w:val="none"/>
              </w:rPr>
              <w:t>用先进机械设备。</w:t>
            </w:r>
          </w:p>
          <w:p w14:paraId="5482084E">
            <w:pPr>
              <w:pStyle w:val="20"/>
              <w:spacing w:line="228" w:lineRule="auto"/>
              <w:ind w:left="116"/>
              <w:rPr>
                <w:color w:val="auto"/>
                <w:highlight w:val="none"/>
              </w:rPr>
            </w:pPr>
            <w:r>
              <w:rPr>
                <w:color w:val="auto"/>
                <w:spacing w:val="8"/>
                <w:highlight w:val="none"/>
              </w:rPr>
              <w:t>二档（4</w:t>
            </w:r>
            <w:r>
              <w:rPr>
                <w:color w:val="auto"/>
                <w:spacing w:val="-35"/>
                <w:highlight w:val="none"/>
              </w:rPr>
              <w:t xml:space="preserve"> </w:t>
            </w:r>
            <w:r>
              <w:rPr>
                <w:color w:val="auto"/>
                <w:spacing w:val="8"/>
                <w:highlight w:val="none"/>
              </w:rPr>
              <w:t>分</w:t>
            </w:r>
            <w:r>
              <w:rPr>
                <w:color w:val="auto"/>
                <w:spacing w:val="15"/>
                <w:highlight w:val="none"/>
              </w:rPr>
              <w:t>）：</w:t>
            </w:r>
            <w:r>
              <w:rPr>
                <w:color w:val="auto"/>
                <w:spacing w:val="8"/>
                <w:highlight w:val="none"/>
              </w:rPr>
              <w:t>投入计划与进度计划呼应，满足施</w:t>
            </w:r>
            <w:r>
              <w:rPr>
                <w:color w:val="auto"/>
                <w:spacing w:val="7"/>
                <w:highlight w:val="none"/>
              </w:rPr>
              <w:t>工需要。</w:t>
            </w:r>
          </w:p>
          <w:p w14:paraId="5E9591B3">
            <w:pPr>
              <w:pStyle w:val="20"/>
              <w:spacing w:before="150" w:line="373" w:lineRule="auto"/>
              <w:ind w:left="113" w:right="103"/>
              <w:rPr>
                <w:color w:val="auto"/>
                <w:highlight w:val="none"/>
              </w:rPr>
            </w:pPr>
            <w:r>
              <w:rPr>
                <w:color w:val="auto"/>
                <w:spacing w:val="11"/>
                <w:highlight w:val="none"/>
              </w:rPr>
              <w:t>三档（2</w:t>
            </w:r>
            <w:r>
              <w:rPr>
                <w:color w:val="auto"/>
                <w:spacing w:val="-30"/>
                <w:highlight w:val="none"/>
              </w:rPr>
              <w:t xml:space="preserve"> </w:t>
            </w:r>
            <w:r>
              <w:rPr>
                <w:color w:val="auto"/>
                <w:spacing w:val="11"/>
                <w:highlight w:val="none"/>
              </w:rPr>
              <w:t>分</w:t>
            </w:r>
            <w:r>
              <w:rPr>
                <w:color w:val="auto"/>
                <w:spacing w:val="8"/>
                <w:highlight w:val="none"/>
              </w:rPr>
              <w:t>）</w:t>
            </w:r>
            <w:r>
              <w:rPr>
                <w:color w:val="auto"/>
                <w:spacing w:val="-56"/>
                <w:highlight w:val="none"/>
              </w:rPr>
              <w:t xml:space="preserve"> </w:t>
            </w:r>
            <w:r>
              <w:rPr>
                <w:color w:val="auto"/>
                <w:spacing w:val="8"/>
                <w:highlight w:val="none"/>
              </w:rPr>
              <w:t>：</w:t>
            </w:r>
            <w:r>
              <w:rPr>
                <w:color w:val="auto"/>
                <w:spacing w:val="11"/>
                <w:highlight w:val="none"/>
              </w:rPr>
              <w:t>投入计划与进度计划有一定呼应，基本满足施工需</w:t>
            </w:r>
            <w:r>
              <w:rPr>
                <w:color w:val="auto"/>
                <w:highlight w:val="none"/>
              </w:rPr>
              <w:t xml:space="preserve"> 要。</w:t>
            </w:r>
          </w:p>
          <w:p w14:paraId="22C2D639">
            <w:pPr>
              <w:pStyle w:val="20"/>
              <w:spacing w:before="56" w:line="228" w:lineRule="auto"/>
              <w:ind w:left="132" w:leftChars="0"/>
              <w:rPr>
                <w:rFonts w:ascii="宋体" w:hAnsi="宋体" w:eastAsia="宋体" w:cs="宋体"/>
                <w:snapToGrid w:val="0"/>
                <w:color w:val="auto"/>
                <w:kern w:val="0"/>
                <w:sz w:val="20"/>
                <w:szCs w:val="20"/>
                <w:highlight w:val="none"/>
                <w:lang w:val="en-US" w:eastAsia="en-US" w:bidi="ar-SA"/>
              </w:rPr>
            </w:pPr>
            <w:r>
              <w:rPr>
                <w:color w:val="auto"/>
                <w:spacing w:val="7"/>
                <w:highlight w:val="none"/>
              </w:rPr>
              <w:t>四档（1</w:t>
            </w:r>
            <w:r>
              <w:rPr>
                <w:color w:val="auto"/>
                <w:spacing w:val="-35"/>
                <w:highlight w:val="none"/>
              </w:rPr>
              <w:t xml:space="preserve"> </w:t>
            </w:r>
            <w:r>
              <w:rPr>
                <w:color w:val="auto"/>
                <w:spacing w:val="7"/>
                <w:highlight w:val="none"/>
              </w:rPr>
              <w:t>分</w:t>
            </w:r>
            <w:r>
              <w:rPr>
                <w:color w:val="auto"/>
                <w:spacing w:val="21"/>
                <w:highlight w:val="none"/>
              </w:rPr>
              <w:t>）：</w:t>
            </w:r>
            <w:r>
              <w:rPr>
                <w:color w:val="auto"/>
                <w:spacing w:val="7"/>
                <w:highlight w:val="none"/>
              </w:rPr>
              <w:t>投入计划与进度计划不呼应，不能满足施工需要。</w:t>
            </w:r>
          </w:p>
        </w:tc>
        <w:tc>
          <w:tcPr>
            <w:tcW w:w="855" w:type="dxa"/>
            <w:shd w:val="clear" w:color="auto" w:fill="auto"/>
            <w:vAlign w:val="top"/>
          </w:tcPr>
          <w:p w14:paraId="782A5D22">
            <w:pPr>
              <w:spacing w:line="284" w:lineRule="auto"/>
              <w:rPr>
                <w:rFonts w:ascii="Arial"/>
                <w:color w:val="auto"/>
                <w:sz w:val="21"/>
                <w:highlight w:val="none"/>
              </w:rPr>
            </w:pPr>
          </w:p>
          <w:p w14:paraId="087D19D1">
            <w:pPr>
              <w:spacing w:line="284" w:lineRule="auto"/>
              <w:rPr>
                <w:rFonts w:ascii="Arial"/>
                <w:color w:val="auto"/>
                <w:sz w:val="21"/>
                <w:highlight w:val="none"/>
              </w:rPr>
            </w:pPr>
          </w:p>
          <w:p w14:paraId="63DC8E7B">
            <w:pPr>
              <w:spacing w:line="285" w:lineRule="auto"/>
              <w:rPr>
                <w:rFonts w:ascii="Arial"/>
                <w:color w:val="auto"/>
                <w:sz w:val="21"/>
                <w:highlight w:val="none"/>
              </w:rPr>
            </w:pPr>
          </w:p>
          <w:p w14:paraId="2080B01A">
            <w:pPr>
              <w:spacing w:line="285" w:lineRule="auto"/>
              <w:rPr>
                <w:rFonts w:ascii="Arial"/>
                <w:color w:val="auto"/>
                <w:sz w:val="21"/>
                <w:highlight w:val="none"/>
              </w:rPr>
            </w:pPr>
          </w:p>
          <w:p w14:paraId="6BE1E2E0">
            <w:pPr>
              <w:pStyle w:val="20"/>
              <w:spacing w:before="65" w:line="229" w:lineRule="auto"/>
              <w:ind w:left="253" w:leftChars="0"/>
              <w:rPr>
                <w:rFonts w:ascii="宋体" w:hAnsi="宋体" w:eastAsia="宋体" w:cs="宋体"/>
                <w:snapToGrid w:val="0"/>
                <w:color w:val="auto"/>
                <w:kern w:val="0"/>
                <w:sz w:val="20"/>
                <w:szCs w:val="20"/>
                <w:highlight w:val="none"/>
                <w:lang w:val="en-US" w:eastAsia="en-US" w:bidi="ar-SA"/>
              </w:rPr>
            </w:pPr>
            <w:r>
              <w:rPr>
                <w:color w:val="auto"/>
                <w:spacing w:val="-4"/>
                <w:highlight w:val="none"/>
              </w:rPr>
              <w:t>5</w:t>
            </w:r>
            <w:r>
              <w:rPr>
                <w:color w:val="auto"/>
                <w:spacing w:val="-38"/>
                <w:highlight w:val="none"/>
              </w:rPr>
              <w:t xml:space="preserve"> </w:t>
            </w:r>
            <w:r>
              <w:rPr>
                <w:color w:val="auto"/>
                <w:spacing w:val="-4"/>
                <w:highlight w:val="none"/>
              </w:rPr>
              <w:t>分</w:t>
            </w:r>
          </w:p>
        </w:tc>
      </w:tr>
      <w:tr w14:paraId="0AE0D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0" w:hRule="atLeast"/>
        </w:trPr>
        <w:tc>
          <w:tcPr>
            <w:tcW w:w="697" w:type="dxa"/>
            <w:shd w:val="clear" w:color="auto" w:fill="auto"/>
            <w:vAlign w:val="center"/>
          </w:tcPr>
          <w:p w14:paraId="7E7BD1C8">
            <w:pPr>
              <w:pStyle w:val="20"/>
              <w:spacing w:before="211" w:line="267" w:lineRule="exact"/>
              <w:ind w:left="198" w:leftChars="0"/>
              <w:jc w:val="center"/>
              <w:rPr>
                <w:rFonts w:ascii="宋体" w:hAnsi="宋体" w:eastAsia="宋体" w:cs="宋体"/>
                <w:snapToGrid w:val="0"/>
                <w:color w:val="auto"/>
                <w:kern w:val="0"/>
                <w:sz w:val="20"/>
                <w:szCs w:val="20"/>
                <w:highlight w:val="none"/>
                <w:lang w:val="en-US" w:eastAsia="en-US" w:bidi="ar-SA"/>
              </w:rPr>
            </w:pPr>
            <w:r>
              <w:rPr>
                <w:color w:val="auto"/>
                <w:spacing w:val="1"/>
                <w:position w:val="1"/>
                <w:highlight w:val="none"/>
              </w:rPr>
              <w:t>2.5</w:t>
            </w:r>
          </w:p>
        </w:tc>
        <w:tc>
          <w:tcPr>
            <w:tcW w:w="1306" w:type="dxa"/>
            <w:shd w:val="clear" w:color="auto" w:fill="auto"/>
            <w:vAlign w:val="center"/>
          </w:tcPr>
          <w:p w14:paraId="0B1CB0C0">
            <w:pPr>
              <w:pStyle w:val="20"/>
              <w:spacing w:before="211" w:line="228" w:lineRule="auto"/>
              <w:ind w:left="137" w:leftChars="0"/>
              <w:jc w:val="center"/>
              <w:rPr>
                <w:rFonts w:ascii="宋体" w:hAnsi="宋体" w:eastAsia="宋体" w:cs="宋体"/>
                <w:snapToGrid w:val="0"/>
                <w:color w:val="auto"/>
                <w:kern w:val="0"/>
                <w:sz w:val="20"/>
                <w:szCs w:val="20"/>
                <w:highlight w:val="none"/>
                <w:lang w:val="en-US" w:eastAsia="en-US" w:bidi="ar-SA"/>
              </w:rPr>
            </w:pPr>
            <w:r>
              <w:rPr>
                <w:color w:val="auto"/>
                <w:spacing w:val="7"/>
                <w:highlight w:val="none"/>
              </w:rPr>
              <w:t>劳动力安排</w:t>
            </w:r>
            <w:r>
              <w:rPr>
                <w:color w:val="auto"/>
                <w:spacing w:val="4"/>
                <w:highlight w:val="none"/>
              </w:rPr>
              <w:t>计划</w:t>
            </w:r>
          </w:p>
        </w:tc>
        <w:tc>
          <w:tcPr>
            <w:tcW w:w="6351" w:type="dxa"/>
            <w:shd w:val="clear" w:color="auto" w:fill="auto"/>
            <w:vAlign w:val="top"/>
          </w:tcPr>
          <w:p w14:paraId="64D49EFF">
            <w:pPr>
              <w:pStyle w:val="20"/>
              <w:spacing w:before="146" w:line="228" w:lineRule="auto"/>
              <w:ind w:left="115"/>
              <w:rPr>
                <w:color w:val="auto"/>
                <w:highlight w:val="none"/>
              </w:rPr>
            </w:pPr>
            <w:r>
              <w:rPr>
                <w:color w:val="auto"/>
                <w:spacing w:val="11"/>
                <w:highlight w:val="none"/>
              </w:rPr>
              <w:t>一档（5</w:t>
            </w:r>
            <w:r>
              <w:rPr>
                <w:color w:val="auto"/>
                <w:spacing w:val="-29"/>
                <w:highlight w:val="none"/>
              </w:rPr>
              <w:t xml:space="preserve"> </w:t>
            </w:r>
            <w:r>
              <w:rPr>
                <w:color w:val="auto"/>
                <w:spacing w:val="11"/>
                <w:highlight w:val="none"/>
              </w:rPr>
              <w:t>分</w:t>
            </w:r>
            <w:r>
              <w:rPr>
                <w:color w:val="auto"/>
                <w:spacing w:val="6"/>
                <w:highlight w:val="none"/>
              </w:rPr>
              <w:t>）</w:t>
            </w:r>
            <w:r>
              <w:rPr>
                <w:color w:val="auto"/>
                <w:spacing w:val="-56"/>
                <w:highlight w:val="none"/>
              </w:rPr>
              <w:t xml:space="preserve"> </w:t>
            </w:r>
            <w:r>
              <w:rPr>
                <w:color w:val="auto"/>
                <w:spacing w:val="6"/>
                <w:highlight w:val="none"/>
              </w:rPr>
              <w:t>：</w:t>
            </w:r>
            <w:r>
              <w:rPr>
                <w:color w:val="auto"/>
                <w:spacing w:val="11"/>
                <w:highlight w:val="none"/>
              </w:rPr>
              <w:t>各主要施工工序有祥细周密的劳动力安排计划，有</w:t>
            </w:r>
            <w:r>
              <w:rPr>
                <w:color w:val="auto"/>
                <w:spacing w:val="9"/>
                <w:highlight w:val="none"/>
              </w:rPr>
              <w:t>各工种劳动力安排计划，劳动力投入合理，较好满足施工需要。</w:t>
            </w:r>
          </w:p>
          <w:p w14:paraId="6DB2023E">
            <w:pPr>
              <w:pStyle w:val="20"/>
              <w:spacing w:before="150" w:line="370" w:lineRule="auto"/>
              <w:ind w:left="113" w:right="103" w:firstLine="3"/>
              <w:rPr>
                <w:color w:val="auto"/>
                <w:highlight w:val="none"/>
              </w:rPr>
            </w:pPr>
            <w:r>
              <w:rPr>
                <w:color w:val="auto"/>
                <w:spacing w:val="11"/>
                <w:highlight w:val="none"/>
              </w:rPr>
              <w:t>二档（4</w:t>
            </w:r>
            <w:r>
              <w:rPr>
                <w:color w:val="auto"/>
                <w:spacing w:val="-29"/>
                <w:highlight w:val="none"/>
              </w:rPr>
              <w:t xml:space="preserve"> </w:t>
            </w:r>
            <w:r>
              <w:rPr>
                <w:color w:val="auto"/>
                <w:spacing w:val="11"/>
                <w:highlight w:val="none"/>
              </w:rPr>
              <w:t>分</w:t>
            </w:r>
            <w:r>
              <w:rPr>
                <w:color w:val="auto"/>
                <w:spacing w:val="6"/>
                <w:highlight w:val="none"/>
              </w:rPr>
              <w:t>）</w:t>
            </w:r>
            <w:r>
              <w:rPr>
                <w:color w:val="auto"/>
                <w:spacing w:val="-56"/>
                <w:highlight w:val="none"/>
              </w:rPr>
              <w:t xml:space="preserve"> </w:t>
            </w:r>
            <w:r>
              <w:rPr>
                <w:color w:val="auto"/>
                <w:spacing w:val="6"/>
                <w:highlight w:val="none"/>
              </w:rPr>
              <w:t>：</w:t>
            </w:r>
            <w:r>
              <w:rPr>
                <w:color w:val="auto"/>
                <w:spacing w:val="11"/>
                <w:highlight w:val="none"/>
              </w:rPr>
              <w:t>各主要施工工序有周密的劳动力安排计划，有各工</w:t>
            </w:r>
            <w:r>
              <w:rPr>
                <w:color w:val="auto"/>
                <w:highlight w:val="none"/>
              </w:rPr>
              <w:t xml:space="preserve"> </w:t>
            </w:r>
            <w:r>
              <w:rPr>
                <w:color w:val="auto"/>
                <w:spacing w:val="9"/>
                <w:highlight w:val="none"/>
              </w:rPr>
              <w:t>种劳动力安排计划，劳动力投入合理，能满足施工需要。</w:t>
            </w:r>
          </w:p>
          <w:p w14:paraId="0F8ACF64">
            <w:pPr>
              <w:pStyle w:val="20"/>
              <w:spacing w:before="1" w:line="368" w:lineRule="auto"/>
              <w:ind w:left="116" w:right="103" w:hanging="3"/>
              <w:rPr>
                <w:color w:val="auto"/>
                <w:highlight w:val="none"/>
              </w:rPr>
            </w:pPr>
            <w:r>
              <w:rPr>
                <w:color w:val="auto"/>
                <w:spacing w:val="11"/>
                <w:highlight w:val="none"/>
              </w:rPr>
              <w:t>三档（2</w:t>
            </w:r>
            <w:r>
              <w:rPr>
                <w:color w:val="auto"/>
                <w:spacing w:val="-30"/>
                <w:highlight w:val="none"/>
              </w:rPr>
              <w:t xml:space="preserve"> </w:t>
            </w:r>
            <w:r>
              <w:rPr>
                <w:color w:val="auto"/>
                <w:spacing w:val="11"/>
                <w:highlight w:val="none"/>
              </w:rPr>
              <w:t>分</w:t>
            </w:r>
            <w:r>
              <w:rPr>
                <w:color w:val="auto"/>
                <w:spacing w:val="8"/>
                <w:highlight w:val="none"/>
              </w:rPr>
              <w:t>）</w:t>
            </w:r>
            <w:r>
              <w:rPr>
                <w:color w:val="auto"/>
                <w:spacing w:val="-56"/>
                <w:highlight w:val="none"/>
              </w:rPr>
              <w:t xml:space="preserve"> </w:t>
            </w:r>
            <w:r>
              <w:rPr>
                <w:color w:val="auto"/>
                <w:spacing w:val="8"/>
                <w:highlight w:val="none"/>
              </w:rPr>
              <w:t>：</w:t>
            </w:r>
            <w:r>
              <w:rPr>
                <w:color w:val="auto"/>
                <w:spacing w:val="11"/>
                <w:highlight w:val="none"/>
              </w:rPr>
              <w:t>各主要施工工序有劳动力安排计划，有各工种劳动</w:t>
            </w:r>
            <w:r>
              <w:rPr>
                <w:color w:val="auto"/>
                <w:highlight w:val="none"/>
              </w:rPr>
              <w:t xml:space="preserve"> </w:t>
            </w:r>
            <w:r>
              <w:rPr>
                <w:color w:val="auto"/>
                <w:spacing w:val="9"/>
                <w:highlight w:val="none"/>
              </w:rPr>
              <w:t>力安排计划，劳动力投入基本合理，基本能满足施工需要。</w:t>
            </w:r>
          </w:p>
          <w:p w14:paraId="2F1EC9DE">
            <w:pPr>
              <w:pStyle w:val="20"/>
              <w:spacing w:before="187" w:line="228" w:lineRule="auto"/>
              <w:ind w:left="116" w:leftChars="0"/>
              <w:rPr>
                <w:rFonts w:ascii="宋体" w:hAnsi="宋体" w:eastAsia="宋体" w:cs="宋体"/>
                <w:snapToGrid w:val="0"/>
                <w:color w:val="auto"/>
                <w:kern w:val="0"/>
                <w:sz w:val="20"/>
                <w:szCs w:val="20"/>
                <w:highlight w:val="none"/>
                <w:lang w:val="en-US" w:eastAsia="en-US" w:bidi="ar-SA"/>
              </w:rPr>
            </w:pPr>
            <w:r>
              <w:rPr>
                <w:color w:val="auto"/>
                <w:spacing w:val="11"/>
                <w:highlight w:val="none"/>
              </w:rPr>
              <w:t>四档（1</w:t>
            </w:r>
            <w:r>
              <w:rPr>
                <w:color w:val="auto"/>
                <w:spacing w:val="-31"/>
                <w:highlight w:val="none"/>
              </w:rPr>
              <w:t xml:space="preserve"> </w:t>
            </w:r>
            <w:r>
              <w:rPr>
                <w:color w:val="auto"/>
                <w:spacing w:val="11"/>
                <w:highlight w:val="none"/>
              </w:rPr>
              <w:t>分</w:t>
            </w:r>
            <w:r>
              <w:rPr>
                <w:color w:val="auto"/>
                <w:spacing w:val="-1"/>
                <w:highlight w:val="none"/>
              </w:rPr>
              <w:t>）</w:t>
            </w:r>
            <w:r>
              <w:rPr>
                <w:color w:val="auto"/>
                <w:spacing w:val="-56"/>
                <w:highlight w:val="none"/>
              </w:rPr>
              <w:t xml:space="preserve"> </w:t>
            </w:r>
            <w:r>
              <w:rPr>
                <w:color w:val="auto"/>
                <w:spacing w:val="-1"/>
                <w:highlight w:val="none"/>
              </w:rPr>
              <w:t>：</w:t>
            </w:r>
            <w:r>
              <w:rPr>
                <w:color w:val="auto"/>
                <w:spacing w:val="11"/>
                <w:highlight w:val="none"/>
              </w:rPr>
              <w:t>各主要施工工序没有劳动力安排计划，没有各工种</w:t>
            </w:r>
            <w:r>
              <w:rPr>
                <w:color w:val="auto"/>
                <w:highlight w:val="none"/>
              </w:rPr>
              <w:t xml:space="preserve"> </w:t>
            </w:r>
            <w:r>
              <w:rPr>
                <w:color w:val="auto"/>
                <w:spacing w:val="9"/>
                <w:highlight w:val="none"/>
              </w:rPr>
              <w:t>劳动力安排计划，劳动力投入不合理，不能满足施工需要。</w:t>
            </w:r>
          </w:p>
        </w:tc>
        <w:tc>
          <w:tcPr>
            <w:tcW w:w="855" w:type="dxa"/>
            <w:shd w:val="clear" w:color="auto" w:fill="auto"/>
            <w:vAlign w:val="center"/>
          </w:tcPr>
          <w:p w14:paraId="3416F21E">
            <w:pPr>
              <w:pStyle w:val="20"/>
              <w:spacing w:before="211" w:line="229" w:lineRule="auto"/>
              <w:ind w:left="253" w:leftChars="0"/>
              <w:jc w:val="center"/>
              <w:rPr>
                <w:rFonts w:ascii="宋体" w:hAnsi="宋体" w:eastAsia="宋体" w:cs="宋体"/>
                <w:snapToGrid w:val="0"/>
                <w:color w:val="auto"/>
                <w:kern w:val="0"/>
                <w:sz w:val="20"/>
                <w:szCs w:val="20"/>
                <w:highlight w:val="none"/>
                <w:lang w:val="en-US" w:eastAsia="en-US" w:bidi="ar-SA"/>
              </w:rPr>
            </w:pPr>
            <w:r>
              <w:rPr>
                <w:color w:val="auto"/>
                <w:spacing w:val="-4"/>
                <w:highlight w:val="none"/>
              </w:rPr>
              <w:t>5</w:t>
            </w:r>
            <w:r>
              <w:rPr>
                <w:color w:val="auto"/>
                <w:spacing w:val="-38"/>
                <w:highlight w:val="none"/>
              </w:rPr>
              <w:t xml:space="preserve"> </w:t>
            </w:r>
            <w:r>
              <w:rPr>
                <w:color w:val="auto"/>
                <w:spacing w:val="-4"/>
                <w:highlight w:val="none"/>
              </w:rPr>
              <w:t>分</w:t>
            </w:r>
          </w:p>
        </w:tc>
      </w:tr>
      <w:tr w14:paraId="29163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0" w:hRule="atLeast"/>
        </w:trPr>
        <w:tc>
          <w:tcPr>
            <w:tcW w:w="697" w:type="dxa"/>
            <w:shd w:val="clear" w:color="auto" w:fill="auto"/>
            <w:vAlign w:val="top"/>
          </w:tcPr>
          <w:p w14:paraId="51E47E72">
            <w:pPr>
              <w:rPr>
                <w:rFonts w:ascii="Arial"/>
                <w:color w:val="auto"/>
                <w:sz w:val="21"/>
                <w:highlight w:val="none"/>
              </w:rPr>
            </w:pPr>
          </w:p>
          <w:p w14:paraId="7C95AE0A">
            <w:pPr>
              <w:rPr>
                <w:rFonts w:ascii="Arial"/>
                <w:color w:val="auto"/>
                <w:sz w:val="21"/>
                <w:highlight w:val="none"/>
              </w:rPr>
            </w:pPr>
          </w:p>
          <w:p w14:paraId="670B1ED2">
            <w:pPr>
              <w:spacing w:line="241" w:lineRule="auto"/>
              <w:rPr>
                <w:rFonts w:ascii="Arial"/>
                <w:color w:val="auto"/>
                <w:sz w:val="21"/>
                <w:highlight w:val="none"/>
              </w:rPr>
            </w:pPr>
          </w:p>
          <w:p w14:paraId="40F89343">
            <w:pPr>
              <w:spacing w:line="241" w:lineRule="auto"/>
              <w:rPr>
                <w:rFonts w:ascii="Arial"/>
                <w:color w:val="auto"/>
                <w:sz w:val="21"/>
                <w:highlight w:val="none"/>
              </w:rPr>
            </w:pPr>
          </w:p>
          <w:p w14:paraId="507E0AFB">
            <w:pPr>
              <w:spacing w:line="241" w:lineRule="auto"/>
              <w:rPr>
                <w:rFonts w:ascii="Arial"/>
                <w:color w:val="auto"/>
                <w:sz w:val="21"/>
                <w:highlight w:val="none"/>
              </w:rPr>
            </w:pPr>
          </w:p>
          <w:p w14:paraId="18C8176D">
            <w:pPr>
              <w:spacing w:line="241" w:lineRule="auto"/>
              <w:rPr>
                <w:rFonts w:ascii="Arial"/>
                <w:color w:val="auto"/>
                <w:sz w:val="21"/>
                <w:highlight w:val="none"/>
              </w:rPr>
            </w:pPr>
          </w:p>
          <w:p w14:paraId="7A873FCC">
            <w:pPr>
              <w:spacing w:line="241" w:lineRule="auto"/>
              <w:rPr>
                <w:rFonts w:ascii="Arial"/>
                <w:color w:val="auto"/>
                <w:sz w:val="21"/>
                <w:highlight w:val="none"/>
              </w:rPr>
            </w:pPr>
          </w:p>
          <w:p w14:paraId="632BE365">
            <w:pPr>
              <w:spacing w:line="241" w:lineRule="auto"/>
              <w:rPr>
                <w:rFonts w:ascii="Arial"/>
                <w:color w:val="auto"/>
                <w:sz w:val="21"/>
                <w:highlight w:val="none"/>
              </w:rPr>
            </w:pPr>
          </w:p>
          <w:p w14:paraId="46936D44">
            <w:pPr>
              <w:spacing w:line="241" w:lineRule="auto"/>
              <w:rPr>
                <w:rFonts w:ascii="Arial"/>
                <w:color w:val="auto"/>
                <w:sz w:val="21"/>
                <w:highlight w:val="none"/>
              </w:rPr>
            </w:pPr>
          </w:p>
          <w:p w14:paraId="233CA3B7">
            <w:pPr>
              <w:pStyle w:val="20"/>
              <w:spacing w:before="65" w:line="269" w:lineRule="exact"/>
              <w:ind w:left="198" w:leftChars="0"/>
              <w:rPr>
                <w:rFonts w:ascii="宋体" w:hAnsi="宋体" w:eastAsia="宋体" w:cs="宋体"/>
                <w:snapToGrid w:val="0"/>
                <w:color w:val="auto"/>
                <w:kern w:val="0"/>
                <w:sz w:val="20"/>
                <w:szCs w:val="20"/>
                <w:highlight w:val="none"/>
                <w:lang w:val="en-US" w:eastAsia="en-US" w:bidi="ar-SA"/>
              </w:rPr>
            </w:pPr>
            <w:r>
              <w:rPr>
                <w:color w:val="auto"/>
                <w:spacing w:val="1"/>
                <w:position w:val="1"/>
                <w:highlight w:val="none"/>
              </w:rPr>
              <w:t>2.6</w:t>
            </w:r>
          </w:p>
        </w:tc>
        <w:tc>
          <w:tcPr>
            <w:tcW w:w="1306" w:type="dxa"/>
            <w:shd w:val="clear" w:color="auto" w:fill="auto"/>
            <w:vAlign w:val="top"/>
          </w:tcPr>
          <w:p w14:paraId="2752C140">
            <w:pPr>
              <w:spacing w:line="241" w:lineRule="auto"/>
              <w:rPr>
                <w:rFonts w:ascii="Arial"/>
                <w:color w:val="auto"/>
                <w:sz w:val="21"/>
                <w:highlight w:val="none"/>
              </w:rPr>
            </w:pPr>
          </w:p>
          <w:p w14:paraId="4AE5E60B">
            <w:pPr>
              <w:spacing w:line="241" w:lineRule="auto"/>
              <w:rPr>
                <w:rFonts w:ascii="Arial"/>
                <w:color w:val="auto"/>
                <w:sz w:val="21"/>
                <w:highlight w:val="none"/>
              </w:rPr>
            </w:pPr>
          </w:p>
          <w:p w14:paraId="0EB33478">
            <w:pPr>
              <w:spacing w:line="241" w:lineRule="auto"/>
              <w:rPr>
                <w:rFonts w:ascii="Arial"/>
                <w:color w:val="auto"/>
                <w:sz w:val="21"/>
                <w:highlight w:val="none"/>
              </w:rPr>
            </w:pPr>
          </w:p>
          <w:p w14:paraId="028B4A68">
            <w:pPr>
              <w:spacing w:line="241" w:lineRule="auto"/>
              <w:rPr>
                <w:rFonts w:ascii="Arial"/>
                <w:color w:val="auto"/>
                <w:sz w:val="21"/>
                <w:highlight w:val="none"/>
              </w:rPr>
            </w:pPr>
          </w:p>
          <w:p w14:paraId="4296C68E">
            <w:pPr>
              <w:spacing w:line="242" w:lineRule="auto"/>
              <w:rPr>
                <w:rFonts w:ascii="Arial"/>
                <w:color w:val="auto"/>
                <w:sz w:val="21"/>
                <w:highlight w:val="none"/>
              </w:rPr>
            </w:pPr>
          </w:p>
          <w:p w14:paraId="19D38416">
            <w:pPr>
              <w:spacing w:line="242" w:lineRule="auto"/>
              <w:rPr>
                <w:rFonts w:ascii="Arial"/>
                <w:color w:val="auto"/>
                <w:sz w:val="21"/>
                <w:highlight w:val="none"/>
              </w:rPr>
            </w:pPr>
          </w:p>
          <w:p w14:paraId="757FC812">
            <w:pPr>
              <w:spacing w:line="242" w:lineRule="auto"/>
              <w:rPr>
                <w:rFonts w:ascii="Arial"/>
                <w:color w:val="auto"/>
                <w:sz w:val="21"/>
                <w:highlight w:val="none"/>
              </w:rPr>
            </w:pPr>
          </w:p>
          <w:p w14:paraId="07BB8189">
            <w:pPr>
              <w:pStyle w:val="20"/>
              <w:spacing w:before="65" w:line="229" w:lineRule="auto"/>
              <w:ind w:left="132"/>
              <w:rPr>
                <w:color w:val="auto"/>
                <w:highlight w:val="none"/>
              </w:rPr>
            </w:pPr>
            <w:r>
              <w:rPr>
                <w:color w:val="auto"/>
                <w:spacing w:val="8"/>
                <w:highlight w:val="none"/>
              </w:rPr>
              <w:t>确保工程质</w:t>
            </w:r>
          </w:p>
          <w:p w14:paraId="6B24C400">
            <w:pPr>
              <w:pStyle w:val="20"/>
              <w:spacing w:before="232" w:line="228" w:lineRule="auto"/>
              <w:ind w:left="132"/>
              <w:rPr>
                <w:color w:val="auto"/>
                <w:highlight w:val="none"/>
              </w:rPr>
            </w:pPr>
            <w:r>
              <w:rPr>
                <w:color w:val="auto"/>
                <w:spacing w:val="8"/>
                <w:highlight w:val="none"/>
              </w:rPr>
              <w:t>量的技术组</w:t>
            </w:r>
          </w:p>
          <w:p w14:paraId="7745E48F">
            <w:pPr>
              <w:pStyle w:val="20"/>
              <w:spacing w:before="232" w:line="229" w:lineRule="auto"/>
              <w:ind w:left="345" w:leftChars="0"/>
              <w:rPr>
                <w:rFonts w:ascii="宋体" w:hAnsi="宋体" w:eastAsia="宋体" w:cs="宋体"/>
                <w:snapToGrid w:val="0"/>
                <w:color w:val="auto"/>
                <w:kern w:val="0"/>
                <w:sz w:val="20"/>
                <w:szCs w:val="20"/>
                <w:highlight w:val="none"/>
                <w:lang w:val="en-US" w:eastAsia="en-US" w:bidi="ar-SA"/>
              </w:rPr>
            </w:pPr>
            <w:r>
              <w:rPr>
                <w:color w:val="auto"/>
                <w:spacing w:val="5"/>
                <w:highlight w:val="none"/>
              </w:rPr>
              <w:t>织措施</w:t>
            </w:r>
          </w:p>
        </w:tc>
        <w:tc>
          <w:tcPr>
            <w:tcW w:w="6351" w:type="dxa"/>
            <w:shd w:val="clear" w:color="auto" w:fill="auto"/>
            <w:vAlign w:val="top"/>
          </w:tcPr>
          <w:p w14:paraId="01F9E03F">
            <w:pPr>
              <w:pStyle w:val="20"/>
              <w:spacing w:before="142" w:line="369" w:lineRule="auto"/>
              <w:ind w:left="114" w:right="103" w:firstLine="2"/>
              <w:rPr>
                <w:color w:val="auto"/>
                <w:highlight w:val="none"/>
              </w:rPr>
            </w:pPr>
            <w:r>
              <w:rPr>
                <w:color w:val="auto"/>
                <w:spacing w:val="11"/>
                <w:highlight w:val="none"/>
              </w:rPr>
              <w:t>一档（5</w:t>
            </w:r>
            <w:r>
              <w:rPr>
                <w:color w:val="auto"/>
                <w:spacing w:val="-29"/>
                <w:highlight w:val="none"/>
              </w:rPr>
              <w:t xml:space="preserve"> </w:t>
            </w:r>
            <w:r>
              <w:rPr>
                <w:color w:val="auto"/>
                <w:spacing w:val="11"/>
                <w:highlight w:val="none"/>
              </w:rPr>
              <w:t>分</w:t>
            </w:r>
            <w:r>
              <w:rPr>
                <w:color w:val="auto"/>
                <w:spacing w:val="6"/>
                <w:highlight w:val="none"/>
              </w:rPr>
              <w:t>）</w:t>
            </w:r>
            <w:r>
              <w:rPr>
                <w:color w:val="auto"/>
                <w:spacing w:val="-56"/>
                <w:highlight w:val="none"/>
              </w:rPr>
              <w:t xml:space="preserve"> </w:t>
            </w:r>
            <w:r>
              <w:rPr>
                <w:color w:val="auto"/>
                <w:spacing w:val="6"/>
                <w:highlight w:val="none"/>
              </w:rPr>
              <w:t>：</w:t>
            </w:r>
            <w:r>
              <w:rPr>
                <w:color w:val="auto"/>
                <w:spacing w:val="11"/>
                <w:highlight w:val="none"/>
              </w:rPr>
              <w:t>有专门的质量技术管理班子和制度，且人员配备合</w:t>
            </w:r>
            <w:r>
              <w:rPr>
                <w:color w:val="auto"/>
                <w:highlight w:val="none"/>
              </w:rPr>
              <w:t xml:space="preserve"> </w:t>
            </w:r>
            <w:r>
              <w:rPr>
                <w:color w:val="auto"/>
                <w:spacing w:val="9"/>
                <w:highlight w:val="none"/>
              </w:rPr>
              <w:t>理，制度健全。主要工序有质量技术保证措施和手段，</w:t>
            </w:r>
            <w:r>
              <w:rPr>
                <w:color w:val="auto"/>
                <w:spacing w:val="-35"/>
                <w:highlight w:val="none"/>
              </w:rPr>
              <w:t xml:space="preserve"> </w:t>
            </w:r>
            <w:r>
              <w:rPr>
                <w:color w:val="auto"/>
                <w:spacing w:val="9"/>
                <w:highlight w:val="none"/>
              </w:rPr>
              <w:t>自控体系完</w:t>
            </w:r>
            <w:r>
              <w:rPr>
                <w:color w:val="auto"/>
                <w:highlight w:val="none"/>
              </w:rPr>
              <w:t xml:space="preserve"> </w:t>
            </w:r>
            <w:r>
              <w:rPr>
                <w:color w:val="auto"/>
                <w:spacing w:val="9"/>
                <w:highlight w:val="none"/>
              </w:rPr>
              <w:t>整，能有效保证技术质量，达到承诺的质量标准。</w:t>
            </w:r>
          </w:p>
          <w:p w14:paraId="28CA5C1C">
            <w:pPr>
              <w:pStyle w:val="20"/>
              <w:spacing w:line="369" w:lineRule="auto"/>
              <w:ind w:left="112" w:right="103" w:firstLine="4"/>
              <w:rPr>
                <w:color w:val="auto"/>
                <w:highlight w:val="none"/>
              </w:rPr>
            </w:pPr>
            <w:r>
              <w:rPr>
                <w:color w:val="auto"/>
                <w:spacing w:val="11"/>
                <w:highlight w:val="none"/>
              </w:rPr>
              <w:t>二档（4</w:t>
            </w:r>
            <w:r>
              <w:rPr>
                <w:color w:val="auto"/>
                <w:spacing w:val="-29"/>
                <w:highlight w:val="none"/>
              </w:rPr>
              <w:t xml:space="preserve"> </w:t>
            </w:r>
            <w:r>
              <w:rPr>
                <w:color w:val="auto"/>
                <w:spacing w:val="11"/>
                <w:highlight w:val="none"/>
              </w:rPr>
              <w:t>分</w:t>
            </w:r>
            <w:r>
              <w:rPr>
                <w:color w:val="auto"/>
                <w:spacing w:val="6"/>
                <w:highlight w:val="none"/>
              </w:rPr>
              <w:t>）</w:t>
            </w:r>
            <w:r>
              <w:rPr>
                <w:color w:val="auto"/>
                <w:spacing w:val="-56"/>
                <w:highlight w:val="none"/>
              </w:rPr>
              <w:t xml:space="preserve"> </w:t>
            </w:r>
            <w:r>
              <w:rPr>
                <w:color w:val="auto"/>
                <w:spacing w:val="6"/>
                <w:highlight w:val="none"/>
              </w:rPr>
              <w:t>：</w:t>
            </w:r>
            <w:r>
              <w:rPr>
                <w:color w:val="auto"/>
                <w:spacing w:val="11"/>
                <w:highlight w:val="none"/>
              </w:rPr>
              <w:t>有质量技术管理班子和制度，且人员配备合理，制</w:t>
            </w:r>
            <w:r>
              <w:rPr>
                <w:color w:val="auto"/>
                <w:highlight w:val="none"/>
              </w:rPr>
              <w:t xml:space="preserve"> </w:t>
            </w:r>
            <w:r>
              <w:rPr>
                <w:color w:val="auto"/>
                <w:spacing w:val="9"/>
                <w:highlight w:val="none"/>
              </w:rPr>
              <w:t>度健全。主要工序有质量技术保证措施和手段，</w:t>
            </w:r>
            <w:r>
              <w:rPr>
                <w:color w:val="auto"/>
                <w:spacing w:val="-33"/>
                <w:highlight w:val="none"/>
              </w:rPr>
              <w:t xml:space="preserve"> </w:t>
            </w:r>
            <w:r>
              <w:rPr>
                <w:color w:val="auto"/>
                <w:spacing w:val="9"/>
                <w:highlight w:val="none"/>
              </w:rPr>
              <w:t>自控体系完整，能</w:t>
            </w:r>
            <w:r>
              <w:rPr>
                <w:color w:val="auto"/>
                <w:highlight w:val="none"/>
              </w:rPr>
              <w:t xml:space="preserve"> </w:t>
            </w:r>
            <w:r>
              <w:rPr>
                <w:color w:val="auto"/>
                <w:spacing w:val="8"/>
                <w:highlight w:val="none"/>
              </w:rPr>
              <w:t>保证技术质量，满足招标文件的质量要求。</w:t>
            </w:r>
          </w:p>
          <w:p w14:paraId="0FA252A1">
            <w:pPr>
              <w:pStyle w:val="20"/>
              <w:spacing w:before="1" w:line="369" w:lineRule="auto"/>
              <w:ind w:left="113" w:right="47"/>
              <w:rPr>
                <w:color w:val="auto"/>
                <w:highlight w:val="none"/>
              </w:rPr>
            </w:pPr>
            <w:r>
              <w:rPr>
                <w:color w:val="auto"/>
                <w:spacing w:val="7"/>
                <w:highlight w:val="none"/>
              </w:rPr>
              <w:t>三档（2</w:t>
            </w:r>
            <w:r>
              <w:rPr>
                <w:color w:val="auto"/>
                <w:spacing w:val="-34"/>
                <w:highlight w:val="none"/>
              </w:rPr>
              <w:t xml:space="preserve"> </w:t>
            </w:r>
            <w:r>
              <w:rPr>
                <w:color w:val="auto"/>
                <w:spacing w:val="7"/>
                <w:highlight w:val="none"/>
              </w:rPr>
              <w:t>分</w:t>
            </w:r>
            <w:r>
              <w:rPr>
                <w:color w:val="auto"/>
                <w:spacing w:val="14"/>
                <w:highlight w:val="none"/>
              </w:rPr>
              <w:t>）：</w:t>
            </w:r>
            <w:r>
              <w:rPr>
                <w:color w:val="auto"/>
                <w:spacing w:val="7"/>
                <w:highlight w:val="none"/>
              </w:rPr>
              <w:t>有质量技术管理班子和制度，且人员配</w:t>
            </w:r>
            <w:r>
              <w:rPr>
                <w:color w:val="auto"/>
                <w:spacing w:val="6"/>
                <w:highlight w:val="none"/>
              </w:rPr>
              <w:t>备基本合理，</w:t>
            </w:r>
            <w:r>
              <w:rPr>
                <w:color w:val="auto"/>
                <w:highlight w:val="none"/>
              </w:rPr>
              <w:t xml:space="preserve"> </w:t>
            </w:r>
            <w:r>
              <w:rPr>
                <w:color w:val="auto"/>
                <w:spacing w:val="10"/>
                <w:highlight w:val="none"/>
              </w:rPr>
              <w:t>制度基本健全。主要工序有质量技术保证措施和手段，</w:t>
            </w:r>
            <w:r>
              <w:rPr>
                <w:color w:val="auto"/>
                <w:spacing w:val="-49"/>
                <w:highlight w:val="none"/>
              </w:rPr>
              <w:t xml:space="preserve"> </w:t>
            </w:r>
            <w:r>
              <w:rPr>
                <w:color w:val="auto"/>
                <w:spacing w:val="10"/>
                <w:highlight w:val="none"/>
              </w:rPr>
              <w:t>自控体系，</w:t>
            </w:r>
            <w:r>
              <w:rPr>
                <w:color w:val="auto"/>
                <w:highlight w:val="none"/>
              </w:rPr>
              <w:t xml:space="preserve"> </w:t>
            </w:r>
            <w:r>
              <w:rPr>
                <w:color w:val="auto"/>
                <w:spacing w:val="9"/>
                <w:highlight w:val="none"/>
              </w:rPr>
              <w:t>基本能保证技术质量，基本满足招标文件的质量要求。</w:t>
            </w:r>
          </w:p>
          <w:p w14:paraId="5FB20AC7">
            <w:pPr>
              <w:pStyle w:val="20"/>
              <w:spacing w:before="63" w:line="345" w:lineRule="auto"/>
              <w:ind w:left="130" w:leftChars="0" w:right="103" w:rightChars="0" w:firstLine="2" w:firstLineChars="0"/>
              <w:rPr>
                <w:rFonts w:ascii="宋体" w:hAnsi="宋体" w:eastAsia="宋体" w:cs="宋体"/>
                <w:snapToGrid w:val="0"/>
                <w:color w:val="auto"/>
                <w:kern w:val="0"/>
                <w:sz w:val="20"/>
                <w:szCs w:val="20"/>
                <w:highlight w:val="none"/>
                <w:lang w:val="en-US" w:eastAsia="en-US" w:bidi="ar-SA"/>
              </w:rPr>
            </w:pPr>
            <w:r>
              <w:rPr>
                <w:color w:val="auto"/>
                <w:spacing w:val="11"/>
                <w:highlight w:val="none"/>
              </w:rPr>
              <w:t>四档（1</w:t>
            </w:r>
            <w:r>
              <w:rPr>
                <w:color w:val="auto"/>
                <w:spacing w:val="-31"/>
                <w:highlight w:val="none"/>
              </w:rPr>
              <w:t xml:space="preserve"> </w:t>
            </w:r>
            <w:r>
              <w:rPr>
                <w:color w:val="auto"/>
                <w:spacing w:val="11"/>
                <w:highlight w:val="none"/>
              </w:rPr>
              <w:t>分</w:t>
            </w:r>
            <w:r>
              <w:rPr>
                <w:color w:val="auto"/>
                <w:spacing w:val="-1"/>
                <w:highlight w:val="none"/>
              </w:rPr>
              <w:t>）</w:t>
            </w:r>
            <w:r>
              <w:rPr>
                <w:color w:val="auto"/>
                <w:spacing w:val="-56"/>
                <w:highlight w:val="none"/>
              </w:rPr>
              <w:t xml:space="preserve"> </w:t>
            </w:r>
            <w:r>
              <w:rPr>
                <w:color w:val="auto"/>
                <w:spacing w:val="-1"/>
                <w:highlight w:val="none"/>
              </w:rPr>
              <w:t>：</w:t>
            </w:r>
            <w:r>
              <w:rPr>
                <w:color w:val="auto"/>
                <w:spacing w:val="11"/>
                <w:highlight w:val="none"/>
              </w:rPr>
              <w:t>工程质量技术组织措施不可行，没能满足招标文件</w:t>
            </w:r>
            <w:r>
              <w:rPr>
                <w:color w:val="auto"/>
                <w:highlight w:val="none"/>
              </w:rPr>
              <w:t xml:space="preserve"> </w:t>
            </w:r>
            <w:r>
              <w:rPr>
                <w:color w:val="auto"/>
                <w:spacing w:val="3"/>
                <w:highlight w:val="none"/>
              </w:rPr>
              <w:t>的质量要求。</w:t>
            </w:r>
          </w:p>
        </w:tc>
        <w:tc>
          <w:tcPr>
            <w:tcW w:w="855" w:type="dxa"/>
            <w:shd w:val="clear" w:color="auto" w:fill="auto"/>
            <w:vAlign w:val="top"/>
          </w:tcPr>
          <w:p w14:paraId="091AE022">
            <w:pPr>
              <w:rPr>
                <w:rFonts w:ascii="Arial"/>
                <w:color w:val="auto"/>
                <w:sz w:val="21"/>
                <w:highlight w:val="none"/>
              </w:rPr>
            </w:pPr>
          </w:p>
          <w:p w14:paraId="5A93982D">
            <w:pPr>
              <w:rPr>
                <w:rFonts w:ascii="Arial"/>
                <w:color w:val="auto"/>
                <w:sz w:val="21"/>
                <w:highlight w:val="none"/>
              </w:rPr>
            </w:pPr>
          </w:p>
          <w:p w14:paraId="5C094986">
            <w:pPr>
              <w:spacing w:line="241" w:lineRule="auto"/>
              <w:rPr>
                <w:rFonts w:ascii="Arial"/>
                <w:color w:val="auto"/>
                <w:sz w:val="21"/>
                <w:highlight w:val="none"/>
              </w:rPr>
            </w:pPr>
          </w:p>
          <w:p w14:paraId="36E6C76D">
            <w:pPr>
              <w:spacing w:line="241" w:lineRule="auto"/>
              <w:rPr>
                <w:rFonts w:ascii="Arial"/>
                <w:color w:val="auto"/>
                <w:sz w:val="21"/>
                <w:highlight w:val="none"/>
              </w:rPr>
            </w:pPr>
          </w:p>
          <w:p w14:paraId="4A3BF1FE">
            <w:pPr>
              <w:spacing w:line="241" w:lineRule="auto"/>
              <w:rPr>
                <w:rFonts w:ascii="Arial"/>
                <w:color w:val="auto"/>
                <w:sz w:val="21"/>
                <w:highlight w:val="none"/>
              </w:rPr>
            </w:pPr>
          </w:p>
          <w:p w14:paraId="31E603EA">
            <w:pPr>
              <w:spacing w:line="241" w:lineRule="auto"/>
              <w:rPr>
                <w:rFonts w:ascii="Arial"/>
                <w:color w:val="auto"/>
                <w:sz w:val="21"/>
                <w:highlight w:val="none"/>
              </w:rPr>
            </w:pPr>
          </w:p>
          <w:p w14:paraId="622278C7">
            <w:pPr>
              <w:spacing w:line="241" w:lineRule="auto"/>
              <w:rPr>
                <w:rFonts w:ascii="Arial"/>
                <w:color w:val="auto"/>
                <w:sz w:val="21"/>
                <w:highlight w:val="none"/>
              </w:rPr>
            </w:pPr>
          </w:p>
          <w:p w14:paraId="3BC00EAB">
            <w:pPr>
              <w:spacing w:line="241" w:lineRule="auto"/>
              <w:rPr>
                <w:rFonts w:ascii="Arial"/>
                <w:color w:val="auto"/>
                <w:sz w:val="21"/>
                <w:highlight w:val="none"/>
              </w:rPr>
            </w:pPr>
          </w:p>
          <w:p w14:paraId="20485EFB">
            <w:pPr>
              <w:spacing w:line="241" w:lineRule="auto"/>
              <w:rPr>
                <w:rFonts w:ascii="Arial"/>
                <w:color w:val="auto"/>
                <w:sz w:val="21"/>
                <w:highlight w:val="none"/>
              </w:rPr>
            </w:pPr>
          </w:p>
          <w:p w14:paraId="2211679E">
            <w:pPr>
              <w:pStyle w:val="20"/>
              <w:spacing w:before="65" w:line="229" w:lineRule="auto"/>
              <w:ind w:left="253" w:leftChars="0"/>
              <w:rPr>
                <w:rFonts w:ascii="宋体" w:hAnsi="宋体" w:eastAsia="宋体" w:cs="宋体"/>
                <w:snapToGrid w:val="0"/>
                <w:color w:val="auto"/>
                <w:kern w:val="0"/>
                <w:sz w:val="20"/>
                <w:szCs w:val="20"/>
                <w:highlight w:val="none"/>
                <w:lang w:val="en-US" w:eastAsia="en-US" w:bidi="ar-SA"/>
              </w:rPr>
            </w:pPr>
            <w:r>
              <w:rPr>
                <w:color w:val="auto"/>
                <w:spacing w:val="-4"/>
                <w:highlight w:val="none"/>
              </w:rPr>
              <w:t>5</w:t>
            </w:r>
            <w:r>
              <w:rPr>
                <w:color w:val="auto"/>
                <w:spacing w:val="-38"/>
                <w:highlight w:val="none"/>
              </w:rPr>
              <w:t xml:space="preserve"> </w:t>
            </w:r>
            <w:r>
              <w:rPr>
                <w:color w:val="auto"/>
                <w:spacing w:val="-4"/>
                <w:highlight w:val="none"/>
              </w:rPr>
              <w:t>分</w:t>
            </w:r>
          </w:p>
        </w:tc>
      </w:tr>
      <w:tr w14:paraId="5452C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7" w:hRule="atLeast"/>
        </w:trPr>
        <w:tc>
          <w:tcPr>
            <w:tcW w:w="697" w:type="dxa"/>
            <w:shd w:val="clear" w:color="auto" w:fill="auto"/>
            <w:vAlign w:val="top"/>
          </w:tcPr>
          <w:p w14:paraId="2BA324BF">
            <w:pPr>
              <w:spacing w:line="255" w:lineRule="auto"/>
              <w:rPr>
                <w:rFonts w:ascii="Arial"/>
                <w:color w:val="auto"/>
                <w:sz w:val="21"/>
                <w:highlight w:val="none"/>
              </w:rPr>
            </w:pPr>
          </w:p>
          <w:p w14:paraId="57421257">
            <w:pPr>
              <w:spacing w:line="255" w:lineRule="auto"/>
              <w:rPr>
                <w:rFonts w:ascii="Arial"/>
                <w:color w:val="auto"/>
                <w:sz w:val="21"/>
                <w:highlight w:val="none"/>
              </w:rPr>
            </w:pPr>
          </w:p>
          <w:p w14:paraId="724DD2F8">
            <w:pPr>
              <w:spacing w:line="255" w:lineRule="auto"/>
              <w:rPr>
                <w:rFonts w:ascii="Arial"/>
                <w:color w:val="auto"/>
                <w:sz w:val="21"/>
                <w:highlight w:val="none"/>
              </w:rPr>
            </w:pPr>
          </w:p>
          <w:p w14:paraId="687350F6">
            <w:pPr>
              <w:spacing w:line="255" w:lineRule="auto"/>
              <w:rPr>
                <w:rFonts w:ascii="Arial"/>
                <w:color w:val="auto"/>
                <w:sz w:val="21"/>
                <w:highlight w:val="none"/>
              </w:rPr>
            </w:pPr>
          </w:p>
          <w:p w14:paraId="12AB0E24">
            <w:pPr>
              <w:spacing w:line="256" w:lineRule="auto"/>
              <w:rPr>
                <w:rFonts w:ascii="Arial"/>
                <w:color w:val="auto"/>
                <w:sz w:val="21"/>
                <w:highlight w:val="none"/>
              </w:rPr>
            </w:pPr>
          </w:p>
          <w:p w14:paraId="7A4ADB7D">
            <w:pPr>
              <w:spacing w:line="256" w:lineRule="auto"/>
              <w:rPr>
                <w:rFonts w:ascii="Arial"/>
                <w:color w:val="auto"/>
                <w:sz w:val="21"/>
                <w:highlight w:val="none"/>
              </w:rPr>
            </w:pPr>
          </w:p>
          <w:p w14:paraId="00C10048">
            <w:pPr>
              <w:pStyle w:val="20"/>
              <w:spacing w:before="65" w:line="268" w:lineRule="exact"/>
              <w:ind w:left="198" w:leftChars="0"/>
              <w:rPr>
                <w:rFonts w:ascii="宋体" w:hAnsi="宋体" w:eastAsia="宋体" w:cs="宋体"/>
                <w:snapToGrid w:val="0"/>
                <w:color w:val="auto"/>
                <w:kern w:val="0"/>
                <w:sz w:val="20"/>
                <w:szCs w:val="20"/>
                <w:highlight w:val="none"/>
                <w:lang w:val="en-US" w:eastAsia="en-US" w:bidi="ar-SA"/>
              </w:rPr>
            </w:pPr>
            <w:r>
              <w:rPr>
                <w:color w:val="auto"/>
                <w:spacing w:val="1"/>
                <w:position w:val="1"/>
                <w:highlight w:val="none"/>
              </w:rPr>
              <w:t>2.7</w:t>
            </w:r>
          </w:p>
        </w:tc>
        <w:tc>
          <w:tcPr>
            <w:tcW w:w="1306" w:type="dxa"/>
            <w:shd w:val="clear" w:color="auto" w:fill="auto"/>
            <w:vAlign w:val="top"/>
          </w:tcPr>
          <w:p w14:paraId="477169F1">
            <w:pPr>
              <w:spacing w:line="263" w:lineRule="auto"/>
              <w:rPr>
                <w:rFonts w:ascii="Arial"/>
                <w:color w:val="auto"/>
                <w:sz w:val="21"/>
                <w:highlight w:val="none"/>
              </w:rPr>
            </w:pPr>
          </w:p>
          <w:p w14:paraId="7A9723AF">
            <w:pPr>
              <w:spacing w:line="264" w:lineRule="auto"/>
              <w:rPr>
                <w:rFonts w:ascii="Arial"/>
                <w:color w:val="auto"/>
                <w:sz w:val="21"/>
                <w:highlight w:val="none"/>
              </w:rPr>
            </w:pPr>
          </w:p>
          <w:p w14:paraId="7A1E5004">
            <w:pPr>
              <w:spacing w:line="264" w:lineRule="auto"/>
              <w:rPr>
                <w:rFonts w:ascii="Arial"/>
                <w:color w:val="auto"/>
                <w:sz w:val="21"/>
                <w:highlight w:val="none"/>
              </w:rPr>
            </w:pPr>
          </w:p>
          <w:p w14:paraId="51D343EA">
            <w:pPr>
              <w:spacing w:line="264" w:lineRule="auto"/>
              <w:rPr>
                <w:rFonts w:ascii="Arial"/>
                <w:color w:val="auto"/>
                <w:sz w:val="21"/>
                <w:highlight w:val="none"/>
              </w:rPr>
            </w:pPr>
          </w:p>
          <w:p w14:paraId="355AB03D">
            <w:pPr>
              <w:pStyle w:val="20"/>
              <w:spacing w:before="65" w:line="229" w:lineRule="auto"/>
              <w:ind w:left="132"/>
              <w:rPr>
                <w:color w:val="auto"/>
                <w:highlight w:val="none"/>
              </w:rPr>
            </w:pPr>
            <w:r>
              <w:rPr>
                <w:color w:val="auto"/>
                <w:spacing w:val="8"/>
                <w:highlight w:val="none"/>
              </w:rPr>
              <w:t>确保安全生</w:t>
            </w:r>
          </w:p>
          <w:p w14:paraId="06607A8A">
            <w:pPr>
              <w:pStyle w:val="20"/>
              <w:spacing w:before="232" w:line="228" w:lineRule="auto"/>
              <w:ind w:left="132"/>
              <w:rPr>
                <w:color w:val="auto"/>
                <w:highlight w:val="none"/>
              </w:rPr>
            </w:pPr>
            <w:r>
              <w:rPr>
                <w:color w:val="auto"/>
                <w:spacing w:val="8"/>
                <w:highlight w:val="none"/>
              </w:rPr>
              <w:t>产的技术组</w:t>
            </w:r>
          </w:p>
          <w:p w14:paraId="603D9863">
            <w:pPr>
              <w:pStyle w:val="20"/>
              <w:spacing w:before="232" w:line="229" w:lineRule="auto"/>
              <w:ind w:left="345" w:leftChars="0"/>
              <w:rPr>
                <w:rFonts w:ascii="宋体" w:hAnsi="宋体" w:eastAsia="宋体" w:cs="宋体"/>
                <w:snapToGrid w:val="0"/>
                <w:color w:val="auto"/>
                <w:kern w:val="0"/>
                <w:sz w:val="20"/>
                <w:szCs w:val="20"/>
                <w:highlight w:val="none"/>
                <w:lang w:val="en-US" w:eastAsia="en-US" w:bidi="ar-SA"/>
              </w:rPr>
            </w:pPr>
            <w:r>
              <w:rPr>
                <w:color w:val="auto"/>
                <w:spacing w:val="5"/>
                <w:highlight w:val="none"/>
              </w:rPr>
              <w:t>织措施</w:t>
            </w:r>
          </w:p>
        </w:tc>
        <w:tc>
          <w:tcPr>
            <w:tcW w:w="6351" w:type="dxa"/>
            <w:shd w:val="clear" w:color="auto" w:fill="auto"/>
            <w:vAlign w:val="top"/>
          </w:tcPr>
          <w:p w14:paraId="1EA9D0B8">
            <w:pPr>
              <w:pStyle w:val="20"/>
              <w:spacing w:before="143" w:line="369" w:lineRule="auto"/>
              <w:ind w:left="112" w:right="103" w:firstLine="4"/>
              <w:rPr>
                <w:color w:val="auto"/>
                <w:highlight w:val="none"/>
              </w:rPr>
            </w:pPr>
            <w:r>
              <w:rPr>
                <w:color w:val="auto"/>
                <w:spacing w:val="11"/>
                <w:highlight w:val="none"/>
              </w:rPr>
              <w:t>一档（5</w:t>
            </w:r>
            <w:r>
              <w:rPr>
                <w:color w:val="auto"/>
                <w:spacing w:val="-29"/>
                <w:highlight w:val="none"/>
              </w:rPr>
              <w:t xml:space="preserve"> </w:t>
            </w:r>
            <w:r>
              <w:rPr>
                <w:color w:val="auto"/>
                <w:spacing w:val="11"/>
                <w:highlight w:val="none"/>
              </w:rPr>
              <w:t>分</w:t>
            </w:r>
            <w:r>
              <w:rPr>
                <w:color w:val="auto"/>
                <w:spacing w:val="6"/>
                <w:highlight w:val="none"/>
              </w:rPr>
              <w:t>）</w:t>
            </w:r>
            <w:r>
              <w:rPr>
                <w:color w:val="auto"/>
                <w:spacing w:val="-56"/>
                <w:highlight w:val="none"/>
              </w:rPr>
              <w:t xml:space="preserve"> </w:t>
            </w:r>
            <w:r>
              <w:rPr>
                <w:color w:val="auto"/>
                <w:spacing w:val="6"/>
                <w:highlight w:val="none"/>
              </w:rPr>
              <w:t>：</w:t>
            </w:r>
            <w:r>
              <w:rPr>
                <w:color w:val="auto"/>
                <w:spacing w:val="11"/>
                <w:highlight w:val="none"/>
              </w:rPr>
              <w:t>有专门安全管理人员和制度，且人员配备合理，制</w:t>
            </w:r>
            <w:r>
              <w:rPr>
                <w:color w:val="auto"/>
                <w:highlight w:val="none"/>
              </w:rPr>
              <w:t xml:space="preserve"> </w:t>
            </w:r>
            <w:r>
              <w:rPr>
                <w:color w:val="auto"/>
                <w:spacing w:val="11"/>
                <w:highlight w:val="none"/>
              </w:rPr>
              <w:t>度建全，各道工序安全技术措施针对性强，符合实际且满足安全技</w:t>
            </w:r>
            <w:r>
              <w:rPr>
                <w:color w:val="auto"/>
                <w:spacing w:val="9"/>
                <w:highlight w:val="none"/>
              </w:rPr>
              <w:t xml:space="preserve"> </w:t>
            </w:r>
            <w:r>
              <w:rPr>
                <w:color w:val="auto"/>
                <w:spacing w:val="6"/>
                <w:highlight w:val="none"/>
              </w:rPr>
              <w:t>术标准要求。</w:t>
            </w:r>
          </w:p>
          <w:p w14:paraId="36399731">
            <w:pPr>
              <w:pStyle w:val="20"/>
              <w:spacing w:before="2" w:line="369" w:lineRule="auto"/>
              <w:ind w:left="113" w:right="103" w:firstLine="3"/>
              <w:rPr>
                <w:color w:val="auto"/>
                <w:highlight w:val="none"/>
              </w:rPr>
            </w:pPr>
            <w:r>
              <w:rPr>
                <w:color w:val="auto"/>
                <w:spacing w:val="11"/>
                <w:highlight w:val="none"/>
              </w:rPr>
              <w:t>二档（4</w:t>
            </w:r>
            <w:r>
              <w:rPr>
                <w:color w:val="auto"/>
                <w:spacing w:val="-29"/>
                <w:highlight w:val="none"/>
              </w:rPr>
              <w:t xml:space="preserve"> </w:t>
            </w:r>
            <w:r>
              <w:rPr>
                <w:color w:val="auto"/>
                <w:spacing w:val="11"/>
                <w:highlight w:val="none"/>
              </w:rPr>
              <w:t>分</w:t>
            </w:r>
            <w:r>
              <w:rPr>
                <w:color w:val="auto"/>
                <w:spacing w:val="6"/>
                <w:highlight w:val="none"/>
              </w:rPr>
              <w:t>）</w:t>
            </w:r>
            <w:r>
              <w:rPr>
                <w:color w:val="auto"/>
                <w:spacing w:val="-56"/>
                <w:highlight w:val="none"/>
              </w:rPr>
              <w:t xml:space="preserve"> </w:t>
            </w:r>
            <w:r>
              <w:rPr>
                <w:color w:val="auto"/>
                <w:spacing w:val="6"/>
                <w:highlight w:val="none"/>
              </w:rPr>
              <w:t>：</w:t>
            </w:r>
            <w:r>
              <w:rPr>
                <w:color w:val="auto"/>
                <w:spacing w:val="11"/>
                <w:highlight w:val="none"/>
              </w:rPr>
              <w:t>针对项目实际情况，有合理安全生产技术组织措施</w:t>
            </w:r>
            <w:r>
              <w:rPr>
                <w:color w:val="auto"/>
                <w:highlight w:val="none"/>
              </w:rPr>
              <w:t xml:space="preserve"> </w:t>
            </w:r>
            <w:r>
              <w:rPr>
                <w:color w:val="auto"/>
                <w:spacing w:val="8"/>
                <w:highlight w:val="none"/>
              </w:rPr>
              <w:t>且具体、完整，采用规范正确。</w:t>
            </w:r>
          </w:p>
          <w:p w14:paraId="7FC91F7F">
            <w:pPr>
              <w:pStyle w:val="20"/>
              <w:spacing w:line="369" w:lineRule="auto"/>
              <w:ind w:left="118" w:right="103" w:hanging="5"/>
              <w:rPr>
                <w:color w:val="auto"/>
                <w:highlight w:val="none"/>
              </w:rPr>
            </w:pPr>
            <w:r>
              <w:rPr>
                <w:color w:val="auto"/>
                <w:spacing w:val="12"/>
                <w:highlight w:val="none"/>
              </w:rPr>
              <w:t>三档（2</w:t>
            </w:r>
            <w:r>
              <w:rPr>
                <w:color w:val="auto"/>
                <w:spacing w:val="-31"/>
                <w:highlight w:val="none"/>
              </w:rPr>
              <w:t xml:space="preserve"> </w:t>
            </w:r>
            <w:r>
              <w:rPr>
                <w:color w:val="auto"/>
                <w:spacing w:val="12"/>
                <w:highlight w:val="none"/>
              </w:rPr>
              <w:t>分</w:t>
            </w:r>
            <w:r>
              <w:rPr>
                <w:color w:val="auto"/>
                <w:spacing w:val="-2"/>
                <w:highlight w:val="none"/>
              </w:rPr>
              <w:t>）</w:t>
            </w:r>
            <w:r>
              <w:rPr>
                <w:color w:val="auto"/>
                <w:spacing w:val="-56"/>
                <w:highlight w:val="none"/>
              </w:rPr>
              <w:t xml:space="preserve"> </w:t>
            </w:r>
            <w:r>
              <w:rPr>
                <w:color w:val="auto"/>
                <w:spacing w:val="-2"/>
                <w:highlight w:val="none"/>
              </w:rPr>
              <w:t>：</w:t>
            </w:r>
            <w:r>
              <w:rPr>
                <w:color w:val="auto"/>
                <w:spacing w:val="12"/>
                <w:highlight w:val="none"/>
              </w:rPr>
              <w:t>针对项目实际情况，有生产技术组织</w:t>
            </w:r>
            <w:r>
              <w:rPr>
                <w:color w:val="auto"/>
                <w:spacing w:val="11"/>
                <w:highlight w:val="none"/>
              </w:rPr>
              <w:t>措施，采用规</w:t>
            </w:r>
            <w:r>
              <w:rPr>
                <w:color w:val="auto"/>
                <w:highlight w:val="none"/>
              </w:rPr>
              <w:t xml:space="preserve"> </w:t>
            </w:r>
            <w:r>
              <w:rPr>
                <w:color w:val="auto"/>
                <w:spacing w:val="3"/>
                <w:highlight w:val="none"/>
              </w:rPr>
              <w:t>范正确。</w:t>
            </w:r>
          </w:p>
          <w:p w14:paraId="48530174">
            <w:pPr>
              <w:pStyle w:val="20"/>
              <w:spacing w:before="63" w:line="228" w:lineRule="auto"/>
              <w:ind w:left="132" w:leftChars="0"/>
              <w:rPr>
                <w:rFonts w:ascii="宋体" w:hAnsi="宋体" w:eastAsia="宋体" w:cs="宋体"/>
                <w:snapToGrid w:val="0"/>
                <w:color w:val="auto"/>
                <w:kern w:val="0"/>
                <w:sz w:val="20"/>
                <w:szCs w:val="20"/>
                <w:highlight w:val="none"/>
                <w:lang w:val="en-US" w:eastAsia="en-US" w:bidi="ar-SA"/>
              </w:rPr>
            </w:pPr>
            <w:r>
              <w:rPr>
                <w:color w:val="auto"/>
                <w:spacing w:val="7"/>
                <w:highlight w:val="none"/>
              </w:rPr>
              <w:t>四档（1</w:t>
            </w:r>
            <w:r>
              <w:rPr>
                <w:color w:val="auto"/>
                <w:spacing w:val="-35"/>
                <w:highlight w:val="none"/>
              </w:rPr>
              <w:t xml:space="preserve"> </w:t>
            </w:r>
            <w:r>
              <w:rPr>
                <w:color w:val="auto"/>
                <w:spacing w:val="7"/>
                <w:highlight w:val="none"/>
              </w:rPr>
              <w:t>分</w:t>
            </w:r>
            <w:r>
              <w:rPr>
                <w:color w:val="auto"/>
                <w:spacing w:val="16"/>
                <w:highlight w:val="none"/>
              </w:rPr>
              <w:t>）：</w:t>
            </w:r>
            <w:r>
              <w:rPr>
                <w:color w:val="auto"/>
                <w:spacing w:val="7"/>
                <w:highlight w:val="none"/>
              </w:rPr>
              <w:t>安全文明措施不得力，采用规范不正</w:t>
            </w:r>
            <w:r>
              <w:rPr>
                <w:color w:val="auto"/>
                <w:spacing w:val="6"/>
                <w:highlight w:val="none"/>
              </w:rPr>
              <w:t>确。</w:t>
            </w:r>
          </w:p>
        </w:tc>
        <w:tc>
          <w:tcPr>
            <w:tcW w:w="855" w:type="dxa"/>
            <w:shd w:val="clear" w:color="auto" w:fill="auto"/>
            <w:vAlign w:val="top"/>
          </w:tcPr>
          <w:p w14:paraId="553633EB">
            <w:pPr>
              <w:spacing w:line="255" w:lineRule="auto"/>
              <w:rPr>
                <w:rFonts w:ascii="Arial"/>
                <w:color w:val="auto"/>
                <w:sz w:val="21"/>
                <w:highlight w:val="none"/>
              </w:rPr>
            </w:pPr>
          </w:p>
          <w:p w14:paraId="382E560A">
            <w:pPr>
              <w:spacing w:line="255" w:lineRule="auto"/>
              <w:rPr>
                <w:rFonts w:ascii="Arial"/>
                <w:color w:val="auto"/>
                <w:sz w:val="21"/>
                <w:highlight w:val="none"/>
              </w:rPr>
            </w:pPr>
          </w:p>
          <w:p w14:paraId="79DAAD55">
            <w:pPr>
              <w:spacing w:line="255" w:lineRule="auto"/>
              <w:rPr>
                <w:rFonts w:ascii="Arial"/>
                <w:color w:val="auto"/>
                <w:sz w:val="21"/>
                <w:highlight w:val="none"/>
              </w:rPr>
            </w:pPr>
          </w:p>
          <w:p w14:paraId="528C1B6A">
            <w:pPr>
              <w:spacing w:line="255" w:lineRule="auto"/>
              <w:rPr>
                <w:rFonts w:ascii="Arial"/>
                <w:color w:val="auto"/>
                <w:sz w:val="21"/>
                <w:highlight w:val="none"/>
              </w:rPr>
            </w:pPr>
          </w:p>
          <w:p w14:paraId="63A2C0D5">
            <w:pPr>
              <w:spacing w:line="256" w:lineRule="auto"/>
              <w:rPr>
                <w:rFonts w:ascii="Arial"/>
                <w:color w:val="auto"/>
                <w:sz w:val="21"/>
                <w:highlight w:val="none"/>
              </w:rPr>
            </w:pPr>
          </w:p>
          <w:p w14:paraId="2C3657D5">
            <w:pPr>
              <w:spacing w:line="256" w:lineRule="auto"/>
              <w:rPr>
                <w:rFonts w:ascii="Arial"/>
                <w:color w:val="auto"/>
                <w:sz w:val="21"/>
                <w:highlight w:val="none"/>
              </w:rPr>
            </w:pPr>
          </w:p>
          <w:p w14:paraId="0C767053">
            <w:pPr>
              <w:pStyle w:val="20"/>
              <w:spacing w:before="65" w:line="229" w:lineRule="auto"/>
              <w:ind w:left="253" w:leftChars="0"/>
              <w:rPr>
                <w:rFonts w:ascii="宋体" w:hAnsi="宋体" w:eastAsia="宋体" w:cs="宋体"/>
                <w:snapToGrid w:val="0"/>
                <w:color w:val="auto"/>
                <w:kern w:val="0"/>
                <w:sz w:val="20"/>
                <w:szCs w:val="20"/>
                <w:highlight w:val="none"/>
                <w:lang w:val="en-US" w:eastAsia="en-US" w:bidi="ar-SA"/>
              </w:rPr>
            </w:pPr>
            <w:r>
              <w:rPr>
                <w:color w:val="auto"/>
                <w:spacing w:val="-4"/>
                <w:highlight w:val="none"/>
              </w:rPr>
              <w:t>5</w:t>
            </w:r>
            <w:r>
              <w:rPr>
                <w:color w:val="auto"/>
                <w:spacing w:val="-38"/>
                <w:highlight w:val="none"/>
              </w:rPr>
              <w:t xml:space="preserve"> </w:t>
            </w:r>
            <w:r>
              <w:rPr>
                <w:color w:val="auto"/>
                <w:spacing w:val="-4"/>
                <w:highlight w:val="none"/>
              </w:rPr>
              <w:t>分</w:t>
            </w:r>
          </w:p>
        </w:tc>
      </w:tr>
      <w:tr w14:paraId="6C773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8" w:hRule="atLeast"/>
        </w:trPr>
        <w:tc>
          <w:tcPr>
            <w:tcW w:w="697" w:type="dxa"/>
            <w:shd w:val="clear" w:color="auto" w:fill="auto"/>
            <w:vAlign w:val="top"/>
          </w:tcPr>
          <w:p w14:paraId="62F23024">
            <w:pPr>
              <w:spacing w:line="241" w:lineRule="auto"/>
              <w:rPr>
                <w:rFonts w:ascii="Arial"/>
                <w:color w:val="auto"/>
                <w:sz w:val="21"/>
                <w:highlight w:val="none"/>
              </w:rPr>
            </w:pPr>
          </w:p>
          <w:p w14:paraId="7C827575">
            <w:pPr>
              <w:spacing w:line="242" w:lineRule="auto"/>
              <w:rPr>
                <w:rFonts w:ascii="Arial"/>
                <w:color w:val="auto"/>
                <w:sz w:val="21"/>
                <w:highlight w:val="none"/>
              </w:rPr>
            </w:pPr>
          </w:p>
          <w:p w14:paraId="69C0EA76">
            <w:pPr>
              <w:spacing w:line="242" w:lineRule="auto"/>
              <w:rPr>
                <w:rFonts w:ascii="Arial"/>
                <w:color w:val="auto"/>
                <w:sz w:val="21"/>
                <w:highlight w:val="none"/>
              </w:rPr>
            </w:pPr>
          </w:p>
          <w:p w14:paraId="037B199B">
            <w:pPr>
              <w:spacing w:line="242" w:lineRule="auto"/>
              <w:rPr>
                <w:rFonts w:ascii="Arial"/>
                <w:color w:val="auto"/>
                <w:sz w:val="21"/>
                <w:highlight w:val="none"/>
              </w:rPr>
            </w:pPr>
          </w:p>
          <w:p w14:paraId="282002A6">
            <w:pPr>
              <w:spacing w:line="242" w:lineRule="auto"/>
              <w:rPr>
                <w:rFonts w:ascii="Arial"/>
                <w:color w:val="auto"/>
                <w:sz w:val="21"/>
                <w:highlight w:val="none"/>
              </w:rPr>
            </w:pPr>
          </w:p>
          <w:p w14:paraId="5A7348CC">
            <w:pPr>
              <w:spacing w:line="242" w:lineRule="auto"/>
              <w:rPr>
                <w:rFonts w:ascii="Arial"/>
                <w:color w:val="auto"/>
                <w:sz w:val="21"/>
                <w:highlight w:val="none"/>
              </w:rPr>
            </w:pPr>
          </w:p>
          <w:p w14:paraId="670F90F5">
            <w:pPr>
              <w:spacing w:line="242" w:lineRule="auto"/>
              <w:rPr>
                <w:rFonts w:ascii="Arial"/>
                <w:color w:val="auto"/>
                <w:sz w:val="21"/>
                <w:highlight w:val="none"/>
              </w:rPr>
            </w:pPr>
          </w:p>
          <w:p w14:paraId="055EA102">
            <w:pPr>
              <w:pStyle w:val="20"/>
              <w:spacing w:before="65" w:line="269" w:lineRule="exact"/>
              <w:ind w:left="198" w:leftChars="0"/>
              <w:rPr>
                <w:rFonts w:ascii="宋体" w:hAnsi="宋体" w:eastAsia="宋体" w:cs="宋体"/>
                <w:snapToGrid w:val="0"/>
                <w:color w:val="auto"/>
                <w:kern w:val="0"/>
                <w:sz w:val="20"/>
                <w:szCs w:val="20"/>
                <w:highlight w:val="none"/>
                <w:lang w:val="en-US" w:eastAsia="en-US" w:bidi="ar-SA"/>
              </w:rPr>
            </w:pPr>
            <w:r>
              <w:rPr>
                <w:color w:val="auto"/>
                <w:spacing w:val="1"/>
                <w:position w:val="1"/>
                <w:highlight w:val="none"/>
              </w:rPr>
              <w:t>2.8</w:t>
            </w:r>
          </w:p>
        </w:tc>
        <w:tc>
          <w:tcPr>
            <w:tcW w:w="1306" w:type="dxa"/>
            <w:shd w:val="clear" w:color="auto" w:fill="auto"/>
            <w:vAlign w:val="top"/>
          </w:tcPr>
          <w:p w14:paraId="68DC5F05">
            <w:pPr>
              <w:spacing w:line="243" w:lineRule="auto"/>
              <w:rPr>
                <w:rFonts w:ascii="Arial"/>
                <w:color w:val="auto"/>
                <w:sz w:val="21"/>
                <w:highlight w:val="none"/>
              </w:rPr>
            </w:pPr>
          </w:p>
          <w:p w14:paraId="05A27FCD">
            <w:pPr>
              <w:spacing w:line="243" w:lineRule="auto"/>
              <w:rPr>
                <w:rFonts w:ascii="Arial"/>
                <w:color w:val="auto"/>
                <w:sz w:val="21"/>
                <w:highlight w:val="none"/>
              </w:rPr>
            </w:pPr>
          </w:p>
          <w:p w14:paraId="7A5B7654">
            <w:pPr>
              <w:spacing w:line="243" w:lineRule="auto"/>
              <w:rPr>
                <w:rFonts w:ascii="Arial"/>
                <w:color w:val="auto"/>
                <w:sz w:val="21"/>
                <w:highlight w:val="none"/>
              </w:rPr>
            </w:pPr>
          </w:p>
          <w:p w14:paraId="5D93F000">
            <w:pPr>
              <w:spacing w:line="243" w:lineRule="auto"/>
              <w:rPr>
                <w:rFonts w:ascii="Arial"/>
                <w:color w:val="auto"/>
                <w:sz w:val="21"/>
                <w:highlight w:val="none"/>
              </w:rPr>
            </w:pPr>
          </w:p>
          <w:p w14:paraId="6D0FDCD5">
            <w:pPr>
              <w:spacing w:line="244" w:lineRule="auto"/>
              <w:rPr>
                <w:rFonts w:ascii="Arial"/>
                <w:color w:val="auto"/>
                <w:sz w:val="21"/>
                <w:highlight w:val="none"/>
              </w:rPr>
            </w:pPr>
          </w:p>
          <w:p w14:paraId="0137072F">
            <w:pPr>
              <w:pStyle w:val="20"/>
              <w:spacing w:before="65" w:line="229" w:lineRule="auto"/>
              <w:ind w:left="132"/>
              <w:rPr>
                <w:color w:val="auto"/>
                <w:highlight w:val="none"/>
              </w:rPr>
            </w:pPr>
            <w:r>
              <w:rPr>
                <w:color w:val="auto"/>
                <w:spacing w:val="8"/>
                <w:highlight w:val="none"/>
              </w:rPr>
              <w:t>确保工期的</w:t>
            </w:r>
          </w:p>
          <w:p w14:paraId="2AE6DCA5">
            <w:pPr>
              <w:pStyle w:val="20"/>
              <w:spacing w:before="232" w:line="228" w:lineRule="auto"/>
              <w:ind w:left="133"/>
              <w:rPr>
                <w:color w:val="auto"/>
                <w:highlight w:val="none"/>
              </w:rPr>
            </w:pPr>
            <w:r>
              <w:rPr>
                <w:color w:val="auto"/>
                <w:spacing w:val="7"/>
                <w:highlight w:val="none"/>
              </w:rPr>
              <w:t>技术组织措</w:t>
            </w:r>
          </w:p>
          <w:p w14:paraId="63639230">
            <w:pPr>
              <w:pStyle w:val="20"/>
              <w:spacing w:before="232" w:line="231" w:lineRule="auto"/>
              <w:ind w:left="552" w:leftChars="0"/>
              <w:rPr>
                <w:rFonts w:ascii="宋体" w:hAnsi="宋体" w:eastAsia="宋体" w:cs="宋体"/>
                <w:snapToGrid w:val="0"/>
                <w:color w:val="auto"/>
                <w:kern w:val="0"/>
                <w:sz w:val="20"/>
                <w:szCs w:val="20"/>
                <w:highlight w:val="none"/>
                <w:lang w:val="en-US" w:eastAsia="en-US" w:bidi="ar-SA"/>
              </w:rPr>
            </w:pPr>
            <w:r>
              <w:rPr>
                <w:color w:val="auto"/>
                <w:spacing w:val="1"/>
                <w:highlight w:val="none"/>
              </w:rPr>
              <w:t>施</w:t>
            </w:r>
          </w:p>
        </w:tc>
        <w:tc>
          <w:tcPr>
            <w:tcW w:w="6351" w:type="dxa"/>
            <w:shd w:val="clear" w:color="auto" w:fill="auto"/>
            <w:vAlign w:val="top"/>
          </w:tcPr>
          <w:p w14:paraId="1BCEE5B9">
            <w:pPr>
              <w:pStyle w:val="20"/>
              <w:spacing w:before="146" w:line="369" w:lineRule="auto"/>
              <w:ind w:left="114" w:right="104" w:firstLine="2"/>
              <w:rPr>
                <w:color w:val="auto"/>
                <w:highlight w:val="none"/>
              </w:rPr>
            </w:pPr>
            <w:r>
              <w:rPr>
                <w:color w:val="auto"/>
                <w:spacing w:val="11"/>
                <w:highlight w:val="none"/>
              </w:rPr>
              <w:t>一档（5</w:t>
            </w:r>
            <w:r>
              <w:rPr>
                <w:color w:val="auto"/>
                <w:spacing w:val="-30"/>
                <w:highlight w:val="none"/>
              </w:rPr>
              <w:t xml:space="preserve"> </w:t>
            </w:r>
            <w:r>
              <w:rPr>
                <w:color w:val="auto"/>
                <w:spacing w:val="11"/>
                <w:highlight w:val="none"/>
              </w:rPr>
              <w:t>分</w:t>
            </w:r>
            <w:r>
              <w:rPr>
                <w:color w:val="auto"/>
                <w:spacing w:val="6"/>
                <w:highlight w:val="none"/>
              </w:rPr>
              <w:t>）</w:t>
            </w:r>
            <w:r>
              <w:rPr>
                <w:color w:val="auto"/>
                <w:spacing w:val="-55"/>
                <w:highlight w:val="none"/>
              </w:rPr>
              <w:t xml:space="preserve"> </w:t>
            </w:r>
            <w:r>
              <w:rPr>
                <w:color w:val="auto"/>
                <w:spacing w:val="6"/>
                <w:highlight w:val="none"/>
              </w:rPr>
              <w:t>：</w:t>
            </w:r>
            <w:r>
              <w:rPr>
                <w:color w:val="auto"/>
                <w:spacing w:val="11"/>
                <w:highlight w:val="none"/>
              </w:rPr>
              <w:t>在施工工艺、施工方法、材料选用、劳动力安排、</w:t>
            </w:r>
            <w:r>
              <w:rPr>
                <w:color w:val="auto"/>
                <w:highlight w:val="none"/>
              </w:rPr>
              <w:t xml:space="preserve"> </w:t>
            </w:r>
            <w:r>
              <w:rPr>
                <w:color w:val="auto"/>
                <w:spacing w:val="11"/>
                <w:highlight w:val="none"/>
              </w:rPr>
              <w:t>技术等方面有保证工期的具体措施。有控制工期的施工进度计划。</w:t>
            </w:r>
            <w:r>
              <w:rPr>
                <w:color w:val="auto"/>
                <w:spacing w:val="7"/>
                <w:highlight w:val="none"/>
              </w:rPr>
              <w:t xml:space="preserve"> </w:t>
            </w:r>
            <w:r>
              <w:rPr>
                <w:color w:val="auto"/>
                <w:spacing w:val="11"/>
                <w:highlight w:val="none"/>
              </w:rPr>
              <w:t>有施工总进度表或施工网络图，各项计划图表编制完善，安排科学</w:t>
            </w:r>
            <w:r>
              <w:rPr>
                <w:color w:val="auto"/>
                <w:spacing w:val="7"/>
                <w:highlight w:val="none"/>
              </w:rPr>
              <w:t xml:space="preserve"> </w:t>
            </w:r>
            <w:r>
              <w:rPr>
                <w:color w:val="auto"/>
                <w:spacing w:val="8"/>
                <w:highlight w:val="none"/>
              </w:rPr>
              <w:t>合理，符合本项目施工实际要求。</w:t>
            </w:r>
          </w:p>
          <w:p w14:paraId="00ED0927">
            <w:pPr>
              <w:pStyle w:val="20"/>
              <w:spacing w:line="369" w:lineRule="auto"/>
              <w:ind w:left="114" w:right="104" w:firstLine="2"/>
              <w:rPr>
                <w:color w:val="auto"/>
                <w:highlight w:val="none"/>
              </w:rPr>
            </w:pPr>
            <w:r>
              <w:rPr>
                <w:color w:val="auto"/>
                <w:spacing w:val="11"/>
                <w:highlight w:val="none"/>
              </w:rPr>
              <w:t>二档（4</w:t>
            </w:r>
            <w:r>
              <w:rPr>
                <w:color w:val="auto"/>
                <w:spacing w:val="-30"/>
                <w:highlight w:val="none"/>
              </w:rPr>
              <w:t xml:space="preserve"> </w:t>
            </w:r>
            <w:r>
              <w:rPr>
                <w:color w:val="auto"/>
                <w:spacing w:val="11"/>
                <w:highlight w:val="none"/>
              </w:rPr>
              <w:t>分</w:t>
            </w:r>
            <w:r>
              <w:rPr>
                <w:color w:val="auto"/>
                <w:spacing w:val="6"/>
                <w:highlight w:val="none"/>
              </w:rPr>
              <w:t>）</w:t>
            </w:r>
            <w:r>
              <w:rPr>
                <w:color w:val="auto"/>
                <w:spacing w:val="-55"/>
                <w:highlight w:val="none"/>
              </w:rPr>
              <w:t xml:space="preserve"> </w:t>
            </w:r>
            <w:r>
              <w:rPr>
                <w:color w:val="auto"/>
                <w:spacing w:val="6"/>
                <w:highlight w:val="none"/>
              </w:rPr>
              <w:t>：</w:t>
            </w:r>
            <w:r>
              <w:rPr>
                <w:color w:val="auto"/>
                <w:spacing w:val="11"/>
                <w:highlight w:val="none"/>
              </w:rPr>
              <w:t>在施工工艺、施工方法、材料选用、劳动力安排、</w:t>
            </w:r>
            <w:r>
              <w:rPr>
                <w:color w:val="auto"/>
                <w:highlight w:val="none"/>
              </w:rPr>
              <w:t xml:space="preserve"> </w:t>
            </w:r>
            <w:r>
              <w:rPr>
                <w:color w:val="auto"/>
                <w:spacing w:val="11"/>
                <w:highlight w:val="none"/>
              </w:rPr>
              <w:t>技术等方面有可行措施。有控制工期的施工进度可行计划。有完整</w:t>
            </w:r>
            <w:r>
              <w:rPr>
                <w:color w:val="auto"/>
                <w:spacing w:val="7"/>
                <w:highlight w:val="none"/>
              </w:rPr>
              <w:t xml:space="preserve"> </w:t>
            </w:r>
            <w:r>
              <w:rPr>
                <w:color w:val="auto"/>
                <w:spacing w:val="8"/>
                <w:highlight w:val="none"/>
              </w:rPr>
              <w:t>的施工总进度表或施工网络图，安排合理。</w:t>
            </w:r>
          </w:p>
          <w:p w14:paraId="06DB9259">
            <w:pPr>
              <w:pStyle w:val="20"/>
              <w:spacing w:line="369" w:lineRule="auto"/>
              <w:ind w:left="114" w:right="104" w:firstLine="2"/>
              <w:rPr>
                <w:rFonts w:ascii="宋体" w:hAnsi="宋体" w:eastAsia="宋体" w:cs="宋体"/>
                <w:color w:val="auto"/>
                <w:spacing w:val="11"/>
                <w:highlight w:val="none"/>
              </w:rPr>
            </w:pPr>
            <w:r>
              <w:rPr>
                <w:rFonts w:ascii="宋体" w:hAnsi="宋体" w:eastAsia="宋体" w:cs="宋体"/>
                <w:color w:val="auto"/>
                <w:spacing w:val="11"/>
                <w:highlight w:val="none"/>
              </w:rPr>
              <w:t>三档（2 分） ：在施工工艺、施工方法、材料选用、劳动力安排、 技术等方面有简单措施。有控制工期的施工进度可行计划。有完整的施工总进度表或施工网络图，安排基本合理。</w:t>
            </w:r>
          </w:p>
          <w:p w14:paraId="2370A529">
            <w:pPr>
              <w:pStyle w:val="20"/>
              <w:spacing w:line="369" w:lineRule="auto"/>
              <w:ind w:left="114" w:leftChars="0" w:right="104" w:rightChars="0" w:firstLine="2" w:firstLineChars="0"/>
              <w:rPr>
                <w:rFonts w:ascii="宋体" w:hAnsi="宋体" w:eastAsia="宋体" w:cs="宋体"/>
                <w:snapToGrid w:val="0"/>
                <w:color w:val="auto"/>
                <w:kern w:val="0"/>
                <w:sz w:val="20"/>
                <w:szCs w:val="20"/>
                <w:highlight w:val="none"/>
                <w:lang w:val="en-US" w:eastAsia="en-US" w:bidi="ar-SA"/>
              </w:rPr>
            </w:pPr>
            <w:r>
              <w:rPr>
                <w:rFonts w:ascii="宋体" w:hAnsi="宋体" w:eastAsia="宋体" w:cs="宋体"/>
                <w:color w:val="auto"/>
                <w:spacing w:val="11"/>
                <w:highlight w:val="none"/>
              </w:rPr>
              <w:t>四档（1 分） ：在施工工艺、施工方法、材料选用、劳动力安排、 技术等方面没有措施。没有控制工期的施工进度计划。没有施工总 进度表或施工网络图。</w:t>
            </w:r>
          </w:p>
        </w:tc>
        <w:tc>
          <w:tcPr>
            <w:tcW w:w="855" w:type="dxa"/>
            <w:shd w:val="clear" w:color="auto" w:fill="auto"/>
            <w:vAlign w:val="top"/>
          </w:tcPr>
          <w:p w14:paraId="1664AEC0">
            <w:pPr>
              <w:spacing w:line="241" w:lineRule="auto"/>
              <w:rPr>
                <w:rFonts w:ascii="Arial"/>
                <w:color w:val="auto"/>
                <w:sz w:val="21"/>
                <w:highlight w:val="none"/>
              </w:rPr>
            </w:pPr>
          </w:p>
          <w:p w14:paraId="5B328EE1">
            <w:pPr>
              <w:spacing w:line="242" w:lineRule="auto"/>
              <w:rPr>
                <w:rFonts w:ascii="Arial"/>
                <w:color w:val="auto"/>
                <w:sz w:val="21"/>
                <w:highlight w:val="none"/>
              </w:rPr>
            </w:pPr>
          </w:p>
          <w:p w14:paraId="6638D3F3">
            <w:pPr>
              <w:spacing w:line="242" w:lineRule="auto"/>
              <w:rPr>
                <w:rFonts w:ascii="Arial"/>
                <w:color w:val="auto"/>
                <w:sz w:val="21"/>
                <w:highlight w:val="none"/>
              </w:rPr>
            </w:pPr>
          </w:p>
          <w:p w14:paraId="4B4B3E7F">
            <w:pPr>
              <w:spacing w:line="242" w:lineRule="auto"/>
              <w:rPr>
                <w:rFonts w:ascii="Arial"/>
                <w:color w:val="auto"/>
                <w:sz w:val="21"/>
                <w:highlight w:val="none"/>
              </w:rPr>
            </w:pPr>
          </w:p>
          <w:p w14:paraId="519EEA36">
            <w:pPr>
              <w:spacing w:line="242" w:lineRule="auto"/>
              <w:rPr>
                <w:rFonts w:ascii="Arial"/>
                <w:color w:val="auto"/>
                <w:sz w:val="21"/>
                <w:highlight w:val="none"/>
              </w:rPr>
            </w:pPr>
          </w:p>
          <w:p w14:paraId="6756A6E6">
            <w:pPr>
              <w:spacing w:line="242" w:lineRule="auto"/>
              <w:rPr>
                <w:rFonts w:ascii="Arial"/>
                <w:color w:val="auto"/>
                <w:sz w:val="21"/>
                <w:highlight w:val="none"/>
              </w:rPr>
            </w:pPr>
          </w:p>
          <w:p w14:paraId="6E4154E1">
            <w:pPr>
              <w:spacing w:line="242" w:lineRule="auto"/>
              <w:rPr>
                <w:rFonts w:ascii="Arial"/>
                <w:color w:val="auto"/>
                <w:sz w:val="21"/>
                <w:highlight w:val="none"/>
              </w:rPr>
            </w:pPr>
          </w:p>
          <w:p w14:paraId="684C60E3">
            <w:pPr>
              <w:pStyle w:val="20"/>
              <w:spacing w:before="65" w:line="229" w:lineRule="auto"/>
              <w:ind w:left="253" w:leftChars="0"/>
              <w:rPr>
                <w:rFonts w:ascii="宋体" w:hAnsi="宋体" w:eastAsia="宋体" w:cs="宋体"/>
                <w:snapToGrid w:val="0"/>
                <w:color w:val="auto"/>
                <w:kern w:val="0"/>
                <w:sz w:val="20"/>
                <w:szCs w:val="20"/>
                <w:highlight w:val="none"/>
                <w:lang w:val="en-US" w:eastAsia="en-US" w:bidi="ar-SA"/>
              </w:rPr>
            </w:pPr>
            <w:r>
              <w:rPr>
                <w:color w:val="auto"/>
                <w:spacing w:val="-4"/>
                <w:highlight w:val="none"/>
              </w:rPr>
              <w:t>5</w:t>
            </w:r>
            <w:r>
              <w:rPr>
                <w:color w:val="auto"/>
                <w:spacing w:val="-38"/>
                <w:highlight w:val="none"/>
              </w:rPr>
              <w:t xml:space="preserve"> </w:t>
            </w:r>
            <w:r>
              <w:rPr>
                <w:color w:val="auto"/>
                <w:spacing w:val="-4"/>
                <w:highlight w:val="none"/>
              </w:rPr>
              <w:t>分</w:t>
            </w:r>
          </w:p>
        </w:tc>
      </w:tr>
    </w:tbl>
    <w:p w14:paraId="3A46E269">
      <w:pPr>
        <w:pStyle w:val="6"/>
        <w:spacing w:line="236" w:lineRule="exact"/>
        <w:rPr>
          <w:color w:val="auto"/>
          <w:sz w:val="20"/>
          <w:highlight w:val="none"/>
        </w:rPr>
      </w:pPr>
    </w:p>
    <w:p w14:paraId="4E5951A6">
      <w:pPr>
        <w:spacing w:before="3"/>
        <w:rPr>
          <w:color w:val="auto"/>
          <w:highlight w:val="none"/>
        </w:rPr>
      </w:pPr>
    </w:p>
    <w:tbl>
      <w:tblPr>
        <w:tblStyle w:val="19"/>
        <w:tblW w:w="92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7"/>
        <w:gridCol w:w="1306"/>
        <w:gridCol w:w="6351"/>
        <w:gridCol w:w="855"/>
      </w:tblGrid>
      <w:tr w14:paraId="307F3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trPr>
        <w:tc>
          <w:tcPr>
            <w:tcW w:w="697" w:type="dxa"/>
            <w:vAlign w:val="top"/>
          </w:tcPr>
          <w:p w14:paraId="4097D75D">
            <w:pPr>
              <w:spacing w:line="261" w:lineRule="auto"/>
              <w:rPr>
                <w:rFonts w:ascii="Arial"/>
                <w:color w:val="auto"/>
                <w:sz w:val="21"/>
                <w:highlight w:val="none"/>
              </w:rPr>
            </w:pPr>
          </w:p>
          <w:p w14:paraId="10A4569A">
            <w:pPr>
              <w:spacing w:line="261" w:lineRule="auto"/>
              <w:rPr>
                <w:rFonts w:ascii="Arial"/>
                <w:color w:val="auto"/>
                <w:sz w:val="21"/>
                <w:highlight w:val="none"/>
              </w:rPr>
            </w:pPr>
          </w:p>
          <w:p w14:paraId="7456890B">
            <w:pPr>
              <w:spacing w:line="262" w:lineRule="auto"/>
              <w:rPr>
                <w:rFonts w:ascii="Arial"/>
                <w:color w:val="auto"/>
                <w:sz w:val="21"/>
                <w:highlight w:val="none"/>
              </w:rPr>
            </w:pPr>
          </w:p>
          <w:p w14:paraId="30D3E2B6">
            <w:pPr>
              <w:spacing w:line="262" w:lineRule="auto"/>
              <w:rPr>
                <w:rFonts w:ascii="Arial"/>
                <w:color w:val="auto"/>
                <w:sz w:val="21"/>
                <w:highlight w:val="none"/>
              </w:rPr>
            </w:pPr>
          </w:p>
          <w:p w14:paraId="72F5C5FC">
            <w:pPr>
              <w:spacing w:line="262" w:lineRule="auto"/>
              <w:rPr>
                <w:rFonts w:ascii="Arial"/>
                <w:color w:val="auto"/>
                <w:sz w:val="21"/>
                <w:highlight w:val="none"/>
              </w:rPr>
            </w:pPr>
          </w:p>
          <w:p w14:paraId="44BCE24F">
            <w:pPr>
              <w:spacing w:line="262" w:lineRule="auto"/>
              <w:rPr>
                <w:rFonts w:ascii="Arial"/>
                <w:color w:val="auto"/>
                <w:sz w:val="21"/>
                <w:highlight w:val="none"/>
              </w:rPr>
            </w:pPr>
          </w:p>
          <w:p w14:paraId="72EEC304">
            <w:pPr>
              <w:pStyle w:val="20"/>
              <w:spacing w:before="65" w:line="269" w:lineRule="exact"/>
              <w:ind w:left="198" w:leftChars="0"/>
              <w:rPr>
                <w:color w:val="auto"/>
                <w:spacing w:val="1"/>
                <w:position w:val="1"/>
                <w:highlight w:val="none"/>
              </w:rPr>
            </w:pPr>
            <w:r>
              <w:rPr>
                <w:color w:val="auto"/>
                <w:spacing w:val="1"/>
                <w:position w:val="1"/>
                <w:highlight w:val="none"/>
              </w:rPr>
              <w:t>2.9</w:t>
            </w:r>
          </w:p>
        </w:tc>
        <w:tc>
          <w:tcPr>
            <w:tcW w:w="1306" w:type="dxa"/>
            <w:vAlign w:val="top"/>
          </w:tcPr>
          <w:p w14:paraId="29D79C1F">
            <w:pPr>
              <w:spacing w:line="273" w:lineRule="auto"/>
              <w:rPr>
                <w:rFonts w:ascii="Arial"/>
                <w:color w:val="auto"/>
                <w:sz w:val="21"/>
                <w:highlight w:val="none"/>
              </w:rPr>
            </w:pPr>
          </w:p>
          <w:p w14:paraId="1336B5F0">
            <w:pPr>
              <w:spacing w:line="273" w:lineRule="auto"/>
              <w:rPr>
                <w:rFonts w:ascii="Arial"/>
                <w:color w:val="auto"/>
                <w:sz w:val="21"/>
                <w:highlight w:val="none"/>
              </w:rPr>
            </w:pPr>
          </w:p>
          <w:p w14:paraId="38163853">
            <w:pPr>
              <w:spacing w:line="273" w:lineRule="auto"/>
              <w:rPr>
                <w:rFonts w:ascii="Arial"/>
                <w:color w:val="auto"/>
                <w:sz w:val="21"/>
                <w:highlight w:val="none"/>
              </w:rPr>
            </w:pPr>
          </w:p>
          <w:p w14:paraId="1D0DB6F4">
            <w:pPr>
              <w:spacing w:line="274" w:lineRule="auto"/>
              <w:rPr>
                <w:rFonts w:ascii="Arial"/>
                <w:color w:val="auto"/>
                <w:sz w:val="21"/>
                <w:highlight w:val="none"/>
              </w:rPr>
            </w:pPr>
          </w:p>
          <w:p w14:paraId="2D1AE7A5">
            <w:pPr>
              <w:pStyle w:val="20"/>
              <w:spacing w:before="65" w:line="229" w:lineRule="auto"/>
              <w:ind w:left="135"/>
              <w:rPr>
                <w:color w:val="auto"/>
                <w:highlight w:val="none"/>
              </w:rPr>
            </w:pPr>
            <w:r>
              <w:rPr>
                <w:color w:val="auto"/>
                <w:spacing w:val="7"/>
                <w:highlight w:val="none"/>
              </w:rPr>
              <w:t>工程施工的</w:t>
            </w:r>
          </w:p>
          <w:p w14:paraId="0ADD8DAE">
            <w:pPr>
              <w:pStyle w:val="20"/>
              <w:spacing w:before="231" w:line="230" w:lineRule="auto"/>
              <w:ind w:left="133"/>
              <w:rPr>
                <w:color w:val="auto"/>
                <w:highlight w:val="none"/>
              </w:rPr>
            </w:pPr>
            <w:r>
              <w:rPr>
                <w:color w:val="auto"/>
                <w:spacing w:val="7"/>
                <w:highlight w:val="none"/>
              </w:rPr>
              <w:t>重点和难点</w:t>
            </w:r>
          </w:p>
          <w:p w14:paraId="2FFDCEC9">
            <w:pPr>
              <w:pStyle w:val="20"/>
              <w:spacing w:before="231" w:line="229" w:lineRule="auto"/>
              <w:ind w:left="132" w:leftChars="0"/>
              <w:rPr>
                <w:color w:val="auto"/>
                <w:spacing w:val="1"/>
                <w:highlight w:val="none"/>
              </w:rPr>
            </w:pPr>
            <w:r>
              <w:rPr>
                <w:color w:val="auto"/>
                <w:spacing w:val="8"/>
                <w:highlight w:val="none"/>
              </w:rPr>
              <w:t>及保证措施</w:t>
            </w:r>
          </w:p>
        </w:tc>
        <w:tc>
          <w:tcPr>
            <w:tcW w:w="6351" w:type="dxa"/>
            <w:vAlign w:val="top"/>
          </w:tcPr>
          <w:p w14:paraId="5DAEAED9">
            <w:pPr>
              <w:pStyle w:val="20"/>
              <w:spacing w:before="140" w:line="370" w:lineRule="auto"/>
              <w:ind w:left="119" w:right="103" w:hanging="3"/>
              <w:rPr>
                <w:color w:val="auto"/>
                <w:highlight w:val="none"/>
              </w:rPr>
            </w:pPr>
            <w:r>
              <w:rPr>
                <w:color w:val="auto"/>
                <w:spacing w:val="11"/>
                <w:highlight w:val="none"/>
              </w:rPr>
              <w:t>一档（5</w:t>
            </w:r>
            <w:r>
              <w:rPr>
                <w:color w:val="auto"/>
                <w:spacing w:val="-29"/>
                <w:highlight w:val="none"/>
              </w:rPr>
              <w:t xml:space="preserve"> </w:t>
            </w:r>
            <w:r>
              <w:rPr>
                <w:color w:val="auto"/>
                <w:spacing w:val="11"/>
                <w:highlight w:val="none"/>
              </w:rPr>
              <w:t>分</w:t>
            </w:r>
            <w:r>
              <w:rPr>
                <w:color w:val="auto"/>
                <w:spacing w:val="6"/>
                <w:highlight w:val="none"/>
              </w:rPr>
              <w:t>）</w:t>
            </w:r>
            <w:r>
              <w:rPr>
                <w:color w:val="auto"/>
                <w:spacing w:val="-56"/>
                <w:highlight w:val="none"/>
              </w:rPr>
              <w:t xml:space="preserve"> </w:t>
            </w:r>
            <w:r>
              <w:rPr>
                <w:color w:val="auto"/>
                <w:spacing w:val="6"/>
                <w:highlight w:val="none"/>
              </w:rPr>
              <w:t>：</w:t>
            </w:r>
            <w:r>
              <w:rPr>
                <w:color w:val="auto"/>
                <w:spacing w:val="11"/>
                <w:highlight w:val="none"/>
              </w:rPr>
              <w:t>针对本工程的特点，阐述工程的重点和难点，有解</w:t>
            </w:r>
            <w:r>
              <w:rPr>
                <w:color w:val="auto"/>
                <w:highlight w:val="none"/>
              </w:rPr>
              <w:t xml:space="preserve"> </w:t>
            </w:r>
            <w:r>
              <w:rPr>
                <w:color w:val="auto"/>
                <w:spacing w:val="8"/>
                <w:highlight w:val="none"/>
              </w:rPr>
              <w:t>决重点和难点问题的切实可行方案且措施得力。</w:t>
            </w:r>
          </w:p>
          <w:p w14:paraId="6A60AC20">
            <w:pPr>
              <w:pStyle w:val="20"/>
              <w:spacing w:before="1" w:line="368" w:lineRule="auto"/>
              <w:ind w:left="119" w:right="103" w:hanging="3"/>
              <w:rPr>
                <w:color w:val="auto"/>
                <w:highlight w:val="none"/>
              </w:rPr>
            </w:pPr>
            <w:r>
              <w:rPr>
                <w:color w:val="auto"/>
                <w:spacing w:val="11"/>
                <w:highlight w:val="none"/>
              </w:rPr>
              <w:t>二档（4</w:t>
            </w:r>
            <w:r>
              <w:rPr>
                <w:color w:val="auto"/>
                <w:spacing w:val="-29"/>
                <w:highlight w:val="none"/>
              </w:rPr>
              <w:t xml:space="preserve"> </w:t>
            </w:r>
            <w:r>
              <w:rPr>
                <w:color w:val="auto"/>
                <w:spacing w:val="11"/>
                <w:highlight w:val="none"/>
              </w:rPr>
              <w:t>分</w:t>
            </w:r>
            <w:r>
              <w:rPr>
                <w:color w:val="auto"/>
                <w:spacing w:val="6"/>
                <w:highlight w:val="none"/>
              </w:rPr>
              <w:t>）</w:t>
            </w:r>
            <w:r>
              <w:rPr>
                <w:color w:val="auto"/>
                <w:spacing w:val="-56"/>
                <w:highlight w:val="none"/>
              </w:rPr>
              <w:t xml:space="preserve"> </w:t>
            </w:r>
            <w:r>
              <w:rPr>
                <w:color w:val="auto"/>
                <w:spacing w:val="6"/>
                <w:highlight w:val="none"/>
              </w:rPr>
              <w:t>：</w:t>
            </w:r>
            <w:r>
              <w:rPr>
                <w:color w:val="auto"/>
                <w:spacing w:val="11"/>
                <w:highlight w:val="none"/>
              </w:rPr>
              <w:t>针对本工程的特点，阐述工程的重点和难点，有解</w:t>
            </w:r>
            <w:r>
              <w:rPr>
                <w:color w:val="auto"/>
                <w:highlight w:val="none"/>
              </w:rPr>
              <w:t xml:space="preserve"> </w:t>
            </w:r>
            <w:r>
              <w:rPr>
                <w:color w:val="auto"/>
                <w:spacing w:val="7"/>
                <w:highlight w:val="none"/>
              </w:rPr>
              <w:t>决重点和难点问题的方案。</w:t>
            </w:r>
          </w:p>
          <w:p w14:paraId="70B883F2">
            <w:pPr>
              <w:pStyle w:val="20"/>
              <w:spacing w:before="2" w:line="370" w:lineRule="auto"/>
              <w:ind w:left="112" w:right="47"/>
              <w:rPr>
                <w:color w:val="auto"/>
                <w:highlight w:val="none"/>
              </w:rPr>
            </w:pPr>
            <w:r>
              <w:rPr>
                <w:color w:val="auto"/>
                <w:spacing w:val="7"/>
                <w:highlight w:val="none"/>
              </w:rPr>
              <w:t>三档（2</w:t>
            </w:r>
            <w:r>
              <w:rPr>
                <w:color w:val="auto"/>
                <w:spacing w:val="-35"/>
                <w:highlight w:val="none"/>
              </w:rPr>
              <w:t xml:space="preserve"> </w:t>
            </w:r>
            <w:r>
              <w:rPr>
                <w:color w:val="auto"/>
                <w:spacing w:val="7"/>
                <w:highlight w:val="none"/>
              </w:rPr>
              <w:t>分</w:t>
            </w:r>
            <w:r>
              <w:rPr>
                <w:color w:val="auto"/>
                <w:spacing w:val="14"/>
                <w:highlight w:val="none"/>
              </w:rPr>
              <w:t>）：</w:t>
            </w:r>
            <w:r>
              <w:rPr>
                <w:color w:val="auto"/>
                <w:spacing w:val="7"/>
                <w:highlight w:val="none"/>
              </w:rPr>
              <w:t>针对本工程的特点，能简单阐述工程的重</w:t>
            </w:r>
            <w:r>
              <w:rPr>
                <w:color w:val="auto"/>
                <w:spacing w:val="6"/>
                <w:highlight w:val="none"/>
              </w:rPr>
              <w:t>点和难点，</w:t>
            </w:r>
            <w:r>
              <w:rPr>
                <w:color w:val="auto"/>
                <w:highlight w:val="none"/>
              </w:rPr>
              <w:t xml:space="preserve"> </w:t>
            </w:r>
            <w:r>
              <w:rPr>
                <w:color w:val="auto"/>
                <w:spacing w:val="9"/>
                <w:highlight w:val="none"/>
              </w:rPr>
              <w:t>解决重点和难点问题的方案，方案基本可行。</w:t>
            </w:r>
          </w:p>
          <w:p w14:paraId="3172F812">
            <w:pPr>
              <w:pStyle w:val="20"/>
              <w:spacing w:before="60" w:line="345" w:lineRule="auto"/>
              <w:ind w:left="111" w:leftChars="0" w:right="153" w:rightChars="0" w:firstLine="21" w:firstLineChars="0"/>
              <w:rPr>
                <w:color w:val="auto"/>
                <w:spacing w:val="12"/>
                <w:highlight w:val="none"/>
              </w:rPr>
            </w:pPr>
            <w:r>
              <w:rPr>
                <w:color w:val="auto"/>
                <w:spacing w:val="9"/>
                <w:highlight w:val="none"/>
              </w:rPr>
              <w:t>四档（1</w:t>
            </w:r>
            <w:r>
              <w:rPr>
                <w:color w:val="auto"/>
                <w:spacing w:val="-29"/>
                <w:highlight w:val="none"/>
              </w:rPr>
              <w:t xml:space="preserve"> </w:t>
            </w:r>
            <w:r>
              <w:rPr>
                <w:color w:val="auto"/>
                <w:spacing w:val="9"/>
                <w:highlight w:val="none"/>
              </w:rPr>
              <w:t>分</w:t>
            </w:r>
            <w:r>
              <w:rPr>
                <w:color w:val="auto"/>
                <w:highlight w:val="none"/>
              </w:rPr>
              <w:t>）</w:t>
            </w:r>
            <w:r>
              <w:rPr>
                <w:color w:val="auto"/>
                <w:spacing w:val="-56"/>
                <w:highlight w:val="none"/>
              </w:rPr>
              <w:t xml:space="preserve"> </w:t>
            </w:r>
            <w:r>
              <w:rPr>
                <w:color w:val="auto"/>
                <w:highlight w:val="none"/>
              </w:rPr>
              <w:t>：</w:t>
            </w:r>
            <w:r>
              <w:rPr>
                <w:color w:val="auto"/>
                <w:spacing w:val="9"/>
                <w:highlight w:val="none"/>
              </w:rPr>
              <w:t>针对本工程的特点有表述，对重点、难点有建议，</w:t>
            </w:r>
            <w:r>
              <w:rPr>
                <w:color w:val="auto"/>
                <w:highlight w:val="none"/>
              </w:rPr>
              <w:t xml:space="preserve"> </w:t>
            </w:r>
            <w:r>
              <w:rPr>
                <w:color w:val="auto"/>
                <w:spacing w:val="7"/>
                <w:highlight w:val="none"/>
              </w:rPr>
              <w:t>但解决方案不可行。</w:t>
            </w:r>
          </w:p>
        </w:tc>
        <w:tc>
          <w:tcPr>
            <w:tcW w:w="855" w:type="dxa"/>
            <w:vAlign w:val="top"/>
          </w:tcPr>
          <w:p w14:paraId="1A297E7B">
            <w:pPr>
              <w:spacing w:line="261" w:lineRule="auto"/>
              <w:rPr>
                <w:rFonts w:ascii="Arial"/>
                <w:color w:val="auto"/>
                <w:sz w:val="21"/>
                <w:highlight w:val="none"/>
              </w:rPr>
            </w:pPr>
          </w:p>
          <w:p w14:paraId="6E0B2181">
            <w:pPr>
              <w:spacing w:line="261" w:lineRule="auto"/>
              <w:rPr>
                <w:rFonts w:ascii="Arial"/>
                <w:color w:val="auto"/>
                <w:sz w:val="21"/>
                <w:highlight w:val="none"/>
              </w:rPr>
            </w:pPr>
          </w:p>
          <w:p w14:paraId="0F985611">
            <w:pPr>
              <w:spacing w:line="262" w:lineRule="auto"/>
              <w:rPr>
                <w:rFonts w:ascii="Arial"/>
                <w:color w:val="auto"/>
                <w:sz w:val="21"/>
                <w:highlight w:val="none"/>
              </w:rPr>
            </w:pPr>
          </w:p>
          <w:p w14:paraId="550A44C7">
            <w:pPr>
              <w:spacing w:line="262" w:lineRule="auto"/>
              <w:rPr>
                <w:rFonts w:ascii="Arial"/>
                <w:color w:val="auto"/>
                <w:sz w:val="21"/>
                <w:highlight w:val="none"/>
              </w:rPr>
            </w:pPr>
          </w:p>
          <w:p w14:paraId="454A1684">
            <w:pPr>
              <w:spacing w:line="262" w:lineRule="auto"/>
              <w:rPr>
                <w:rFonts w:ascii="Arial"/>
                <w:color w:val="auto"/>
                <w:sz w:val="21"/>
                <w:highlight w:val="none"/>
              </w:rPr>
            </w:pPr>
          </w:p>
          <w:p w14:paraId="154A93C3">
            <w:pPr>
              <w:spacing w:line="262" w:lineRule="auto"/>
              <w:rPr>
                <w:rFonts w:ascii="Arial"/>
                <w:color w:val="auto"/>
                <w:sz w:val="21"/>
                <w:highlight w:val="none"/>
              </w:rPr>
            </w:pPr>
          </w:p>
          <w:p w14:paraId="7163C2E7">
            <w:pPr>
              <w:pStyle w:val="20"/>
              <w:spacing w:before="65" w:line="229" w:lineRule="auto"/>
              <w:ind w:left="253" w:leftChars="0"/>
              <w:rPr>
                <w:color w:val="auto"/>
                <w:spacing w:val="-4"/>
                <w:highlight w:val="none"/>
              </w:rPr>
            </w:pPr>
            <w:r>
              <w:rPr>
                <w:color w:val="auto"/>
                <w:spacing w:val="-4"/>
                <w:highlight w:val="none"/>
              </w:rPr>
              <w:t>5</w:t>
            </w:r>
            <w:r>
              <w:rPr>
                <w:color w:val="auto"/>
                <w:spacing w:val="-38"/>
                <w:highlight w:val="none"/>
              </w:rPr>
              <w:t xml:space="preserve"> </w:t>
            </w:r>
            <w:r>
              <w:rPr>
                <w:color w:val="auto"/>
                <w:spacing w:val="-4"/>
                <w:highlight w:val="none"/>
              </w:rPr>
              <w:t>分</w:t>
            </w:r>
          </w:p>
        </w:tc>
      </w:tr>
      <w:tr w14:paraId="1139A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trPr>
        <w:tc>
          <w:tcPr>
            <w:tcW w:w="697" w:type="dxa"/>
            <w:vAlign w:val="top"/>
          </w:tcPr>
          <w:p w14:paraId="7A5D2860">
            <w:pPr>
              <w:spacing w:line="262" w:lineRule="auto"/>
              <w:rPr>
                <w:rFonts w:ascii="Arial"/>
                <w:color w:val="auto"/>
                <w:sz w:val="21"/>
                <w:highlight w:val="none"/>
              </w:rPr>
            </w:pPr>
          </w:p>
          <w:p w14:paraId="672E635A">
            <w:pPr>
              <w:spacing w:line="262" w:lineRule="auto"/>
              <w:rPr>
                <w:rFonts w:ascii="Arial"/>
                <w:color w:val="auto"/>
                <w:sz w:val="21"/>
                <w:highlight w:val="none"/>
              </w:rPr>
            </w:pPr>
          </w:p>
          <w:p w14:paraId="54A527A9">
            <w:pPr>
              <w:spacing w:line="262" w:lineRule="auto"/>
              <w:rPr>
                <w:rFonts w:ascii="Arial"/>
                <w:color w:val="auto"/>
                <w:sz w:val="21"/>
                <w:highlight w:val="none"/>
              </w:rPr>
            </w:pPr>
          </w:p>
          <w:p w14:paraId="3B2E1096">
            <w:pPr>
              <w:spacing w:line="262" w:lineRule="auto"/>
              <w:rPr>
                <w:rFonts w:ascii="Arial"/>
                <w:color w:val="auto"/>
                <w:sz w:val="21"/>
                <w:highlight w:val="none"/>
              </w:rPr>
            </w:pPr>
          </w:p>
          <w:p w14:paraId="0F36263E">
            <w:pPr>
              <w:spacing w:line="262" w:lineRule="auto"/>
              <w:rPr>
                <w:rFonts w:ascii="Arial"/>
                <w:color w:val="auto"/>
                <w:sz w:val="21"/>
                <w:highlight w:val="none"/>
              </w:rPr>
            </w:pPr>
          </w:p>
          <w:p w14:paraId="2081CFDB">
            <w:pPr>
              <w:spacing w:line="262" w:lineRule="auto"/>
              <w:rPr>
                <w:rFonts w:ascii="Arial"/>
                <w:color w:val="auto"/>
                <w:sz w:val="21"/>
                <w:highlight w:val="none"/>
              </w:rPr>
            </w:pPr>
          </w:p>
          <w:p w14:paraId="4EBA0A11">
            <w:pPr>
              <w:pStyle w:val="20"/>
              <w:spacing w:before="65" w:line="268" w:lineRule="exact"/>
              <w:ind w:left="146" w:leftChars="0"/>
              <w:rPr>
                <w:color w:val="auto"/>
                <w:spacing w:val="1"/>
                <w:position w:val="1"/>
                <w:highlight w:val="none"/>
              </w:rPr>
            </w:pPr>
            <w:r>
              <w:rPr>
                <w:color w:val="auto"/>
                <w:spacing w:val="2"/>
                <w:position w:val="1"/>
                <w:highlight w:val="none"/>
              </w:rPr>
              <w:t>2.10</w:t>
            </w:r>
          </w:p>
        </w:tc>
        <w:tc>
          <w:tcPr>
            <w:tcW w:w="1306" w:type="dxa"/>
            <w:vAlign w:val="top"/>
          </w:tcPr>
          <w:p w14:paraId="4218B029">
            <w:pPr>
              <w:spacing w:line="266" w:lineRule="auto"/>
              <w:rPr>
                <w:rFonts w:ascii="Arial"/>
                <w:color w:val="auto"/>
                <w:sz w:val="21"/>
                <w:highlight w:val="none"/>
              </w:rPr>
            </w:pPr>
          </w:p>
          <w:p w14:paraId="06385924">
            <w:pPr>
              <w:spacing w:line="266" w:lineRule="auto"/>
              <w:rPr>
                <w:rFonts w:ascii="Arial"/>
                <w:color w:val="auto"/>
                <w:sz w:val="21"/>
                <w:highlight w:val="none"/>
              </w:rPr>
            </w:pPr>
          </w:p>
          <w:p w14:paraId="44BA2483">
            <w:pPr>
              <w:spacing w:line="267" w:lineRule="auto"/>
              <w:rPr>
                <w:rFonts w:ascii="Arial"/>
                <w:color w:val="auto"/>
                <w:sz w:val="21"/>
                <w:highlight w:val="none"/>
              </w:rPr>
            </w:pPr>
          </w:p>
          <w:p w14:paraId="2DFB1C8E">
            <w:pPr>
              <w:spacing w:line="267" w:lineRule="auto"/>
              <w:rPr>
                <w:rFonts w:ascii="Arial"/>
                <w:color w:val="auto"/>
                <w:sz w:val="21"/>
                <w:highlight w:val="none"/>
              </w:rPr>
            </w:pPr>
          </w:p>
          <w:p w14:paraId="02B162DC">
            <w:pPr>
              <w:spacing w:line="267" w:lineRule="auto"/>
              <w:rPr>
                <w:rFonts w:ascii="Arial"/>
                <w:color w:val="auto"/>
                <w:sz w:val="21"/>
                <w:highlight w:val="none"/>
              </w:rPr>
            </w:pPr>
          </w:p>
          <w:p w14:paraId="53960FCB">
            <w:pPr>
              <w:pStyle w:val="20"/>
              <w:spacing w:before="65" w:line="230" w:lineRule="auto"/>
              <w:ind w:left="132"/>
              <w:rPr>
                <w:color w:val="auto"/>
                <w:highlight w:val="none"/>
              </w:rPr>
            </w:pPr>
            <w:r>
              <w:rPr>
                <w:color w:val="auto"/>
                <w:spacing w:val="8"/>
                <w:highlight w:val="none"/>
              </w:rPr>
              <w:t>施工总平面</w:t>
            </w:r>
          </w:p>
          <w:p w14:paraId="0D0763EF">
            <w:pPr>
              <w:pStyle w:val="20"/>
              <w:spacing w:before="230" w:line="228" w:lineRule="auto"/>
              <w:ind w:left="341" w:leftChars="0"/>
              <w:rPr>
                <w:color w:val="auto"/>
                <w:spacing w:val="8"/>
                <w:highlight w:val="none"/>
              </w:rPr>
            </w:pPr>
            <w:r>
              <w:rPr>
                <w:color w:val="auto"/>
                <w:spacing w:val="6"/>
                <w:highlight w:val="none"/>
              </w:rPr>
              <w:t>布置图</w:t>
            </w:r>
          </w:p>
        </w:tc>
        <w:tc>
          <w:tcPr>
            <w:tcW w:w="6351" w:type="dxa"/>
            <w:vAlign w:val="top"/>
          </w:tcPr>
          <w:p w14:paraId="4C1DE9D8">
            <w:pPr>
              <w:pStyle w:val="20"/>
              <w:spacing w:before="143" w:line="369" w:lineRule="auto"/>
              <w:ind w:left="114" w:right="103" w:firstLine="2"/>
              <w:rPr>
                <w:color w:val="auto"/>
                <w:highlight w:val="none"/>
              </w:rPr>
            </w:pPr>
            <w:r>
              <w:rPr>
                <w:color w:val="auto"/>
                <w:spacing w:val="8"/>
                <w:highlight w:val="none"/>
              </w:rPr>
              <w:t>一档（10</w:t>
            </w:r>
            <w:r>
              <w:rPr>
                <w:color w:val="auto"/>
                <w:spacing w:val="-38"/>
                <w:highlight w:val="none"/>
              </w:rPr>
              <w:t xml:space="preserve"> </w:t>
            </w:r>
            <w:r>
              <w:rPr>
                <w:color w:val="auto"/>
                <w:spacing w:val="8"/>
                <w:highlight w:val="none"/>
              </w:rPr>
              <w:t>分</w:t>
            </w:r>
            <w:r>
              <w:rPr>
                <w:color w:val="auto"/>
                <w:spacing w:val="19"/>
                <w:highlight w:val="none"/>
              </w:rPr>
              <w:t>）：</w:t>
            </w:r>
            <w:r>
              <w:rPr>
                <w:color w:val="auto"/>
                <w:spacing w:val="8"/>
                <w:highlight w:val="none"/>
              </w:rPr>
              <w:t>有施工总平面布置图，安排科学合理，图纸全面及</w:t>
            </w:r>
            <w:r>
              <w:rPr>
                <w:color w:val="auto"/>
                <w:highlight w:val="none"/>
              </w:rPr>
              <w:t xml:space="preserve"> </w:t>
            </w:r>
            <w:r>
              <w:rPr>
                <w:color w:val="auto"/>
                <w:spacing w:val="9"/>
                <w:highlight w:val="none"/>
              </w:rPr>
              <w:t>标注清晰详细、做法清晰详细，符合本项目施工实际要求。</w:t>
            </w:r>
          </w:p>
          <w:p w14:paraId="2F0B566B">
            <w:pPr>
              <w:pStyle w:val="20"/>
              <w:spacing w:line="369" w:lineRule="auto"/>
              <w:ind w:left="112" w:right="103" w:firstLine="4"/>
              <w:rPr>
                <w:color w:val="auto"/>
                <w:highlight w:val="none"/>
              </w:rPr>
            </w:pPr>
            <w:r>
              <w:rPr>
                <w:color w:val="auto"/>
                <w:spacing w:val="11"/>
                <w:highlight w:val="none"/>
              </w:rPr>
              <w:t>二档（7</w:t>
            </w:r>
            <w:r>
              <w:rPr>
                <w:color w:val="auto"/>
                <w:spacing w:val="-29"/>
                <w:highlight w:val="none"/>
              </w:rPr>
              <w:t xml:space="preserve"> </w:t>
            </w:r>
            <w:r>
              <w:rPr>
                <w:color w:val="auto"/>
                <w:spacing w:val="11"/>
                <w:highlight w:val="none"/>
              </w:rPr>
              <w:t>分</w:t>
            </w:r>
            <w:r>
              <w:rPr>
                <w:color w:val="auto"/>
                <w:spacing w:val="6"/>
                <w:highlight w:val="none"/>
              </w:rPr>
              <w:t>）</w:t>
            </w:r>
            <w:r>
              <w:rPr>
                <w:color w:val="auto"/>
                <w:spacing w:val="-56"/>
                <w:highlight w:val="none"/>
              </w:rPr>
              <w:t xml:space="preserve"> </w:t>
            </w:r>
            <w:r>
              <w:rPr>
                <w:color w:val="auto"/>
                <w:spacing w:val="6"/>
                <w:highlight w:val="none"/>
              </w:rPr>
              <w:t>：</w:t>
            </w:r>
            <w:r>
              <w:rPr>
                <w:color w:val="auto"/>
                <w:spacing w:val="11"/>
                <w:highlight w:val="none"/>
              </w:rPr>
              <w:t>有施工总平面布置图，安排比较合理，符合本项目</w:t>
            </w:r>
            <w:r>
              <w:rPr>
                <w:color w:val="auto"/>
                <w:highlight w:val="none"/>
              </w:rPr>
              <w:t xml:space="preserve"> </w:t>
            </w:r>
            <w:r>
              <w:rPr>
                <w:color w:val="auto"/>
                <w:spacing w:val="7"/>
                <w:highlight w:val="none"/>
              </w:rPr>
              <w:t>施工实际要求。</w:t>
            </w:r>
          </w:p>
          <w:p w14:paraId="1E7D62A1">
            <w:pPr>
              <w:pStyle w:val="20"/>
              <w:spacing w:before="1" w:line="371" w:lineRule="auto"/>
              <w:ind w:left="112" w:right="103"/>
              <w:rPr>
                <w:color w:val="auto"/>
                <w:highlight w:val="none"/>
              </w:rPr>
            </w:pPr>
            <w:r>
              <w:rPr>
                <w:color w:val="auto"/>
                <w:spacing w:val="8"/>
                <w:highlight w:val="none"/>
              </w:rPr>
              <w:t>三档（4</w:t>
            </w:r>
            <w:r>
              <w:rPr>
                <w:color w:val="auto"/>
                <w:spacing w:val="-37"/>
                <w:highlight w:val="none"/>
              </w:rPr>
              <w:t xml:space="preserve"> </w:t>
            </w:r>
            <w:r>
              <w:rPr>
                <w:color w:val="auto"/>
                <w:spacing w:val="8"/>
                <w:highlight w:val="none"/>
              </w:rPr>
              <w:t>分</w:t>
            </w:r>
            <w:r>
              <w:rPr>
                <w:color w:val="auto"/>
                <w:spacing w:val="20"/>
                <w:highlight w:val="none"/>
              </w:rPr>
              <w:t>）：</w:t>
            </w:r>
            <w:r>
              <w:rPr>
                <w:color w:val="auto"/>
                <w:spacing w:val="8"/>
                <w:highlight w:val="none"/>
              </w:rPr>
              <w:t>有施工总平面布置图，安排一般， 基本满足本项目</w:t>
            </w:r>
            <w:r>
              <w:rPr>
                <w:color w:val="auto"/>
                <w:highlight w:val="none"/>
              </w:rPr>
              <w:t xml:space="preserve"> </w:t>
            </w:r>
            <w:r>
              <w:rPr>
                <w:color w:val="auto"/>
                <w:spacing w:val="7"/>
                <w:highlight w:val="none"/>
              </w:rPr>
              <w:t>施工实际要求。</w:t>
            </w:r>
          </w:p>
          <w:p w14:paraId="3A12B582">
            <w:pPr>
              <w:pStyle w:val="20"/>
              <w:spacing w:before="59" w:line="344" w:lineRule="auto"/>
              <w:ind w:left="115" w:leftChars="0" w:right="106" w:rightChars="0" w:firstLine="17" w:firstLineChars="0"/>
              <w:rPr>
                <w:color w:val="auto"/>
                <w:spacing w:val="9"/>
                <w:highlight w:val="none"/>
              </w:rPr>
            </w:pPr>
            <w:r>
              <w:rPr>
                <w:color w:val="auto"/>
                <w:spacing w:val="11"/>
                <w:highlight w:val="none"/>
              </w:rPr>
              <w:t>四档（1</w:t>
            </w:r>
            <w:r>
              <w:rPr>
                <w:color w:val="auto"/>
                <w:spacing w:val="-30"/>
                <w:highlight w:val="none"/>
              </w:rPr>
              <w:t xml:space="preserve"> </w:t>
            </w:r>
            <w:r>
              <w:rPr>
                <w:color w:val="auto"/>
                <w:spacing w:val="11"/>
                <w:highlight w:val="none"/>
              </w:rPr>
              <w:t>分</w:t>
            </w:r>
            <w:r>
              <w:rPr>
                <w:color w:val="auto"/>
                <w:spacing w:val="-2"/>
                <w:highlight w:val="none"/>
              </w:rPr>
              <w:t>）</w:t>
            </w:r>
            <w:r>
              <w:rPr>
                <w:color w:val="auto"/>
                <w:spacing w:val="-56"/>
                <w:highlight w:val="none"/>
              </w:rPr>
              <w:t xml:space="preserve"> </w:t>
            </w:r>
            <w:r>
              <w:rPr>
                <w:color w:val="auto"/>
                <w:spacing w:val="-2"/>
                <w:highlight w:val="none"/>
              </w:rPr>
              <w:t>：</w:t>
            </w:r>
            <w:r>
              <w:rPr>
                <w:color w:val="auto"/>
                <w:spacing w:val="11"/>
                <w:highlight w:val="none"/>
              </w:rPr>
              <w:t>有施工总平面布置图，但不符合本项目施工实</w:t>
            </w:r>
            <w:r>
              <w:rPr>
                <w:color w:val="auto"/>
                <w:spacing w:val="10"/>
                <w:highlight w:val="none"/>
              </w:rPr>
              <w:t>际要</w:t>
            </w:r>
            <w:r>
              <w:rPr>
                <w:color w:val="auto"/>
                <w:highlight w:val="none"/>
              </w:rPr>
              <w:t xml:space="preserve"> </w:t>
            </w:r>
            <w:r>
              <w:rPr>
                <w:color w:val="auto"/>
                <w:spacing w:val="-1"/>
                <w:highlight w:val="none"/>
              </w:rPr>
              <w:t>求。</w:t>
            </w:r>
          </w:p>
        </w:tc>
        <w:tc>
          <w:tcPr>
            <w:tcW w:w="855" w:type="dxa"/>
            <w:vAlign w:val="top"/>
          </w:tcPr>
          <w:p w14:paraId="52A7B5ED">
            <w:pPr>
              <w:spacing w:line="262" w:lineRule="auto"/>
              <w:rPr>
                <w:rFonts w:ascii="Arial"/>
                <w:color w:val="auto"/>
                <w:sz w:val="21"/>
                <w:highlight w:val="none"/>
              </w:rPr>
            </w:pPr>
          </w:p>
          <w:p w14:paraId="5512B28E">
            <w:pPr>
              <w:spacing w:line="262" w:lineRule="auto"/>
              <w:rPr>
                <w:rFonts w:ascii="Arial"/>
                <w:color w:val="auto"/>
                <w:sz w:val="21"/>
                <w:highlight w:val="none"/>
              </w:rPr>
            </w:pPr>
          </w:p>
          <w:p w14:paraId="3B4507ED">
            <w:pPr>
              <w:spacing w:line="262" w:lineRule="auto"/>
              <w:rPr>
                <w:rFonts w:ascii="Arial"/>
                <w:color w:val="auto"/>
                <w:sz w:val="21"/>
                <w:highlight w:val="none"/>
              </w:rPr>
            </w:pPr>
          </w:p>
          <w:p w14:paraId="30D6B82A">
            <w:pPr>
              <w:spacing w:line="262" w:lineRule="auto"/>
              <w:rPr>
                <w:rFonts w:ascii="Arial"/>
                <w:color w:val="auto"/>
                <w:sz w:val="21"/>
                <w:highlight w:val="none"/>
              </w:rPr>
            </w:pPr>
          </w:p>
          <w:p w14:paraId="5B1C7B12">
            <w:pPr>
              <w:spacing w:line="262" w:lineRule="auto"/>
              <w:rPr>
                <w:rFonts w:ascii="Arial"/>
                <w:color w:val="auto"/>
                <w:sz w:val="21"/>
                <w:highlight w:val="none"/>
              </w:rPr>
            </w:pPr>
          </w:p>
          <w:p w14:paraId="3D2C717F">
            <w:pPr>
              <w:spacing w:line="262" w:lineRule="auto"/>
              <w:rPr>
                <w:rFonts w:ascii="Arial"/>
                <w:color w:val="auto"/>
                <w:sz w:val="21"/>
                <w:highlight w:val="none"/>
              </w:rPr>
            </w:pPr>
          </w:p>
          <w:p w14:paraId="2C8762C0">
            <w:pPr>
              <w:pStyle w:val="20"/>
              <w:spacing w:before="65" w:line="229" w:lineRule="auto"/>
              <w:ind w:left="212" w:leftChars="0"/>
              <w:rPr>
                <w:color w:val="auto"/>
                <w:spacing w:val="-4"/>
                <w:highlight w:val="none"/>
              </w:rPr>
            </w:pPr>
            <w:r>
              <w:rPr>
                <w:color w:val="auto"/>
                <w:spacing w:val="-5"/>
                <w:highlight w:val="none"/>
              </w:rPr>
              <w:t>10</w:t>
            </w:r>
            <w:r>
              <w:rPr>
                <w:color w:val="auto"/>
                <w:spacing w:val="-38"/>
                <w:highlight w:val="none"/>
              </w:rPr>
              <w:t xml:space="preserve"> </w:t>
            </w:r>
            <w:r>
              <w:rPr>
                <w:color w:val="auto"/>
                <w:spacing w:val="-5"/>
                <w:highlight w:val="none"/>
              </w:rPr>
              <w:t>分</w:t>
            </w:r>
          </w:p>
        </w:tc>
      </w:tr>
      <w:tr w14:paraId="23706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697" w:type="dxa"/>
            <w:vAlign w:val="top"/>
          </w:tcPr>
          <w:p w14:paraId="403234CB">
            <w:pPr>
              <w:pStyle w:val="20"/>
              <w:spacing w:before="208" w:line="267" w:lineRule="exact"/>
              <w:ind w:left="306" w:leftChars="0"/>
              <w:rPr>
                <w:color w:val="auto"/>
                <w:spacing w:val="2"/>
                <w:position w:val="1"/>
                <w:highlight w:val="none"/>
              </w:rPr>
            </w:pPr>
            <w:r>
              <w:rPr>
                <w:b/>
                <w:bCs/>
                <w:color w:val="auto"/>
                <w:spacing w:val="-3"/>
                <w:position w:val="1"/>
                <w:highlight w:val="none"/>
              </w:rPr>
              <w:t>3</w:t>
            </w:r>
          </w:p>
        </w:tc>
        <w:tc>
          <w:tcPr>
            <w:tcW w:w="7657" w:type="dxa"/>
            <w:gridSpan w:val="2"/>
            <w:vAlign w:val="top"/>
          </w:tcPr>
          <w:p w14:paraId="4C4DFEE1">
            <w:pPr>
              <w:pStyle w:val="20"/>
              <w:spacing w:before="208" w:line="228" w:lineRule="auto"/>
              <w:ind w:left="3732" w:leftChars="0"/>
              <w:rPr>
                <w:color w:val="auto"/>
                <w:spacing w:val="11"/>
                <w:highlight w:val="none"/>
              </w:rPr>
            </w:pPr>
            <w:r>
              <w:rPr>
                <w:b/>
                <w:bCs/>
                <w:color w:val="auto"/>
                <w:spacing w:val="4"/>
                <w:highlight w:val="none"/>
              </w:rPr>
              <w:t>商务分</w:t>
            </w:r>
          </w:p>
        </w:tc>
        <w:tc>
          <w:tcPr>
            <w:tcW w:w="855" w:type="dxa"/>
            <w:vAlign w:val="top"/>
          </w:tcPr>
          <w:p w14:paraId="6E463E3F">
            <w:pPr>
              <w:pStyle w:val="20"/>
              <w:spacing w:before="208" w:line="229" w:lineRule="auto"/>
              <w:ind w:left="253" w:leftChars="0"/>
              <w:rPr>
                <w:color w:val="auto"/>
                <w:spacing w:val="-5"/>
                <w:highlight w:val="none"/>
              </w:rPr>
            </w:pPr>
            <w:r>
              <w:rPr>
                <w:b/>
                <w:bCs/>
                <w:color w:val="auto"/>
                <w:spacing w:val="-7"/>
                <w:highlight w:val="none"/>
              </w:rPr>
              <w:t>5</w:t>
            </w:r>
            <w:r>
              <w:rPr>
                <w:color w:val="auto"/>
                <w:spacing w:val="-35"/>
                <w:highlight w:val="none"/>
              </w:rPr>
              <w:t xml:space="preserve"> </w:t>
            </w:r>
            <w:r>
              <w:rPr>
                <w:b/>
                <w:bCs/>
                <w:color w:val="auto"/>
                <w:spacing w:val="-7"/>
                <w:highlight w:val="none"/>
              </w:rPr>
              <w:t>分</w:t>
            </w:r>
          </w:p>
        </w:tc>
      </w:tr>
      <w:tr w14:paraId="6D80C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697" w:type="dxa"/>
            <w:vAlign w:val="top"/>
          </w:tcPr>
          <w:p w14:paraId="5830D6D9">
            <w:pPr>
              <w:spacing w:line="310" w:lineRule="auto"/>
              <w:rPr>
                <w:rFonts w:ascii="Arial"/>
                <w:color w:val="auto"/>
                <w:sz w:val="21"/>
                <w:highlight w:val="none"/>
              </w:rPr>
            </w:pPr>
          </w:p>
          <w:p w14:paraId="2B5CCE43">
            <w:pPr>
              <w:spacing w:line="311" w:lineRule="auto"/>
              <w:rPr>
                <w:rFonts w:ascii="Arial"/>
                <w:color w:val="auto"/>
                <w:sz w:val="21"/>
                <w:highlight w:val="none"/>
              </w:rPr>
            </w:pPr>
          </w:p>
          <w:p w14:paraId="60A3DF2A">
            <w:pPr>
              <w:pStyle w:val="20"/>
              <w:spacing w:before="65" w:line="269" w:lineRule="exact"/>
              <w:ind w:left="118" w:leftChars="0"/>
              <w:rPr>
                <w:color w:val="auto"/>
                <w:spacing w:val="2"/>
                <w:position w:val="1"/>
                <w:highlight w:val="none"/>
              </w:rPr>
            </w:pPr>
            <w:r>
              <w:rPr>
                <w:color w:val="auto"/>
                <w:spacing w:val="1"/>
                <w:position w:val="1"/>
                <w:highlight w:val="none"/>
              </w:rPr>
              <w:t>3.1</w:t>
            </w:r>
          </w:p>
        </w:tc>
        <w:tc>
          <w:tcPr>
            <w:tcW w:w="1306" w:type="dxa"/>
            <w:vAlign w:val="top"/>
          </w:tcPr>
          <w:p w14:paraId="73C53D15">
            <w:pPr>
              <w:spacing w:line="310" w:lineRule="auto"/>
              <w:rPr>
                <w:rFonts w:ascii="Arial"/>
                <w:color w:val="auto"/>
                <w:sz w:val="21"/>
                <w:highlight w:val="none"/>
              </w:rPr>
            </w:pPr>
          </w:p>
          <w:p w14:paraId="2EFD8797">
            <w:pPr>
              <w:spacing w:line="311" w:lineRule="auto"/>
              <w:rPr>
                <w:rFonts w:ascii="Arial"/>
                <w:color w:val="auto"/>
                <w:sz w:val="21"/>
                <w:highlight w:val="none"/>
              </w:rPr>
            </w:pPr>
          </w:p>
          <w:p w14:paraId="21616EB6">
            <w:pPr>
              <w:pStyle w:val="20"/>
              <w:spacing w:before="65" w:line="229" w:lineRule="auto"/>
              <w:ind w:left="340" w:leftChars="0"/>
              <w:rPr>
                <w:color w:val="auto"/>
                <w:spacing w:val="6"/>
                <w:highlight w:val="none"/>
              </w:rPr>
            </w:pPr>
            <w:r>
              <w:rPr>
                <w:color w:val="auto"/>
                <w:spacing w:val="7"/>
                <w:highlight w:val="none"/>
              </w:rPr>
              <w:t>业绩分</w:t>
            </w:r>
          </w:p>
        </w:tc>
        <w:tc>
          <w:tcPr>
            <w:tcW w:w="6351" w:type="dxa"/>
            <w:vAlign w:val="top"/>
          </w:tcPr>
          <w:p w14:paraId="7B30A659">
            <w:pPr>
              <w:pStyle w:val="20"/>
              <w:spacing w:before="211" w:line="376" w:lineRule="auto"/>
              <w:ind w:left="113" w:leftChars="0" w:right="16" w:rightChars="0" w:firstLine="2" w:firstLineChars="0"/>
              <w:jc w:val="both"/>
              <w:rPr>
                <w:color w:val="auto"/>
                <w:spacing w:val="11"/>
                <w:highlight w:val="none"/>
              </w:rPr>
            </w:pPr>
            <w:r>
              <w:rPr>
                <w:color w:val="auto"/>
                <w:spacing w:val="4"/>
                <w:highlight w:val="none"/>
              </w:rPr>
              <w:t>202</w:t>
            </w:r>
            <w:r>
              <w:rPr>
                <w:rFonts w:hint="eastAsia"/>
                <w:color w:val="auto"/>
                <w:spacing w:val="4"/>
                <w:highlight w:val="none"/>
                <w:lang w:val="en-US" w:eastAsia="zh-CN"/>
              </w:rPr>
              <w:t>3</w:t>
            </w:r>
            <w:r>
              <w:rPr>
                <w:color w:val="auto"/>
                <w:spacing w:val="4"/>
                <w:highlight w:val="none"/>
              </w:rPr>
              <w:t xml:space="preserve"> 年</w:t>
            </w:r>
            <w:r>
              <w:rPr>
                <w:color w:val="auto"/>
                <w:spacing w:val="-38"/>
                <w:highlight w:val="none"/>
              </w:rPr>
              <w:t xml:space="preserve"> </w:t>
            </w:r>
            <w:r>
              <w:rPr>
                <w:rFonts w:hint="eastAsia"/>
                <w:color w:val="auto"/>
                <w:spacing w:val="4"/>
                <w:highlight w:val="none"/>
                <w:lang w:val="en-US" w:eastAsia="zh-CN"/>
              </w:rPr>
              <w:t>5</w:t>
            </w:r>
            <w:r>
              <w:rPr>
                <w:color w:val="auto"/>
                <w:spacing w:val="-33"/>
                <w:highlight w:val="none"/>
              </w:rPr>
              <w:t xml:space="preserve"> </w:t>
            </w:r>
            <w:r>
              <w:rPr>
                <w:color w:val="auto"/>
                <w:spacing w:val="4"/>
                <w:highlight w:val="none"/>
              </w:rPr>
              <w:t>月</w:t>
            </w:r>
            <w:r>
              <w:rPr>
                <w:color w:val="auto"/>
                <w:spacing w:val="-24"/>
                <w:highlight w:val="none"/>
              </w:rPr>
              <w:t xml:space="preserve"> </w:t>
            </w:r>
            <w:r>
              <w:rPr>
                <w:color w:val="auto"/>
                <w:spacing w:val="4"/>
                <w:highlight w:val="none"/>
              </w:rPr>
              <w:t>1 日以来至响应文件递交截</w:t>
            </w:r>
            <w:r>
              <w:rPr>
                <w:color w:val="auto"/>
                <w:spacing w:val="3"/>
                <w:highlight w:val="none"/>
              </w:rPr>
              <w:t>止日期止，供应商具有</w:t>
            </w:r>
            <w:r>
              <w:rPr>
                <w:rFonts w:hint="eastAsia"/>
                <w:color w:val="auto"/>
                <w:spacing w:val="3"/>
                <w:highlight w:val="none"/>
                <w:lang w:eastAsia="zh-CN"/>
              </w:rPr>
              <w:t>建筑</w:t>
            </w:r>
            <w:r>
              <w:rPr>
                <w:color w:val="auto"/>
                <w:spacing w:val="3"/>
                <w:highlight w:val="none"/>
              </w:rPr>
              <w:t>类</w:t>
            </w:r>
            <w:r>
              <w:rPr>
                <w:color w:val="auto"/>
                <w:spacing w:val="4"/>
                <w:highlight w:val="none"/>
              </w:rPr>
              <w:t>项目业绩的，每项得 2.5</w:t>
            </w:r>
            <w:r>
              <w:rPr>
                <w:color w:val="auto"/>
                <w:spacing w:val="-38"/>
                <w:highlight w:val="none"/>
              </w:rPr>
              <w:t xml:space="preserve"> </w:t>
            </w:r>
            <w:r>
              <w:rPr>
                <w:color w:val="auto"/>
                <w:spacing w:val="4"/>
                <w:highlight w:val="none"/>
              </w:rPr>
              <w:t>分，满分</w:t>
            </w:r>
            <w:r>
              <w:rPr>
                <w:color w:val="auto"/>
                <w:spacing w:val="-33"/>
                <w:highlight w:val="none"/>
              </w:rPr>
              <w:t xml:space="preserve"> </w:t>
            </w:r>
            <w:r>
              <w:rPr>
                <w:color w:val="auto"/>
                <w:spacing w:val="4"/>
                <w:highlight w:val="none"/>
              </w:rPr>
              <w:t>5</w:t>
            </w:r>
            <w:r>
              <w:rPr>
                <w:color w:val="auto"/>
                <w:spacing w:val="-37"/>
                <w:highlight w:val="none"/>
              </w:rPr>
              <w:t xml:space="preserve"> </w:t>
            </w:r>
            <w:r>
              <w:rPr>
                <w:color w:val="auto"/>
                <w:spacing w:val="4"/>
                <w:highlight w:val="none"/>
              </w:rPr>
              <w:t>分。（以合同或者中</w:t>
            </w:r>
            <w:r>
              <w:rPr>
                <w:color w:val="auto"/>
                <w:spacing w:val="3"/>
                <w:highlight w:val="none"/>
              </w:rPr>
              <w:t>标（成交）</w:t>
            </w:r>
            <w:r>
              <w:rPr>
                <w:color w:val="auto"/>
                <w:highlight w:val="none"/>
              </w:rPr>
              <w:t xml:space="preserve"> </w:t>
            </w:r>
            <w:r>
              <w:rPr>
                <w:color w:val="auto"/>
                <w:spacing w:val="9"/>
                <w:highlight w:val="none"/>
              </w:rPr>
              <w:t>通知书复印件为准，并加盖供应商单位公章）</w:t>
            </w:r>
          </w:p>
        </w:tc>
        <w:tc>
          <w:tcPr>
            <w:tcW w:w="855" w:type="dxa"/>
            <w:vAlign w:val="top"/>
          </w:tcPr>
          <w:p w14:paraId="7009CD33">
            <w:pPr>
              <w:spacing w:line="310" w:lineRule="auto"/>
              <w:rPr>
                <w:rFonts w:ascii="Arial"/>
                <w:color w:val="auto"/>
                <w:sz w:val="21"/>
                <w:highlight w:val="none"/>
              </w:rPr>
            </w:pPr>
          </w:p>
          <w:p w14:paraId="2CA152DE">
            <w:pPr>
              <w:spacing w:line="311" w:lineRule="auto"/>
              <w:rPr>
                <w:rFonts w:ascii="Arial"/>
                <w:color w:val="auto"/>
                <w:sz w:val="21"/>
                <w:highlight w:val="none"/>
              </w:rPr>
            </w:pPr>
          </w:p>
          <w:p w14:paraId="63CADF33">
            <w:pPr>
              <w:pStyle w:val="20"/>
              <w:spacing w:before="65" w:line="229" w:lineRule="auto"/>
              <w:ind w:left="253" w:leftChars="0"/>
              <w:rPr>
                <w:color w:val="auto"/>
                <w:spacing w:val="-5"/>
                <w:highlight w:val="none"/>
              </w:rPr>
            </w:pPr>
            <w:r>
              <w:rPr>
                <w:color w:val="auto"/>
                <w:spacing w:val="-4"/>
                <w:highlight w:val="none"/>
              </w:rPr>
              <w:t>5</w:t>
            </w:r>
            <w:r>
              <w:rPr>
                <w:color w:val="auto"/>
                <w:spacing w:val="-38"/>
                <w:highlight w:val="none"/>
              </w:rPr>
              <w:t xml:space="preserve"> </w:t>
            </w:r>
            <w:r>
              <w:rPr>
                <w:color w:val="auto"/>
                <w:spacing w:val="-4"/>
                <w:highlight w:val="none"/>
              </w:rPr>
              <w:t>分</w:t>
            </w:r>
          </w:p>
        </w:tc>
      </w:tr>
      <w:tr w14:paraId="7886A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9209" w:type="dxa"/>
            <w:gridSpan w:val="4"/>
            <w:vAlign w:val="top"/>
          </w:tcPr>
          <w:p w14:paraId="39446CCF">
            <w:pPr>
              <w:pStyle w:val="20"/>
              <w:spacing w:before="211" w:line="228" w:lineRule="auto"/>
              <w:ind w:left="117" w:leftChars="0"/>
              <w:rPr>
                <w:color w:val="auto"/>
                <w:spacing w:val="-5"/>
                <w:highlight w:val="none"/>
              </w:rPr>
            </w:pPr>
            <w:r>
              <w:rPr>
                <w:b/>
                <w:bCs/>
                <w:color w:val="auto"/>
                <w:spacing w:val="1"/>
                <w:highlight w:val="none"/>
              </w:rPr>
              <w:t>总得分=</w:t>
            </w:r>
            <w:r>
              <w:rPr>
                <w:color w:val="auto"/>
                <w:spacing w:val="34"/>
                <w:highlight w:val="none"/>
              </w:rPr>
              <w:t xml:space="preserve"> </w:t>
            </w:r>
            <w:r>
              <w:rPr>
                <w:b/>
                <w:bCs/>
                <w:color w:val="auto"/>
                <w:spacing w:val="1"/>
                <w:highlight w:val="none"/>
              </w:rPr>
              <w:t>1+2+3</w:t>
            </w:r>
          </w:p>
        </w:tc>
      </w:tr>
    </w:tbl>
    <w:p w14:paraId="14A33D50">
      <w:pPr>
        <w:pStyle w:val="6"/>
        <w:spacing w:line="166" w:lineRule="exact"/>
        <w:rPr>
          <w:color w:val="auto"/>
          <w:sz w:val="14"/>
          <w:highlight w:val="none"/>
        </w:rPr>
      </w:pPr>
    </w:p>
    <w:p w14:paraId="27BBBCAA">
      <w:pPr>
        <w:spacing w:line="166" w:lineRule="exact"/>
        <w:rPr>
          <w:color w:val="auto"/>
          <w:sz w:val="14"/>
          <w:szCs w:val="14"/>
          <w:highlight w:val="none"/>
        </w:rPr>
        <w:sectPr>
          <w:footerReference r:id="rId36" w:type="default"/>
          <w:pgSz w:w="11905" w:h="16839"/>
          <w:pgMar w:top="400" w:right="1345" w:bottom="1079" w:left="1345" w:header="0" w:footer="843" w:gutter="0"/>
          <w:pgNumType w:fmt="decimal"/>
          <w:cols w:space="720" w:num="1"/>
        </w:sectPr>
      </w:pPr>
    </w:p>
    <w:p w14:paraId="0C03DB04">
      <w:pPr>
        <w:pStyle w:val="6"/>
        <w:spacing w:line="373" w:lineRule="auto"/>
        <w:rPr>
          <w:color w:val="auto"/>
          <w:highlight w:val="none"/>
        </w:rPr>
      </w:pPr>
    </w:p>
    <w:p w14:paraId="6DDD8062">
      <w:pPr>
        <w:spacing w:before="65" w:line="302" w:lineRule="auto"/>
        <w:ind w:left="248" w:right="172" w:firstLine="421"/>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8.2</w:t>
      </w:r>
      <w:r>
        <w:rPr>
          <w:rFonts w:ascii="宋体" w:hAnsi="宋体" w:eastAsia="宋体" w:cs="宋体"/>
          <w:color w:val="auto"/>
          <w:spacing w:val="-28"/>
          <w:sz w:val="20"/>
          <w:szCs w:val="20"/>
          <w:highlight w:val="none"/>
        </w:rPr>
        <w:t xml:space="preserve"> </w:t>
      </w:r>
      <w:r>
        <w:rPr>
          <w:rFonts w:ascii="宋体" w:hAnsi="宋体" w:eastAsia="宋体" w:cs="宋体"/>
          <w:color w:val="auto"/>
          <w:spacing w:val="4"/>
          <w:sz w:val="20"/>
          <w:szCs w:val="20"/>
          <w:highlight w:val="none"/>
        </w:rPr>
        <w:t>商务技术评审因素为客观评分项的，应在评分项目或评分标准中予以标注为“客观分</w:t>
      </w:r>
      <w:r>
        <w:rPr>
          <w:rFonts w:ascii="宋体" w:hAnsi="宋体" w:eastAsia="宋体" w:cs="宋体"/>
          <w:color w:val="auto"/>
          <w:spacing w:val="-70"/>
          <w:sz w:val="20"/>
          <w:szCs w:val="20"/>
          <w:highlight w:val="none"/>
        </w:rPr>
        <w:t xml:space="preserve"> </w:t>
      </w:r>
      <w:r>
        <w:rPr>
          <w:rFonts w:ascii="宋体" w:hAnsi="宋体" w:eastAsia="宋体" w:cs="宋体"/>
          <w:color w:val="auto"/>
          <w:spacing w:val="4"/>
          <w:sz w:val="20"/>
          <w:szCs w:val="20"/>
          <w:highlight w:val="none"/>
        </w:rPr>
        <w:t>”。</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对供应商的客观评分项目，各评审专家评分应当一致。</w:t>
      </w:r>
    </w:p>
    <w:p w14:paraId="270B76C4">
      <w:pPr>
        <w:spacing w:before="161" w:line="228" w:lineRule="auto"/>
        <w:ind w:left="670"/>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8.3.终止竞争性磋商采购活动</w:t>
      </w:r>
    </w:p>
    <w:p w14:paraId="112CFB7D">
      <w:pPr>
        <w:spacing w:before="163" w:line="377" w:lineRule="auto"/>
        <w:ind w:left="249" w:right="242" w:firstLine="419"/>
        <w:jc w:val="both"/>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磋商小组发现竞争性磋商文件存在歧义、重大缺陷导</w:t>
      </w:r>
      <w:r>
        <w:rPr>
          <w:rFonts w:ascii="宋体" w:hAnsi="宋体" w:eastAsia="宋体" w:cs="宋体"/>
          <w:color w:val="auto"/>
          <w:spacing w:val="7"/>
          <w:sz w:val="20"/>
          <w:szCs w:val="20"/>
          <w:highlight w:val="none"/>
        </w:rPr>
        <w:t>致评审工作无法进行，或者竞争性磋商</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文件内容违反国家有关规定的，要停止评审工作并向采购</w:t>
      </w:r>
      <w:r>
        <w:rPr>
          <w:rFonts w:ascii="宋体" w:hAnsi="宋体" w:eastAsia="宋体" w:cs="宋体"/>
          <w:color w:val="auto"/>
          <w:spacing w:val="7"/>
          <w:sz w:val="20"/>
          <w:szCs w:val="20"/>
          <w:highlight w:val="none"/>
        </w:rPr>
        <w:t>人或采购代理机构书面说明情况，采购</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人或采购代理机构应当修改竞争性磋商文件后重新组织采购活动</w:t>
      </w:r>
      <w:r>
        <w:rPr>
          <w:rFonts w:ascii="宋体" w:hAnsi="宋体" w:eastAsia="宋体" w:cs="宋体"/>
          <w:color w:val="auto"/>
          <w:spacing w:val="7"/>
          <w:sz w:val="20"/>
          <w:szCs w:val="20"/>
          <w:highlight w:val="none"/>
        </w:rPr>
        <w:t>；发现供应商提供虚假材料、串</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通等违法违规行为的，要及时向采购人或采购代理机构报告。</w:t>
      </w:r>
    </w:p>
    <w:p w14:paraId="5894B2EF">
      <w:pPr>
        <w:spacing w:line="377" w:lineRule="auto"/>
        <w:rPr>
          <w:rFonts w:ascii="宋体" w:hAnsi="宋体" w:eastAsia="宋体" w:cs="宋体"/>
          <w:color w:val="auto"/>
          <w:sz w:val="20"/>
          <w:szCs w:val="20"/>
          <w:highlight w:val="none"/>
        </w:rPr>
        <w:sectPr>
          <w:footerReference r:id="rId37" w:type="default"/>
          <w:pgSz w:w="11905" w:h="16839"/>
          <w:pgMar w:top="400" w:right="1345" w:bottom="1079" w:left="1345" w:header="0" w:footer="843" w:gutter="0"/>
          <w:pgNumType w:fmt="decimal"/>
          <w:cols w:space="720" w:num="1"/>
        </w:sectPr>
      </w:pPr>
    </w:p>
    <w:p w14:paraId="5B2CDA1C">
      <w:pPr>
        <w:pStyle w:val="6"/>
        <w:spacing w:line="339" w:lineRule="auto"/>
        <w:rPr>
          <w:color w:val="auto"/>
          <w:highlight w:val="none"/>
        </w:rPr>
      </w:pPr>
    </w:p>
    <w:p w14:paraId="1234D178">
      <w:pPr>
        <w:pStyle w:val="6"/>
        <w:spacing w:line="339" w:lineRule="auto"/>
        <w:rPr>
          <w:color w:val="auto"/>
          <w:highlight w:val="none"/>
        </w:rPr>
      </w:pPr>
    </w:p>
    <w:p w14:paraId="41F45E2D">
      <w:pPr>
        <w:spacing w:before="101" w:line="224" w:lineRule="auto"/>
        <w:ind w:left="3169"/>
        <w:outlineLvl w:val="1"/>
        <w:rPr>
          <w:rFonts w:ascii="宋体" w:hAnsi="宋体" w:eastAsia="宋体" w:cs="宋体"/>
          <w:color w:val="auto"/>
          <w:sz w:val="31"/>
          <w:szCs w:val="31"/>
          <w:highlight w:val="none"/>
        </w:rPr>
      </w:pPr>
      <w:bookmarkStart w:id="14" w:name="_Toc10046"/>
      <w:r>
        <w:rPr>
          <w:rFonts w:ascii="宋体" w:hAnsi="宋体" w:eastAsia="宋体" w:cs="宋体"/>
          <w:color w:val="auto"/>
          <w:spacing w:val="7"/>
          <w:sz w:val="31"/>
          <w:szCs w:val="31"/>
          <w:highlight w:val="none"/>
        </w:rPr>
        <w:t>第二节 评标报告</w:t>
      </w:r>
      <w:bookmarkEnd w:id="14"/>
    </w:p>
    <w:p w14:paraId="577C5B2F">
      <w:pPr>
        <w:spacing w:before="231" w:line="221" w:lineRule="auto"/>
        <w:ind w:left="438"/>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1.成交标准</w:t>
      </w:r>
    </w:p>
    <w:p w14:paraId="5CA737B4">
      <w:pPr>
        <w:spacing w:before="178" w:line="377" w:lineRule="auto"/>
        <w:ind w:firstLine="445"/>
        <w:jc w:val="both"/>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由磋商小组根据综合评分情况，按照评审得分由高到低顺</w:t>
      </w:r>
      <w:r>
        <w:rPr>
          <w:rFonts w:ascii="宋体" w:hAnsi="宋体" w:eastAsia="宋体" w:cs="宋体"/>
          <w:color w:val="auto"/>
          <w:spacing w:val="8"/>
          <w:sz w:val="20"/>
          <w:szCs w:val="20"/>
          <w:highlight w:val="none"/>
        </w:rPr>
        <w:t>序推荐</w:t>
      </w:r>
      <w:r>
        <w:rPr>
          <w:rFonts w:ascii="宋体" w:hAnsi="宋体" w:eastAsia="宋体" w:cs="宋体"/>
          <w:color w:val="auto"/>
          <w:spacing w:val="-34"/>
          <w:sz w:val="20"/>
          <w:szCs w:val="20"/>
          <w:highlight w:val="none"/>
        </w:rPr>
        <w:t xml:space="preserve"> </w:t>
      </w:r>
      <w:r>
        <w:rPr>
          <w:rFonts w:ascii="宋体" w:hAnsi="宋体" w:eastAsia="宋体" w:cs="宋体"/>
          <w:color w:val="auto"/>
          <w:spacing w:val="8"/>
          <w:sz w:val="20"/>
          <w:szCs w:val="20"/>
          <w:highlight w:val="none"/>
        </w:rPr>
        <w:t>3</w:t>
      </w:r>
      <w:r>
        <w:rPr>
          <w:rFonts w:ascii="宋体" w:hAnsi="宋体" w:eastAsia="宋体" w:cs="宋体"/>
          <w:color w:val="auto"/>
          <w:spacing w:val="-36"/>
          <w:sz w:val="20"/>
          <w:szCs w:val="20"/>
          <w:highlight w:val="none"/>
        </w:rPr>
        <w:t xml:space="preserve"> </w:t>
      </w:r>
      <w:r>
        <w:rPr>
          <w:rFonts w:ascii="宋体" w:hAnsi="宋体" w:eastAsia="宋体" w:cs="宋体"/>
          <w:color w:val="auto"/>
          <w:spacing w:val="8"/>
          <w:sz w:val="20"/>
          <w:szCs w:val="20"/>
          <w:highlight w:val="none"/>
        </w:rPr>
        <w:t>名以上成交候选供应商,</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并在线编写电子评审报告。符合本章第一节第</w:t>
      </w:r>
      <w:r>
        <w:rPr>
          <w:rFonts w:ascii="宋体" w:hAnsi="宋体" w:eastAsia="宋体" w:cs="宋体"/>
          <w:color w:val="auto"/>
          <w:spacing w:val="-29"/>
          <w:sz w:val="20"/>
          <w:szCs w:val="20"/>
          <w:highlight w:val="none"/>
        </w:rPr>
        <w:t xml:space="preserve"> </w:t>
      </w:r>
      <w:r>
        <w:rPr>
          <w:rFonts w:ascii="宋体" w:hAnsi="宋体" w:eastAsia="宋体" w:cs="宋体"/>
          <w:color w:val="auto"/>
          <w:spacing w:val="6"/>
          <w:sz w:val="20"/>
          <w:szCs w:val="20"/>
          <w:highlight w:val="none"/>
        </w:rPr>
        <w:t>5.3</w:t>
      </w:r>
      <w:r>
        <w:rPr>
          <w:rFonts w:ascii="宋体" w:hAnsi="宋体" w:eastAsia="宋体" w:cs="宋体"/>
          <w:color w:val="auto"/>
          <w:spacing w:val="-37"/>
          <w:sz w:val="20"/>
          <w:szCs w:val="20"/>
          <w:highlight w:val="none"/>
        </w:rPr>
        <w:t xml:space="preserve"> </w:t>
      </w:r>
      <w:r>
        <w:rPr>
          <w:rFonts w:ascii="宋体" w:hAnsi="宋体" w:eastAsia="宋体" w:cs="宋体"/>
          <w:color w:val="auto"/>
          <w:spacing w:val="6"/>
          <w:sz w:val="20"/>
          <w:szCs w:val="20"/>
          <w:highlight w:val="none"/>
        </w:rPr>
        <w:t>条情形的，可以推荐</w:t>
      </w:r>
      <w:r>
        <w:rPr>
          <w:rFonts w:ascii="宋体" w:hAnsi="宋体" w:eastAsia="宋体" w:cs="宋体"/>
          <w:color w:val="auto"/>
          <w:spacing w:val="-34"/>
          <w:sz w:val="20"/>
          <w:szCs w:val="20"/>
          <w:highlight w:val="none"/>
        </w:rPr>
        <w:t xml:space="preserve"> </w:t>
      </w:r>
      <w:r>
        <w:rPr>
          <w:rFonts w:ascii="宋体" w:hAnsi="宋体" w:eastAsia="宋体" w:cs="宋体"/>
          <w:color w:val="auto"/>
          <w:spacing w:val="6"/>
          <w:sz w:val="20"/>
          <w:szCs w:val="20"/>
          <w:highlight w:val="none"/>
        </w:rPr>
        <w:t>2</w:t>
      </w:r>
      <w:r>
        <w:rPr>
          <w:rFonts w:ascii="宋体" w:hAnsi="宋体" w:eastAsia="宋体" w:cs="宋体"/>
          <w:color w:val="auto"/>
          <w:spacing w:val="-39"/>
          <w:sz w:val="20"/>
          <w:szCs w:val="20"/>
          <w:highlight w:val="none"/>
        </w:rPr>
        <w:t xml:space="preserve"> </w:t>
      </w:r>
      <w:r>
        <w:rPr>
          <w:rFonts w:ascii="宋体" w:hAnsi="宋体" w:eastAsia="宋体" w:cs="宋体"/>
          <w:color w:val="auto"/>
          <w:spacing w:val="6"/>
          <w:sz w:val="20"/>
          <w:szCs w:val="20"/>
          <w:highlight w:val="none"/>
        </w:rPr>
        <w:t>家成交候选供应商。评</w:t>
      </w:r>
      <w:r>
        <w:rPr>
          <w:rFonts w:ascii="宋体" w:hAnsi="宋体" w:eastAsia="宋体" w:cs="宋体"/>
          <w:color w:val="auto"/>
          <w:sz w:val="20"/>
          <w:szCs w:val="20"/>
          <w:highlight w:val="none"/>
        </w:rPr>
        <w:t xml:space="preserve"> </w:t>
      </w:r>
      <w:r>
        <w:rPr>
          <w:rFonts w:ascii="宋体" w:hAnsi="宋体" w:eastAsia="宋体" w:cs="宋体"/>
          <w:color w:val="auto"/>
          <w:spacing w:val="3"/>
          <w:sz w:val="20"/>
          <w:szCs w:val="20"/>
          <w:highlight w:val="none"/>
        </w:rPr>
        <w:t>审得分相同的，按照最后报价（不计算价格折扣）由低到高的顺序推荐。评审得分</w:t>
      </w:r>
      <w:r>
        <w:rPr>
          <w:rFonts w:ascii="宋体" w:hAnsi="宋体" w:eastAsia="宋体" w:cs="宋体"/>
          <w:color w:val="auto"/>
          <w:spacing w:val="2"/>
          <w:sz w:val="20"/>
          <w:szCs w:val="20"/>
          <w:highlight w:val="none"/>
        </w:rPr>
        <w:t>且最后报价（不</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计算价格折扣）相同的，按照技术指标优劣顺序推荐（按</w:t>
      </w:r>
      <w:r>
        <w:rPr>
          <w:rFonts w:ascii="宋体" w:hAnsi="宋体" w:eastAsia="宋体" w:cs="宋体"/>
          <w:color w:val="auto"/>
          <w:spacing w:val="7"/>
          <w:sz w:val="20"/>
          <w:szCs w:val="20"/>
          <w:highlight w:val="none"/>
        </w:rPr>
        <w:t>技术得分由高到低排序，技术得分相同</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的按照服务需求偏离分由高到低排序）。评审得分、最后报价（不计算价格折扣）、技术得</w:t>
      </w:r>
      <w:r>
        <w:rPr>
          <w:rFonts w:ascii="宋体" w:hAnsi="宋体" w:eastAsia="宋体" w:cs="宋体"/>
          <w:color w:val="auto"/>
          <w:spacing w:val="8"/>
          <w:sz w:val="20"/>
          <w:szCs w:val="20"/>
          <w:highlight w:val="none"/>
        </w:rPr>
        <w:t>分、</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服务需求偏离分均相同的，</w:t>
      </w:r>
      <w:r>
        <w:rPr>
          <w:rFonts w:ascii="宋体" w:hAnsi="宋体" w:eastAsia="宋体" w:cs="宋体"/>
          <w:color w:val="auto"/>
          <w:spacing w:val="-49"/>
          <w:sz w:val="20"/>
          <w:szCs w:val="20"/>
          <w:highlight w:val="none"/>
        </w:rPr>
        <w:t xml:space="preserve"> </w:t>
      </w:r>
      <w:r>
        <w:rPr>
          <w:rFonts w:ascii="宋体" w:hAnsi="宋体" w:eastAsia="宋体" w:cs="宋体"/>
          <w:color w:val="auto"/>
          <w:spacing w:val="7"/>
          <w:sz w:val="20"/>
          <w:szCs w:val="20"/>
          <w:highlight w:val="none"/>
        </w:rPr>
        <w:t>由磋商小组随机抽取推荐。</w:t>
      </w:r>
    </w:p>
    <w:p w14:paraId="16741EAC">
      <w:pPr>
        <w:spacing w:before="2" w:line="220" w:lineRule="auto"/>
        <w:ind w:left="42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2.评标争议事项处理</w:t>
      </w:r>
    </w:p>
    <w:p w14:paraId="79CED0F7">
      <w:pPr>
        <w:spacing w:before="177" w:line="377" w:lineRule="auto"/>
        <w:ind w:left="2" w:firstLine="416"/>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磋商小组成员对需要共同认定的事项存在争议的，应当按照少数服从多数的原则作出</w:t>
      </w:r>
      <w:r>
        <w:rPr>
          <w:rFonts w:ascii="宋体" w:hAnsi="宋体" w:eastAsia="宋体" w:cs="宋体"/>
          <w:color w:val="auto"/>
          <w:spacing w:val="8"/>
          <w:sz w:val="20"/>
          <w:szCs w:val="20"/>
          <w:highlight w:val="none"/>
        </w:rPr>
        <w:t>结论。</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持不同意见的磋商小组成员应当在评标报告上签署不同意见及理由，否则视为同意评标报告。</w:t>
      </w:r>
    </w:p>
    <w:p w14:paraId="62E3E22E">
      <w:pPr>
        <w:spacing w:before="18" w:line="225" w:lineRule="auto"/>
        <w:ind w:left="2529"/>
        <w:outlineLvl w:val="1"/>
        <w:rPr>
          <w:rFonts w:ascii="宋体" w:hAnsi="宋体" w:eastAsia="宋体" w:cs="宋体"/>
          <w:color w:val="auto"/>
          <w:sz w:val="31"/>
          <w:szCs w:val="31"/>
          <w:highlight w:val="none"/>
        </w:rPr>
      </w:pPr>
      <w:bookmarkStart w:id="15" w:name="_Toc17989"/>
      <w:r>
        <w:rPr>
          <w:rFonts w:ascii="宋体" w:hAnsi="宋体" w:eastAsia="宋体" w:cs="宋体"/>
          <w:color w:val="auto"/>
          <w:spacing w:val="8"/>
          <w:sz w:val="31"/>
          <w:szCs w:val="31"/>
          <w:highlight w:val="none"/>
        </w:rPr>
        <w:t>第三节 评审过程的保密与录像</w:t>
      </w:r>
      <w:bookmarkEnd w:id="15"/>
    </w:p>
    <w:p w14:paraId="640CE3C0">
      <w:pPr>
        <w:spacing w:before="229" w:line="221" w:lineRule="auto"/>
        <w:ind w:left="438"/>
        <w:rPr>
          <w:rFonts w:ascii="宋体" w:hAnsi="宋体" w:eastAsia="宋体" w:cs="宋体"/>
          <w:color w:val="auto"/>
          <w:sz w:val="24"/>
          <w:szCs w:val="24"/>
          <w:highlight w:val="none"/>
        </w:rPr>
      </w:pPr>
      <w:r>
        <w:rPr>
          <w:rFonts w:ascii="宋体" w:hAnsi="宋体" w:eastAsia="宋体" w:cs="宋体"/>
          <w:b/>
          <w:bCs/>
          <w:color w:val="auto"/>
          <w:spacing w:val="-9"/>
          <w:sz w:val="24"/>
          <w:szCs w:val="24"/>
          <w:highlight w:val="none"/>
        </w:rPr>
        <w:t>1.保密</w:t>
      </w:r>
    </w:p>
    <w:p w14:paraId="0E8396D5">
      <w:pPr>
        <w:spacing w:before="177" w:line="377" w:lineRule="auto"/>
        <w:ind w:right="54" w:firstLine="419"/>
        <w:jc w:val="both"/>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评审活动在严格保密的情况下进行。评审过程</w:t>
      </w:r>
      <w:r>
        <w:rPr>
          <w:rFonts w:ascii="宋体" w:hAnsi="宋体" w:eastAsia="宋体" w:cs="宋体"/>
          <w:color w:val="auto"/>
          <w:spacing w:val="7"/>
          <w:sz w:val="20"/>
          <w:szCs w:val="20"/>
          <w:highlight w:val="none"/>
        </w:rPr>
        <w:t>中凡是与采购响应文件评审和比较、中标成交</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供应商推荐等评审有关的情况，以及涉及国家秘密和商业秘密等</w:t>
      </w:r>
      <w:r>
        <w:rPr>
          <w:rFonts w:ascii="宋体" w:hAnsi="宋体" w:eastAsia="宋体" w:cs="宋体"/>
          <w:color w:val="auto"/>
          <w:spacing w:val="7"/>
          <w:sz w:val="20"/>
          <w:szCs w:val="20"/>
          <w:highlight w:val="none"/>
        </w:rPr>
        <w:t>信息，评审委员会成员、采购人</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和采购机构工作人员、相关监督人员等与评审有关的人员应当予以保密。</w:t>
      </w:r>
    </w:p>
    <w:p w14:paraId="2E64EBAE">
      <w:pPr>
        <w:spacing w:before="3" w:line="220" w:lineRule="auto"/>
        <w:ind w:left="424"/>
        <w:outlineLvl w:val="0"/>
        <w:rPr>
          <w:rFonts w:ascii="宋体" w:hAnsi="宋体" w:eastAsia="宋体" w:cs="宋体"/>
          <w:color w:val="auto"/>
          <w:sz w:val="24"/>
          <w:szCs w:val="24"/>
          <w:highlight w:val="none"/>
        </w:rPr>
      </w:pPr>
      <w:bookmarkStart w:id="16" w:name="_Toc12752"/>
      <w:r>
        <w:rPr>
          <w:rFonts w:ascii="宋体" w:hAnsi="宋体" w:eastAsia="宋体" w:cs="宋体"/>
          <w:b/>
          <w:bCs/>
          <w:color w:val="auto"/>
          <w:spacing w:val="-4"/>
          <w:sz w:val="24"/>
          <w:szCs w:val="24"/>
          <w:highlight w:val="none"/>
        </w:rPr>
        <w:t>2.录音录像</w:t>
      </w:r>
      <w:bookmarkEnd w:id="16"/>
    </w:p>
    <w:p w14:paraId="3ED66923">
      <w:pPr>
        <w:spacing w:before="177" w:line="378" w:lineRule="auto"/>
        <w:ind w:left="1" w:right="57" w:firstLine="417"/>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采购代理机构对评审工作现场及操作屏幕进行</w:t>
      </w:r>
      <w:r>
        <w:rPr>
          <w:rFonts w:ascii="宋体" w:hAnsi="宋体" w:eastAsia="宋体" w:cs="宋体"/>
          <w:color w:val="auto"/>
          <w:spacing w:val="7"/>
          <w:sz w:val="20"/>
          <w:szCs w:val="20"/>
          <w:highlight w:val="none"/>
        </w:rPr>
        <w:t>全过程录音录像，录音录像资料作为采购项目</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文件随其他文件一并存档。</w:t>
      </w:r>
    </w:p>
    <w:p w14:paraId="56678884">
      <w:pPr>
        <w:spacing w:line="378" w:lineRule="auto"/>
        <w:rPr>
          <w:rFonts w:ascii="宋体" w:hAnsi="宋体" w:eastAsia="宋体" w:cs="宋体"/>
          <w:color w:val="auto"/>
          <w:sz w:val="20"/>
          <w:szCs w:val="20"/>
          <w:highlight w:val="none"/>
        </w:rPr>
        <w:sectPr>
          <w:footerReference r:id="rId38" w:type="default"/>
          <w:pgSz w:w="11905" w:h="16839"/>
          <w:pgMar w:top="400" w:right="1532" w:bottom="1079" w:left="1594" w:header="0" w:footer="843" w:gutter="0"/>
          <w:pgNumType w:fmt="decimal"/>
          <w:cols w:space="720" w:num="1"/>
        </w:sectPr>
      </w:pPr>
    </w:p>
    <w:p w14:paraId="0795294E">
      <w:pPr>
        <w:pStyle w:val="6"/>
        <w:spacing w:line="351" w:lineRule="auto"/>
        <w:rPr>
          <w:color w:val="auto"/>
          <w:highlight w:val="none"/>
        </w:rPr>
      </w:pPr>
    </w:p>
    <w:p w14:paraId="0BB833DF">
      <w:pPr>
        <w:pStyle w:val="6"/>
        <w:spacing w:line="351" w:lineRule="auto"/>
        <w:rPr>
          <w:color w:val="auto"/>
          <w:highlight w:val="none"/>
        </w:rPr>
      </w:pPr>
    </w:p>
    <w:p w14:paraId="76DC5743">
      <w:pPr>
        <w:spacing w:before="140" w:line="223" w:lineRule="auto"/>
        <w:ind w:left="2294"/>
        <w:outlineLvl w:val="0"/>
        <w:rPr>
          <w:rFonts w:ascii="宋体" w:hAnsi="宋体" w:eastAsia="宋体" w:cs="宋体"/>
          <w:color w:val="auto"/>
          <w:sz w:val="43"/>
          <w:szCs w:val="43"/>
          <w:highlight w:val="none"/>
        </w:rPr>
      </w:pPr>
      <w:bookmarkStart w:id="17" w:name="bookmark11"/>
      <w:bookmarkEnd w:id="17"/>
      <w:bookmarkStart w:id="18" w:name="_Toc22844"/>
      <w:r>
        <w:rPr>
          <w:rFonts w:ascii="宋体" w:hAnsi="宋体" w:eastAsia="宋体" w:cs="宋体"/>
          <w:b/>
          <w:bCs/>
          <w:color w:val="auto"/>
          <w:sz w:val="43"/>
          <w:szCs w:val="43"/>
          <w:highlight w:val="none"/>
        </w:rPr>
        <w:t>第五章</w:t>
      </w:r>
      <w:r>
        <w:rPr>
          <w:rFonts w:ascii="宋体" w:hAnsi="宋体" w:eastAsia="宋体" w:cs="宋体"/>
          <w:color w:val="auto"/>
          <w:spacing w:val="48"/>
          <w:sz w:val="43"/>
          <w:szCs w:val="43"/>
          <w:highlight w:val="none"/>
        </w:rPr>
        <w:t xml:space="preserve"> </w:t>
      </w:r>
      <w:r>
        <w:rPr>
          <w:rFonts w:ascii="宋体" w:hAnsi="宋体" w:eastAsia="宋体" w:cs="宋体"/>
          <w:b/>
          <w:bCs/>
          <w:color w:val="auto"/>
          <w:sz w:val="43"/>
          <w:szCs w:val="43"/>
          <w:highlight w:val="none"/>
        </w:rPr>
        <w:t>响应文件格式</w:t>
      </w:r>
      <w:bookmarkEnd w:id="18"/>
    </w:p>
    <w:p w14:paraId="5E229F4A">
      <w:pPr>
        <w:pStyle w:val="6"/>
        <w:spacing w:line="344" w:lineRule="auto"/>
        <w:rPr>
          <w:color w:val="auto"/>
          <w:highlight w:val="none"/>
        </w:rPr>
      </w:pPr>
    </w:p>
    <w:p w14:paraId="71154C5F">
      <w:pPr>
        <w:pStyle w:val="6"/>
        <w:spacing w:line="344" w:lineRule="auto"/>
        <w:rPr>
          <w:color w:val="auto"/>
          <w:highlight w:val="none"/>
        </w:rPr>
      </w:pPr>
    </w:p>
    <w:p w14:paraId="3A33B5FB">
      <w:pPr>
        <w:spacing w:before="101" w:line="225" w:lineRule="auto"/>
        <w:ind w:left="2978"/>
        <w:outlineLvl w:val="1"/>
        <w:rPr>
          <w:rFonts w:ascii="宋体" w:hAnsi="宋体" w:eastAsia="宋体" w:cs="宋体"/>
          <w:color w:val="auto"/>
          <w:sz w:val="31"/>
          <w:szCs w:val="31"/>
          <w:highlight w:val="none"/>
        </w:rPr>
      </w:pPr>
      <w:bookmarkStart w:id="19" w:name="_Toc6394"/>
      <w:r>
        <w:rPr>
          <w:rFonts w:ascii="宋体" w:hAnsi="宋体" w:eastAsia="宋体" w:cs="宋体"/>
          <w:color w:val="auto"/>
          <w:spacing w:val="7"/>
          <w:sz w:val="31"/>
          <w:szCs w:val="31"/>
          <w:highlight w:val="none"/>
        </w:rPr>
        <w:t>第一节 封面格式</w:t>
      </w:r>
      <w:bookmarkEnd w:id="19"/>
    </w:p>
    <w:p w14:paraId="67404F90">
      <w:pPr>
        <w:pStyle w:val="6"/>
        <w:spacing w:line="244" w:lineRule="auto"/>
        <w:rPr>
          <w:color w:val="auto"/>
          <w:highlight w:val="none"/>
        </w:rPr>
      </w:pPr>
    </w:p>
    <w:p w14:paraId="02FE6FAB">
      <w:pPr>
        <w:pStyle w:val="6"/>
        <w:spacing w:line="244" w:lineRule="auto"/>
        <w:rPr>
          <w:color w:val="auto"/>
          <w:highlight w:val="none"/>
        </w:rPr>
      </w:pPr>
    </w:p>
    <w:p w14:paraId="3BF791F8">
      <w:pPr>
        <w:pStyle w:val="6"/>
        <w:spacing w:line="245" w:lineRule="auto"/>
        <w:rPr>
          <w:color w:val="auto"/>
          <w:highlight w:val="none"/>
        </w:rPr>
      </w:pPr>
    </w:p>
    <w:p w14:paraId="5B0A5527">
      <w:pPr>
        <w:pStyle w:val="6"/>
        <w:spacing w:line="245" w:lineRule="auto"/>
        <w:rPr>
          <w:color w:val="auto"/>
          <w:highlight w:val="none"/>
        </w:rPr>
      </w:pPr>
    </w:p>
    <w:p w14:paraId="53F8F2AE">
      <w:pPr>
        <w:pStyle w:val="6"/>
        <w:spacing w:line="245" w:lineRule="auto"/>
        <w:rPr>
          <w:color w:val="auto"/>
          <w:highlight w:val="none"/>
        </w:rPr>
      </w:pPr>
    </w:p>
    <w:p w14:paraId="62A2C448">
      <w:pPr>
        <w:spacing w:before="179" w:line="223" w:lineRule="auto"/>
        <w:ind w:left="2248"/>
        <w:rPr>
          <w:rFonts w:ascii="宋体" w:hAnsi="宋体" w:eastAsia="宋体" w:cs="宋体"/>
          <w:color w:val="auto"/>
          <w:sz w:val="55"/>
          <w:szCs w:val="55"/>
          <w:highlight w:val="none"/>
        </w:rPr>
      </w:pPr>
      <w:r>
        <w:rPr>
          <w:rFonts w:ascii="宋体" w:hAnsi="宋体" w:eastAsia="宋体" w:cs="宋体"/>
          <w:b/>
          <w:bCs/>
          <w:color w:val="auto"/>
          <w:spacing w:val="-24"/>
          <w:sz w:val="55"/>
          <w:szCs w:val="55"/>
          <w:highlight w:val="none"/>
        </w:rPr>
        <w:t>响</w:t>
      </w:r>
      <w:r>
        <w:rPr>
          <w:rFonts w:ascii="宋体" w:hAnsi="宋体" w:eastAsia="宋体" w:cs="宋体"/>
          <w:color w:val="auto"/>
          <w:spacing w:val="19"/>
          <w:sz w:val="55"/>
          <w:szCs w:val="55"/>
          <w:highlight w:val="none"/>
        </w:rPr>
        <w:t xml:space="preserve">  </w:t>
      </w:r>
      <w:r>
        <w:rPr>
          <w:rFonts w:ascii="宋体" w:hAnsi="宋体" w:eastAsia="宋体" w:cs="宋体"/>
          <w:b/>
          <w:bCs/>
          <w:color w:val="auto"/>
          <w:spacing w:val="-24"/>
          <w:sz w:val="55"/>
          <w:szCs w:val="55"/>
          <w:highlight w:val="none"/>
        </w:rPr>
        <w:t>应</w:t>
      </w:r>
      <w:r>
        <w:rPr>
          <w:rFonts w:ascii="宋体" w:hAnsi="宋体" w:eastAsia="宋体" w:cs="宋体"/>
          <w:color w:val="auto"/>
          <w:spacing w:val="20"/>
          <w:sz w:val="55"/>
          <w:szCs w:val="55"/>
          <w:highlight w:val="none"/>
        </w:rPr>
        <w:t xml:space="preserve">  </w:t>
      </w:r>
      <w:r>
        <w:rPr>
          <w:rFonts w:ascii="宋体" w:hAnsi="宋体" w:eastAsia="宋体" w:cs="宋体"/>
          <w:b/>
          <w:bCs/>
          <w:color w:val="auto"/>
          <w:spacing w:val="-24"/>
          <w:sz w:val="55"/>
          <w:szCs w:val="55"/>
          <w:highlight w:val="none"/>
        </w:rPr>
        <w:t>文</w:t>
      </w:r>
      <w:r>
        <w:rPr>
          <w:rFonts w:ascii="宋体" w:hAnsi="宋体" w:eastAsia="宋体" w:cs="宋体"/>
          <w:color w:val="auto"/>
          <w:spacing w:val="18"/>
          <w:sz w:val="55"/>
          <w:szCs w:val="55"/>
          <w:highlight w:val="none"/>
        </w:rPr>
        <w:t xml:space="preserve">  </w:t>
      </w:r>
      <w:r>
        <w:rPr>
          <w:rFonts w:ascii="宋体" w:hAnsi="宋体" w:eastAsia="宋体" w:cs="宋体"/>
          <w:b/>
          <w:bCs/>
          <w:color w:val="auto"/>
          <w:spacing w:val="-24"/>
          <w:sz w:val="55"/>
          <w:szCs w:val="55"/>
          <w:highlight w:val="none"/>
        </w:rPr>
        <w:t>件</w:t>
      </w:r>
    </w:p>
    <w:p w14:paraId="79D7DC1C">
      <w:pPr>
        <w:pStyle w:val="6"/>
        <w:spacing w:line="269" w:lineRule="auto"/>
        <w:rPr>
          <w:color w:val="auto"/>
          <w:highlight w:val="none"/>
        </w:rPr>
      </w:pPr>
    </w:p>
    <w:p w14:paraId="3FC76CC1">
      <w:pPr>
        <w:pStyle w:val="6"/>
        <w:spacing w:line="269" w:lineRule="auto"/>
        <w:rPr>
          <w:color w:val="auto"/>
          <w:highlight w:val="none"/>
        </w:rPr>
      </w:pPr>
    </w:p>
    <w:p w14:paraId="0EA69111">
      <w:pPr>
        <w:pStyle w:val="6"/>
        <w:spacing w:line="269" w:lineRule="auto"/>
        <w:rPr>
          <w:color w:val="auto"/>
          <w:highlight w:val="none"/>
        </w:rPr>
      </w:pPr>
    </w:p>
    <w:p w14:paraId="1A2FB3E0">
      <w:pPr>
        <w:pStyle w:val="6"/>
        <w:spacing w:line="270" w:lineRule="auto"/>
        <w:rPr>
          <w:color w:val="auto"/>
          <w:highlight w:val="none"/>
        </w:rPr>
      </w:pPr>
    </w:p>
    <w:p w14:paraId="283D4571">
      <w:pPr>
        <w:pStyle w:val="6"/>
        <w:spacing w:line="270" w:lineRule="auto"/>
        <w:rPr>
          <w:color w:val="auto"/>
          <w:highlight w:val="none"/>
        </w:rPr>
      </w:pPr>
    </w:p>
    <w:p w14:paraId="7CDA21FC">
      <w:pPr>
        <w:pStyle w:val="6"/>
        <w:spacing w:line="270" w:lineRule="auto"/>
        <w:rPr>
          <w:color w:val="auto"/>
          <w:highlight w:val="none"/>
        </w:rPr>
      </w:pPr>
    </w:p>
    <w:p w14:paraId="49B052A6">
      <w:pPr>
        <w:spacing w:before="101" w:line="226" w:lineRule="auto"/>
        <w:ind w:left="458"/>
        <w:rPr>
          <w:rFonts w:ascii="宋体" w:hAnsi="宋体" w:eastAsia="宋体" w:cs="宋体"/>
          <w:color w:val="auto"/>
          <w:sz w:val="31"/>
          <w:szCs w:val="31"/>
          <w:highlight w:val="none"/>
        </w:rPr>
      </w:pPr>
      <w:r>
        <w:rPr>
          <w:rFonts w:ascii="宋体" w:hAnsi="宋体" w:eastAsia="宋体" w:cs="宋体"/>
          <w:color w:val="auto"/>
          <w:spacing w:val="4"/>
          <w:sz w:val="31"/>
          <w:szCs w:val="31"/>
          <w:highlight w:val="none"/>
        </w:rPr>
        <w:t>项目名称：</w:t>
      </w:r>
    </w:p>
    <w:p w14:paraId="2C657C0A">
      <w:pPr>
        <w:pStyle w:val="6"/>
        <w:spacing w:line="338" w:lineRule="auto"/>
        <w:rPr>
          <w:color w:val="auto"/>
          <w:highlight w:val="none"/>
        </w:rPr>
      </w:pPr>
    </w:p>
    <w:p w14:paraId="4DDE99F2">
      <w:pPr>
        <w:pStyle w:val="6"/>
        <w:spacing w:line="339" w:lineRule="auto"/>
        <w:rPr>
          <w:color w:val="auto"/>
          <w:highlight w:val="none"/>
        </w:rPr>
      </w:pPr>
    </w:p>
    <w:p w14:paraId="43F64038">
      <w:pPr>
        <w:spacing w:before="101" w:line="225" w:lineRule="auto"/>
        <w:ind w:left="458"/>
        <w:rPr>
          <w:rFonts w:ascii="宋体" w:hAnsi="宋体" w:eastAsia="宋体" w:cs="宋体"/>
          <w:color w:val="auto"/>
          <w:sz w:val="31"/>
          <w:szCs w:val="31"/>
          <w:highlight w:val="none"/>
        </w:rPr>
      </w:pPr>
      <w:r>
        <w:rPr>
          <w:rFonts w:ascii="宋体" w:hAnsi="宋体" w:eastAsia="宋体" w:cs="宋体"/>
          <w:color w:val="auto"/>
          <w:spacing w:val="4"/>
          <w:sz w:val="31"/>
          <w:szCs w:val="31"/>
          <w:highlight w:val="none"/>
        </w:rPr>
        <w:t>项目编号：</w:t>
      </w:r>
    </w:p>
    <w:p w14:paraId="2B107BC0">
      <w:pPr>
        <w:pStyle w:val="6"/>
        <w:spacing w:line="339" w:lineRule="auto"/>
        <w:rPr>
          <w:color w:val="auto"/>
          <w:highlight w:val="none"/>
        </w:rPr>
      </w:pPr>
    </w:p>
    <w:p w14:paraId="65DFC215">
      <w:pPr>
        <w:pStyle w:val="6"/>
        <w:spacing w:line="339" w:lineRule="auto"/>
        <w:rPr>
          <w:color w:val="auto"/>
          <w:highlight w:val="none"/>
        </w:rPr>
      </w:pPr>
    </w:p>
    <w:p w14:paraId="19A3CC64">
      <w:pPr>
        <w:spacing w:before="101" w:line="226" w:lineRule="auto"/>
        <w:jc w:val="right"/>
        <w:rPr>
          <w:rFonts w:ascii="宋体" w:hAnsi="宋体" w:eastAsia="宋体" w:cs="宋体"/>
          <w:color w:val="auto"/>
          <w:sz w:val="31"/>
          <w:szCs w:val="31"/>
          <w:highlight w:val="none"/>
        </w:rPr>
      </w:pPr>
      <w:r>
        <w:rPr>
          <w:rFonts w:ascii="宋体" w:hAnsi="宋体" w:eastAsia="宋体" w:cs="宋体"/>
          <w:color w:val="auto"/>
          <w:spacing w:val="5"/>
          <w:sz w:val="31"/>
          <w:szCs w:val="31"/>
          <w:highlight w:val="none"/>
        </w:rPr>
        <w:t>所竞分标（如有则填写，无分标时填写“无</w:t>
      </w:r>
      <w:r>
        <w:rPr>
          <w:rFonts w:ascii="宋体" w:hAnsi="宋体" w:eastAsia="宋体" w:cs="宋体"/>
          <w:color w:val="auto"/>
          <w:spacing w:val="-110"/>
          <w:sz w:val="31"/>
          <w:szCs w:val="31"/>
          <w:highlight w:val="none"/>
        </w:rPr>
        <w:t xml:space="preserve"> </w:t>
      </w:r>
      <w:r>
        <w:rPr>
          <w:rFonts w:ascii="宋体" w:hAnsi="宋体" w:eastAsia="宋体" w:cs="宋体"/>
          <w:color w:val="auto"/>
          <w:spacing w:val="5"/>
          <w:sz w:val="31"/>
          <w:szCs w:val="31"/>
          <w:highlight w:val="none"/>
        </w:rPr>
        <w:t>”或者留空</w:t>
      </w:r>
      <w:r>
        <w:rPr>
          <w:rFonts w:ascii="宋体" w:hAnsi="宋体" w:eastAsia="宋体" w:cs="宋体"/>
          <w:color w:val="auto"/>
          <w:spacing w:val="-34"/>
          <w:sz w:val="31"/>
          <w:szCs w:val="31"/>
          <w:highlight w:val="none"/>
        </w:rPr>
        <w:t>）：</w:t>
      </w:r>
    </w:p>
    <w:p w14:paraId="51E27AA6">
      <w:pPr>
        <w:pStyle w:val="6"/>
        <w:spacing w:line="339" w:lineRule="auto"/>
        <w:rPr>
          <w:color w:val="auto"/>
          <w:highlight w:val="none"/>
        </w:rPr>
      </w:pPr>
    </w:p>
    <w:p w14:paraId="2F5AA98A">
      <w:pPr>
        <w:pStyle w:val="6"/>
        <w:spacing w:line="339" w:lineRule="auto"/>
        <w:rPr>
          <w:color w:val="auto"/>
          <w:highlight w:val="none"/>
        </w:rPr>
      </w:pPr>
    </w:p>
    <w:p w14:paraId="0CDF7E21">
      <w:pPr>
        <w:spacing w:before="101" w:line="225" w:lineRule="auto"/>
        <w:ind w:left="453"/>
        <w:rPr>
          <w:rFonts w:ascii="宋体" w:hAnsi="宋体" w:eastAsia="宋体" w:cs="宋体"/>
          <w:color w:val="auto"/>
          <w:sz w:val="31"/>
          <w:szCs w:val="31"/>
          <w:highlight w:val="none"/>
        </w:rPr>
      </w:pPr>
      <w:r>
        <w:rPr>
          <w:rFonts w:ascii="宋体" w:hAnsi="宋体" w:eastAsia="宋体" w:cs="宋体"/>
          <w:color w:val="auto"/>
          <w:spacing w:val="5"/>
          <w:sz w:val="31"/>
          <w:szCs w:val="31"/>
          <w:highlight w:val="none"/>
        </w:rPr>
        <w:t>供应商名称：</w:t>
      </w:r>
    </w:p>
    <w:p w14:paraId="34226BB5">
      <w:pPr>
        <w:pStyle w:val="6"/>
        <w:spacing w:line="340" w:lineRule="auto"/>
        <w:rPr>
          <w:color w:val="auto"/>
          <w:highlight w:val="none"/>
        </w:rPr>
      </w:pPr>
    </w:p>
    <w:p w14:paraId="39161EB4">
      <w:pPr>
        <w:pStyle w:val="6"/>
        <w:spacing w:line="340" w:lineRule="auto"/>
        <w:rPr>
          <w:color w:val="auto"/>
          <w:highlight w:val="none"/>
        </w:rPr>
      </w:pPr>
    </w:p>
    <w:p w14:paraId="48B40710">
      <w:pPr>
        <w:spacing w:before="101" w:line="225" w:lineRule="auto"/>
        <w:ind w:left="1704"/>
        <w:rPr>
          <w:rFonts w:ascii="宋体" w:hAnsi="宋体" w:eastAsia="宋体" w:cs="宋体"/>
          <w:color w:val="auto"/>
          <w:sz w:val="31"/>
          <w:szCs w:val="31"/>
          <w:highlight w:val="none"/>
        </w:rPr>
      </w:pPr>
      <w:r>
        <w:rPr>
          <w:rFonts w:ascii="宋体" w:hAnsi="宋体" w:eastAsia="宋体" w:cs="宋体"/>
          <w:color w:val="auto"/>
          <w:spacing w:val="8"/>
          <w:sz w:val="31"/>
          <w:szCs w:val="31"/>
          <w:highlight w:val="none"/>
        </w:rPr>
        <w:t>首次响应文件提交截止时间前不得解密</w:t>
      </w:r>
    </w:p>
    <w:p w14:paraId="620EC7DB">
      <w:pPr>
        <w:pStyle w:val="6"/>
        <w:spacing w:line="339" w:lineRule="auto"/>
        <w:rPr>
          <w:color w:val="auto"/>
          <w:highlight w:val="none"/>
        </w:rPr>
      </w:pPr>
    </w:p>
    <w:p w14:paraId="6B39F0FC">
      <w:pPr>
        <w:pStyle w:val="6"/>
        <w:spacing w:line="339" w:lineRule="auto"/>
        <w:rPr>
          <w:color w:val="auto"/>
          <w:highlight w:val="none"/>
        </w:rPr>
      </w:pPr>
    </w:p>
    <w:p w14:paraId="15B10700">
      <w:pPr>
        <w:spacing w:before="101" w:line="225" w:lineRule="auto"/>
        <w:ind w:left="3383"/>
        <w:rPr>
          <w:rFonts w:ascii="宋体" w:hAnsi="宋体" w:eastAsia="宋体" w:cs="宋体"/>
          <w:color w:val="auto"/>
          <w:sz w:val="31"/>
          <w:szCs w:val="31"/>
          <w:highlight w:val="none"/>
        </w:rPr>
      </w:pPr>
      <w:r>
        <w:rPr>
          <w:rFonts w:ascii="宋体" w:hAnsi="宋体" w:eastAsia="宋体" w:cs="宋体"/>
          <w:color w:val="auto"/>
          <w:spacing w:val="-6"/>
          <w:sz w:val="31"/>
          <w:szCs w:val="31"/>
          <w:highlight w:val="none"/>
        </w:rPr>
        <w:t>年</w:t>
      </w:r>
      <w:r>
        <w:rPr>
          <w:rFonts w:ascii="宋体" w:hAnsi="宋体" w:eastAsia="宋体" w:cs="宋体"/>
          <w:color w:val="auto"/>
          <w:spacing w:val="10"/>
          <w:sz w:val="31"/>
          <w:szCs w:val="31"/>
          <w:highlight w:val="none"/>
        </w:rPr>
        <w:t xml:space="preserve">    </w:t>
      </w:r>
      <w:r>
        <w:rPr>
          <w:rFonts w:ascii="宋体" w:hAnsi="宋体" w:eastAsia="宋体" w:cs="宋体"/>
          <w:color w:val="auto"/>
          <w:spacing w:val="-6"/>
          <w:sz w:val="31"/>
          <w:szCs w:val="31"/>
          <w:highlight w:val="none"/>
        </w:rPr>
        <w:t>月</w:t>
      </w:r>
      <w:r>
        <w:rPr>
          <w:rFonts w:ascii="宋体" w:hAnsi="宋体" w:eastAsia="宋体" w:cs="宋体"/>
          <w:color w:val="auto"/>
          <w:spacing w:val="22"/>
          <w:sz w:val="31"/>
          <w:szCs w:val="31"/>
          <w:highlight w:val="none"/>
        </w:rPr>
        <w:t xml:space="preserve">    </w:t>
      </w:r>
      <w:r>
        <w:rPr>
          <w:rFonts w:ascii="宋体" w:hAnsi="宋体" w:eastAsia="宋体" w:cs="宋体"/>
          <w:color w:val="auto"/>
          <w:spacing w:val="-6"/>
          <w:sz w:val="31"/>
          <w:szCs w:val="31"/>
          <w:highlight w:val="none"/>
        </w:rPr>
        <w:t>日</w:t>
      </w:r>
    </w:p>
    <w:p w14:paraId="0E2A9573">
      <w:pPr>
        <w:spacing w:line="225" w:lineRule="auto"/>
        <w:rPr>
          <w:rFonts w:ascii="宋体" w:hAnsi="宋体" w:eastAsia="宋体" w:cs="宋体"/>
          <w:color w:val="auto"/>
          <w:sz w:val="31"/>
          <w:szCs w:val="31"/>
          <w:highlight w:val="none"/>
        </w:rPr>
        <w:sectPr>
          <w:footerReference r:id="rId39" w:type="default"/>
          <w:pgSz w:w="11905" w:h="16839"/>
          <w:pgMar w:top="400" w:right="1507" w:bottom="1079" w:left="1785" w:header="0" w:footer="843" w:gutter="0"/>
          <w:pgNumType w:fmt="decimal"/>
          <w:cols w:space="720" w:num="1"/>
        </w:sectPr>
      </w:pPr>
    </w:p>
    <w:p w14:paraId="5BAFC090">
      <w:pPr>
        <w:pStyle w:val="6"/>
        <w:spacing w:line="285" w:lineRule="auto"/>
        <w:rPr>
          <w:color w:val="auto"/>
          <w:highlight w:val="none"/>
        </w:rPr>
      </w:pPr>
    </w:p>
    <w:p w14:paraId="5ACD54F1">
      <w:pPr>
        <w:pStyle w:val="6"/>
        <w:spacing w:line="285" w:lineRule="auto"/>
        <w:rPr>
          <w:color w:val="auto"/>
          <w:highlight w:val="none"/>
        </w:rPr>
      </w:pPr>
    </w:p>
    <w:p w14:paraId="4DC665C6">
      <w:pPr>
        <w:pStyle w:val="6"/>
        <w:spacing w:line="286" w:lineRule="auto"/>
        <w:rPr>
          <w:color w:val="auto"/>
          <w:highlight w:val="none"/>
        </w:rPr>
      </w:pPr>
    </w:p>
    <w:p w14:paraId="15AAAB38">
      <w:pPr>
        <w:pStyle w:val="6"/>
        <w:spacing w:line="286" w:lineRule="auto"/>
        <w:rPr>
          <w:color w:val="auto"/>
          <w:highlight w:val="none"/>
        </w:rPr>
      </w:pPr>
    </w:p>
    <w:p w14:paraId="561FA4A1">
      <w:pPr>
        <w:spacing w:before="101" w:line="225" w:lineRule="auto"/>
        <w:ind w:left="2430"/>
        <w:outlineLvl w:val="1"/>
        <w:rPr>
          <w:rFonts w:ascii="宋体" w:hAnsi="宋体" w:eastAsia="宋体" w:cs="宋体"/>
          <w:color w:val="auto"/>
          <w:sz w:val="31"/>
          <w:szCs w:val="31"/>
          <w:highlight w:val="none"/>
        </w:rPr>
      </w:pPr>
      <w:bookmarkStart w:id="20" w:name="_Toc6954"/>
      <w:r>
        <w:rPr>
          <w:rFonts w:ascii="宋体" w:hAnsi="宋体" w:eastAsia="宋体" w:cs="宋体"/>
          <w:color w:val="auto"/>
          <w:spacing w:val="8"/>
          <w:sz w:val="31"/>
          <w:szCs w:val="31"/>
          <w:highlight w:val="none"/>
        </w:rPr>
        <w:t>第二节 资格证明文件格式</w:t>
      </w:r>
      <w:bookmarkEnd w:id="20"/>
    </w:p>
    <w:p w14:paraId="33CF2275">
      <w:pPr>
        <w:pStyle w:val="6"/>
        <w:spacing w:line="257" w:lineRule="auto"/>
        <w:rPr>
          <w:color w:val="auto"/>
          <w:highlight w:val="none"/>
        </w:rPr>
      </w:pPr>
    </w:p>
    <w:p w14:paraId="2B2FE898">
      <w:pPr>
        <w:pStyle w:val="6"/>
        <w:spacing w:line="257" w:lineRule="auto"/>
        <w:rPr>
          <w:color w:val="auto"/>
          <w:highlight w:val="none"/>
        </w:rPr>
      </w:pPr>
    </w:p>
    <w:p w14:paraId="65FEB500">
      <w:pPr>
        <w:spacing w:before="65" w:line="228" w:lineRule="auto"/>
        <w:ind w:left="6141"/>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全流程电子文件</w:t>
      </w:r>
    </w:p>
    <w:p w14:paraId="3434731F">
      <w:pPr>
        <w:pStyle w:val="6"/>
        <w:spacing w:line="292" w:lineRule="auto"/>
        <w:rPr>
          <w:color w:val="auto"/>
          <w:highlight w:val="none"/>
        </w:rPr>
      </w:pPr>
    </w:p>
    <w:p w14:paraId="5BB594E1">
      <w:pPr>
        <w:pStyle w:val="6"/>
        <w:spacing w:line="293" w:lineRule="auto"/>
        <w:rPr>
          <w:color w:val="auto"/>
          <w:highlight w:val="none"/>
        </w:rPr>
      </w:pPr>
    </w:p>
    <w:p w14:paraId="6955F184">
      <w:pPr>
        <w:pStyle w:val="6"/>
        <w:spacing w:line="293" w:lineRule="auto"/>
        <w:rPr>
          <w:color w:val="auto"/>
          <w:highlight w:val="none"/>
        </w:rPr>
      </w:pPr>
    </w:p>
    <w:p w14:paraId="0B9C5ADD">
      <w:pPr>
        <w:spacing w:before="169" w:line="220" w:lineRule="auto"/>
        <w:ind w:left="1690"/>
        <w:rPr>
          <w:rFonts w:ascii="宋体" w:hAnsi="宋体" w:eastAsia="宋体" w:cs="宋体"/>
          <w:color w:val="auto"/>
          <w:sz w:val="52"/>
          <w:szCs w:val="52"/>
          <w:highlight w:val="none"/>
        </w:rPr>
      </w:pPr>
      <w:r>
        <w:rPr>
          <w:rFonts w:ascii="宋体" w:hAnsi="宋体" w:eastAsia="宋体" w:cs="宋体"/>
          <w:b/>
          <w:bCs/>
          <w:color w:val="auto"/>
          <w:spacing w:val="-9"/>
          <w:sz w:val="52"/>
          <w:szCs w:val="52"/>
          <w:highlight w:val="none"/>
        </w:rPr>
        <w:t>资格证明文件（封面）</w:t>
      </w:r>
    </w:p>
    <w:p w14:paraId="2EF45A2C">
      <w:pPr>
        <w:pStyle w:val="6"/>
        <w:spacing w:line="247" w:lineRule="auto"/>
        <w:rPr>
          <w:color w:val="auto"/>
          <w:highlight w:val="none"/>
        </w:rPr>
      </w:pPr>
    </w:p>
    <w:p w14:paraId="775ED2AB">
      <w:pPr>
        <w:pStyle w:val="6"/>
        <w:spacing w:line="247" w:lineRule="auto"/>
        <w:rPr>
          <w:color w:val="auto"/>
          <w:highlight w:val="none"/>
        </w:rPr>
      </w:pPr>
    </w:p>
    <w:p w14:paraId="7FF7DCB6">
      <w:pPr>
        <w:pStyle w:val="6"/>
        <w:spacing w:line="247" w:lineRule="auto"/>
        <w:rPr>
          <w:color w:val="auto"/>
          <w:highlight w:val="none"/>
        </w:rPr>
      </w:pPr>
    </w:p>
    <w:p w14:paraId="697B8297">
      <w:pPr>
        <w:pStyle w:val="6"/>
        <w:spacing w:line="247" w:lineRule="auto"/>
        <w:rPr>
          <w:color w:val="auto"/>
          <w:highlight w:val="none"/>
        </w:rPr>
      </w:pPr>
    </w:p>
    <w:p w14:paraId="4215AD9A">
      <w:pPr>
        <w:pStyle w:val="6"/>
        <w:spacing w:line="247" w:lineRule="auto"/>
        <w:rPr>
          <w:color w:val="auto"/>
          <w:highlight w:val="none"/>
        </w:rPr>
      </w:pPr>
    </w:p>
    <w:p w14:paraId="06983235">
      <w:pPr>
        <w:pStyle w:val="6"/>
        <w:spacing w:line="247" w:lineRule="auto"/>
        <w:rPr>
          <w:color w:val="auto"/>
          <w:highlight w:val="none"/>
        </w:rPr>
      </w:pPr>
    </w:p>
    <w:p w14:paraId="49EDA1AD">
      <w:pPr>
        <w:pStyle w:val="6"/>
        <w:spacing w:line="247" w:lineRule="auto"/>
        <w:rPr>
          <w:color w:val="auto"/>
          <w:highlight w:val="none"/>
        </w:rPr>
      </w:pPr>
    </w:p>
    <w:p w14:paraId="17C09EFD">
      <w:pPr>
        <w:pStyle w:val="6"/>
        <w:spacing w:line="248" w:lineRule="auto"/>
        <w:rPr>
          <w:color w:val="auto"/>
          <w:highlight w:val="none"/>
        </w:rPr>
      </w:pPr>
    </w:p>
    <w:p w14:paraId="2A293B6A">
      <w:pPr>
        <w:pStyle w:val="6"/>
        <w:spacing w:line="248" w:lineRule="auto"/>
        <w:rPr>
          <w:color w:val="auto"/>
          <w:highlight w:val="none"/>
        </w:rPr>
      </w:pPr>
    </w:p>
    <w:p w14:paraId="4E09DA1E">
      <w:pPr>
        <w:pStyle w:val="6"/>
        <w:spacing w:line="248" w:lineRule="auto"/>
        <w:rPr>
          <w:color w:val="auto"/>
          <w:highlight w:val="none"/>
        </w:rPr>
      </w:pPr>
    </w:p>
    <w:p w14:paraId="62CB6631">
      <w:pPr>
        <w:pStyle w:val="6"/>
        <w:spacing w:line="248" w:lineRule="auto"/>
        <w:rPr>
          <w:color w:val="auto"/>
          <w:highlight w:val="none"/>
        </w:rPr>
      </w:pPr>
    </w:p>
    <w:p w14:paraId="365007E3">
      <w:pPr>
        <w:spacing w:before="100" w:line="226" w:lineRule="auto"/>
        <w:ind w:left="631"/>
        <w:rPr>
          <w:rFonts w:ascii="宋体" w:hAnsi="宋体" w:eastAsia="宋体" w:cs="宋体"/>
          <w:color w:val="auto"/>
          <w:sz w:val="31"/>
          <w:szCs w:val="31"/>
          <w:highlight w:val="none"/>
        </w:rPr>
      </w:pPr>
      <w:r>
        <w:rPr>
          <w:rFonts w:ascii="宋体" w:hAnsi="宋体" w:eastAsia="宋体" w:cs="宋体"/>
          <w:color w:val="auto"/>
          <w:spacing w:val="4"/>
          <w:sz w:val="31"/>
          <w:szCs w:val="31"/>
          <w:highlight w:val="none"/>
        </w:rPr>
        <w:t>项目名称：</w:t>
      </w:r>
    </w:p>
    <w:p w14:paraId="2CDDE9B8">
      <w:pPr>
        <w:pStyle w:val="6"/>
        <w:spacing w:line="293" w:lineRule="auto"/>
        <w:rPr>
          <w:color w:val="auto"/>
          <w:highlight w:val="none"/>
        </w:rPr>
      </w:pPr>
    </w:p>
    <w:p w14:paraId="4A156EC6">
      <w:pPr>
        <w:pStyle w:val="6"/>
        <w:spacing w:line="294" w:lineRule="auto"/>
        <w:rPr>
          <w:color w:val="auto"/>
          <w:highlight w:val="none"/>
        </w:rPr>
      </w:pPr>
    </w:p>
    <w:p w14:paraId="3BFD55CF">
      <w:pPr>
        <w:spacing w:before="100" w:line="225" w:lineRule="auto"/>
        <w:ind w:left="631"/>
        <w:rPr>
          <w:rFonts w:ascii="宋体" w:hAnsi="宋体" w:eastAsia="宋体" w:cs="宋体"/>
          <w:color w:val="auto"/>
          <w:sz w:val="31"/>
          <w:szCs w:val="31"/>
          <w:highlight w:val="none"/>
        </w:rPr>
      </w:pPr>
      <w:r>
        <w:rPr>
          <w:rFonts w:ascii="宋体" w:hAnsi="宋体" w:eastAsia="宋体" w:cs="宋体"/>
          <w:color w:val="auto"/>
          <w:spacing w:val="4"/>
          <w:sz w:val="31"/>
          <w:szCs w:val="31"/>
          <w:highlight w:val="none"/>
        </w:rPr>
        <w:t>项目编号：</w:t>
      </w:r>
    </w:p>
    <w:p w14:paraId="30693BE6">
      <w:pPr>
        <w:pStyle w:val="6"/>
        <w:spacing w:line="292" w:lineRule="auto"/>
        <w:rPr>
          <w:color w:val="auto"/>
          <w:highlight w:val="none"/>
        </w:rPr>
      </w:pPr>
    </w:p>
    <w:p w14:paraId="66A86963">
      <w:pPr>
        <w:pStyle w:val="6"/>
        <w:spacing w:line="293" w:lineRule="auto"/>
        <w:rPr>
          <w:color w:val="auto"/>
          <w:highlight w:val="none"/>
        </w:rPr>
      </w:pPr>
    </w:p>
    <w:p w14:paraId="4AB76F03">
      <w:pPr>
        <w:spacing w:before="101" w:line="226" w:lineRule="auto"/>
        <w:jc w:val="right"/>
        <w:rPr>
          <w:rFonts w:ascii="宋体" w:hAnsi="宋体" w:eastAsia="宋体" w:cs="宋体"/>
          <w:color w:val="auto"/>
          <w:sz w:val="31"/>
          <w:szCs w:val="31"/>
          <w:highlight w:val="none"/>
        </w:rPr>
      </w:pPr>
      <w:r>
        <w:rPr>
          <w:rFonts w:ascii="宋体" w:hAnsi="宋体" w:eastAsia="宋体" w:cs="宋体"/>
          <w:color w:val="auto"/>
          <w:spacing w:val="2"/>
          <w:sz w:val="31"/>
          <w:szCs w:val="31"/>
          <w:highlight w:val="none"/>
        </w:rPr>
        <w:t>所竞分标（如有则填写，无分标时填写“无</w:t>
      </w:r>
      <w:r>
        <w:rPr>
          <w:rFonts w:ascii="宋体" w:hAnsi="宋体" w:eastAsia="宋体" w:cs="宋体"/>
          <w:color w:val="auto"/>
          <w:spacing w:val="-109"/>
          <w:sz w:val="31"/>
          <w:szCs w:val="31"/>
          <w:highlight w:val="none"/>
        </w:rPr>
        <w:t xml:space="preserve"> </w:t>
      </w:r>
      <w:r>
        <w:rPr>
          <w:rFonts w:ascii="宋体" w:hAnsi="宋体" w:eastAsia="宋体" w:cs="宋体"/>
          <w:color w:val="auto"/>
          <w:spacing w:val="2"/>
          <w:sz w:val="31"/>
          <w:szCs w:val="31"/>
          <w:highlight w:val="none"/>
        </w:rPr>
        <w:t>”或者留空</w:t>
      </w:r>
      <w:r>
        <w:rPr>
          <w:rFonts w:ascii="宋体" w:hAnsi="宋体" w:eastAsia="宋体" w:cs="宋体"/>
          <w:color w:val="auto"/>
          <w:spacing w:val="-38"/>
          <w:sz w:val="31"/>
          <w:szCs w:val="31"/>
          <w:highlight w:val="none"/>
        </w:rPr>
        <w:t>）：</w:t>
      </w:r>
    </w:p>
    <w:p w14:paraId="5762F692">
      <w:pPr>
        <w:pStyle w:val="6"/>
        <w:spacing w:line="258" w:lineRule="auto"/>
        <w:rPr>
          <w:color w:val="auto"/>
          <w:highlight w:val="none"/>
        </w:rPr>
      </w:pPr>
    </w:p>
    <w:p w14:paraId="2670A285">
      <w:pPr>
        <w:pStyle w:val="6"/>
        <w:spacing w:line="258" w:lineRule="auto"/>
        <w:rPr>
          <w:color w:val="auto"/>
          <w:highlight w:val="none"/>
        </w:rPr>
      </w:pPr>
    </w:p>
    <w:p w14:paraId="7E1A2822">
      <w:pPr>
        <w:spacing w:before="102" w:line="225" w:lineRule="auto"/>
        <w:ind w:left="625"/>
        <w:rPr>
          <w:rFonts w:ascii="宋体" w:hAnsi="宋体" w:eastAsia="宋体" w:cs="宋体"/>
          <w:color w:val="auto"/>
          <w:sz w:val="31"/>
          <w:szCs w:val="31"/>
          <w:highlight w:val="none"/>
        </w:rPr>
      </w:pPr>
      <w:r>
        <w:rPr>
          <w:rFonts w:ascii="宋体" w:hAnsi="宋体" w:eastAsia="宋体" w:cs="宋体"/>
          <w:color w:val="auto"/>
          <w:spacing w:val="5"/>
          <w:sz w:val="31"/>
          <w:szCs w:val="31"/>
          <w:highlight w:val="none"/>
        </w:rPr>
        <w:t>供应商名称：</w:t>
      </w:r>
    </w:p>
    <w:p w14:paraId="2D7A771D">
      <w:pPr>
        <w:pStyle w:val="6"/>
        <w:spacing w:line="272" w:lineRule="auto"/>
        <w:rPr>
          <w:color w:val="auto"/>
          <w:highlight w:val="none"/>
        </w:rPr>
      </w:pPr>
    </w:p>
    <w:p w14:paraId="3CEED9B6">
      <w:pPr>
        <w:pStyle w:val="6"/>
        <w:spacing w:line="272" w:lineRule="auto"/>
        <w:rPr>
          <w:color w:val="auto"/>
          <w:highlight w:val="none"/>
        </w:rPr>
      </w:pPr>
    </w:p>
    <w:p w14:paraId="73BAC972">
      <w:pPr>
        <w:pStyle w:val="6"/>
        <w:spacing w:line="272" w:lineRule="auto"/>
        <w:rPr>
          <w:color w:val="auto"/>
          <w:highlight w:val="none"/>
        </w:rPr>
      </w:pPr>
    </w:p>
    <w:p w14:paraId="086822D7">
      <w:pPr>
        <w:pStyle w:val="6"/>
        <w:spacing w:line="272" w:lineRule="auto"/>
        <w:rPr>
          <w:color w:val="auto"/>
          <w:highlight w:val="none"/>
        </w:rPr>
      </w:pPr>
    </w:p>
    <w:p w14:paraId="17853117">
      <w:pPr>
        <w:pStyle w:val="6"/>
        <w:spacing w:line="272" w:lineRule="auto"/>
        <w:rPr>
          <w:color w:val="auto"/>
          <w:highlight w:val="none"/>
        </w:rPr>
      </w:pPr>
    </w:p>
    <w:p w14:paraId="2AC0B529">
      <w:pPr>
        <w:pStyle w:val="6"/>
        <w:spacing w:line="273" w:lineRule="auto"/>
        <w:rPr>
          <w:color w:val="auto"/>
          <w:highlight w:val="none"/>
        </w:rPr>
      </w:pPr>
    </w:p>
    <w:p w14:paraId="4B19DF74">
      <w:pPr>
        <w:pStyle w:val="6"/>
        <w:spacing w:line="273" w:lineRule="auto"/>
        <w:rPr>
          <w:color w:val="auto"/>
          <w:highlight w:val="none"/>
        </w:rPr>
      </w:pPr>
    </w:p>
    <w:p w14:paraId="49497AA2">
      <w:pPr>
        <w:spacing w:before="101" w:line="225" w:lineRule="auto"/>
        <w:ind w:left="3152"/>
        <w:rPr>
          <w:rFonts w:ascii="宋体" w:hAnsi="宋体" w:eastAsia="宋体" w:cs="宋体"/>
          <w:color w:val="auto"/>
          <w:sz w:val="31"/>
          <w:szCs w:val="31"/>
          <w:highlight w:val="none"/>
        </w:rPr>
      </w:pPr>
      <w:r>
        <w:rPr>
          <w:rFonts w:ascii="宋体" w:hAnsi="宋体" w:eastAsia="宋体" w:cs="宋体"/>
          <w:color w:val="auto"/>
          <w:spacing w:val="-6"/>
          <w:sz w:val="31"/>
          <w:szCs w:val="31"/>
          <w:highlight w:val="none"/>
        </w:rPr>
        <w:t>年</w:t>
      </w:r>
      <w:r>
        <w:rPr>
          <w:rFonts w:ascii="宋体" w:hAnsi="宋体" w:eastAsia="宋体" w:cs="宋体"/>
          <w:color w:val="auto"/>
          <w:spacing w:val="10"/>
          <w:sz w:val="31"/>
          <w:szCs w:val="31"/>
          <w:highlight w:val="none"/>
        </w:rPr>
        <w:t xml:space="preserve">    </w:t>
      </w:r>
      <w:r>
        <w:rPr>
          <w:rFonts w:ascii="宋体" w:hAnsi="宋体" w:eastAsia="宋体" w:cs="宋体"/>
          <w:color w:val="auto"/>
          <w:spacing w:val="-6"/>
          <w:sz w:val="31"/>
          <w:szCs w:val="31"/>
          <w:highlight w:val="none"/>
        </w:rPr>
        <w:t>月</w:t>
      </w:r>
      <w:r>
        <w:rPr>
          <w:rFonts w:ascii="宋体" w:hAnsi="宋体" w:eastAsia="宋体" w:cs="宋体"/>
          <w:color w:val="auto"/>
          <w:spacing w:val="22"/>
          <w:sz w:val="31"/>
          <w:szCs w:val="31"/>
          <w:highlight w:val="none"/>
        </w:rPr>
        <w:t xml:space="preserve">    </w:t>
      </w:r>
      <w:r>
        <w:rPr>
          <w:rFonts w:ascii="宋体" w:hAnsi="宋体" w:eastAsia="宋体" w:cs="宋体"/>
          <w:color w:val="auto"/>
          <w:spacing w:val="-6"/>
          <w:sz w:val="31"/>
          <w:szCs w:val="31"/>
          <w:highlight w:val="none"/>
        </w:rPr>
        <w:t>日</w:t>
      </w:r>
    </w:p>
    <w:p w14:paraId="6159920F">
      <w:pPr>
        <w:spacing w:line="225" w:lineRule="auto"/>
        <w:rPr>
          <w:rFonts w:ascii="宋体" w:hAnsi="宋体" w:eastAsia="宋体" w:cs="宋体"/>
          <w:color w:val="auto"/>
          <w:sz w:val="31"/>
          <w:szCs w:val="31"/>
          <w:highlight w:val="none"/>
        </w:rPr>
        <w:sectPr>
          <w:footerReference r:id="rId40" w:type="default"/>
          <w:pgSz w:w="11910" w:h="16840"/>
          <w:pgMar w:top="400" w:right="1418" w:bottom="1079" w:left="1786" w:header="0" w:footer="843" w:gutter="0"/>
          <w:pgNumType w:fmt="decimal"/>
          <w:cols w:space="720" w:num="1"/>
        </w:sectPr>
      </w:pPr>
    </w:p>
    <w:p w14:paraId="06D8C471">
      <w:pPr>
        <w:pStyle w:val="6"/>
        <w:spacing w:line="314" w:lineRule="auto"/>
        <w:rPr>
          <w:color w:val="auto"/>
          <w:highlight w:val="none"/>
        </w:rPr>
      </w:pPr>
    </w:p>
    <w:p w14:paraId="5D36DA4A">
      <w:pPr>
        <w:pStyle w:val="6"/>
        <w:spacing w:line="315" w:lineRule="auto"/>
        <w:rPr>
          <w:color w:val="auto"/>
          <w:highlight w:val="none"/>
        </w:rPr>
      </w:pPr>
    </w:p>
    <w:p w14:paraId="1401E921">
      <w:pPr>
        <w:pStyle w:val="6"/>
        <w:spacing w:line="315" w:lineRule="auto"/>
        <w:rPr>
          <w:color w:val="auto"/>
          <w:highlight w:val="none"/>
        </w:rPr>
      </w:pPr>
    </w:p>
    <w:p w14:paraId="31408CB4">
      <w:pPr>
        <w:spacing w:before="113" w:line="225" w:lineRule="auto"/>
        <w:ind w:left="2939"/>
        <w:rPr>
          <w:rFonts w:ascii="宋体" w:hAnsi="宋体" w:eastAsia="宋体" w:cs="宋体"/>
          <w:color w:val="auto"/>
          <w:sz w:val="35"/>
          <w:szCs w:val="35"/>
          <w:highlight w:val="none"/>
        </w:rPr>
      </w:pPr>
      <w:r>
        <w:rPr>
          <w:rFonts w:ascii="宋体" w:hAnsi="宋体" w:eastAsia="宋体" w:cs="宋体"/>
          <w:b/>
          <w:bCs/>
          <w:color w:val="auto"/>
          <w:spacing w:val="3"/>
          <w:sz w:val="35"/>
          <w:szCs w:val="35"/>
          <w:highlight w:val="none"/>
        </w:rPr>
        <w:t>资格证明文件目录</w:t>
      </w:r>
    </w:p>
    <w:p w14:paraId="3C22F263">
      <w:pPr>
        <w:spacing w:before="303" w:line="290" w:lineRule="auto"/>
        <w:ind w:left="1" w:firstLine="2"/>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一、营业执照(或事业法人登记证或其他工商等登记证明材料)复印件（供应商为自</w:t>
      </w:r>
      <w:r>
        <w:rPr>
          <w:rFonts w:ascii="宋体" w:hAnsi="宋体" w:eastAsia="宋体" w:cs="宋体"/>
          <w:color w:val="auto"/>
          <w:sz w:val="20"/>
          <w:szCs w:val="20"/>
          <w:highlight w:val="none"/>
        </w:rPr>
        <w:t xml:space="preserve"> </w:t>
      </w:r>
      <w:r>
        <w:rPr>
          <w:rFonts w:ascii="宋体" w:hAnsi="宋体" w:eastAsia="宋体" w:cs="宋体"/>
          <w:color w:val="auto"/>
          <w:spacing w:val="-2"/>
          <w:sz w:val="20"/>
          <w:szCs w:val="20"/>
          <w:highlight w:val="none"/>
        </w:rPr>
        <w:t>然人的，须提供自然人的身份证明）……………………………………………（页码）</w:t>
      </w:r>
    </w:p>
    <w:p w14:paraId="3BA0A5D6">
      <w:pPr>
        <w:spacing w:before="184" w:line="289" w:lineRule="auto"/>
        <w:ind w:right="99" w:firstLine="3"/>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二、符合参与政府采购活动的资格条件依法缴纳税收、社会保障资金等方面的材</w:t>
      </w:r>
      <w:r>
        <w:rPr>
          <w:rFonts w:ascii="宋体" w:hAnsi="宋体" w:eastAsia="宋体" w:cs="宋体"/>
          <w:color w:val="auto"/>
          <w:sz w:val="20"/>
          <w:szCs w:val="20"/>
          <w:highlight w:val="none"/>
        </w:rPr>
        <w:t>料………………………………………………………………</w:t>
      </w:r>
      <w:r>
        <w:rPr>
          <w:rFonts w:ascii="宋体" w:hAnsi="宋体" w:eastAsia="宋体" w:cs="宋体"/>
          <w:color w:val="auto"/>
          <w:spacing w:val="-1"/>
          <w:sz w:val="20"/>
          <w:szCs w:val="20"/>
          <w:highlight w:val="none"/>
        </w:rPr>
        <w:t>…………………（页码）</w:t>
      </w:r>
    </w:p>
    <w:p w14:paraId="0E7284C6">
      <w:pPr>
        <w:spacing w:before="178" w:line="219" w:lineRule="auto"/>
        <w:rPr>
          <w:rFonts w:ascii="宋体" w:hAnsi="宋体" w:eastAsia="宋体" w:cs="宋体"/>
          <w:color w:val="auto"/>
          <w:sz w:val="20"/>
          <w:szCs w:val="20"/>
          <w:highlight w:val="none"/>
        </w:rPr>
      </w:pPr>
      <w:r>
        <w:rPr>
          <w:rFonts w:ascii="宋体" w:hAnsi="宋体" w:eastAsia="宋体" w:cs="宋体"/>
          <w:color w:val="auto"/>
          <w:sz w:val="20"/>
          <w:szCs w:val="20"/>
          <w:highlight w:val="none"/>
        </w:rPr>
        <w:t>三、财务状况报告方面的材料………………………………</w:t>
      </w:r>
      <w:r>
        <w:rPr>
          <w:rFonts w:ascii="宋体" w:hAnsi="宋体" w:eastAsia="宋体" w:cs="宋体"/>
          <w:color w:val="auto"/>
          <w:spacing w:val="-1"/>
          <w:sz w:val="20"/>
          <w:szCs w:val="20"/>
          <w:highlight w:val="none"/>
        </w:rPr>
        <w:t>…………………（页码）</w:t>
      </w:r>
    </w:p>
    <w:p w14:paraId="43A2D606">
      <w:pPr>
        <w:spacing w:before="184" w:line="219" w:lineRule="auto"/>
        <w:ind w:left="23"/>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四、供应商直接控股股东信息表………………………………………………（页码）</w:t>
      </w:r>
    </w:p>
    <w:p w14:paraId="16B099A0">
      <w:pPr>
        <w:spacing w:before="180" w:line="219" w:lineRule="auto"/>
        <w:ind w:left="4"/>
        <w:rPr>
          <w:rFonts w:ascii="宋体" w:hAnsi="宋体" w:eastAsia="宋体" w:cs="宋体"/>
          <w:color w:val="auto"/>
          <w:sz w:val="20"/>
          <w:szCs w:val="20"/>
          <w:highlight w:val="none"/>
        </w:rPr>
      </w:pPr>
      <w:r>
        <w:rPr>
          <w:rFonts w:ascii="宋体" w:hAnsi="宋体" w:eastAsia="宋体" w:cs="宋体"/>
          <w:color w:val="auto"/>
          <w:sz w:val="20"/>
          <w:szCs w:val="20"/>
          <w:highlight w:val="none"/>
        </w:rPr>
        <w:t>五、供应商直接关联关系信息表…………………</w:t>
      </w:r>
      <w:r>
        <w:rPr>
          <w:rFonts w:ascii="宋体" w:hAnsi="宋体" w:eastAsia="宋体" w:cs="宋体"/>
          <w:color w:val="auto"/>
          <w:spacing w:val="-1"/>
          <w:sz w:val="20"/>
          <w:szCs w:val="20"/>
          <w:highlight w:val="none"/>
        </w:rPr>
        <w:t>……………………………（页码）</w:t>
      </w:r>
    </w:p>
    <w:p w14:paraId="5EF9D643">
      <w:pPr>
        <w:spacing w:before="183" w:line="220" w:lineRule="auto"/>
        <w:ind w:left="2"/>
        <w:rPr>
          <w:rFonts w:ascii="宋体" w:hAnsi="宋体" w:eastAsia="宋体" w:cs="宋体"/>
          <w:color w:val="auto"/>
          <w:sz w:val="20"/>
          <w:szCs w:val="20"/>
          <w:highlight w:val="none"/>
        </w:rPr>
      </w:pPr>
      <w:r>
        <w:rPr>
          <w:rFonts w:ascii="宋体" w:hAnsi="宋体" w:eastAsia="宋体" w:cs="宋体"/>
          <w:color w:val="auto"/>
          <w:sz w:val="20"/>
          <w:szCs w:val="20"/>
          <w:highlight w:val="none"/>
        </w:rPr>
        <w:t>六、资格声明函…………………………………………</w:t>
      </w:r>
      <w:r>
        <w:rPr>
          <w:rFonts w:ascii="宋体" w:hAnsi="宋体" w:eastAsia="宋体" w:cs="宋体"/>
          <w:color w:val="auto"/>
          <w:spacing w:val="-1"/>
          <w:sz w:val="20"/>
          <w:szCs w:val="20"/>
          <w:highlight w:val="none"/>
        </w:rPr>
        <w:t>………………………（页码）</w:t>
      </w:r>
    </w:p>
    <w:p w14:paraId="33EE299D">
      <w:pPr>
        <w:spacing w:before="181" w:line="313" w:lineRule="auto"/>
        <w:ind w:right="99"/>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七、供应商提供有效的具有建筑工程施工总承包三级（含三级）以上资质证书复印件；有效的安全生产许可证复印</w:t>
      </w:r>
      <w:r>
        <w:rPr>
          <w:rFonts w:ascii="宋体" w:hAnsi="宋体" w:eastAsia="宋体" w:cs="宋体"/>
          <w:color w:val="auto"/>
          <w:sz w:val="20"/>
          <w:szCs w:val="20"/>
          <w:highlight w:val="none"/>
        </w:rPr>
        <w:t>件…………………………………………………………………</w:t>
      </w:r>
      <w:r>
        <w:rPr>
          <w:rFonts w:ascii="宋体" w:hAnsi="宋体" w:eastAsia="宋体" w:cs="宋体"/>
          <w:color w:val="auto"/>
          <w:spacing w:val="-1"/>
          <w:sz w:val="20"/>
          <w:szCs w:val="20"/>
          <w:highlight w:val="none"/>
        </w:rPr>
        <w:t>………………（页码）</w:t>
      </w:r>
    </w:p>
    <w:p w14:paraId="4D55E76B">
      <w:pPr>
        <w:spacing w:before="179" w:line="290" w:lineRule="auto"/>
        <w:ind w:left="19" w:hanging="15"/>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 xml:space="preserve">八、供应商提供拟派项目经理具有建筑工程专业二级及以上注册建造师证书及有效 </w:t>
      </w:r>
      <w:r>
        <w:rPr>
          <w:rFonts w:ascii="宋体" w:hAnsi="宋体" w:eastAsia="宋体" w:cs="宋体"/>
          <w:color w:val="auto"/>
          <w:spacing w:val="-5"/>
          <w:sz w:val="20"/>
          <w:szCs w:val="20"/>
          <w:highlight w:val="none"/>
        </w:rPr>
        <w:t>的安全生产考核合格证书（B类）复印件…………………</w:t>
      </w:r>
      <w:r>
        <w:rPr>
          <w:rFonts w:ascii="宋体" w:hAnsi="宋体" w:eastAsia="宋体" w:cs="宋体"/>
          <w:color w:val="auto"/>
          <w:spacing w:val="-6"/>
          <w:sz w:val="20"/>
          <w:szCs w:val="20"/>
          <w:highlight w:val="none"/>
        </w:rPr>
        <w:t>………………………（页码）</w:t>
      </w:r>
    </w:p>
    <w:p w14:paraId="1A135083">
      <w:pPr>
        <w:spacing w:before="181" w:line="290" w:lineRule="auto"/>
        <w:ind w:right="99" w:firstLine="5"/>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九、中小企业声明函或残疾人福利性单位声明函或投标人属于监狱企业的</w:t>
      </w:r>
      <w:r>
        <w:rPr>
          <w:rFonts w:ascii="宋体" w:hAnsi="宋体" w:eastAsia="宋体" w:cs="宋体"/>
          <w:color w:val="auto"/>
          <w:spacing w:val="8"/>
          <w:sz w:val="20"/>
          <w:szCs w:val="20"/>
          <w:highlight w:val="none"/>
        </w:rPr>
        <w:t>证明材</w:t>
      </w:r>
      <w:r>
        <w:rPr>
          <w:rFonts w:ascii="宋体" w:hAnsi="宋体" w:eastAsia="宋体" w:cs="宋体"/>
          <w:color w:val="auto"/>
          <w:sz w:val="20"/>
          <w:szCs w:val="20"/>
          <w:highlight w:val="none"/>
        </w:rPr>
        <w:t xml:space="preserve"> 料………………………………………………………………</w:t>
      </w:r>
      <w:r>
        <w:rPr>
          <w:rFonts w:ascii="宋体" w:hAnsi="宋体" w:eastAsia="宋体" w:cs="宋体"/>
          <w:color w:val="auto"/>
          <w:spacing w:val="-1"/>
          <w:sz w:val="20"/>
          <w:szCs w:val="20"/>
          <w:highlight w:val="none"/>
        </w:rPr>
        <w:t>…………………（页码）</w:t>
      </w:r>
    </w:p>
    <w:p w14:paraId="141CDE36">
      <w:pPr>
        <w:spacing w:before="179" w:line="219" w:lineRule="auto"/>
        <w:jc w:val="both"/>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十、除磋商文件规定必须提供以外，供应商认为需要提供的其他证明材料…（页码）</w:t>
      </w:r>
    </w:p>
    <w:p w14:paraId="744D15FB">
      <w:pPr>
        <w:pStyle w:val="6"/>
        <w:spacing w:line="258" w:lineRule="auto"/>
        <w:rPr>
          <w:color w:val="auto"/>
          <w:sz w:val="20"/>
          <w:szCs w:val="20"/>
          <w:highlight w:val="none"/>
        </w:rPr>
      </w:pPr>
    </w:p>
    <w:p w14:paraId="4C91FBD9">
      <w:pPr>
        <w:pStyle w:val="6"/>
        <w:spacing w:line="258" w:lineRule="auto"/>
        <w:rPr>
          <w:color w:val="auto"/>
          <w:sz w:val="20"/>
          <w:szCs w:val="20"/>
          <w:highlight w:val="none"/>
        </w:rPr>
      </w:pPr>
    </w:p>
    <w:p w14:paraId="5D14CE69">
      <w:pPr>
        <w:pStyle w:val="6"/>
        <w:spacing w:line="258" w:lineRule="auto"/>
        <w:rPr>
          <w:color w:val="auto"/>
          <w:sz w:val="20"/>
          <w:szCs w:val="20"/>
          <w:highlight w:val="none"/>
        </w:rPr>
      </w:pPr>
    </w:p>
    <w:p w14:paraId="7FB94E08">
      <w:pPr>
        <w:pStyle w:val="6"/>
        <w:spacing w:line="258" w:lineRule="auto"/>
        <w:rPr>
          <w:color w:val="auto"/>
          <w:sz w:val="20"/>
          <w:szCs w:val="20"/>
          <w:highlight w:val="none"/>
        </w:rPr>
      </w:pPr>
    </w:p>
    <w:p w14:paraId="349F7D45">
      <w:pPr>
        <w:spacing w:before="79" w:line="360" w:lineRule="auto"/>
        <w:ind w:left="3" w:right="99" w:hanging="3"/>
        <w:rPr>
          <w:rFonts w:ascii="宋体" w:hAnsi="宋体" w:eastAsia="宋体" w:cs="宋体"/>
          <w:color w:val="auto"/>
          <w:sz w:val="20"/>
          <w:szCs w:val="20"/>
          <w:highlight w:val="none"/>
        </w:rPr>
      </w:pPr>
      <w:r>
        <w:rPr>
          <w:rFonts w:ascii="宋体" w:hAnsi="宋体" w:eastAsia="宋体" w:cs="宋体"/>
          <w:b/>
          <w:bCs/>
          <w:color w:val="auto"/>
          <w:sz w:val="20"/>
          <w:szCs w:val="20"/>
          <w:highlight w:val="none"/>
        </w:rPr>
        <w:t>注：以上目录是编制供应商响应文件的基本格式要求</w:t>
      </w:r>
      <w:r>
        <w:rPr>
          <w:rFonts w:ascii="宋体" w:hAnsi="宋体" w:eastAsia="宋体" w:cs="宋体"/>
          <w:b/>
          <w:bCs/>
          <w:color w:val="auto"/>
          <w:spacing w:val="-1"/>
          <w:sz w:val="20"/>
          <w:szCs w:val="20"/>
          <w:highlight w:val="none"/>
        </w:rPr>
        <w:t>，各供应商可根据自身情况进</w:t>
      </w:r>
      <w:r>
        <w:rPr>
          <w:rFonts w:ascii="宋体" w:hAnsi="宋体" w:eastAsia="宋体" w:cs="宋体"/>
          <w:color w:val="auto"/>
          <w:sz w:val="20"/>
          <w:szCs w:val="20"/>
          <w:highlight w:val="none"/>
        </w:rPr>
        <w:t xml:space="preserve"> </w:t>
      </w:r>
      <w:r>
        <w:rPr>
          <w:rFonts w:ascii="宋体" w:hAnsi="宋体" w:eastAsia="宋体" w:cs="宋体"/>
          <w:b/>
          <w:bCs/>
          <w:color w:val="auto"/>
          <w:spacing w:val="-5"/>
          <w:sz w:val="20"/>
          <w:szCs w:val="20"/>
          <w:highlight w:val="none"/>
        </w:rPr>
        <w:t>一步细化。</w:t>
      </w:r>
    </w:p>
    <w:p w14:paraId="795A2F87">
      <w:pPr>
        <w:spacing w:line="360" w:lineRule="auto"/>
        <w:rPr>
          <w:rFonts w:ascii="宋体" w:hAnsi="宋体" w:eastAsia="宋体" w:cs="宋体"/>
          <w:color w:val="auto"/>
          <w:sz w:val="20"/>
          <w:szCs w:val="20"/>
          <w:highlight w:val="none"/>
        </w:rPr>
        <w:sectPr>
          <w:footerReference r:id="rId41" w:type="default"/>
          <w:pgSz w:w="11910" w:h="16840"/>
          <w:pgMar w:top="400" w:right="1402" w:bottom="1079" w:left="1688" w:header="0" w:footer="843" w:gutter="0"/>
          <w:pgNumType w:fmt="decimal"/>
          <w:cols w:space="720" w:num="1"/>
        </w:sectPr>
      </w:pPr>
    </w:p>
    <w:p w14:paraId="2B9172C4">
      <w:pPr>
        <w:pStyle w:val="6"/>
        <w:spacing w:line="293" w:lineRule="auto"/>
        <w:rPr>
          <w:color w:val="auto"/>
          <w:highlight w:val="none"/>
        </w:rPr>
      </w:pPr>
    </w:p>
    <w:p w14:paraId="7211E048">
      <w:pPr>
        <w:pStyle w:val="6"/>
        <w:spacing w:line="293" w:lineRule="auto"/>
        <w:rPr>
          <w:color w:val="auto"/>
          <w:highlight w:val="none"/>
        </w:rPr>
      </w:pPr>
    </w:p>
    <w:p w14:paraId="5AB8FCE7">
      <w:pPr>
        <w:pStyle w:val="6"/>
        <w:spacing w:line="294" w:lineRule="auto"/>
        <w:rPr>
          <w:color w:val="auto"/>
          <w:highlight w:val="none"/>
        </w:rPr>
      </w:pPr>
    </w:p>
    <w:p w14:paraId="32C0AA78">
      <w:pPr>
        <w:spacing w:before="98" w:line="361" w:lineRule="auto"/>
        <w:ind w:right="1" w:firstLine="397"/>
        <w:rPr>
          <w:rFonts w:ascii="宋体" w:hAnsi="宋体" w:eastAsia="宋体" w:cs="宋体"/>
          <w:color w:val="auto"/>
          <w:sz w:val="30"/>
          <w:szCs w:val="30"/>
          <w:highlight w:val="none"/>
        </w:rPr>
      </w:pPr>
      <w:r>
        <w:rPr>
          <w:rFonts w:ascii="宋体" w:hAnsi="宋体" w:eastAsia="宋体" w:cs="宋体"/>
          <w:b/>
          <w:bCs/>
          <w:color w:val="auto"/>
          <w:spacing w:val="4"/>
          <w:sz w:val="30"/>
          <w:szCs w:val="30"/>
          <w:highlight w:val="none"/>
        </w:rPr>
        <w:t>一、营业执照(或事业法人登记证或其他工商等登记证明材料)</w:t>
      </w:r>
      <w:r>
        <w:rPr>
          <w:rFonts w:ascii="宋体" w:hAnsi="宋体" w:eastAsia="宋体" w:cs="宋体"/>
          <w:color w:val="auto"/>
          <w:spacing w:val="9"/>
          <w:sz w:val="30"/>
          <w:szCs w:val="30"/>
          <w:highlight w:val="none"/>
        </w:rPr>
        <w:t xml:space="preserve"> </w:t>
      </w:r>
      <w:r>
        <w:rPr>
          <w:rFonts w:ascii="宋体" w:hAnsi="宋体" w:eastAsia="宋体" w:cs="宋体"/>
          <w:b/>
          <w:bCs/>
          <w:color w:val="auto"/>
          <w:spacing w:val="-3"/>
          <w:sz w:val="30"/>
          <w:szCs w:val="30"/>
          <w:highlight w:val="none"/>
        </w:rPr>
        <w:t>复印件（供应商为自然人的，提供自然人的身份证明）</w:t>
      </w:r>
    </w:p>
    <w:p w14:paraId="6EC11E33">
      <w:pPr>
        <w:pStyle w:val="6"/>
        <w:spacing w:line="244" w:lineRule="auto"/>
        <w:rPr>
          <w:color w:val="auto"/>
          <w:highlight w:val="none"/>
        </w:rPr>
      </w:pPr>
    </w:p>
    <w:p w14:paraId="51202E93">
      <w:pPr>
        <w:pStyle w:val="6"/>
        <w:spacing w:line="244" w:lineRule="auto"/>
        <w:rPr>
          <w:color w:val="auto"/>
          <w:highlight w:val="none"/>
        </w:rPr>
      </w:pPr>
    </w:p>
    <w:p w14:paraId="7B3549EC">
      <w:pPr>
        <w:spacing w:before="78" w:line="219" w:lineRule="auto"/>
        <w:ind w:left="387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供应商名称（电子签章</w:t>
      </w:r>
      <w:r>
        <w:rPr>
          <w:rFonts w:ascii="宋体" w:hAnsi="宋体" w:eastAsia="宋体" w:cs="宋体"/>
          <w:color w:val="auto"/>
          <w:sz w:val="24"/>
          <w:szCs w:val="24"/>
          <w:highlight w:val="none"/>
        </w:rPr>
        <w:t>）：</w:t>
      </w:r>
    </w:p>
    <w:p w14:paraId="4FC77ED0">
      <w:pPr>
        <w:spacing w:before="180" w:line="220" w:lineRule="auto"/>
        <w:ind w:left="6150"/>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14:paraId="72827DE1">
      <w:pPr>
        <w:pStyle w:val="6"/>
        <w:spacing w:line="247" w:lineRule="auto"/>
        <w:rPr>
          <w:color w:val="auto"/>
          <w:highlight w:val="none"/>
        </w:rPr>
      </w:pPr>
    </w:p>
    <w:p w14:paraId="010C2D98">
      <w:pPr>
        <w:pStyle w:val="6"/>
        <w:spacing w:line="247" w:lineRule="auto"/>
        <w:rPr>
          <w:color w:val="auto"/>
          <w:highlight w:val="none"/>
        </w:rPr>
      </w:pPr>
    </w:p>
    <w:p w14:paraId="3864B2AB">
      <w:pPr>
        <w:pStyle w:val="6"/>
        <w:spacing w:line="247" w:lineRule="auto"/>
        <w:rPr>
          <w:color w:val="auto"/>
          <w:highlight w:val="none"/>
        </w:rPr>
      </w:pPr>
    </w:p>
    <w:p w14:paraId="09ADA6B2">
      <w:pPr>
        <w:pStyle w:val="6"/>
        <w:spacing w:line="247" w:lineRule="auto"/>
        <w:rPr>
          <w:color w:val="auto"/>
          <w:highlight w:val="none"/>
        </w:rPr>
      </w:pPr>
    </w:p>
    <w:p w14:paraId="6A9DF885">
      <w:pPr>
        <w:pStyle w:val="6"/>
        <w:spacing w:line="247" w:lineRule="auto"/>
        <w:rPr>
          <w:color w:val="auto"/>
          <w:highlight w:val="none"/>
        </w:rPr>
      </w:pPr>
    </w:p>
    <w:p w14:paraId="1401A4B8">
      <w:pPr>
        <w:pStyle w:val="6"/>
        <w:spacing w:line="247" w:lineRule="auto"/>
        <w:rPr>
          <w:color w:val="auto"/>
          <w:highlight w:val="none"/>
        </w:rPr>
      </w:pPr>
    </w:p>
    <w:p w14:paraId="05E931C0">
      <w:pPr>
        <w:pStyle w:val="6"/>
        <w:spacing w:line="247" w:lineRule="auto"/>
        <w:rPr>
          <w:color w:val="auto"/>
          <w:highlight w:val="none"/>
        </w:rPr>
      </w:pPr>
    </w:p>
    <w:p w14:paraId="5669C0ED">
      <w:pPr>
        <w:spacing w:before="98" w:line="361" w:lineRule="auto"/>
        <w:ind w:left="7" w:firstLine="589"/>
        <w:rPr>
          <w:rFonts w:ascii="宋体" w:hAnsi="宋体" w:eastAsia="宋体" w:cs="宋体"/>
          <w:color w:val="auto"/>
          <w:sz w:val="30"/>
          <w:szCs w:val="30"/>
          <w:highlight w:val="none"/>
        </w:rPr>
      </w:pPr>
      <w:r>
        <w:rPr>
          <w:rFonts w:ascii="宋体" w:hAnsi="宋体" w:eastAsia="宋体" w:cs="宋体"/>
          <w:b/>
          <w:bCs/>
          <w:color w:val="auto"/>
          <w:spacing w:val="-3"/>
          <w:sz w:val="30"/>
          <w:szCs w:val="30"/>
          <w:highlight w:val="none"/>
        </w:rPr>
        <w:t>二、符合参与政府采购活动的资格条件依法缴纳税收、社会保</w:t>
      </w:r>
      <w:r>
        <w:rPr>
          <w:rFonts w:ascii="宋体" w:hAnsi="宋体" w:eastAsia="宋体" w:cs="宋体"/>
          <w:color w:val="auto"/>
          <w:spacing w:val="7"/>
          <w:sz w:val="30"/>
          <w:szCs w:val="30"/>
          <w:highlight w:val="none"/>
        </w:rPr>
        <w:t xml:space="preserve"> </w:t>
      </w:r>
      <w:r>
        <w:rPr>
          <w:rFonts w:ascii="宋体" w:hAnsi="宋体" w:eastAsia="宋体" w:cs="宋体"/>
          <w:b/>
          <w:bCs/>
          <w:color w:val="auto"/>
          <w:spacing w:val="-6"/>
          <w:sz w:val="30"/>
          <w:szCs w:val="30"/>
          <w:highlight w:val="none"/>
        </w:rPr>
        <w:t>障资金等方面的材料</w:t>
      </w:r>
    </w:p>
    <w:p w14:paraId="08E3720F">
      <w:pPr>
        <w:pStyle w:val="6"/>
        <w:spacing w:line="247" w:lineRule="auto"/>
        <w:rPr>
          <w:color w:val="auto"/>
          <w:highlight w:val="none"/>
        </w:rPr>
      </w:pPr>
    </w:p>
    <w:p w14:paraId="32579115">
      <w:pPr>
        <w:spacing w:before="78" w:line="219" w:lineRule="auto"/>
        <w:ind w:left="387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供应商名称（电子签章</w:t>
      </w:r>
      <w:r>
        <w:rPr>
          <w:rFonts w:ascii="宋体" w:hAnsi="宋体" w:eastAsia="宋体" w:cs="宋体"/>
          <w:color w:val="auto"/>
          <w:sz w:val="24"/>
          <w:szCs w:val="24"/>
          <w:highlight w:val="none"/>
        </w:rPr>
        <w:t>）：</w:t>
      </w:r>
    </w:p>
    <w:p w14:paraId="0C718D79">
      <w:pPr>
        <w:spacing w:before="183" w:line="220" w:lineRule="auto"/>
        <w:ind w:left="6150"/>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14:paraId="59C902C5">
      <w:pPr>
        <w:pStyle w:val="6"/>
        <w:spacing w:line="268" w:lineRule="auto"/>
        <w:rPr>
          <w:color w:val="auto"/>
          <w:highlight w:val="none"/>
        </w:rPr>
      </w:pPr>
    </w:p>
    <w:p w14:paraId="3B18EFE4">
      <w:pPr>
        <w:pStyle w:val="6"/>
        <w:spacing w:line="268" w:lineRule="auto"/>
        <w:rPr>
          <w:color w:val="auto"/>
          <w:highlight w:val="none"/>
        </w:rPr>
      </w:pPr>
    </w:p>
    <w:p w14:paraId="7C6DBD05">
      <w:pPr>
        <w:pStyle w:val="6"/>
        <w:spacing w:line="268" w:lineRule="auto"/>
        <w:rPr>
          <w:color w:val="auto"/>
          <w:highlight w:val="none"/>
        </w:rPr>
      </w:pPr>
    </w:p>
    <w:p w14:paraId="161C5360">
      <w:pPr>
        <w:pStyle w:val="6"/>
        <w:spacing w:line="268" w:lineRule="auto"/>
        <w:rPr>
          <w:color w:val="auto"/>
          <w:highlight w:val="none"/>
        </w:rPr>
      </w:pPr>
    </w:p>
    <w:p w14:paraId="44F837EB">
      <w:pPr>
        <w:pStyle w:val="6"/>
        <w:spacing w:line="268" w:lineRule="auto"/>
        <w:rPr>
          <w:color w:val="auto"/>
          <w:highlight w:val="none"/>
        </w:rPr>
      </w:pPr>
    </w:p>
    <w:p w14:paraId="56DEBFB6">
      <w:pPr>
        <w:pStyle w:val="6"/>
        <w:spacing w:line="269" w:lineRule="auto"/>
        <w:rPr>
          <w:color w:val="auto"/>
          <w:highlight w:val="none"/>
        </w:rPr>
      </w:pPr>
    </w:p>
    <w:p w14:paraId="434A20EF">
      <w:pPr>
        <w:pStyle w:val="6"/>
        <w:spacing w:line="269" w:lineRule="auto"/>
        <w:rPr>
          <w:color w:val="auto"/>
          <w:highlight w:val="none"/>
        </w:rPr>
      </w:pPr>
    </w:p>
    <w:p w14:paraId="3189BEA6">
      <w:pPr>
        <w:spacing w:before="98" w:line="219" w:lineRule="auto"/>
        <w:ind w:left="584"/>
        <w:rPr>
          <w:rFonts w:ascii="宋体" w:hAnsi="宋体" w:eastAsia="宋体" w:cs="宋体"/>
          <w:color w:val="auto"/>
          <w:sz w:val="30"/>
          <w:szCs w:val="30"/>
          <w:highlight w:val="none"/>
        </w:rPr>
      </w:pPr>
      <w:r>
        <w:rPr>
          <w:rFonts w:ascii="宋体" w:hAnsi="宋体" w:eastAsia="宋体" w:cs="宋体"/>
          <w:b/>
          <w:bCs/>
          <w:color w:val="auto"/>
          <w:spacing w:val="-3"/>
          <w:sz w:val="30"/>
          <w:szCs w:val="30"/>
          <w:highlight w:val="none"/>
        </w:rPr>
        <w:t>三、财务状况报告方面的材料</w:t>
      </w:r>
    </w:p>
    <w:p w14:paraId="17FFCF98">
      <w:pPr>
        <w:pStyle w:val="6"/>
        <w:spacing w:line="381" w:lineRule="auto"/>
        <w:rPr>
          <w:color w:val="auto"/>
          <w:highlight w:val="none"/>
        </w:rPr>
      </w:pPr>
    </w:p>
    <w:p w14:paraId="5734C679">
      <w:pPr>
        <w:spacing w:before="78" w:line="219" w:lineRule="auto"/>
        <w:ind w:left="387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供应商名称（电子签章</w:t>
      </w:r>
      <w:r>
        <w:rPr>
          <w:rFonts w:ascii="宋体" w:hAnsi="宋体" w:eastAsia="宋体" w:cs="宋体"/>
          <w:color w:val="auto"/>
          <w:sz w:val="24"/>
          <w:szCs w:val="24"/>
          <w:highlight w:val="none"/>
        </w:rPr>
        <w:t>）：</w:t>
      </w:r>
    </w:p>
    <w:p w14:paraId="2BF09A5E">
      <w:pPr>
        <w:spacing w:before="183" w:line="220" w:lineRule="auto"/>
        <w:ind w:left="6150"/>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14:paraId="04FF8AB5">
      <w:pPr>
        <w:spacing w:line="220" w:lineRule="auto"/>
        <w:rPr>
          <w:rFonts w:ascii="宋体" w:hAnsi="宋体" w:eastAsia="宋体" w:cs="宋体"/>
          <w:color w:val="auto"/>
          <w:sz w:val="24"/>
          <w:szCs w:val="24"/>
          <w:highlight w:val="none"/>
        </w:rPr>
        <w:sectPr>
          <w:footerReference r:id="rId42" w:type="default"/>
          <w:pgSz w:w="11910" w:h="16840"/>
          <w:pgMar w:top="400" w:right="1501" w:bottom="1079" w:left="1699" w:header="0" w:footer="843" w:gutter="0"/>
          <w:pgNumType w:fmt="decimal"/>
          <w:cols w:space="720" w:num="1"/>
        </w:sectPr>
      </w:pPr>
    </w:p>
    <w:p w14:paraId="4BB323A4">
      <w:pPr>
        <w:pStyle w:val="6"/>
        <w:spacing w:line="294" w:lineRule="auto"/>
        <w:rPr>
          <w:color w:val="auto"/>
          <w:highlight w:val="none"/>
        </w:rPr>
      </w:pPr>
    </w:p>
    <w:p w14:paraId="37E9BED3">
      <w:pPr>
        <w:pStyle w:val="6"/>
        <w:spacing w:line="294" w:lineRule="auto"/>
        <w:rPr>
          <w:color w:val="auto"/>
          <w:highlight w:val="none"/>
        </w:rPr>
      </w:pPr>
    </w:p>
    <w:p w14:paraId="3680AA6A">
      <w:pPr>
        <w:pStyle w:val="6"/>
        <w:spacing w:line="294" w:lineRule="auto"/>
        <w:rPr>
          <w:color w:val="auto"/>
          <w:highlight w:val="none"/>
        </w:rPr>
      </w:pPr>
    </w:p>
    <w:p w14:paraId="057C38A1">
      <w:pPr>
        <w:spacing w:before="98" w:line="219" w:lineRule="auto"/>
        <w:ind w:left="1346"/>
        <w:rPr>
          <w:rFonts w:ascii="宋体" w:hAnsi="宋体" w:eastAsia="宋体" w:cs="宋体"/>
          <w:color w:val="auto"/>
          <w:sz w:val="30"/>
          <w:szCs w:val="30"/>
          <w:highlight w:val="none"/>
        </w:rPr>
      </w:pPr>
      <w:r>
        <w:rPr>
          <w:rFonts w:ascii="宋体" w:hAnsi="宋体" w:eastAsia="宋体" w:cs="宋体"/>
          <w:b/>
          <w:bCs/>
          <w:color w:val="auto"/>
          <w:spacing w:val="-5"/>
          <w:sz w:val="30"/>
          <w:szCs w:val="30"/>
          <w:highlight w:val="none"/>
        </w:rPr>
        <w:t>四、供应商直接控股股东信息表</w:t>
      </w:r>
    </w:p>
    <w:p w14:paraId="61068447">
      <w:pPr>
        <w:pStyle w:val="6"/>
        <w:spacing w:line="354" w:lineRule="auto"/>
        <w:rPr>
          <w:color w:val="auto"/>
          <w:highlight w:val="none"/>
        </w:rPr>
      </w:pPr>
    </w:p>
    <w:p w14:paraId="094284A4">
      <w:pPr>
        <w:pStyle w:val="6"/>
        <w:spacing w:line="354" w:lineRule="auto"/>
        <w:rPr>
          <w:color w:val="auto"/>
          <w:highlight w:val="none"/>
        </w:rPr>
      </w:pPr>
    </w:p>
    <w:p w14:paraId="67E253EC">
      <w:pPr>
        <w:spacing w:before="98" w:line="219" w:lineRule="auto"/>
        <w:ind w:left="3283"/>
        <w:rPr>
          <w:rFonts w:ascii="宋体" w:hAnsi="宋体" w:eastAsia="宋体" w:cs="宋体"/>
          <w:color w:val="auto"/>
          <w:sz w:val="20"/>
          <w:szCs w:val="20"/>
          <w:highlight w:val="none"/>
        </w:rPr>
      </w:pPr>
      <w:r>
        <w:rPr>
          <w:rFonts w:ascii="宋体" w:hAnsi="宋体" w:eastAsia="宋体" w:cs="宋体"/>
          <w:b/>
          <w:bCs/>
          <w:color w:val="auto"/>
          <w:spacing w:val="-4"/>
          <w:sz w:val="20"/>
          <w:szCs w:val="20"/>
          <w:highlight w:val="none"/>
        </w:rPr>
        <w:t>供应商直接控股股东信息表</w:t>
      </w:r>
    </w:p>
    <w:p w14:paraId="25042FB4">
      <w:pPr>
        <w:spacing w:line="183" w:lineRule="exact"/>
        <w:rPr>
          <w:color w:val="auto"/>
          <w:sz w:val="20"/>
          <w:szCs w:val="20"/>
          <w:highlight w:val="none"/>
        </w:rPr>
      </w:pPr>
    </w:p>
    <w:tbl>
      <w:tblPr>
        <w:tblStyle w:val="19"/>
        <w:tblW w:w="101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4"/>
        <w:gridCol w:w="2654"/>
        <w:gridCol w:w="1454"/>
        <w:gridCol w:w="4285"/>
        <w:gridCol w:w="874"/>
      </w:tblGrid>
      <w:tr w14:paraId="25F0B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884" w:type="dxa"/>
            <w:vAlign w:val="top"/>
          </w:tcPr>
          <w:p w14:paraId="776AFF41">
            <w:pPr>
              <w:pStyle w:val="20"/>
              <w:spacing w:before="159" w:line="222" w:lineRule="auto"/>
              <w:ind w:left="206"/>
              <w:rPr>
                <w:color w:val="auto"/>
                <w:sz w:val="20"/>
                <w:szCs w:val="20"/>
                <w:highlight w:val="none"/>
              </w:rPr>
            </w:pPr>
            <w:r>
              <w:rPr>
                <w:b/>
                <w:bCs/>
                <w:color w:val="auto"/>
                <w:spacing w:val="-7"/>
                <w:sz w:val="20"/>
                <w:szCs w:val="20"/>
                <w:highlight w:val="none"/>
              </w:rPr>
              <w:t>序号</w:t>
            </w:r>
          </w:p>
        </w:tc>
        <w:tc>
          <w:tcPr>
            <w:tcW w:w="2654" w:type="dxa"/>
            <w:vAlign w:val="top"/>
          </w:tcPr>
          <w:p w14:paraId="036B2B9D">
            <w:pPr>
              <w:pStyle w:val="20"/>
              <w:spacing w:before="159" w:line="220" w:lineRule="auto"/>
              <w:ind w:left="368"/>
              <w:rPr>
                <w:color w:val="auto"/>
                <w:sz w:val="20"/>
                <w:szCs w:val="20"/>
                <w:highlight w:val="none"/>
              </w:rPr>
            </w:pPr>
            <w:r>
              <w:rPr>
                <w:b/>
                <w:bCs/>
                <w:color w:val="auto"/>
                <w:spacing w:val="-4"/>
                <w:sz w:val="20"/>
                <w:szCs w:val="20"/>
                <w:highlight w:val="none"/>
              </w:rPr>
              <w:t>直接控股股东名称</w:t>
            </w:r>
          </w:p>
        </w:tc>
        <w:tc>
          <w:tcPr>
            <w:tcW w:w="1454" w:type="dxa"/>
            <w:vAlign w:val="top"/>
          </w:tcPr>
          <w:p w14:paraId="2EDD8FB9">
            <w:pPr>
              <w:pStyle w:val="20"/>
              <w:spacing w:before="159" w:line="222" w:lineRule="auto"/>
              <w:ind w:left="272"/>
              <w:rPr>
                <w:color w:val="auto"/>
                <w:sz w:val="20"/>
                <w:szCs w:val="20"/>
                <w:highlight w:val="none"/>
              </w:rPr>
            </w:pPr>
            <w:r>
              <w:rPr>
                <w:b/>
                <w:bCs/>
                <w:color w:val="auto"/>
                <w:spacing w:val="-10"/>
                <w:sz w:val="20"/>
                <w:szCs w:val="20"/>
                <w:highlight w:val="none"/>
              </w:rPr>
              <w:t>出资比例</w:t>
            </w:r>
          </w:p>
        </w:tc>
        <w:tc>
          <w:tcPr>
            <w:tcW w:w="4285" w:type="dxa"/>
            <w:vAlign w:val="top"/>
          </w:tcPr>
          <w:p w14:paraId="56902EB7">
            <w:pPr>
              <w:pStyle w:val="20"/>
              <w:spacing w:before="160" w:line="219" w:lineRule="auto"/>
              <w:ind w:left="350"/>
              <w:rPr>
                <w:color w:val="auto"/>
                <w:sz w:val="20"/>
                <w:szCs w:val="20"/>
                <w:highlight w:val="none"/>
              </w:rPr>
            </w:pPr>
            <w:r>
              <w:rPr>
                <w:b/>
                <w:bCs/>
                <w:color w:val="auto"/>
                <w:spacing w:val="-3"/>
                <w:sz w:val="20"/>
                <w:szCs w:val="20"/>
                <w:highlight w:val="none"/>
              </w:rPr>
              <w:t>身份证号码或者统一社会信用代码</w:t>
            </w:r>
          </w:p>
        </w:tc>
        <w:tc>
          <w:tcPr>
            <w:tcW w:w="874" w:type="dxa"/>
            <w:vAlign w:val="top"/>
          </w:tcPr>
          <w:p w14:paraId="37629CAA">
            <w:pPr>
              <w:pStyle w:val="20"/>
              <w:spacing w:before="159" w:line="222" w:lineRule="auto"/>
              <w:ind w:left="206"/>
              <w:rPr>
                <w:color w:val="auto"/>
                <w:sz w:val="20"/>
                <w:szCs w:val="20"/>
                <w:highlight w:val="none"/>
              </w:rPr>
            </w:pPr>
            <w:r>
              <w:rPr>
                <w:b/>
                <w:bCs/>
                <w:color w:val="auto"/>
                <w:spacing w:val="-9"/>
                <w:sz w:val="20"/>
                <w:szCs w:val="20"/>
                <w:highlight w:val="none"/>
              </w:rPr>
              <w:t>备注</w:t>
            </w:r>
          </w:p>
        </w:tc>
      </w:tr>
      <w:tr w14:paraId="0956B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84" w:type="dxa"/>
            <w:vAlign w:val="top"/>
          </w:tcPr>
          <w:p w14:paraId="6BD0AE71">
            <w:pPr>
              <w:pStyle w:val="20"/>
              <w:spacing w:before="155" w:line="242" w:lineRule="auto"/>
              <w:ind w:left="407"/>
              <w:rPr>
                <w:color w:val="auto"/>
                <w:sz w:val="20"/>
                <w:szCs w:val="20"/>
                <w:highlight w:val="none"/>
              </w:rPr>
            </w:pPr>
            <w:r>
              <w:rPr>
                <w:color w:val="auto"/>
                <w:sz w:val="20"/>
                <w:szCs w:val="20"/>
                <w:highlight w:val="none"/>
              </w:rPr>
              <w:t>1</w:t>
            </w:r>
          </w:p>
        </w:tc>
        <w:tc>
          <w:tcPr>
            <w:tcW w:w="2654" w:type="dxa"/>
            <w:vAlign w:val="top"/>
          </w:tcPr>
          <w:p w14:paraId="3347D99A">
            <w:pPr>
              <w:rPr>
                <w:rFonts w:ascii="Arial"/>
                <w:color w:val="auto"/>
                <w:sz w:val="20"/>
                <w:szCs w:val="20"/>
                <w:highlight w:val="none"/>
              </w:rPr>
            </w:pPr>
          </w:p>
        </w:tc>
        <w:tc>
          <w:tcPr>
            <w:tcW w:w="1454" w:type="dxa"/>
            <w:vAlign w:val="top"/>
          </w:tcPr>
          <w:p w14:paraId="01501217">
            <w:pPr>
              <w:rPr>
                <w:rFonts w:ascii="Arial"/>
                <w:color w:val="auto"/>
                <w:sz w:val="20"/>
                <w:szCs w:val="20"/>
                <w:highlight w:val="none"/>
              </w:rPr>
            </w:pPr>
          </w:p>
        </w:tc>
        <w:tc>
          <w:tcPr>
            <w:tcW w:w="4285" w:type="dxa"/>
            <w:vAlign w:val="top"/>
          </w:tcPr>
          <w:p w14:paraId="49BD6FB4">
            <w:pPr>
              <w:rPr>
                <w:rFonts w:ascii="Arial"/>
                <w:color w:val="auto"/>
                <w:sz w:val="20"/>
                <w:szCs w:val="20"/>
                <w:highlight w:val="none"/>
              </w:rPr>
            </w:pPr>
          </w:p>
        </w:tc>
        <w:tc>
          <w:tcPr>
            <w:tcW w:w="874" w:type="dxa"/>
            <w:vAlign w:val="top"/>
          </w:tcPr>
          <w:p w14:paraId="20FE11A7">
            <w:pPr>
              <w:rPr>
                <w:rFonts w:ascii="Arial"/>
                <w:color w:val="auto"/>
                <w:sz w:val="20"/>
                <w:szCs w:val="20"/>
                <w:highlight w:val="none"/>
              </w:rPr>
            </w:pPr>
          </w:p>
        </w:tc>
      </w:tr>
      <w:tr w14:paraId="0688E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884" w:type="dxa"/>
            <w:vAlign w:val="top"/>
          </w:tcPr>
          <w:p w14:paraId="565BC086">
            <w:pPr>
              <w:pStyle w:val="20"/>
              <w:spacing w:before="157" w:line="242" w:lineRule="auto"/>
              <w:ind w:left="392"/>
              <w:rPr>
                <w:color w:val="auto"/>
                <w:sz w:val="20"/>
                <w:szCs w:val="20"/>
                <w:highlight w:val="none"/>
              </w:rPr>
            </w:pPr>
            <w:r>
              <w:rPr>
                <w:color w:val="auto"/>
                <w:sz w:val="20"/>
                <w:szCs w:val="20"/>
                <w:highlight w:val="none"/>
              </w:rPr>
              <w:t>2</w:t>
            </w:r>
          </w:p>
        </w:tc>
        <w:tc>
          <w:tcPr>
            <w:tcW w:w="2654" w:type="dxa"/>
            <w:vAlign w:val="top"/>
          </w:tcPr>
          <w:p w14:paraId="1BD053EA">
            <w:pPr>
              <w:rPr>
                <w:rFonts w:ascii="Arial"/>
                <w:color w:val="auto"/>
                <w:sz w:val="20"/>
                <w:szCs w:val="20"/>
                <w:highlight w:val="none"/>
              </w:rPr>
            </w:pPr>
          </w:p>
        </w:tc>
        <w:tc>
          <w:tcPr>
            <w:tcW w:w="1454" w:type="dxa"/>
            <w:vAlign w:val="top"/>
          </w:tcPr>
          <w:p w14:paraId="1DC1DFCA">
            <w:pPr>
              <w:rPr>
                <w:rFonts w:ascii="Arial"/>
                <w:color w:val="auto"/>
                <w:sz w:val="20"/>
                <w:szCs w:val="20"/>
                <w:highlight w:val="none"/>
              </w:rPr>
            </w:pPr>
          </w:p>
        </w:tc>
        <w:tc>
          <w:tcPr>
            <w:tcW w:w="4285" w:type="dxa"/>
            <w:vAlign w:val="top"/>
          </w:tcPr>
          <w:p w14:paraId="699C29E1">
            <w:pPr>
              <w:rPr>
                <w:rFonts w:ascii="Arial"/>
                <w:color w:val="auto"/>
                <w:sz w:val="20"/>
                <w:szCs w:val="20"/>
                <w:highlight w:val="none"/>
              </w:rPr>
            </w:pPr>
          </w:p>
        </w:tc>
        <w:tc>
          <w:tcPr>
            <w:tcW w:w="874" w:type="dxa"/>
            <w:vAlign w:val="top"/>
          </w:tcPr>
          <w:p w14:paraId="1EEE5583">
            <w:pPr>
              <w:rPr>
                <w:rFonts w:ascii="Arial"/>
                <w:color w:val="auto"/>
                <w:sz w:val="20"/>
                <w:szCs w:val="20"/>
                <w:highlight w:val="none"/>
              </w:rPr>
            </w:pPr>
          </w:p>
        </w:tc>
      </w:tr>
      <w:tr w14:paraId="41178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84" w:type="dxa"/>
            <w:vAlign w:val="top"/>
          </w:tcPr>
          <w:p w14:paraId="5FEDE705">
            <w:pPr>
              <w:pStyle w:val="20"/>
              <w:spacing w:before="158"/>
              <w:ind w:left="394"/>
              <w:rPr>
                <w:color w:val="auto"/>
                <w:sz w:val="20"/>
                <w:szCs w:val="20"/>
                <w:highlight w:val="none"/>
              </w:rPr>
            </w:pPr>
            <w:r>
              <w:rPr>
                <w:color w:val="auto"/>
                <w:sz w:val="20"/>
                <w:szCs w:val="20"/>
                <w:highlight w:val="none"/>
              </w:rPr>
              <w:t>3</w:t>
            </w:r>
          </w:p>
        </w:tc>
        <w:tc>
          <w:tcPr>
            <w:tcW w:w="2654" w:type="dxa"/>
            <w:vAlign w:val="top"/>
          </w:tcPr>
          <w:p w14:paraId="223A0282">
            <w:pPr>
              <w:rPr>
                <w:rFonts w:ascii="Arial"/>
                <w:color w:val="auto"/>
                <w:sz w:val="20"/>
                <w:szCs w:val="20"/>
                <w:highlight w:val="none"/>
              </w:rPr>
            </w:pPr>
          </w:p>
        </w:tc>
        <w:tc>
          <w:tcPr>
            <w:tcW w:w="1454" w:type="dxa"/>
            <w:vAlign w:val="top"/>
          </w:tcPr>
          <w:p w14:paraId="7A16A8EE">
            <w:pPr>
              <w:rPr>
                <w:rFonts w:ascii="Arial"/>
                <w:color w:val="auto"/>
                <w:sz w:val="20"/>
                <w:szCs w:val="20"/>
                <w:highlight w:val="none"/>
              </w:rPr>
            </w:pPr>
          </w:p>
        </w:tc>
        <w:tc>
          <w:tcPr>
            <w:tcW w:w="4285" w:type="dxa"/>
            <w:vAlign w:val="top"/>
          </w:tcPr>
          <w:p w14:paraId="712F74E5">
            <w:pPr>
              <w:rPr>
                <w:rFonts w:ascii="Arial"/>
                <w:color w:val="auto"/>
                <w:sz w:val="20"/>
                <w:szCs w:val="20"/>
                <w:highlight w:val="none"/>
              </w:rPr>
            </w:pPr>
          </w:p>
        </w:tc>
        <w:tc>
          <w:tcPr>
            <w:tcW w:w="874" w:type="dxa"/>
            <w:vAlign w:val="top"/>
          </w:tcPr>
          <w:p w14:paraId="3D4CE4A3">
            <w:pPr>
              <w:rPr>
                <w:rFonts w:ascii="Arial"/>
                <w:color w:val="auto"/>
                <w:sz w:val="20"/>
                <w:szCs w:val="20"/>
                <w:highlight w:val="none"/>
              </w:rPr>
            </w:pPr>
          </w:p>
        </w:tc>
      </w:tr>
      <w:tr w14:paraId="39BE9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884" w:type="dxa"/>
            <w:vAlign w:val="top"/>
          </w:tcPr>
          <w:p w14:paraId="444A9603">
            <w:pPr>
              <w:pStyle w:val="20"/>
              <w:spacing w:before="159" w:line="379" w:lineRule="exact"/>
              <w:ind w:left="224"/>
              <w:rPr>
                <w:color w:val="auto"/>
                <w:sz w:val="20"/>
                <w:szCs w:val="20"/>
                <w:highlight w:val="none"/>
              </w:rPr>
            </w:pPr>
            <w:r>
              <w:rPr>
                <w:color w:val="auto"/>
                <w:spacing w:val="-13"/>
                <w:position w:val="3"/>
                <w:sz w:val="20"/>
                <w:szCs w:val="20"/>
                <w:highlight w:val="none"/>
              </w:rPr>
              <w:t>……</w:t>
            </w:r>
          </w:p>
        </w:tc>
        <w:tc>
          <w:tcPr>
            <w:tcW w:w="2654" w:type="dxa"/>
            <w:vAlign w:val="top"/>
          </w:tcPr>
          <w:p w14:paraId="74F02963">
            <w:pPr>
              <w:rPr>
                <w:rFonts w:ascii="Arial"/>
                <w:color w:val="auto"/>
                <w:sz w:val="20"/>
                <w:szCs w:val="20"/>
                <w:highlight w:val="none"/>
              </w:rPr>
            </w:pPr>
          </w:p>
        </w:tc>
        <w:tc>
          <w:tcPr>
            <w:tcW w:w="1454" w:type="dxa"/>
            <w:vAlign w:val="top"/>
          </w:tcPr>
          <w:p w14:paraId="4EE55521">
            <w:pPr>
              <w:rPr>
                <w:rFonts w:ascii="Arial"/>
                <w:color w:val="auto"/>
                <w:sz w:val="20"/>
                <w:szCs w:val="20"/>
                <w:highlight w:val="none"/>
              </w:rPr>
            </w:pPr>
          </w:p>
        </w:tc>
        <w:tc>
          <w:tcPr>
            <w:tcW w:w="4285" w:type="dxa"/>
            <w:vAlign w:val="top"/>
          </w:tcPr>
          <w:p w14:paraId="16965523">
            <w:pPr>
              <w:rPr>
                <w:rFonts w:ascii="Arial"/>
                <w:color w:val="auto"/>
                <w:sz w:val="20"/>
                <w:szCs w:val="20"/>
                <w:highlight w:val="none"/>
              </w:rPr>
            </w:pPr>
          </w:p>
        </w:tc>
        <w:tc>
          <w:tcPr>
            <w:tcW w:w="874" w:type="dxa"/>
            <w:vAlign w:val="top"/>
          </w:tcPr>
          <w:p w14:paraId="200C2103">
            <w:pPr>
              <w:rPr>
                <w:rFonts w:ascii="Arial"/>
                <w:color w:val="auto"/>
                <w:sz w:val="20"/>
                <w:szCs w:val="20"/>
                <w:highlight w:val="none"/>
              </w:rPr>
            </w:pPr>
          </w:p>
        </w:tc>
      </w:tr>
    </w:tbl>
    <w:p w14:paraId="30D63D00">
      <w:pPr>
        <w:spacing w:before="37" w:line="224" w:lineRule="auto"/>
        <w:ind w:left="723"/>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注：</w:t>
      </w:r>
    </w:p>
    <w:p w14:paraId="4696BE2C">
      <w:pPr>
        <w:spacing w:before="175" w:line="324" w:lineRule="auto"/>
        <w:ind w:left="723" w:right="802" w:firstLine="497"/>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1.直接控股股东：是指其出资额占有限责任公司资本总额百分之五十以上或者</w:t>
      </w:r>
      <w:r>
        <w:rPr>
          <w:rFonts w:ascii="宋体" w:hAnsi="宋体" w:eastAsia="宋体" w:cs="宋体"/>
          <w:color w:val="auto"/>
          <w:spacing w:val="6"/>
          <w:sz w:val="20"/>
          <w:szCs w:val="20"/>
          <w:highlight w:val="none"/>
        </w:rPr>
        <w:t xml:space="preserve"> </w:t>
      </w:r>
      <w:r>
        <w:rPr>
          <w:rFonts w:ascii="宋体" w:hAnsi="宋体" w:eastAsia="宋体" w:cs="宋体"/>
          <w:color w:val="auto"/>
          <w:sz w:val="20"/>
          <w:szCs w:val="20"/>
          <w:highlight w:val="none"/>
        </w:rPr>
        <w:t>其持有的股份占股份有限公司股份总额百分之五十以上的</w:t>
      </w:r>
      <w:r>
        <w:rPr>
          <w:rFonts w:ascii="宋体" w:hAnsi="宋体" w:eastAsia="宋体" w:cs="宋体"/>
          <w:color w:val="auto"/>
          <w:spacing w:val="-1"/>
          <w:sz w:val="20"/>
          <w:szCs w:val="20"/>
          <w:highlight w:val="none"/>
        </w:rPr>
        <w:t>股东；出资额或者持有股</w:t>
      </w:r>
      <w:r>
        <w:rPr>
          <w:rFonts w:ascii="宋体" w:hAnsi="宋体" w:eastAsia="宋体" w:cs="宋体"/>
          <w:color w:val="auto"/>
          <w:sz w:val="20"/>
          <w:szCs w:val="20"/>
          <w:highlight w:val="none"/>
        </w:rPr>
        <w:t xml:space="preserve"> 份的比例虽然不足百分之五十，但依其出资额或者持有的</w:t>
      </w:r>
      <w:r>
        <w:rPr>
          <w:rFonts w:ascii="宋体" w:hAnsi="宋体" w:eastAsia="宋体" w:cs="宋体"/>
          <w:color w:val="auto"/>
          <w:spacing w:val="-1"/>
          <w:sz w:val="20"/>
          <w:szCs w:val="20"/>
          <w:highlight w:val="none"/>
        </w:rPr>
        <w:t>股份所享有的表决权已足</w:t>
      </w:r>
      <w:r>
        <w:rPr>
          <w:rFonts w:ascii="宋体" w:hAnsi="宋体" w:eastAsia="宋体" w:cs="宋体"/>
          <w:color w:val="auto"/>
          <w:sz w:val="20"/>
          <w:szCs w:val="20"/>
          <w:highlight w:val="none"/>
        </w:rPr>
        <w:t xml:space="preserve"> </w:t>
      </w:r>
      <w:r>
        <w:rPr>
          <w:rFonts w:ascii="宋体" w:hAnsi="宋体" w:eastAsia="宋体" w:cs="宋体"/>
          <w:color w:val="auto"/>
          <w:spacing w:val="-1"/>
          <w:sz w:val="20"/>
          <w:szCs w:val="20"/>
          <w:highlight w:val="none"/>
        </w:rPr>
        <w:t>以对股东会、股东大会的决议产生重大影响的股东。</w:t>
      </w:r>
    </w:p>
    <w:p w14:paraId="1F7AC5AA">
      <w:pPr>
        <w:spacing w:before="179" w:line="290" w:lineRule="auto"/>
        <w:ind w:left="739" w:right="802" w:firstLine="466"/>
        <w:rPr>
          <w:rFonts w:ascii="宋体" w:hAnsi="宋体" w:eastAsia="宋体" w:cs="宋体"/>
          <w:color w:val="auto"/>
          <w:sz w:val="20"/>
          <w:szCs w:val="20"/>
          <w:highlight w:val="none"/>
        </w:rPr>
      </w:pPr>
      <w:r>
        <w:rPr>
          <w:rFonts w:ascii="宋体" w:hAnsi="宋体" w:eastAsia="宋体" w:cs="宋体"/>
          <w:color w:val="auto"/>
          <w:sz w:val="20"/>
          <w:szCs w:val="20"/>
          <w:highlight w:val="none"/>
        </w:rPr>
        <w:t>2.本表所指的控股关系仅限于直接控股关系，</w:t>
      </w:r>
      <w:r>
        <w:rPr>
          <w:rFonts w:ascii="宋体" w:hAnsi="宋体" w:eastAsia="宋体" w:cs="宋体"/>
          <w:color w:val="auto"/>
          <w:spacing w:val="-1"/>
          <w:sz w:val="20"/>
          <w:szCs w:val="20"/>
          <w:highlight w:val="none"/>
        </w:rPr>
        <w:t>不包括间接的控股关系。公司实</w:t>
      </w:r>
      <w:r>
        <w:rPr>
          <w:rFonts w:ascii="宋体" w:hAnsi="宋体" w:eastAsia="宋体" w:cs="宋体"/>
          <w:color w:val="auto"/>
          <w:sz w:val="20"/>
          <w:szCs w:val="20"/>
          <w:highlight w:val="none"/>
        </w:rPr>
        <w:t xml:space="preserve"> </w:t>
      </w:r>
      <w:r>
        <w:rPr>
          <w:rFonts w:ascii="宋体" w:hAnsi="宋体" w:eastAsia="宋体" w:cs="宋体"/>
          <w:color w:val="auto"/>
          <w:spacing w:val="-1"/>
          <w:sz w:val="20"/>
          <w:szCs w:val="20"/>
          <w:highlight w:val="none"/>
        </w:rPr>
        <w:t>际控制人与公司之间的关系不属于本表所指的直接控股关系。</w:t>
      </w:r>
    </w:p>
    <w:p w14:paraId="4CA519C5">
      <w:pPr>
        <w:spacing w:before="180" w:line="219" w:lineRule="auto"/>
        <w:ind w:left="1207"/>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3.供应商不存在直接控股股东的，则填“无</w:t>
      </w:r>
      <w:r>
        <w:rPr>
          <w:rFonts w:ascii="宋体" w:hAnsi="宋体" w:eastAsia="宋体" w:cs="宋体"/>
          <w:color w:val="auto"/>
          <w:spacing w:val="-81"/>
          <w:sz w:val="20"/>
          <w:szCs w:val="20"/>
          <w:highlight w:val="none"/>
        </w:rPr>
        <w:t xml:space="preserve"> </w:t>
      </w:r>
      <w:r>
        <w:rPr>
          <w:rFonts w:ascii="宋体" w:hAnsi="宋体" w:eastAsia="宋体" w:cs="宋体"/>
          <w:color w:val="auto"/>
          <w:spacing w:val="-1"/>
          <w:sz w:val="20"/>
          <w:szCs w:val="20"/>
          <w:highlight w:val="none"/>
        </w:rPr>
        <w:t>”。</w:t>
      </w:r>
    </w:p>
    <w:p w14:paraId="7AC15549">
      <w:pPr>
        <w:pStyle w:val="6"/>
        <w:spacing w:line="258" w:lineRule="auto"/>
        <w:rPr>
          <w:color w:val="auto"/>
          <w:sz w:val="20"/>
          <w:szCs w:val="20"/>
          <w:highlight w:val="none"/>
        </w:rPr>
      </w:pPr>
    </w:p>
    <w:p w14:paraId="30CC59D6">
      <w:pPr>
        <w:pStyle w:val="6"/>
        <w:spacing w:line="258" w:lineRule="auto"/>
        <w:rPr>
          <w:color w:val="auto"/>
          <w:sz w:val="20"/>
          <w:szCs w:val="20"/>
          <w:highlight w:val="none"/>
        </w:rPr>
      </w:pPr>
    </w:p>
    <w:p w14:paraId="74C0709F">
      <w:pPr>
        <w:pStyle w:val="6"/>
        <w:spacing w:line="258" w:lineRule="auto"/>
        <w:rPr>
          <w:color w:val="auto"/>
          <w:sz w:val="20"/>
          <w:szCs w:val="20"/>
          <w:highlight w:val="none"/>
        </w:rPr>
      </w:pPr>
    </w:p>
    <w:p w14:paraId="689E47A5">
      <w:pPr>
        <w:pStyle w:val="6"/>
        <w:spacing w:line="258" w:lineRule="auto"/>
        <w:rPr>
          <w:color w:val="auto"/>
          <w:sz w:val="20"/>
          <w:szCs w:val="20"/>
          <w:highlight w:val="none"/>
        </w:rPr>
      </w:pPr>
    </w:p>
    <w:p w14:paraId="2629E049">
      <w:pPr>
        <w:spacing w:before="79" w:line="219" w:lineRule="auto"/>
        <w:ind w:left="4608"/>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2547847F">
      <w:pPr>
        <w:spacing w:before="181" w:line="220" w:lineRule="auto"/>
        <w:ind w:left="6884"/>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日期：</w:t>
      </w:r>
      <w:r>
        <w:rPr>
          <w:rFonts w:ascii="宋体" w:hAnsi="宋体" w:eastAsia="宋体" w:cs="宋体"/>
          <w:color w:val="auto"/>
          <w:spacing w:val="5"/>
          <w:sz w:val="20"/>
          <w:szCs w:val="20"/>
          <w:highlight w:val="none"/>
        </w:rPr>
        <w:t xml:space="preserve">  </w:t>
      </w:r>
      <w:r>
        <w:rPr>
          <w:rFonts w:ascii="宋体" w:hAnsi="宋体" w:eastAsia="宋体" w:cs="宋体"/>
          <w:color w:val="auto"/>
          <w:spacing w:val="-13"/>
          <w:sz w:val="20"/>
          <w:szCs w:val="20"/>
          <w:highlight w:val="none"/>
        </w:rPr>
        <w:t>年</w:t>
      </w:r>
      <w:r>
        <w:rPr>
          <w:rFonts w:ascii="宋体" w:hAnsi="宋体" w:eastAsia="宋体" w:cs="宋体"/>
          <w:color w:val="auto"/>
          <w:spacing w:val="5"/>
          <w:sz w:val="20"/>
          <w:szCs w:val="20"/>
          <w:highlight w:val="none"/>
        </w:rPr>
        <w:t xml:space="preserve">   </w:t>
      </w:r>
      <w:r>
        <w:rPr>
          <w:rFonts w:ascii="宋体" w:hAnsi="宋体" w:eastAsia="宋体" w:cs="宋体"/>
          <w:color w:val="auto"/>
          <w:spacing w:val="-13"/>
          <w:sz w:val="20"/>
          <w:szCs w:val="20"/>
          <w:highlight w:val="none"/>
        </w:rPr>
        <w:t>月</w:t>
      </w:r>
      <w:r>
        <w:rPr>
          <w:rFonts w:ascii="宋体" w:hAnsi="宋体" w:eastAsia="宋体" w:cs="宋体"/>
          <w:color w:val="auto"/>
          <w:spacing w:val="17"/>
          <w:sz w:val="20"/>
          <w:szCs w:val="20"/>
          <w:highlight w:val="none"/>
        </w:rPr>
        <w:t xml:space="preserve">   </w:t>
      </w:r>
      <w:r>
        <w:rPr>
          <w:rFonts w:ascii="宋体" w:hAnsi="宋体" w:eastAsia="宋体" w:cs="宋体"/>
          <w:color w:val="auto"/>
          <w:spacing w:val="-13"/>
          <w:sz w:val="20"/>
          <w:szCs w:val="20"/>
          <w:highlight w:val="none"/>
        </w:rPr>
        <w:t>日</w:t>
      </w:r>
    </w:p>
    <w:p w14:paraId="48B41171">
      <w:pPr>
        <w:spacing w:line="220" w:lineRule="auto"/>
        <w:rPr>
          <w:rFonts w:ascii="宋体" w:hAnsi="宋体" w:eastAsia="宋体" w:cs="宋体"/>
          <w:color w:val="auto"/>
          <w:sz w:val="24"/>
          <w:szCs w:val="24"/>
          <w:highlight w:val="none"/>
        </w:rPr>
        <w:sectPr>
          <w:footerReference r:id="rId43" w:type="default"/>
          <w:pgSz w:w="11910" w:h="16840"/>
          <w:pgMar w:top="400" w:right="787" w:bottom="1079" w:left="966" w:header="0" w:footer="843" w:gutter="0"/>
          <w:pgNumType w:fmt="decimal"/>
          <w:cols w:space="720" w:num="1"/>
        </w:sectPr>
      </w:pPr>
    </w:p>
    <w:p w14:paraId="64D9DA20">
      <w:pPr>
        <w:pStyle w:val="6"/>
        <w:spacing w:line="294" w:lineRule="auto"/>
        <w:rPr>
          <w:color w:val="auto"/>
          <w:highlight w:val="none"/>
        </w:rPr>
      </w:pPr>
    </w:p>
    <w:p w14:paraId="05A378CB">
      <w:pPr>
        <w:pStyle w:val="6"/>
        <w:spacing w:line="294" w:lineRule="auto"/>
        <w:rPr>
          <w:color w:val="auto"/>
          <w:highlight w:val="none"/>
        </w:rPr>
      </w:pPr>
    </w:p>
    <w:p w14:paraId="4CC95E97">
      <w:pPr>
        <w:pStyle w:val="6"/>
        <w:spacing w:line="294" w:lineRule="auto"/>
        <w:rPr>
          <w:color w:val="auto"/>
          <w:highlight w:val="none"/>
        </w:rPr>
      </w:pPr>
    </w:p>
    <w:p w14:paraId="16FB5640">
      <w:pPr>
        <w:spacing w:before="98" w:line="219" w:lineRule="auto"/>
        <w:ind w:left="1075"/>
        <w:rPr>
          <w:rFonts w:ascii="宋体" w:hAnsi="宋体" w:eastAsia="宋体" w:cs="宋体"/>
          <w:color w:val="auto"/>
          <w:sz w:val="30"/>
          <w:szCs w:val="30"/>
          <w:highlight w:val="none"/>
        </w:rPr>
      </w:pPr>
      <w:r>
        <w:rPr>
          <w:rFonts w:ascii="宋体" w:hAnsi="宋体" w:eastAsia="宋体" w:cs="宋体"/>
          <w:b/>
          <w:bCs/>
          <w:color w:val="auto"/>
          <w:spacing w:val="-4"/>
          <w:sz w:val="30"/>
          <w:szCs w:val="30"/>
          <w:highlight w:val="none"/>
        </w:rPr>
        <w:t>五、供应商直接管理关系信息表</w:t>
      </w:r>
    </w:p>
    <w:p w14:paraId="35669494">
      <w:pPr>
        <w:pStyle w:val="6"/>
        <w:spacing w:line="257" w:lineRule="auto"/>
        <w:rPr>
          <w:color w:val="auto"/>
          <w:highlight w:val="none"/>
        </w:rPr>
      </w:pPr>
    </w:p>
    <w:p w14:paraId="60CDD217">
      <w:pPr>
        <w:pStyle w:val="6"/>
        <w:spacing w:line="258" w:lineRule="auto"/>
        <w:rPr>
          <w:color w:val="auto"/>
          <w:highlight w:val="none"/>
        </w:rPr>
      </w:pPr>
    </w:p>
    <w:p w14:paraId="1C0ECD7F">
      <w:pPr>
        <w:spacing w:before="97" w:line="219" w:lineRule="auto"/>
        <w:ind w:left="3035"/>
        <w:rPr>
          <w:rFonts w:ascii="宋体" w:hAnsi="宋体" w:eastAsia="宋体" w:cs="宋体"/>
          <w:color w:val="auto"/>
          <w:sz w:val="30"/>
          <w:szCs w:val="30"/>
          <w:highlight w:val="none"/>
        </w:rPr>
      </w:pPr>
      <w:r>
        <w:rPr>
          <w:rFonts w:ascii="宋体" w:hAnsi="宋体" w:eastAsia="宋体" w:cs="宋体"/>
          <w:b/>
          <w:bCs/>
          <w:color w:val="auto"/>
          <w:spacing w:val="-4"/>
          <w:sz w:val="30"/>
          <w:szCs w:val="30"/>
          <w:highlight w:val="none"/>
        </w:rPr>
        <w:t>供应商直接管理关系信息表</w:t>
      </w:r>
    </w:p>
    <w:p w14:paraId="7923CA99">
      <w:pPr>
        <w:spacing w:line="182" w:lineRule="exact"/>
        <w:rPr>
          <w:color w:val="auto"/>
          <w:highlight w:val="none"/>
        </w:rPr>
      </w:pPr>
    </w:p>
    <w:tbl>
      <w:tblPr>
        <w:tblStyle w:val="19"/>
        <w:tblW w:w="9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3598"/>
        <w:gridCol w:w="3553"/>
        <w:gridCol w:w="1693"/>
      </w:tblGrid>
      <w:tr w14:paraId="38381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812" w:type="dxa"/>
            <w:vAlign w:val="top"/>
          </w:tcPr>
          <w:p w14:paraId="773E0543">
            <w:pPr>
              <w:pStyle w:val="20"/>
              <w:spacing w:before="159" w:line="222" w:lineRule="auto"/>
              <w:ind w:left="171"/>
              <w:rPr>
                <w:color w:val="auto"/>
                <w:sz w:val="20"/>
                <w:szCs w:val="20"/>
                <w:highlight w:val="none"/>
              </w:rPr>
            </w:pPr>
            <w:r>
              <w:rPr>
                <w:b/>
                <w:bCs/>
                <w:color w:val="auto"/>
                <w:spacing w:val="-7"/>
                <w:sz w:val="20"/>
                <w:szCs w:val="20"/>
                <w:highlight w:val="none"/>
              </w:rPr>
              <w:t>序号</w:t>
            </w:r>
          </w:p>
        </w:tc>
        <w:tc>
          <w:tcPr>
            <w:tcW w:w="3598" w:type="dxa"/>
            <w:vAlign w:val="top"/>
          </w:tcPr>
          <w:p w14:paraId="5F1AB472">
            <w:pPr>
              <w:pStyle w:val="20"/>
              <w:spacing w:before="160" w:line="220" w:lineRule="auto"/>
              <w:ind w:left="600"/>
              <w:rPr>
                <w:color w:val="auto"/>
                <w:sz w:val="20"/>
                <w:szCs w:val="20"/>
                <w:highlight w:val="none"/>
              </w:rPr>
            </w:pPr>
            <w:r>
              <w:rPr>
                <w:b/>
                <w:bCs/>
                <w:color w:val="auto"/>
                <w:spacing w:val="-3"/>
                <w:sz w:val="20"/>
                <w:szCs w:val="20"/>
                <w:highlight w:val="none"/>
              </w:rPr>
              <w:t>直接管理关系单位名称</w:t>
            </w:r>
          </w:p>
        </w:tc>
        <w:tc>
          <w:tcPr>
            <w:tcW w:w="3553" w:type="dxa"/>
            <w:vAlign w:val="top"/>
          </w:tcPr>
          <w:p w14:paraId="43225835">
            <w:pPr>
              <w:pStyle w:val="20"/>
              <w:spacing w:before="160" w:line="219" w:lineRule="auto"/>
              <w:ind w:left="825"/>
              <w:rPr>
                <w:color w:val="auto"/>
                <w:sz w:val="20"/>
                <w:szCs w:val="20"/>
                <w:highlight w:val="none"/>
              </w:rPr>
            </w:pPr>
            <w:r>
              <w:rPr>
                <w:b/>
                <w:bCs/>
                <w:color w:val="auto"/>
                <w:spacing w:val="-4"/>
                <w:sz w:val="20"/>
                <w:szCs w:val="20"/>
                <w:highlight w:val="none"/>
              </w:rPr>
              <w:t>统一社会信用代码</w:t>
            </w:r>
          </w:p>
        </w:tc>
        <w:tc>
          <w:tcPr>
            <w:tcW w:w="1693" w:type="dxa"/>
            <w:vAlign w:val="top"/>
          </w:tcPr>
          <w:p w14:paraId="26798C3D">
            <w:pPr>
              <w:pStyle w:val="20"/>
              <w:spacing w:before="159" w:line="222" w:lineRule="auto"/>
              <w:ind w:left="614"/>
              <w:rPr>
                <w:color w:val="auto"/>
                <w:sz w:val="20"/>
                <w:szCs w:val="20"/>
                <w:highlight w:val="none"/>
              </w:rPr>
            </w:pPr>
            <w:r>
              <w:rPr>
                <w:b/>
                <w:bCs/>
                <w:color w:val="auto"/>
                <w:spacing w:val="-9"/>
                <w:sz w:val="20"/>
                <w:szCs w:val="20"/>
                <w:highlight w:val="none"/>
              </w:rPr>
              <w:t>备注</w:t>
            </w:r>
          </w:p>
        </w:tc>
      </w:tr>
      <w:tr w14:paraId="0F1A4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12" w:type="dxa"/>
            <w:vAlign w:val="top"/>
          </w:tcPr>
          <w:p w14:paraId="6AD9A8E7">
            <w:pPr>
              <w:pStyle w:val="20"/>
              <w:spacing w:before="157" w:line="242" w:lineRule="auto"/>
              <w:ind w:left="370"/>
              <w:rPr>
                <w:color w:val="auto"/>
                <w:sz w:val="20"/>
                <w:szCs w:val="20"/>
                <w:highlight w:val="none"/>
              </w:rPr>
            </w:pPr>
            <w:r>
              <w:rPr>
                <w:color w:val="auto"/>
                <w:sz w:val="20"/>
                <w:szCs w:val="20"/>
                <w:highlight w:val="none"/>
              </w:rPr>
              <w:t>1</w:t>
            </w:r>
          </w:p>
        </w:tc>
        <w:tc>
          <w:tcPr>
            <w:tcW w:w="3598" w:type="dxa"/>
            <w:vAlign w:val="top"/>
          </w:tcPr>
          <w:p w14:paraId="199384BB">
            <w:pPr>
              <w:rPr>
                <w:rFonts w:ascii="Arial"/>
                <w:color w:val="auto"/>
                <w:sz w:val="20"/>
                <w:szCs w:val="20"/>
                <w:highlight w:val="none"/>
              </w:rPr>
            </w:pPr>
          </w:p>
        </w:tc>
        <w:tc>
          <w:tcPr>
            <w:tcW w:w="3553" w:type="dxa"/>
            <w:vAlign w:val="top"/>
          </w:tcPr>
          <w:p w14:paraId="6C148031">
            <w:pPr>
              <w:rPr>
                <w:rFonts w:ascii="Arial"/>
                <w:color w:val="auto"/>
                <w:sz w:val="20"/>
                <w:szCs w:val="20"/>
                <w:highlight w:val="none"/>
              </w:rPr>
            </w:pPr>
          </w:p>
        </w:tc>
        <w:tc>
          <w:tcPr>
            <w:tcW w:w="1693" w:type="dxa"/>
            <w:vAlign w:val="top"/>
          </w:tcPr>
          <w:p w14:paraId="6966059F">
            <w:pPr>
              <w:rPr>
                <w:rFonts w:ascii="Arial"/>
                <w:color w:val="auto"/>
                <w:sz w:val="20"/>
                <w:szCs w:val="20"/>
                <w:highlight w:val="none"/>
              </w:rPr>
            </w:pPr>
          </w:p>
        </w:tc>
      </w:tr>
      <w:tr w14:paraId="15D3E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12" w:type="dxa"/>
            <w:vAlign w:val="top"/>
          </w:tcPr>
          <w:p w14:paraId="38099FD8">
            <w:pPr>
              <w:pStyle w:val="20"/>
              <w:spacing w:before="159" w:line="242" w:lineRule="auto"/>
              <w:ind w:left="355"/>
              <w:rPr>
                <w:color w:val="auto"/>
                <w:sz w:val="20"/>
                <w:szCs w:val="20"/>
                <w:highlight w:val="none"/>
              </w:rPr>
            </w:pPr>
            <w:r>
              <w:rPr>
                <w:color w:val="auto"/>
                <w:sz w:val="20"/>
                <w:szCs w:val="20"/>
                <w:highlight w:val="none"/>
              </w:rPr>
              <w:t>2</w:t>
            </w:r>
          </w:p>
        </w:tc>
        <w:tc>
          <w:tcPr>
            <w:tcW w:w="3598" w:type="dxa"/>
            <w:vAlign w:val="top"/>
          </w:tcPr>
          <w:p w14:paraId="08F970E9">
            <w:pPr>
              <w:rPr>
                <w:rFonts w:ascii="Arial"/>
                <w:color w:val="auto"/>
                <w:sz w:val="20"/>
                <w:szCs w:val="20"/>
                <w:highlight w:val="none"/>
              </w:rPr>
            </w:pPr>
          </w:p>
        </w:tc>
        <w:tc>
          <w:tcPr>
            <w:tcW w:w="3553" w:type="dxa"/>
            <w:vAlign w:val="top"/>
          </w:tcPr>
          <w:p w14:paraId="1451D592">
            <w:pPr>
              <w:rPr>
                <w:rFonts w:ascii="Arial"/>
                <w:color w:val="auto"/>
                <w:sz w:val="20"/>
                <w:szCs w:val="20"/>
                <w:highlight w:val="none"/>
              </w:rPr>
            </w:pPr>
          </w:p>
        </w:tc>
        <w:tc>
          <w:tcPr>
            <w:tcW w:w="1693" w:type="dxa"/>
            <w:vAlign w:val="top"/>
          </w:tcPr>
          <w:p w14:paraId="347D9DD6">
            <w:pPr>
              <w:rPr>
                <w:rFonts w:ascii="Arial"/>
                <w:color w:val="auto"/>
                <w:sz w:val="20"/>
                <w:szCs w:val="20"/>
                <w:highlight w:val="none"/>
              </w:rPr>
            </w:pPr>
          </w:p>
        </w:tc>
      </w:tr>
      <w:tr w14:paraId="3CAAD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12" w:type="dxa"/>
            <w:vAlign w:val="top"/>
          </w:tcPr>
          <w:p w14:paraId="1CCA8E92">
            <w:pPr>
              <w:pStyle w:val="20"/>
              <w:spacing w:before="158"/>
              <w:ind w:left="357"/>
              <w:rPr>
                <w:color w:val="auto"/>
                <w:sz w:val="20"/>
                <w:szCs w:val="20"/>
                <w:highlight w:val="none"/>
              </w:rPr>
            </w:pPr>
            <w:r>
              <w:rPr>
                <w:color w:val="auto"/>
                <w:sz w:val="20"/>
                <w:szCs w:val="20"/>
                <w:highlight w:val="none"/>
              </w:rPr>
              <w:t>3</w:t>
            </w:r>
          </w:p>
        </w:tc>
        <w:tc>
          <w:tcPr>
            <w:tcW w:w="3598" w:type="dxa"/>
            <w:vAlign w:val="top"/>
          </w:tcPr>
          <w:p w14:paraId="2EFBFBE3">
            <w:pPr>
              <w:rPr>
                <w:rFonts w:ascii="Arial"/>
                <w:color w:val="auto"/>
                <w:sz w:val="20"/>
                <w:szCs w:val="20"/>
                <w:highlight w:val="none"/>
              </w:rPr>
            </w:pPr>
          </w:p>
        </w:tc>
        <w:tc>
          <w:tcPr>
            <w:tcW w:w="3553" w:type="dxa"/>
            <w:vAlign w:val="top"/>
          </w:tcPr>
          <w:p w14:paraId="01FFC4DC">
            <w:pPr>
              <w:rPr>
                <w:rFonts w:ascii="Arial"/>
                <w:color w:val="auto"/>
                <w:sz w:val="20"/>
                <w:szCs w:val="20"/>
                <w:highlight w:val="none"/>
              </w:rPr>
            </w:pPr>
          </w:p>
        </w:tc>
        <w:tc>
          <w:tcPr>
            <w:tcW w:w="1693" w:type="dxa"/>
            <w:vAlign w:val="top"/>
          </w:tcPr>
          <w:p w14:paraId="3A7F18BD">
            <w:pPr>
              <w:rPr>
                <w:rFonts w:ascii="Arial"/>
                <w:color w:val="auto"/>
                <w:sz w:val="20"/>
                <w:szCs w:val="20"/>
                <w:highlight w:val="none"/>
              </w:rPr>
            </w:pPr>
          </w:p>
        </w:tc>
      </w:tr>
      <w:tr w14:paraId="4536F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812" w:type="dxa"/>
            <w:vAlign w:val="top"/>
          </w:tcPr>
          <w:p w14:paraId="1C5F4DA4">
            <w:pPr>
              <w:pStyle w:val="20"/>
              <w:spacing w:before="160" w:line="379" w:lineRule="exact"/>
              <w:ind w:left="187"/>
              <w:rPr>
                <w:color w:val="auto"/>
                <w:sz w:val="20"/>
                <w:szCs w:val="20"/>
                <w:highlight w:val="none"/>
              </w:rPr>
            </w:pPr>
            <w:r>
              <w:rPr>
                <w:color w:val="auto"/>
                <w:spacing w:val="-13"/>
                <w:position w:val="3"/>
                <w:sz w:val="20"/>
                <w:szCs w:val="20"/>
                <w:highlight w:val="none"/>
              </w:rPr>
              <w:t>……</w:t>
            </w:r>
          </w:p>
        </w:tc>
        <w:tc>
          <w:tcPr>
            <w:tcW w:w="3598" w:type="dxa"/>
            <w:vAlign w:val="top"/>
          </w:tcPr>
          <w:p w14:paraId="36D7C5BA">
            <w:pPr>
              <w:rPr>
                <w:rFonts w:ascii="Arial"/>
                <w:color w:val="auto"/>
                <w:sz w:val="20"/>
                <w:szCs w:val="20"/>
                <w:highlight w:val="none"/>
              </w:rPr>
            </w:pPr>
          </w:p>
        </w:tc>
        <w:tc>
          <w:tcPr>
            <w:tcW w:w="3553" w:type="dxa"/>
            <w:vAlign w:val="top"/>
          </w:tcPr>
          <w:p w14:paraId="755E1FCA">
            <w:pPr>
              <w:rPr>
                <w:rFonts w:ascii="Arial"/>
                <w:color w:val="auto"/>
                <w:sz w:val="20"/>
                <w:szCs w:val="20"/>
                <w:highlight w:val="none"/>
              </w:rPr>
            </w:pPr>
          </w:p>
        </w:tc>
        <w:tc>
          <w:tcPr>
            <w:tcW w:w="1693" w:type="dxa"/>
            <w:vAlign w:val="top"/>
          </w:tcPr>
          <w:p w14:paraId="4CFB3350">
            <w:pPr>
              <w:rPr>
                <w:rFonts w:ascii="Arial"/>
                <w:color w:val="auto"/>
                <w:sz w:val="20"/>
                <w:szCs w:val="20"/>
                <w:highlight w:val="none"/>
              </w:rPr>
            </w:pPr>
          </w:p>
        </w:tc>
      </w:tr>
    </w:tbl>
    <w:p w14:paraId="06DA5290">
      <w:pPr>
        <w:spacing w:before="36" w:line="224" w:lineRule="auto"/>
        <w:ind w:left="955"/>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注：</w:t>
      </w:r>
    </w:p>
    <w:p w14:paraId="490F5BE1">
      <w:pPr>
        <w:spacing w:before="175" w:line="290" w:lineRule="auto"/>
        <w:ind w:left="479" w:right="555" w:firstLine="492"/>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1.管理关系：是指不具有出资持股关系的其他单位之间存在的管理与被管理关</w:t>
      </w:r>
      <w:r>
        <w:rPr>
          <w:rFonts w:ascii="宋体" w:hAnsi="宋体" w:eastAsia="宋体" w:cs="宋体"/>
          <w:color w:val="auto"/>
          <w:spacing w:val="6"/>
          <w:sz w:val="20"/>
          <w:szCs w:val="20"/>
          <w:highlight w:val="none"/>
        </w:rPr>
        <w:t xml:space="preserve"> </w:t>
      </w:r>
      <w:r>
        <w:rPr>
          <w:rFonts w:ascii="宋体" w:hAnsi="宋体" w:eastAsia="宋体" w:cs="宋体"/>
          <w:color w:val="auto"/>
          <w:spacing w:val="-1"/>
          <w:sz w:val="20"/>
          <w:szCs w:val="20"/>
          <w:highlight w:val="none"/>
        </w:rPr>
        <w:t>系，如一些上下级关系的事业单位和团体组织。</w:t>
      </w:r>
    </w:p>
    <w:p w14:paraId="17B8C4EE">
      <w:pPr>
        <w:spacing w:before="179" w:line="219" w:lineRule="auto"/>
        <w:ind w:left="958"/>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2.本表所指的管理关系仅限于直接管理关系，不包括间接的管理关系。</w:t>
      </w:r>
    </w:p>
    <w:p w14:paraId="3EFEAD41">
      <w:pPr>
        <w:spacing w:before="183" w:line="219" w:lineRule="auto"/>
        <w:ind w:left="959"/>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3.供应商不存在直接管理关系的，则填“无</w:t>
      </w:r>
      <w:r>
        <w:rPr>
          <w:rFonts w:ascii="宋体" w:hAnsi="宋体" w:eastAsia="宋体" w:cs="宋体"/>
          <w:color w:val="auto"/>
          <w:spacing w:val="-81"/>
          <w:sz w:val="20"/>
          <w:szCs w:val="20"/>
          <w:highlight w:val="none"/>
        </w:rPr>
        <w:t xml:space="preserve"> </w:t>
      </w:r>
      <w:r>
        <w:rPr>
          <w:rFonts w:ascii="宋体" w:hAnsi="宋体" w:eastAsia="宋体" w:cs="宋体"/>
          <w:color w:val="auto"/>
          <w:spacing w:val="-1"/>
          <w:sz w:val="20"/>
          <w:szCs w:val="20"/>
          <w:highlight w:val="none"/>
        </w:rPr>
        <w:t>”。</w:t>
      </w:r>
    </w:p>
    <w:p w14:paraId="37569254">
      <w:pPr>
        <w:pStyle w:val="6"/>
        <w:spacing w:line="249" w:lineRule="auto"/>
        <w:rPr>
          <w:color w:val="auto"/>
          <w:sz w:val="20"/>
          <w:szCs w:val="20"/>
          <w:highlight w:val="none"/>
        </w:rPr>
      </w:pPr>
    </w:p>
    <w:p w14:paraId="3EEB27D9">
      <w:pPr>
        <w:pStyle w:val="6"/>
        <w:spacing w:line="249" w:lineRule="auto"/>
        <w:rPr>
          <w:color w:val="auto"/>
          <w:sz w:val="20"/>
          <w:szCs w:val="20"/>
          <w:highlight w:val="none"/>
        </w:rPr>
      </w:pPr>
    </w:p>
    <w:p w14:paraId="0BCB13CC">
      <w:pPr>
        <w:pStyle w:val="6"/>
        <w:spacing w:line="249" w:lineRule="auto"/>
        <w:rPr>
          <w:color w:val="auto"/>
          <w:sz w:val="20"/>
          <w:szCs w:val="20"/>
          <w:highlight w:val="none"/>
        </w:rPr>
      </w:pPr>
    </w:p>
    <w:p w14:paraId="095BC78C">
      <w:pPr>
        <w:pStyle w:val="6"/>
        <w:spacing w:line="249" w:lineRule="auto"/>
        <w:rPr>
          <w:color w:val="auto"/>
          <w:sz w:val="20"/>
          <w:szCs w:val="20"/>
          <w:highlight w:val="none"/>
        </w:rPr>
      </w:pPr>
    </w:p>
    <w:p w14:paraId="4A1B8402">
      <w:pPr>
        <w:pStyle w:val="6"/>
        <w:spacing w:line="249" w:lineRule="auto"/>
        <w:rPr>
          <w:color w:val="auto"/>
          <w:sz w:val="20"/>
          <w:szCs w:val="20"/>
          <w:highlight w:val="none"/>
        </w:rPr>
      </w:pPr>
    </w:p>
    <w:p w14:paraId="613F1BF8">
      <w:pPr>
        <w:pStyle w:val="6"/>
        <w:spacing w:line="250" w:lineRule="auto"/>
        <w:rPr>
          <w:color w:val="auto"/>
          <w:sz w:val="20"/>
          <w:szCs w:val="20"/>
          <w:highlight w:val="none"/>
        </w:rPr>
      </w:pPr>
    </w:p>
    <w:p w14:paraId="4651C4A8">
      <w:pPr>
        <w:spacing w:before="78" w:line="219" w:lineRule="auto"/>
        <w:ind w:left="436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6E4A9195">
      <w:pPr>
        <w:spacing w:before="181" w:line="220" w:lineRule="auto"/>
        <w:ind w:left="6636"/>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日期：</w:t>
      </w:r>
      <w:r>
        <w:rPr>
          <w:rFonts w:ascii="宋体" w:hAnsi="宋体" w:eastAsia="宋体" w:cs="宋体"/>
          <w:color w:val="auto"/>
          <w:spacing w:val="5"/>
          <w:sz w:val="20"/>
          <w:szCs w:val="20"/>
          <w:highlight w:val="none"/>
        </w:rPr>
        <w:t xml:space="preserve">  </w:t>
      </w:r>
      <w:r>
        <w:rPr>
          <w:rFonts w:ascii="宋体" w:hAnsi="宋体" w:eastAsia="宋体" w:cs="宋体"/>
          <w:color w:val="auto"/>
          <w:spacing w:val="-13"/>
          <w:sz w:val="20"/>
          <w:szCs w:val="20"/>
          <w:highlight w:val="none"/>
        </w:rPr>
        <w:t>年</w:t>
      </w:r>
      <w:r>
        <w:rPr>
          <w:rFonts w:ascii="宋体" w:hAnsi="宋体" w:eastAsia="宋体" w:cs="宋体"/>
          <w:color w:val="auto"/>
          <w:spacing w:val="8"/>
          <w:sz w:val="20"/>
          <w:szCs w:val="20"/>
          <w:highlight w:val="none"/>
        </w:rPr>
        <w:t xml:space="preserve">  </w:t>
      </w:r>
      <w:r>
        <w:rPr>
          <w:rFonts w:ascii="宋体" w:hAnsi="宋体" w:eastAsia="宋体" w:cs="宋体"/>
          <w:color w:val="auto"/>
          <w:spacing w:val="-13"/>
          <w:sz w:val="20"/>
          <w:szCs w:val="20"/>
          <w:highlight w:val="none"/>
        </w:rPr>
        <w:t>月</w:t>
      </w:r>
      <w:r>
        <w:rPr>
          <w:rFonts w:ascii="宋体" w:hAnsi="宋体" w:eastAsia="宋体" w:cs="宋体"/>
          <w:color w:val="auto"/>
          <w:spacing w:val="17"/>
          <w:sz w:val="20"/>
          <w:szCs w:val="20"/>
          <w:highlight w:val="none"/>
        </w:rPr>
        <w:t xml:space="preserve">   </w:t>
      </w:r>
      <w:r>
        <w:rPr>
          <w:rFonts w:ascii="宋体" w:hAnsi="宋体" w:eastAsia="宋体" w:cs="宋体"/>
          <w:color w:val="auto"/>
          <w:spacing w:val="-13"/>
          <w:sz w:val="20"/>
          <w:szCs w:val="20"/>
          <w:highlight w:val="none"/>
        </w:rPr>
        <w:t>日</w:t>
      </w:r>
    </w:p>
    <w:p w14:paraId="01B0EB4F">
      <w:pPr>
        <w:spacing w:line="220" w:lineRule="auto"/>
        <w:rPr>
          <w:rFonts w:ascii="宋体" w:hAnsi="宋体" w:eastAsia="宋体" w:cs="宋体"/>
          <w:color w:val="auto"/>
          <w:sz w:val="24"/>
          <w:szCs w:val="24"/>
          <w:highlight w:val="none"/>
        </w:rPr>
        <w:sectPr>
          <w:footerReference r:id="rId44" w:type="default"/>
          <w:pgSz w:w="11910" w:h="16840"/>
          <w:pgMar w:top="400" w:right="1034" w:bottom="1079" w:left="1214" w:header="0" w:footer="843" w:gutter="0"/>
          <w:pgNumType w:fmt="decimal"/>
          <w:cols w:space="720" w:num="1"/>
        </w:sectPr>
      </w:pPr>
    </w:p>
    <w:p w14:paraId="4A70F9EC">
      <w:pPr>
        <w:pStyle w:val="6"/>
        <w:spacing w:line="278" w:lineRule="auto"/>
        <w:rPr>
          <w:color w:val="auto"/>
          <w:highlight w:val="none"/>
        </w:rPr>
      </w:pPr>
    </w:p>
    <w:p w14:paraId="6CC3ADB6">
      <w:pPr>
        <w:pStyle w:val="6"/>
        <w:spacing w:line="279" w:lineRule="auto"/>
        <w:rPr>
          <w:color w:val="auto"/>
          <w:highlight w:val="none"/>
        </w:rPr>
      </w:pPr>
    </w:p>
    <w:p w14:paraId="39BB5575">
      <w:pPr>
        <w:pStyle w:val="6"/>
        <w:spacing w:line="279" w:lineRule="auto"/>
        <w:rPr>
          <w:color w:val="auto"/>
          <w:highlight w:val="none"/>
        </w:rPr>
      </w:pPr>
    </w:p>
    <w:p w14:paraId="25E5756F">
      <w:pPr>
        <w:spacing w:before="98" w:line="220" w:lineRule="auto"/>
        <w:ind w:left="486"/>
        <w:rPr>
          <w:rFonts w:ascii="宋体" w:hAnsi="宋体" w:eastAsia="宋体" w:cs="宋体"/>
          <w:color w:val="auto"/>
          <w:sz w:val="30"/>
          <w:szCs w:val="30"/>
          <w:highlight w:val="none"/>
        </w:rPr>
      </w:pPr>
      <w:r>
        <w:rPr>
          <w:rFonts w:ascii="宋体" w:hAnsi="宋体" w:eastAsia="宋体" w:cs="宋体"/>
          <w:b/>
          <w:bCs/>
          <w:color w:val="auto"/>
          <w:spacing w:val="-5"/>
          <w:sz w:val="30"/>
          <w:szCs w:val="30"/>
          <w:highlight w:val="none"/>
        </w:rPr>
        <w:t>六、资格声明函</w:t>
      </w:r>
    </w:p>
    <w:p w14:paraId="5C402FA3">
      <w:pPr>
        <w:spacing w:before="328" w:line="220" w:lineRule="auto"/>
        <w:ind w:left="3629"/>
        <w:rPr>
          <w:rFonts w:ascii="宋体" w:hAnsi="宋体" w:eastAsia="宋体" w:cs="宋体"/>
          <w:color w:val="auto"/>
          <w:sz w:val="20"/>
          <w:szCs w:val="20"/>
          <w:highlight w:val="none"/>
        </w:rPr>
      </w:pPr>
      <w:r>
        <w:rPr>
          <w:rFonts w:ascii="宋体" w:hAnsi="宋体" w:eastAsia="宋体" w:cs="宋体"/>
          <w:b/>
          <w:bCs/>
          <w:color w:val="auto"/>
          <w:spacing w:val="-8"/>
          <w:sz w:val="20"/>
          <w:szCs w:val="20"/>
          <w:highlight w:val="none"/>
        </w:rPr>
        <w:t>资格声明函</w:t>
      </w:r>
    </w:p>
    <w:p w14:paraId="78AAD82C">
      <w:pPr>
        <w:pStyle w:val="6"/>
        <w:spacing w:line="261" w:lineRule="auto"/>
        <w:rPr>
          <w:color w:val="auto"/>
          <w:sz w:val="20"/>
          <w:szCs w:val="20"/>
          <w:highlight w:val="none"/>
        </w:rPr>
      </w:pPr>
    </w:p>
    <w:p w14:paraId="09D7F0CE">
      <w:pPr>
        <w:spacing w:before="78" w:line="219" w:lineRule="auto"/>
        <w:ind w:left="1"/>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致：</w:t>
      </w:r>
      <w:r>
        <w:rPr>
          <w:rFonts w:ascii="宋体" w:hAnsi="宋体" w:eastAsia="宋体" w:cs="宋体"/>
          <w:color w:val="auto"/>
          <w:spacing w:val="-1"/>
          <w:sz w:val="20"/>
          <w:szCs w:val="20"/>
          <w:highlight w:val="none"/>
          <w:u w:val="single" w:color="auto"/>
        </w:rPr>
        <w:t>广西拓正工程造价咨询有限公司</w:t>
      </w:r>
      <w:r>
        <w:rPr>
          <w:rFonts w:ascii="宋体" w:hAnsi="宋体" w:eastAsia="宋体" w:cs="宋体"/>
          <w:color w:val="auto"/>
          <w:spacing w:val="5"/>
          <w:sz w:val="20"/>
          <w:szCs w:val="20"/>
          <w:highlight w:val="none"/>
          <w:u w:val="single" w:color="auto"/>
        </w:rPr>
        <w:t xml:space="preserve"> </w:t>
      </w:r>
    </w:p>
    <w:p w14:paraId="67C97AD0">
      <w:pPr>
        <w:tabs>
          <w:tab w:val="left" w:pos="607"/>
        </w:tabs>
        <w:spacing w:before="181" w:line="219" w:lineRule="auto"/>
        <w:ind w:left="472"/>
        <w:rPr>
          <w:rFonts w:ascii="宋体" w:hAnsi="宋体" w:eastAsia="宋体" w:cs="宋体"/>
          <w:color w:val="auto"/>
          <w:sz w:val="20"/>
          <w:szCs w:val="20"/>
          <w:highlight w:val="none"/>
        </w:rPr>
      </w:pPr>
      <w:r>
        <w:rPr>
          <w:rFonts w:ascii="宋体" w:hAnsi="宋体" w:eastAsia="宋体" w:cs="宋体"/>
          <w:color w:val="auto"/>
          <w:sz w:val="20"/>
          <w:szCs w:val="20"/>
          <w:highlight w:val="none"/>
          <w:u w:val="single" w:color="auto"/>
        </w:rPr>
        <w:tab/>
      </w:r>
      <w:r>
        <w:rPr>
          <w:rFonts w:ascii="宋体" w:hAnsi="宋体" w:eastAsia="宋体" w:cs="宋体"/>
          <w:color w:val="auto"/>
          <w:spacing w:val="-10"/>
          <w:sz w:val="20"/>
          <w:szCs w:val="20"/>
          <w:highlight w:val="none"/>
          <w:u w:val="single" w:color="auto"/>
        </w:rPr>
        <w:t>（供应商名称）</w:t>
      </w:r>
      <w:r>
        <w:rPr>
          <w:rFonts w:ascii="宋体" w:hAnsi="宋体" w:eastAsia="宋体" w:cs="宋体"/>
          <w:color w:val="auto"/>
          <w:spacing w:val="-10"/>
          <w:sz w:val="20"/>
          <w:szCs w:val="20"/>
          <w:highlight w:val="none"/>
        </w:rPr>
        <w:t>系中华人民共和国合法供应商，经营地址</w:t>
      </w:r>
      <w:r>
        <w:rPr>
          <w:rFonts w:ascii="宋体" w:hAnsi="宋体" w:eastAsia="宋体" w:cs="宋体"/>
          <w:color w:val="auto"/>
          <w:spacing w:val="-10"/>
          <w:sz w:val="20"/>
          <w:szCs w:val="20"/>
          <w:highlight w:val="none"/>
          <w:u w:val="single" w:color="auto"/>
        </w:rPr>
        <w:t xml:space="preserve">                    </w:t>
      </w:r>
      <w:r>
        <w:rPr>
          <w:rFonts w:ascii="宋体" w:hAnsi="宋体" w:eastAsia="宋体" w:cs="宋体"/>
          <w:color w:val="auto"/>
          <w:spacing w:val="-10"/>
          <w:sz w:val="20"/>
          <w:szCs w:val="20"/>
          <w:highlight w:val="none"/>
        </w:rPr>
        <w:t>。</w:t>
      </w:r>
    </w:p>
    <w:p w14:paraId="3927AAA0">
      <w:pPr>
        <w:spacing w:before="182" w:line="359" w:lineRule="auto"/>
        <w:ind w:left="4" w:right="81" w:firstLine="479"/>
        <w:jc w:val="both"/>
        <w:rPr>
          <w:rFonts w:ascii="宋体" w:hAnsi="宋体" w:eastAsia="宋体" w:cs="宋体"/>
          <w:color w:val="auto"/>
          <w:sz w:val="20"/>
          <w:szCs w:val="20"/>
          <w:highlight w:val="none"/>
        </w:rPr>
      </w:pPr>
      <w:r>
        <w:rPr>
          <w:rFonts w:ascii="宋体" w:hAnsi="宋体" w:eastAsia="宋体" w:cs="宋体"/>
          <w:color w:val="auto"/>
          <w:sz w:val="20"/>
          <w:szCs w:val="20"/>
          <w:highlight w:val="none"/>
        </w:rPr>
        <w:t>我方愿意参加贵方组织的</w:t>
      </w:r>
      <w:r>
        <w:rPr>
          <w:rFonts w:ascii="宋体" w:hAnsi="宋体" w:eastAsia="宋体" w:cs="宋体"/>
          <w:color w:val="auto"/>
          <w:spacing w:val="-118"/>
          <w:sz w:val="20"/>
          <w:szCs w:val="20"/>
          <w:highlight w:val="none"/>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1"/>
          <w:sz w:val="20"/>
          <w:szCs w:val="20"/>
          <w:highlight w:val="none"/>
          <w:u w:val="single" w:color="auto"/>
        </w:rPr>
        <w:t xml:space="preserve">         </w:t>
      </w:r>
      <w:r>
        <w:rPr>
          <w:rFonts w:ascii="宋体" w:hAnsi="宋体" w:eastAsia="宋体" w:cs="宋体"/>
          <w:color w:val="auto"/>
          <w:spacing w:val="-105"/>
          <w:sz w:val="20"/>
          <w:szCs w:val="20"/>
          <w:highlight w:val="none"/>
        </w:rPr>
        <w:t xml:space="preserve"> </w:t>
      </w:r>
      <w:r>
        <w:rPr>
          <w:rFonts w:ascii="宋体" w:hAnsi="宋体" w:eastAsia="宋体" w:cs="宋体"/>
          <w:color w:val="auto"/>
          <w:sz w:val="20"/>
          <w:szCs w:val="20"/>
          <w:highlight w:val="none"/>
        </w:rPr>
        <w:t xml:space="preserve">项目的竞标， </w:t>
      </w:r>
      <w:r>
        <w:rPr>
          <w:rFonts w:ascii="宋体" w:hAnsi="宋体" w:eastAsia="宋体" w:cs="宋体"/>
          <w:color w:val="auto"/>
          <w:spacing w:val="2"/>
          <w:sz w:val="20"/>
          <w:szCs w:val="20"/>
          <w:highlight w:val="none"/>
        </w:rPr>
        <w:t>为便于贵方公正、择优地确定成交供应商及其竞标产品和服务，我方就本次竞标有</w:t>
      </w:r>
      <w:r>
        <w:rPr>
          <w:rFonts w:ascii="宋体" w:hAnsi="宋体" w:eastAsia="宋体" w:cs="宋体"/>
          <w:color w:val="auto"/>
          <w:spacing w:val="3"/>
          <w:sz w:val="20"/>
          <w:szCs w:val="20"/>
          <w:highlight w:val="none"/>
        </w:rPr>
        <w:t xml:space="preserve"> </w:t>
      </w:r>
      <w:r>
        <w:rPr>
          <w:rFonts w:ascii="宋体" w:hAnsi="宋体" w:eastAsia="宋体" w:cs="宋体"/>
          <w:color w:val="auto"/>
          <w:spacing w:val="-2"/>
          <w:sz w:val="20"/>
          <w:szCs w:val="20"/>
          <w:highlight w:val="none"/>
        </w:rPr>
        <w:t>关事项郑重声明如下：</w:t>
      </w:r>
    </w:p>
    <w:p w14:paraId="55466E1D">
      <w:pPr>
        <w:spacing w:line="220" w:lineRule="auto"/>
        <w:ind w:left="499"/>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1.我方向贵方提交的所有响应文件、资料都是准确的和真实的。</w:t>
      </w:r>
    </w:p>
    <w:p w14:paraId="73D5F680">
      <w:pPr>
        <w:spacing w:before="180" w:line="313" w:lineRule="auto"/>
        <w:ind w:left="1" w:right="81" w:firstLine="482"/>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2.我方不是采购人的附属机构；不是为本次采购项目提供整体设计、规范编制</w:t>
      </w:r>
      <w:r>
        <w:rPr>
          <w:rFonts w:ascii="宋体" w:hAnsi="宋体" w:eastAsia="宋体" w:cs="宋体"/>
          <w:color w:val="auto"/>
          <w:spacing w:val="5"/>
          <w:sz w:val="20"/>
          <w:szCs w:val="20"/>
          <w:highlight w:val="none"/>
        </w:rPr>
        <w:t xml:space="preserve"> </w:t>
      </w:r>
      <w:r>
        <w:rPr>
          <w:rFonts w:ascii="宋体" w:hAnsi="宋体" w:eastAsia="宋体" w:cs="宋体"/>
          <w:color w:val="auto"/>
          <w:spacing w:val="2"/>
          <w:sz w:val="20"/>
          <w:szCs w:val="20"/>
          <w:highlight w:val="none"/>
        </w:rPr>
        <w:t>或者项目管理、监理、检测等服务的供应商；在获知本项目采购信息后，与采购人</w:t>
      </w:r>
      <w:r>
        <w:rPr>
          <w:rFonts w:ascii="宋体" w:hAnsi="宋体" w:eastAsia="宋体" w:cs="宋体"/>
          <w:color w:val="auto"/>
          <w:spacing w:val="6"/>
          <w:sz w:val="20"/>
          <w:szCs w:val="20"/>
          <w:highlight w:val="none"/>
        </w:rPr>
        <w:t xml:space="preserve"> </w:t>
      </w:r>
      <w:r>
        <w:rPr>
          <w:rFonts w:ascii="宋体" w:hAnsi="宋体" w:eastAsia="宋体" w:cs="宋体"/>
          <w:color w:val="auto"/>
          <w:spacing w:val="-1"/>
          <w:sz w:val="20"/>
          <w:szCs w:val="20"/>
          <w:highlight w:val="none"/>
        </w:rPr>
        <w:t>聘请的为此项目提供咨询服务的公司及其附属机构没有任何联系。</w:t>
      </w:r>
    </w:p>
    <w:p w14:paraId="0E8F310A">
      <w:pPr>
        <w:spacing w:before="181" w:line="219" w:lineRule="auto"/>
        <w:ind w:left="486"/>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3.在此，我方宣布同意如下：</w:t>
      </w:r>
    </w:p>
    <w:p w14:paraId="66589C09">
      <w:pPr>
        <w:spacing w:before="183" w:line="220" w:lineRule="auto"/>
        <w:ind w:left="493"/>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（1）将按磋商文件的约定履行合同责任和义务；</w:t>
      </w:r>
    </w:p>
    <w:p w14:paraId="7E767F93">
      <w:pPr>
        <w:spacing w:before="179" w:line="219" w:lineRule="auto"/>
        <w:ind w:left="493"/>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（2）已详细审查全部磋商文件，包括澄清或者更正公告（如有</w:t>
      </w:r>
      <w:r>
        <w:rPr>
          <w:rFonts w:ascii="宋体" w:hAnsi="宋体" w:eastAsia="宋体" w:cs="宋体"/>
          <w:color w:val="auto"/>
          <w:spacing w:val="3"/>
          <w:sz w:val="20"/>
          <w:szCs w:val="20"/>
          <w:highlight w:val="none"/>
        </w:rPr>
        <w:t>）；</w:t>
      </w:r>
    </w:p>
    <w:p w14:paraId="69CD2988">
      <w:pPr>
        <w:spacing w:before="184" w:line="219" w:lineRule="auto"/>
        <w:ind w:left="493"/>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（3）同意提供按照贵方可能要求的与磋商有关的一切数据或者资料；</w:t>
      </w:r>
    </w:p>
    <w:p w14:paraId="5C0310B6">
      <w:pPr>
        <w:spacing w:before="183" w:line="220" w:lineRule="auto"/>
        <w:ind w:left="493"/>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（4）响应磋商文件规定的竞标有效期。</w:t>
      </w:r>
    </w:p>
    <w:p w14:paraId="29FA5E9A">
      <w:pPr>
        <w:spacing w:before="182" w:line="312" w:lineRule="auto"/>
        <w:ind w:right="81" w:firstLine="480"/>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4.我方承诺已经具备《中华人民共和国政府采购法》第二十二条中规定的参加</w:t>
      </w:r>
      <w:r>
        <w:rPr>
          <w:rFonts w:ascii="宋体" w:hAnsi="宋体" w:eastAsia="宋体" w:cs="宋体"/>
          <w:color w:val="auto"/>
          <w:spacing w:val="9"/>
          <w:sz w:val="20"/>
          <w:szCs w:val="20"/>
          <w:highlight w:val="none"/>
        </w:rPr>
        <w:t xml:space="preserve"> </w:t>
      </w:r>
      <w:r>
        <w:rPr>
          <w:rFonts w:ascii="宋体" w:hAnsi="宋体" w:eastAsia="宋体" w:cs="宋体"/>
          <w:color w:val="auto"/>
          <w:spacing w:val="1"/>
          <w:sz w:val="20"/>
          <w:szCs w:val="20"/>
          <w:highlight w:val="none"/>
        </w:rPr>
        <w:t>政府采购活动的供应商应当具备的条件并按本项目响应文件“第三章</w:t>
      </w:r>
      <w:r>
        <w:rPr>
          <w:rFonts w:ascii="宋体" w:hAnsi="宋体" w:eastAsia="宋体" w:cs="宋体"/>
          <w:color w:val="auto"/>
          <w:spacing w:val="-77"/>
          <w:sz w:val="20"/>
          <w:szCs w:val="20"/>
          <w:highlight w:val="none"/>
        </w:rPr>
        <w:t xml:space="preserve"> </w:t>
      </w:r>
      <w:r>
        <w:rPr>
          <w:rFonts w:ascii="宋体" w:hAnsi="宋体" w:eastAsia="宋体" w:cs="宋体"/>
          <w:color w:val="auto"/>
          <w:spacing w:val="1"/>
          <w:sz w:val="20"/>
          <w:szCs w:val="20"/>
          <w:highlight w:val="none"/>
        </w:rPr>
        <w:t>”“第二节供</w:t>
      </w:r>
      <w:r>
        <w:rPr>
          <w:rFonts w:ascii="宋体" w:hAnsi="宋体" w:eastAsia="宋体" w:cs="宋体"/>
          <w:color w:val="auto"/>
          <w:sz w:val="20"/>
          <w:szCs w:val="20"/>
          <w:highlight w:val="none"/>
        </w:rPr>
        <w:t xml:space="preserve"> </w:t>
      </w:r>
      <w:r>
        <w:rPr>
          <w:rFonts w:ascii="宋体" w:hAnsi="宋体" w:eastAsia="宋体" w:cs="宋体"/>
          <w:color w:val="auto"/>
          <w:spacing w:val="-3"/>
          <w:sz w:val="20"/>
          <w:szCs w:val="20"/>
          <w:highlight w:val="none"/>
        </w:rPr>
        <w:t>应商须知前附表</w:t>
      </w:r>
      <w:r>
        <w:rPr>
          <w:rFonts w:ascii="宋体" w:hAnsi="宋体" w:eastAsia="宋体" w:cs="宋体"/>
          <w:color w:val="auto"/>
          <w:spacing w:val="-78"/>
          <w:sz w:val="20"/>
          <w:szCs w:val="20"/>
          <w:highlight w:val="none"/>
        </w:rPr>
        <w:t xml:space="preserve"> </w:t>
      </w:r>
      <w:r>
        <w:rPr>
          <w:rFonts w:ascii="宋体" w:hAnsi="宋体" w:eastAsia="宋体" w:cs="宋体"/>
          <w:color w:val="auto"/>
          <w:spacing w:val="-3"/>
          <w:sz w:val="20"/>
          <w:szCs w:val="20"/>
          <w:highlight w:val="none"/>
        </w:rPr>
        <w:t>”中“资格证明文件组成</w:t>
      </w:r>
      <w:r>
        <w:rPr>
          <w:rFonts w:ascii="宋体" w:hAnsi="宋体" w:eastAsia="宋体" w:cs="宋体"/>
          <w:color w:val="auto"/>
          <w:spacing w:val="-88"/>
          <w:sz w:val="20"/>
          <w:szCs w:val="20"/>
          <w:highlight w:val="none"/>
        </w:rPr>
        <w:t xml:space="preserve"> </w:t>
      </w:r>
      <w:r>
        <w:rPr>
          <w:rFonts w:ascii="宋体" w:hAnsi="宋体" w:eastAsia="宋体" w:cs="宋体"/>
          <w:color w:val="auto"/>
          <w:spacing w:val="-3"/>
          <w:sz w:val="20"/>
          <w:szCs w:val="20"/>
          <w:highlight w:val="none"/>
        </w:rPr>
        <w:t>”完整提供证明材料。</w:t>
      </w:r>
    </w:p>
    <w:p w14:paraId="7CF74427">
      <w:pPr>
        <w:spacing w:before="181" w:line="336" w:lineRule="auto"/>
        <w:ind w:left="1" w:right="81" w:firstLine="484"/>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5.我方在此声明，我方在参加本项目的政府采购活动前三年内，在经营活动中</w:t>
      </w:r>
      <w:r>
        <w:rPr>
          <w:rFonts w:ascii="宋体" w:hAnsi="宋体" w:eastAsia="宋体" w:cs="宋体"/>
          <w:color w:val="auto"/>
          <w:spacing w:val="3"/>
          <w:sz w:val="20"/>
          <w:szCs w:val="20"/>
          <w:highlight w:val="none"/>
        </w:rPr>
        <w:t xml:space="preserve"> </w:t>
      </w:r>
      <w:r>
        <w:rPr>
          <w:rFonts w:ascii="宋体" w:hAnsi="宋体" w:eastAsia="宋体" w:cs="宋体"/>
          <w:color w:val="auto"/>
          <w:spacing w:val="2"/>
          <w:sz w:val="20"/>
          <w:szCs w:val="20"/>
          <w:highlight w:val="none"/>
        </w:rPr>
        <w:t>没有重大违法记录（重大违法记录是指供应商因违法经营受到刑事处罚或者责令停</w:t>
      </w:r>
      <w:r>
        <w:rPr>
          <w:rFonts w:ascii="宋体" w:hAnsi="宋体" w:eastAsia="宋体" w:cs="宋体"/>
          <w:color w:val="auto"/>
          <w:spacing w:val="6"/>
          <w:sz w:val="20"/>
          <w:szCs w:val="20"/>
          <w:highlight w:val="none"/>
        </w:rPr>
        <w:t xml:space="preserve"> </w:t>
      </w:r>
      <w:r>
        <w:rPr>
          <w:rFonts w:ascii="宋体" w:hAnsi="宋体" w:eastAsia="宋体" w:cs="宋体"/>
          <w:color w:val="auto"/>
          <w:spacing w:val="2"/>
          <w:sz w:val="20"/>
          <w:szCs w:val="20"/>
          <w:highlight w:val="none"/>
        </w:rPr>
        <w:t>产停业、吊销许可证或者执照、较大数额罚款等行政</w:t>
      </w:r>
      <w:r>
        <w:rPr>
          <w:rFonts w:ascii="宋体" w:hAnsi="宋体" w:eastAsia="宋体" w:cs="宋体"/>
          <w:color w:val="auto"/>
          <w:spacing w:val="1"/>
          <w:sz w:val="20"/>
          <w:szCs w:val="20"/>
          <w:highlight w:val="none"/>
        </w:rPr>
        <w:t>处罚</w:t>
      </w:r>
      <w:r>
        <w:rPr>
          <w:rFonts w:ascii="宋体" w:hAnsi="宋体" w:eastAsia="宋体" w:cs="宋体"/>
          <w:color w:val="auto"/>
          <w:spacing w:val="10"/>
          <w:sz w:val="20"/>
          <w:szCs w:val="20"/>
          <w:highlight w:val="none"/>
        </w:rPr>
        <w:t>），</w:t>
      </w:r>
      <w:r>
        <w:rPr>
          <w:rFonts w:ascii="宋体" w:hAnsi="宋体" w:eastAsia="宋体" w:cs="宋体"/>
          <w:color w:val="auto"/>
          <w:spacing w:val="1"/>
          <w:sz w:val="20"/>
          <w:szCs w:val="20"/>
          <w:highlight w:val="none"/>
        </w:rPr>
        <w:t xml:space="preserve">未被列入失信被执行 </w:t>
      </w:r>
      <w:r>
        <w:rPr>
          <w:rFonts w:ascii="宋体" w:hAnsi="宋体" w:eastAsia="宋体" w:cs="宋体"/>
          <w:color w:val="auto"/>
          <w:spacing w:val="2"/>
          <w:sz w:val="20"/>
          <w:szCs w:val="20"/>
          <w:highlight w:val="none"/>
        </w:rPr>
        <w:t>人、重大税收违法案件当事人名单、政府采购严重违法失信行为记录名单，完全符</w:t>
      </w:r>
      <w:r>
        <w:rPr>
          <w:rFonts w:ascii="宋体" w:hAnsi="宋体" w:eastAsia="宋体" w:cs="宋体"/>
          <w:color w:val="auto"/>
          <w:spacing w:val="6"/>
          <w:sz w:val="20"/>
          <w:szCs w:val="20"/>
          <w:highlight w:val="none"/>
        </w:rPr>
        <w:t xml:space="preserve"> </w:t>
      </w:r>
      <w:r>
        <w:rPr>
          <w:rFonts w:ascii="宋体" w:hAnsi="宋体" w:eastAsia="宋体" w:cs="宋体"/>
          <w:color w:val="auto"/>
          <w:spacing w:val="2"/>
          <w:sz w:val="20"/>
          <w:szCs w:val="20"/>
          <w:highlight w:val="none"/>
        </w:rPr>
        <w:t>合《中华人民共和国政府采购法》第二十二条规定的供应商资格条件，我方对此声</w:t>
      </w:r>
      <w:r>
        <w:rPr>
          <w:rFonts w:ascii="宋体" w:hAnsi="宋体" w:eastAsia="宋体" w:cs="宋体"/>
          <w:color w:val="auto"/>
          <w:spacing w:val="6"/>
          <w:sz w:val="20"/>
          <w:szCs w:val="20"/>
          <w:highlight w:val="none"/>
        </w:rPr>
        <w:t xml:space="preserve"> </w:t>
      </w:r>
      <w:r>
        <w:rPr>
          <w:rFonts w:ascii="宋体" w:hAnsi="宋体" w:eastAsia="宋体" w:cs="宋体"/>
          <w:color w:val="auto"/>
          <w:spacing w:val="-2"/>
          <w:sz w:val="20"/>
          <w:szCs w:val="20"/>
          <w:highlight w:val="none"/>
        </w:rPr>
        <w:t>明负全部法律责任。</w:t>
      </w:r>
    </w:p>
    <w:p w14:paraId="1A883B5F">
      <w:pPr>
        <w:spacing w:before="181" w:line="313" w:lineRule="auto"/>
        <w:ind w:right="81" w:firstLine="483"/>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6.根据《中华人民共和国政府采购法实施条例》第五十条要求对政府采购合同</w:t>
      </w:r>
      <w:r>
        <w:rPr>
          <w:rFonts w:ascii="宋体" w:hAnsi="宋体" w:eastAsia="宋体" w:cs="宋体"/>
          <w:color w:val="auto"/>
          <w:spacing w:val="6"/>
          <w:sz w:val="20"/>
          <w:szCs w:val="20"/>
          <w:highlight w:val="none"/>
        </w:rPr>
        <w:t xml:space="preserve"> </w:t>
      </w:r>
      <w:r>
        <w:rPr>
          <w:rFonts w:ascii="宋体" w:hAnsi="宋体" w:eastAsia="宋体" w:cs="宋体"/>
          <w:color w:val="auto"/>
          <w:spacing w:val="2"/>
          <w:sz w:val="20"/>
          <w:szCs w:val="20"/>
          <w:highlight w:val="none"/>
        </w:rPr>
        <w:t>进行公告，但政府采购合同中涉及国家秘密、商业秘密的内容除外。我方就对本次</w:t>
      </w:r>
      <w:r>
        <w:rPr>
          <w:rFonts w:ascii="宋体" w:hAnsi="宋体" w:eastAsia="宋体" w:cs="宋体"/>
          <w:color w:val="auto"/>
          <w:spacing w:val="8"/>
          <w:sz w:val="20"/>
          <w:szCs w:val="20"/>
          <w:highlight w:val="none"/>
        </w:rPr>
        <w:t xml:space="preserve"> </w:t>
      </w:r>
      <w:r>
        <w:rPr>
          <w:rFonts w:ascii="宋体" w:hAnsi="宋体" w:eastAsia="宋体" w:cs="宋体"/>
          <w:color w:val="auto"/>
          <w:spacing w:val="1"/>
          <w:sz w:val="20"/>
          <w:szCs w:val="20"/>
          <w:highlight w:val="none"/>
        </w:rPr>
        <w:t>响应文件进行注明如下</w:t>
      </w:r>
      <w:r>
        <w:rPr>
          <w:rFonts w:ascii="宋体" w:hAnsi="宋体" w:eastAsia="宋体" w:cs="宋体"/>
          <w:color w:val="auto"/>
          <w:spacing w:val="-16"/>
          <w:sz w:val="20"/>
          <w:szCs w:val="20"/>
          <w:highlight w:val="none"/>
        </w:rPr>
        <w:t>：（</w:t>
      </w:r>
      <w:r>
        <w:rPr>
          <w:rFonts w:ascii="宋体" w:hAnsi="宋体" w:eastAsia="宋体" w:cs="宋体"/>
          <w:color w:val="auto"/>
          <w:spacing w:val="1"/>
          <w:sz w:val="20"/>
          <w:szCs w:val="20"/>
          <w:highlight w:val="none"/>
        </w:rPr>
        <w:t>两项内容中必须选择一项）</w:t>
      </w:r>
    </w:p>
    <w:p w14:paraId="61C00536">
      <w:pPr>
        <w:spacing w:before="180" w:line="219" w:lineRule="auto"/>
        <w:ind w:left="506"/>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□我方本次响应文件内容中未涉及商业秘密；</w:t>
      </w:r>
    </w:p>
    <w:p w14:paraId="3C4848E5">
      <w:pPr>
        <w:spacing w:before="183" w:line="219" w:lineRule="auto"/>
        <w:ind w:left="506"/>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□我方本次响应文件涉及商业秘密的内容有</w:t>
      </w:r>
      <w:r>
        <w:rPr>
          <w:rFonts w:ascii="宋体" w:hAnsi="宋体" w:eastAsia="宋体" w:cs="宋体"/>
          <w:color w:val="auto"/>
          <w:spacing w:val="1"/>
          <w:sz w:val="20"/>
          <w:szCs w:val="20"/>
          <w:highlight w:val="none"/>
        </w:rPr>
        <w:t>：</w:t>
      </w:r>
      <w:r>
        <w:rPr>
          <w:rFonts w:ascii="宋体" w:hAnsi="宋体" w:eastAsia="宋体" w:cs="宋体"/>
          <w:color w:val="auto"/>
          <w:sz w:val="20"/>
          <w:szCs w:val="20"/>
          <w:highlight w:val="none"/>
          <w:u w:val="single" w:color="auto"/>
        </w:rPr>
        <w:t xml:space="preserve">                         </w:t>
      </w:r>
      <w:r>
        <w:rPr>
          <w:rFonts w:ascii="宋体" w:hAnsi="宋体" w:eastAsia="宋体" w:cs="宋体"/>
          <w:color w:val="auto"/>
          <w:spacing w:val="1"/>
          <w:sz w:val="20"/>
          <w:szCs w:val="20"/>
          <w:highlight w:val="none"/>
        </w:rPr>
        <w:t>；</w:t>
      </w:r>
    </w:p>
    <w:p w14:paraId="5B209576">
      <w:pPr>
        <w:spacing w:line="219" w:lineRule="auto"/>
        <w:rPr>
          <w:rFonts w:ascii="宋体" w:hAnsi="宋体" w:eastAsia="宋体" w:cs="宋体"/>
          <w:color w:val="auto"/>
          <w:sz w:val="20"/>
          <w:szCs w:val="20"/>
          <w:highlight w:val="none"/>
        </w:rPr>
        <w:sectPr>
          <w:footerReference r:id="rId45" w:type="default"/>
          <w:pgSz w:w="11910" w:h="16840"/>
          <w:pgMar w:top="400" w:right="1420" w:bottom="1079" w:left="1687" w:header="0" w:footer="843" w:gutter="0"/>
          <w:pgNumType w:fmt="decimal"/>
          <w:cols w:space="720" w:num="1"/>
        </w:sectPr>
      </w:pPr>
    </w:p>
    <w:p w14:paraId="1D6117D2">
      <w:pPr>
        <w:pStyle w:val="6"/>
        <w:spacing w:line="297" w:lineRule="auto"/>
        <w:rPr>
          <w:color w:val="auto"/>
          <w:sz w:val="20"/>
          <w:szCs w:val="20"/>
          <w:highlight w:val="none"/>
        </w:rPr>
      </w:pPr>
    </w:p>
    <w:p w14:paraId="7743A63E">
      <w:pPr>
        <w:pStyle w:val="6"/>
        <w:spacing w:line="298" w:lineRule="auto"/>
        <w:rPr>
          <w:color w:val="auto"/>
          <w:sz w:val="20"/>
          <w:szCs w:val="20"/>
          <w:highlight w:val="none"/>
        </w:rPr>
      </w:pPr>
    </w:p>
    <w:p w14:paraId="70679DD6">
      <w:pPr>
        <w:pStyle w:val="6"/>
        <w:spacing w:line="298" w:lineRule="auto"/>
        <w:rPr>
          <w:color w:val="auto"/>
          <w:sz w:val="20"/>
          <w:szCs w:val="20"/>
          <w:highlight w:val="none"/>
        </w:rPr>
      </w:pPr>
    </w:p>
    <w:p w14:paraId="2B50F74B">
      <w:pPr>
        <w:spacing w:before="78" w:line="219" w:lineRule="auto"/>
        <w:ind w:left="485"/>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7.与本磋商有关的一切正式往来信函请寄：</w:t>
      </w:r>
      <w:r>
        <w:rPr>
          <w:rFonts w:ascii="宋体" w:hAnsi="宋体" w:eastAsia="宋体" w:cs="宋体"/>
          <w:color w:val="auto"/>
          <w:spacing w:val="-1"/>
          <w:sz w:val="20"/>
          <w:szCs w:val="20"/>
          <w:highlight w:val="none"/>
          <w:u w:val="single" w:color="auto"/>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93"/>
          <w:sz w:val="20"/>
          <w:szCs w:val="20"/>
          <w:highlight w:val="none"/>
        </w:rPr>
        <w:t xml:space="preserve"> </w:t>
      </w:r>
      <w:r>
        <w:rPr>
          <w:rFonts w:ascii="宋体" w:hAnsi="宋体" w:eastAsia="宋体" w:cs="宋体"/>
          <w:color w:val="auto"/>
          <w:spacing w:val="-2"/>
          <w:sz w:val="20"/>
          <w:szCs w:val="20"/>
          <w:highlight w:val="none"/>
        </w:rPr>
        <w:t>邮政编号：</w:t>
      </w:r>
      <w:r>
        <w:rPr>
          <w:rFonts w:ascii="宋体" w:hAnsi="宋体" w:eastAsia="宋体" w:cs="宋体"/>
          <w:color w:val="auto"/>
          <w:sz w:val="20"/>
          <w:szCs w:val="20"/>
          <w:highlight w:val="none"/>
          <w:u w:val="single" w:color="auto"/>
        </w:rPr>
        <w:t xml:space="preserve">        </w:t>
      </w:r>
    </w:p>
    <w:p w14:paraId="3AC686AF">
      <w:pPr>
        <w:spacing w:before="180" w:line="219" w:lineRule="auto"/>
        <w:ind w:left="508"/>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电话/传真：</w:t>
      </w:r>
      <w:r>
        <w:rPr>
          <w:rFonts w:ascii="宋体" w:hAnsi="宋体" w:eastAsia="宋体" w:cs="宋体"/>
          <w:color w:val="auto"/>
          <w:sz w:val="20"/>
          <w:szCs w:val="20"/>
          <w:highlight w:val="none"/>
          <w:u w:val="single" w:color="auto"/>
        </w:rPr>
        <w:t xml:space="preserve">                        </w:t>
      </w:r>
      <w:r>
        <w:rPr>
          <w:rFonts w:ascii="宋体" w:hAnsi="宋体" w:eastAsia="宋体" w:cs="宋体"/>
          <w:color w:val="auto"/>
          <w:spacing w:val="38"/>
          <w:sz w:val="20"/>
          <w:szCs w:val="20"/>
          <w:highlight w:val="none"/>
        </w:rPr>
        <w:t xml:space="preserve"> </w:t>
      </w:r>
      <w:r>
        <w:rPr>
          <w:rFonts w:ascii="宋体" w:hAnsi="宋体" w:eastAsia="宋体" w:cs="宋体"/>
          <w:color w:val="auto"/>
          <w:spacing w:val="-7"/>
          <w:sz w:val="20"/>
          <w:szCs w:val="20"/>
          <w:highlight w:val="none"/>
        </w:rPr>
        <w:t>电子函件：</w:t>
      </w:r>
      <w:r>
        <w:rPr>
          <w:rFonts w:ascii="宋体" w:hAnsi="宋体" w:eastAsia="宋体" w:cs="宋体"/>
          <w:color w:val="auto"/>
          <w:sz w:val="20"/>
          <w:szCs w:val="20"/>
          <w:highlight w:val="none"/>
          <w:u w:val="single" w:color="auto"/>
        </w:rPr>
        <w:t xml:space="preserve">                       </w:t>
      </w:r>
    </w:p>
    <w:p w14:paraId="425D84FD">
      <w:pPr>
        <w:spacing w:before="180" w:line="221" w:lineRule="auto"/>
        <w:ind w:left="502"/>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开户银行：</w:t>
      </w:r>
      <w:r>
        <w:rPr>
          <w:rFonts w:ascii="宋体" w:hAnsi="宋体" w:eastAsia="宋体" w:cs="宋体"/>
          <w:color w:val="auto"/>
          <w:spacing w:val="-1"/>
          <w:sz w:val="20"/>
          <w:szCs w:val="20"/>
          <w:highlight w:val="none"/>
          <w:u w:val="single" w:color="auto"/>
        </w:rPr>
        <w:t xml:space="preserve">                         </w:t>
      </w:r>
      <w:r>
        <w:rPr>
          <w:rFonts w:ascii="宋体" w:hAnsi="宋体" w:eastAsia="宋体" w:cs="宋体"/>
          <w:color w:val="auto"/>
          <w:spacing w:val="14"/>
          <w:sz w:val="20"/>
          <w:szCs w:val="20"/>
          <w:highlight w:val="none"/>
        </w:rPr>
        <w:t xml:space="preserve"> </w:t>
      </w:r>
      <w:r>
        <w:rPr>
          <w:rFonts w:ascii="宋体" w:hAnsi="宋体" w:eastAsia="宋体" w:cs="宋体"/>
          <w:color w:val="auto"/>
          <w:spacing w:val="-1"/>
          <w:sz w:val="20"/>
          <w:szCs w:val="20"/>
          <w:highlight w:val="none"/>
        </w:rPr>
        <w:t>账号：</w:t>
      </w:r>
      <w:r>
        <w:rPr>
          <w:rFonts w:ascii="宋体" w:hAnsi="宋体" w:eastAsia="宋体" w:cs="宋体"/>
          <w:color w:val="auto"/>
          <w:spacing w:val="-1"/>
          <w:sz w:val="20"/>
          <w:szCs w:val="20"/>
          <w:highlight w:val="none"/>
          <w:u w:val="single" w:color="auto"/>
        </w:rPr>
        <w:t xml:space="preserve">        </w:t>
      </w:r>
      <w:r>
        <w:rPr>
          <w:rFonts w:ascii="宋体" w:hAnsi="宋体" w:eastAsia="宋体" w:cs="宋体"/>
          <w:color w:val="auto"/>
          <w:spacing w:val="-2"/>
          <w:sz w:val="20"/>
          <w:szCs w:val="20"/>
          <w:highlight w:val="none"/>
          <w:u w:val="single" w:color="auto"/>
        </w:rPr>
        <w:t xml:space="preserve">                   </w:t>
      </w:r>
    </w:p>
    <w:p w14:paraId="3DC5FFAD">
      <w:pPr>
        <w:spacing w:before="181" w:line="359" w:lineRule="auto"/>
        <w:ind w:firstLine="480"/>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8.以上事项如有虚假或者隐瞒，我方愿意承担一切后果，并不再寻求任何旨在</w:t>
      </w:r>
      <w:r>
        <w:rPr>
          <w:rFonts w:ascii="宋体" w:hAnsi="宋体" w:eastAsia="宋体" w:cs="宋体"/>
          <w:color w:val="auto"/>
          <w:spacing w:val="7"/>
          <w:sz w:val="20"/>
          <w:szCs w:val="20"/>
          <w:highlight w:val="none"/>
        </w:rPr>
        <w:t xml:space="preserve"> </w:t>
      </w:r>
      <w:r>
        <w:rPr>
          <w:rFonts w:ascii="宋体" w:hAnsi="宋体" w:eastAsia="宋体" w:cs="宋体"/>
          <w:color w:val="auto"/>
          <w:spacing w:val="-1"/>
          <w:sz w:val="20"/>
          <w:szCs w:val="20"/>
          <w:highlight w:val="none"/>
        </w:rPr>
        <w:t>减轻或者免除法律责任的辩解。</w:t>
      </w:r>
    </w:p>
    <w:p w14:paraId="14E8F600">
      <w:pPr>
        <w:spacing w:line="220" w:lineRule="auto"/>
        <w:ind w:left="501"/>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特此承诺。</w:t>
      </w:r>
    </w:p>
    <w:p w14:paraId="56FE1BA2">
      <w:pPr>
        <w:spacing w:before="182" w:line="360" w:lineRule="auto"/>
        <w:ind w:left="1" w:firstLine="478"/>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注：如为联合体竞标，盖章处须加盖联合体各方公章并由联合体各方法定代表</w:t>
      </w:r>
      <w:r>
        <w:rPr>
          <w:rFonts w:ascii="宋体" w:hAnsi="宋体" w:eastAsia="宋体" w:cs="宋体"/>
          <w:color w:val="auto"/>
          <w:spacing w:val="10"/>
          <w:sz w:val="20"/>
          <w:szCs w:val="20"/>
          <w:highlight w:val="none"/>
        </w:rPr>
        <w:t xml:space="preserve"> </w:t>
      </w:r>
      <w:r>
        <w:rPr>
          <w:rFonts w:ascii="宋体" w:hAnsi="宋体" w:eastAsia="宋体" w:cs="宋体"/>
          <w:color w:val="auto"/>
          <w:spacing w:val="-1"/>
          <w:sz w:val="20"/>
          <w:szCs w:val="20"/>
          <w:highlight w:val="none"/>
        </w:rPr>
        <w:t>人签署，否则其响应文件按无效响应处理。</w:t>
      </w:r>
    </w:p>
    <w:p w14:paraId="3C524A80">
      <w:pPr>
        <w:pStyle w:val="6"/>
        <w:spacing w:line="382" w:lineRule="auto"/>
        <w:rPr>
          <w:color w:val="auto"/>
          <w:sz w:val="20"/>
          <w:szCs w:val="20"/>
          <w:highlight w:val="none"/>
        </w:rPr>
      </w:pPr>
    </w:p>
    <w:p w14:paraId="087CA661">
      <w:pPr>
        <w:spacing w:before="78" w:line="219" w:lineRule="auto"/>
        <w:ind w:left="3885"/>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7682A0B6">
      <w:pPr>
        <w:spacing w:before="183" w:line="220" w:lineRule="auto"/>
        <w:ind w:left="6161"/>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日期：</w:t>
      </w:r>
      <w:r>
        <w:rPr>
          <w:rFonts w:ascii="宋体" w:hAnsi="宋体" w:eastAsia="宋体" w:cs="宋体"/>
          <w:color w:val="auto"/>
          <w:spacing w:val="5"/>
          <w:sz w:val="20"/>
          <w:szCs w:val="20"/>
          <w:highlight w:val="none"/>
        </w:rPr>
        <w:t xml:space="preserve">  </w:t>
      </w:r>
      <w:r>
        <w:rPr>
          <w:rFonts w:ascii="宋体" w:hAnsi="宋体" w:eastAsia="宋体" w:cs="宋体"/>
          <w:color w:val="auto"/>
          <w:spacing w:val="-13"/>
          <w:sz w:val="20"/>
          <w:szCs w:val="20"/>
          <w:highlight w:val="none"/>
        </w:rPr>
        <w:t>年</w:t>
      </w:r>
      <w:r>
        <w:rPr>
          <w:rFonts w:ascii="宋体" w:hAnsi="宋体" w:eastAsia="宋体" w:cs="宋体"/>
          <w:color w:val="auto"/>
          <w:spacing w:val="8"/>
          <w:sz w:val="20"/>
          <w:szCs w:val="20"/>
          <w:highlight w:val="none"/>
        </w:rPr>
        <w:t xml:space="preserve">  </w:t>
      </w:r>
      <w:r>
        <w:rPr>
          <w:rFonts w:ascii="宋体" w:hAnsi="宋体" w:eastAsia="宋体" w:cs="宋体"/>
          <w:color w:val="auto"/>
          <w:spacing w:val="-13"/>
          <w:sz w:val="20"/>
          <w:szCs w:val="20"/>
          <w:highlight w:val="none"/>
        </w:rPr>
        <w:t>月</w:t>
      </w:r>
      <w:r>
        <w:rPr>
          <w:rFonts w:ascii="宋体" w:hAnsi="宋体" w:eastAsia="宋体" w:cs="宋体"/>
          <w:color w:val="auto"/>
          <w:spacing w:val="17"/>
          <w:sz w:val="20"/>
          <w:szCs w:val="20"/>
          <w:highlight w:val="none"/>
        </w:rPr>
        <w:t xml:space="preserve">   </w:t>
      </w:r>
      <w:r>
        <w:rPr>
          <w:rFonts w:ascii="宋体" w:hAnsi="宋体" w:eastAsia="宋体" w:cs="宋体"/>
          <w:color w:val="auto"/>
          <w:spacing w:val="-13"/>
          <w:sz w:val="20"/>
          <w:szCs w:val="20"/>
          <w:highlight w:val="none"/>
        </w:rPr>
        <w:t>日</w:t>
      </w:r>
    </w:p>
    <w:p w14:paraId="5A9FB22D">
      <w:pPr>
        <w:spacing w:line="220" w:lineRule="auto"/>
        <w:rPr>
          <w:rFonts w:ascii="宋体" w:hAnsi="宋体" w:eastAsia="宋体" w:cs="宋体"/>
          <w:color w:val="auto"/>
          <w:sz w:val="24"/>
          <w:szCs w:val="24"/>
          <w:highlight w:val="none"/>
        </w:rPr>
        <w:sectPr>
          <w:footerReference r:id="rId46" w:type="default"/>
          <w:pgSz w:w="11910" w:h="16840"/>
          <w:pgMar w:top="400" w:right="1501" w:bottom="1079" w:left="1689" w:header="0" w:footer="843" w:gutter="0"/>
          <w:pgNumType w:fmt="decimal"/>
          <w:cols w:space="720" w:num="1"/>
        </w:sectPr>
      </w:pPr>
    </w:p>
    <w:p w14:paraId="09E94319">
      <w:pPr>
        <w:pStyle w:val="6"/>
        <w:spacing w:line="338" w:lineRule="auto"/>
        <w:rPr>
          <w:color w:val="auto"/>
          <w:highlight w:val="none"/>
        </w:rPr>
      </w:pPr>
    </w:p>
    <w:p w14:paraId="2C4A5058">
      <w:pPr>
        <w:pStyle w:val="6"/>
        <w:spacing w:line="338" w:lineRule="auto"/>
        <w:rPr>
          <w:color w:val="auto"/>
          <w:highlight w:val="none"/>
        </w:rPr>
      </w:pPr>
    </w:p>
    <w:p w14:paraId="057BE633">
      <w:pPr>
        <w:spacing w:before="98" w:line="361" w:lineRule="auto"/>
        <w:ind w:right="2"/>
        <w:jc w:val="both"/>
        <w:rPr>
          <w:rFonts w:ascii="宋体" w:hAnsi="宋体" w:eastAsia="宋体" w:cs="宋体"/>
          <w:color w:val="auto"/>
          <w:sz w:val="30"/>
          <w:szCs w:val="30"/>
          <w:highlight w:val="none"/>
        </w:rPr>
      </w:pPr>
      <w:r>
        <w:rPr>
          <w:rFonts w:ascii="宋体" w:hAnsi="宋体" w:eastAsia="宋体" w:cs="宋体"/>
          <w:b/>
          <w:bCs/>
          <w:color w:val="auto"/>
          <w:spacing w:val="-3"/>
          <w:sz w:val="30"/>
          <w:szCs w:val="30"/>
          <w:highlight w:val="none"/>
        </w:rPr>
        <w:t>七、供应商提供有效的具有建筑工程施工总承包三级（含三级）以</w:t>
      </w:r>
      <w:r>
        <w:rPr>
          <w:rFonts w:ascii="宋体" w:hAnsi="宋体" w:eastAsia="宋体" w:cs="宋体"/>
          <w:color w:val="auto"/>
          <w:spacing w:val="12"/>
          <w:sz w:val="30"/>
          <w:szCs w:val="30"/>
          <w:highlight w:val="none"/>
        </w:rPr>
        <w:t xml:space="preserve"> </w:t>
      </w:r>
      <w:r>
        <w:rPr>
          <w:rFonts w:ascii="宋体" w:hAnsi="宋体" w:eastAsia="宋体" w:cs="宋体"/>
          <w:b/>
          <w:bCs/>
          <w:color w:val="auto"/>
          <w:spacing w:val="-3"/>
          <w:sz w:val="30"/>
          <w:szCs w:val="30"/>
          <w:highlight w:val="none"/>
        </w:rPr>
        <w:t>上资质证书复印件；有效的安全生产许可证复印件</w:t>
      </w:r>
    </w:p>
    <w:p w14:paraId="716478FF">
      <w:pPr>
        <w:pStyle w:val="6"/>
        <w:spacing w:line="246" w:lineRule="auto"/>
        <w:rPr>
          <w:color w:val="auto"/>
          <w:highlight w:val="none"/>
        </w:rPr>
      </w:pPr>
    </w:p>
    <w:p w14:paraId="123927B4">
      <w:pPr>
        <w:pStyle w:val="6"/>
        <w:spacing w:line="246" w:lineRule="auto"/>
        <w:rPr>
          <w:color w:val="auto"/>
          <w:highlight w:val="none"/>
        </w:rPr>
      </w:pPr>
    </w:p>
    <w:p w14:paraId="381786A7">
      <w:pPr>
        <w:pStyle w:val="6"/>
        <w:spacing w:line="246" w:lineRule="auto"/>
        <w:rPr>
          <w:color w:val="auto"/>
          <w:highlight w:val="none"/>
        </w:rPr>
      </w:pPr>
    </w:p>
    <w:p w14:paraId="6DE5058F">
      <w:pPr>
        <w:pStyle w:val="6"/>
        <w:spacing w:line="246" w:lineRule="auto"/>
        <w:rPr>
          <w:color w:val="auto"/>
          <w:highlight w:val="none"/>
        </w:rPr>
      </w:pPr>
    </w:p>
    <w:p w14:paraId="7D4E06F9">
      <w:pPr>
        <w:spacing w:before="78" w:line="219" w:lineRule="auto"/>
        <w:ind w:left="409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供应商名称（电子签章</w:t>
      </w:r>
      <w:r>
        <w:rPr>
          <w:rFonts w:ascii="宋体" w:hAnsi="宋体" w:eastAsia="宋体" w:cs="宋体"/>
          <w:color w:val="auto"/>
          <w:sz w:val="24"/>
          <w:szCs w:val="24"/>
          <w:highlight w:val="none"/>
        </w:rPr>
        <w:t>）：</w:t>
      </w:r>
    </w:p>
    <w:p w14:paraId="0E8746F8">
      <w:pPr>
        <w:spacing w:before="211" w:line="220" w:lineRule="auto"/>
        <w:jc w:val="right"/>
        <w:rPr>
          <w:rFonts w:ascii="宋体" w:hAnsi="宋体" w:eastAsia="宋体" w:cs="宋体"/>
          <w:color w:val="auto"/>
          <w:sz w:val="24"/>
          <w:szCs w:val="24"/>
          <w:highlight w:val="none"/>
        </w:rPr>
      </w:pPr>
      <w:r>
        <w:rPr>
          <w:rFonts w:ascii="宋体" w:hAnsi="宋体" w:eastAsia="宋体" w:cs="宋体"/>
          <w:color w:val="auto"/>
          <w:spacing w:val="-19"/>
          <w:sz w:val="24"/>
          <w:szCs w:val="24"/>
          <w:highlight w:val="none"/>
        </w:rPr>
        <w:t>日期：  年</w:t>
      </w:r>
      <w:r>
        <w:rPr>
          <w:rFonts w:ascii="宋体" w:hAnsi="宋体" w:eastAsia="宋体" w:cs="宋体"/>
          <w:color w:val="auto"/>
          <w:spacing w:val="10"/>
          <w:sz w:val="24"/>
          <w:szCs w:val="24"/>
          <w:highlight w:val="none"/>
        </w:rPr>
        <w:t xml:space="preserve">  </w:t>
      </w:r>
      <w:r>
        <w:rPr>
          <w:rFonts w:ascii="宋体" w:hAnsi="宋体" w:eastAsia="宋体" w:cs="宋体"/>
          <w:color w:val="auto"/>
          <w:spacing w:val="-19"/>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9"/>
          <w:sz w:val="24"/>
          <w:szCs w:val="24"/>
          <w:highlight w:val="none"/>
        </w:rPr>
        <w:t>日</w:t>
      </w:r>
    </w:p>
    <w:p w14:paraId="40FE0C56">
      <w:pPr>
        <w:pStyle w:val="6"/>
        <w:spacing w:line="251" w:lineRule="auto"/>
        <w:rPr>
          <w:color w:val="auto"/>
          <w:highlight w:val="none"/>
        </w:rPr>
      </w:pPr>
    </w:p>
    <w:p w14:paraId="76EEA6DC">
      <w:pPr>
        <w:pStyle w:val="6"/>
        <w:spacing w:line="251" w:lineRule="auto"/>
        <w:rPr>
          <w:color w:val="auto"/>
          <w:highlight w:val="none"/>
        </w:rPr>
      </w:pPr>
    </w:p>
    <w:p w14:paraId="7C19A1FE">
      <w:pPr>
        <w:pStyle w:val="6"/>
        <w:spacing w:line="251" w:lineRule="auto"/>
        <w:rPr>
          <w:color w:val="auto"/>
          <w:highlight w:val="none"/>
        </w:rPr>
      </w:pPr>
    </w:p>
    <w:p w14:paraId="3B3261DD">
      <w:pPr>
        <w:pStyle w:val="6"/>
        <w:spacing w:line="251" w:lineRule="auto"/>
        <w:rPr>
          <w:color w:val="auto"/>
          <w:highlight w:val="none"/>
        </w:rPr>
      </w:pPr>
    </w:p>
    <w:p w14:paraId="4589ACE5">
      <w:pPr>
        <w:pStyle w:val="6"/>
        <w:spacing w:line="251" w:lineRule="auto"/>
        <w:rPr>
          <w:color w:val="auto"/>
          <w:highlight w:val="none"/>
        </w:rPr>
      </w:pPr>
    </w:p>
    <w:p w14:paraId="7E80669E">
      <w:pPr>
        <w:pStyle w:val="6"/>
        <w:spacing w:line="251" w:lineRule="auto"/>
        <w:rPr>
          <w:color w:val="auto"/>
          <w:highlight w:val="none"/>
        </w:rPr>
      </w:pPr>
    </w:p>
    <w:p w14:paraId="5A83EAF2">
      <w:pPr>
        <w:pStyle w:val="6"/>
        <w:spacing w:line="251" w:lineRule="auto"/>
        <w:rPr>
          <w:color w:val="auto"/>
          <w:highlight w:val="none"/>
        </w:rPr>
      </w:pPr>
    </w:p>
    <w:p w14:paraId="2D8D43B9">
      <w:pPr>
        <w:pStyle w:val="6"/>
        <w:spacing w:line="252" w:lineRule="auto"/>
        <w:rPr>
          <w:color w:val="auto"/>
          <w:highlight w:val="none"/>
        </w:rPr>
      </w:pPr>
    </w:p>
    <w:p w14:paraId="3AE44348">
      <w:pPr>
        <w:pStyle w:val="6"/>
        <w:spacing w:line="252" w:lineRule="auto"/>
        <w:rPr>
          <w:color w:val="auto"/>
          <w:highlight w:val="none"/>
        </w:rPr>
      </w:pPr>
    </w:p>
    <w:p w14:paraId="1F54C8A6">
      <w:pPr>
        <w:spacing w:before="97" w:line="361" w:lineRule="auto"/>
        <w:ind w:right="2" w:firstLine="5"/>
        <w:rPr>
          <w:rFonts w:ascii="宋体" w:hAnsi="宋体" w:eastAsia="宋体" w:cs="宋体"/>
          <w:color w:val="auto"/>
          <w:sz w:val="30"/>
          <w:szCs w:val="30"/>
          <w:highlight w:val="none"/>
        </w:rPr>
      </w:pPr>
      <w:r>
        <w:rPr>
          <w:rFonts w:ascii="宋体" w:hAnsi="宋体" w:eastAsia="宋体" w:cs="宋体"/>
          <w:b/>
          <w:bCs/>
          <w:color w:val="auto"/>
          <w:spacing w:val="-3"/>
          <w:sz w:val="30"/>
          <w:szCs w:val="30"/>
          <w:highlight w:val="none"/>
        </w:rPr>
        <w:t>八、供应商提供拟派项目经理具有建筑工程专业二级及以上注册建</w:t>
      </w:r>
      <w:r>
        <w:rPr>
          <w:rFonts w:ascii="宋体" w:hAnsi="宋体" w:eastAsia="宋体" w:cs="宋体"/>
          <w:color w:val="auto"/>
          <w:spacing w:val="6"/>
          <w:sz w:val="30"/>
          <w:szCs w:val="30"/>
          <w:highlight w:val="none"/>
        </w:rPr>
        <w:t xml:space="preserve"> </w:t>
      </w:r>
      <w:r>
        <w:rPr>
          <w:rFonts w:ascii="宋体" w:hAnsi="宋体" w:eastAsia="宋体" w:cs="宋体"/>
          <w:b/>
          <w:bCs/>
          <w:color w:val="auto"/>
          <w:spacing w:val="-3"/>
          <w:sz w:val="30"/>
          <w:szCs w:val="30"/>
          <w:highlight w:val="none"/>
        </w:rPr>
        <w:t>造师证书及有效的安全生产考核合格证书（B</w:t>
      </w:r>
      <w:r>
        <w:rPr>
          <w:rFonts w:ascii="宋体" w:hAnsi="宋体" w:eastAsia="宋体" w:cs="宋体"/>
          <w:color w:val="auto"/>
          <w:spacing w:val="-61"/>
          <w:sz w:val="30"/>
          <w:szCs w:val="30"/>
          <w:highlight w:val="none"/>
        </w:rPr>
        <w:t xml:space="preserve"> </w:t>
      </w:r>
      <w:r>
        <w:rPr>
          <w:rFonts w:ascii="宋体" w:hAnsi="宋体" w:eastAsia="宋体" w:cs="宋体"/>
          <w:b/>
          <w:bCs/>
          <w:color w:val="auto"/>
          <w:spacing w:val="-3"/>
          <w:sz w:val="30"/>
          <w:szCs w:val="30"/>
          <w:highlight w:val="none"/>
        </w:rPr>
        <w:t>类）复印件</w:t>
      </w:r>
    </w:p>
    <w:p w14:paraId="4A61C834">
      <w:pPr>
        <w:pStyle w:val="6"/>
        <w:spacing w:line="268" w:lineRule="auto"/>
        <w:rPr>
          <w:color w:val="auto"/>
          <w:highlight w:val="none"/>
        </w:rPr>
      </w:pPr>
    </w:p>
    <w:p w14:paraId="5C907678">
      <w:pPr>
        <w:pStyle w:val="6"/>
        <w:spacing w:line="268" w:lineRule="auto"/>
        <w:rPr>
          <w:color w:val="auto"/>
          <w:highlight w:val="none"/>
        </w:rPr>
      </w:pPr>
    </w:p>
    <w:p w14:paraId="57DBF1DF">
      <w:pPr>
        <w:pStyle w:val="6"/>
        <w:spacing w:line="268" w:lineRule="auto"/>
        <w:rPr>
          <w:color w:val="auto"/>
          <w:highlight w:val="none"/>
        </w:rPr>
      </w:pPr>
    </w:p>
    <w:p w14:paraId="15CACDD7">
      <w:pPr>
        <w:pStyle w:val="6"/>
        <w:spacing w:line="269" w:lineRule="auto"/>
        <w:rPr>
          <w:color w:val="auto"/>
          <w:highlight w:val="none"/>
        </w:rPr>
      </w:pPr>
    </w:p>
    <w:p w14:paraId="07784A07">
      <w:pPr>
        <w:spacing w:before="79" w:line="219" w:lineRule="auto"/>
        <w:ind w:left="409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供应商名称（电子签章</w:t>
      </w:r>
      <w:r>
        <w:rPr>
          <w:rFonts w:ascii="宋体" w:hAnsi="宋体" w:eastAsia="宋体" w:cs="宋体"/>
          <w:color w:val="auto"/>
          <w:sz w:val="24"/>
          <w:szCs w:val="24"/>
          <w:highlight w:val="none"/>
        </w:rPr>
        <w:t>）：</w:t>
      </w:r>
    </w:p>
    <w:p w14:paraId="1AB1612D">
      <w:pPr>
        <w:spacing w:before="211" w:line="220" w:lineRule="auto"/>
        <w:jc w:val="right"/>
        <w:rPr>
          <w:rFonts w:ascii="宋体" w:hAnsi="宋体" w:eastAsia="宋体" w:cs="宋体"/>
          <w:color w:val="auto"/>
          <w:sz w:val="24"/>
          <w:szCs w:val="24"/>
          <w:highlight w:val="none"/>
        </w:rPr>
      </w:pPr>
      <w:r>
        <w:rPr>
          <w:rFonts w:ascii="宋体" w:hAnsi="宋体" w:eastAsia="宋体" w:cs="宋体"/>
          <w:color w:val="auto"/>
          <w:spacing w:val="-19"/>
          <w:sz w:val="24"/>
          <w:szCs w:val="24"/>
          <w:highlight w:val="none"/>
        </w:rPr>
        <w:t>日期：  年</w:t>
      </w:r>
      <w:r>
        <w:rPr>
          <w:rFonts w:ascii="宋体" w:hAnsi="宋体" w:eastAsia="宋体" w:cs="宋体"/>
          <w:color w:val="auto"/>
          <w:spacing w:val="10"/>
          <w:sz w:val="24"/>
          <w:szCs w:val="24"/>
          <w:highlight w:val="none"/>
        </w:rPr>
        <w:t xml:space="preserve">  </w:t>
      </w:r>
      <w:r>
        <w:rPr>
          <w:rFonts w:ascii="宋体" w:hAnsi="宋体" w:eastAsia="宋体" w:cs="宋体"/>
          <w:color w:val="auto"/>
          <w:spacing w:val="-19"/>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9"/>
          <w:sz w:val="24"/>
          <w:szCs w:val="24"/>
          <w:highlight w:val="none"/>
        </w:rPr>
        <w:t>日</w:t>
      </w:r>
    </w:p>
    <w:p w14:paraId="69537022">
      <w:pPr>
        <w:spacing w:line="220" w:lineRule="auto"/>
        <w:rPr>
          <w:rFonts w:ascii="宋体" w:hAnsi="宋体" w:eastAsia="宋体" w:cs="宋体"/>
          <w:color w:val="auto"/>
          <w:sz w:val="24"/>
          <w:szCs w:val="24"/>
          <w:highlight w:val="none"/>
        </w:rPr>
        <w:sectPr>
          <w:footerReference r:id="rId47" w:type="default"/>
          <w:pgSz w:w="11905" w:h="16839"/>
          <w:pgMar w:top="400" w:right="1587" w:bottom="1079" w:left="1596" w:header="0" w:footer="843" w:gutter="0"/>
          <w:pgNumType w:fmt="decimal"/>
          <w:cols w:space="720" w:num="1"/>
        </w:sectPr>
      </w:pPr>
    </w:p>
    <w:p w14:paraId="68A49FF8">
      <w:pPr>
        <w:pStyle w:val="6"/>
        <w:spacing w:line="337" w:lineRule="auto"/>
        <w:rPr>
          <w:color w:val="auto"/>
          <w:highlight w:val="none"/>
        </w:rPr>
      </w:pPr>
    </w:p>
    <w:p w14:paraId="7DEEEED1">
      <w:pPr>
        <w:pStyle w:val="6"/>
        <w:spacing w:line="338" w:lineRule="auto"/>
        <w:rPr>
          <w:color w:val="auto"/>
          <w:highlight w:val="none"/>
        </w:rPr>
      </w:pPr>
    </w:p>
    <w:p w14:paraId="523BAD42">
      <w:pPr>
        <w:spacing w:before="97" w:line="361" w:lineRule="auto"/>
        <w:ind w:left="441" w:right="57" w:firstLine="2"/>
        <w:rPr>
          <w:rFonts w:ascii="宋体" w:hAnsi="宋体" w:eastAsia="宋体" w:cs="宋体"/>
          <w:color w:val="auto"/>
          <w:sz w:val="30"/>
          <w:szCs w:val="30"/>
          <w:highlight w:val="none"/>
        </w:rPr>
      </w:pPr>
      <w:r>
        <w:rPr>
          <w:rFonts w:ascii="宋体" w:hAnsi="宋体" w:eastAsia="宋体" w:cs="宋体"/>
          <w:b/>
          <w:bCs/>
          <w:color w:val="auto"/>
          <w:spacing w:val="-3"/>
          <w:sz w:val="30"/>
          <w:szCs w:val="30"/>
          <w:highlight w:val="none"/>
        </w:rPr>
        <w:t>九、中小企业声明函或残疾人福利性单位声明函或投标人属于监狱</w:t>
      </w:r>
      <w:r>
        <w:rPr>
          <w:rFonts w:ascii="宋体" w:hAnsi="宋体" w:eastAsia="宋体" w:cs="宋体"/>
          <w:color w:val="auto"/>
          <w:spacing w:val="6"/>
          <w:sz w:val="30"/>
          <w:szCs w:val="30"/>
          <w:highlight w:val="none"/>
        </w:rPr>
        <w:t xml:space="preserve"> </w:t>
      </w:r>
      <w:r>
        <w:rPr>
          <w:rFonts w:ascii="宋体" w:hAnsi="宋体" w:eastAsia="宋体" w:cs="宋体"/>
          <w:b/>
          <w:bCs/>
          <w:color w:val="auto"/>
          <w:spacing w:val="-5"/>
          <w:sz w:val="30"/>
          <w:szCs w:val="30"/>
          <w:highlight w:val="none"/>
        </w:rPr>
        <w:t>企业的证明材料</w:t>
      </w:r>
    </w:p>
    <w:p w14:paraId="255384EB">
      <w:pPr>
        <w:spacing w:before="131" w:line="220" w:lineRule="auto"/>
        <w:ind w:left="3003"/>
        <w:rPr>
          <w:rFonts w:ascii="宋体" w:hAnsi="宋体" w:eastAsia="宋体" w:cs="宋体"/>
          <w:color w:val="auto"/>
          <w:sz w:val="20"/>
          <w:szCs w:val="20"/>
          <w:highlight w:val="none"/>
        </w:rPr>
      </w:pPr>
      <w:r>
        <w:rPr>
          <w:rFonts w:ascii="宋体" w:hAnsi="宋体" w:eastAsia="宋体" w:cs="宋体"/>
          <w:b/>
          <w:bCs/>
          <w:color w:val="auto"/>
          <w:spacing w:val="-5"/>
          <w:sz w:val="20"/>
          <w:szCs w:val="20"/>
          <w:highlight w:val="none"/>
        </w:rPr>
        <w:t>小微企业声明函（工程类）</w:t>
      </w:r>
    </w:p>
    <w:p w14:paraId="03D62208">
      <w:pPr>
        <w:pStyle w:val="6"/>
        <w:spacing w:line="337" w:lineRule="auto"/>
        <w:rPr>
          <w:color w:val="auto"/>
          <w:sz w:val="20"/>
          <w:szCs w:val="20"/>
          <w:highlight w:val="none"/>
        </w:rPr>
      </w:pPr>
    </w:p>
    <w:p w14:paraId="2ED9A08B">
      <w:pPr>
        <w:spacing w:before="78" w:line="382" w:lineRule="auto"/>
        <w:ind w:left="9" w:right="199" w:firstLine="640"/>
        <w:jc w:val="both"/>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本公司郑重声明，根据《政府采购促进中小企业发展管理办法》（财库﹝2020﹞</w:t>
      </w:r>
      <w:r>
        <w:rPr>
          <w:rFonts w:ascii="宋体" w:hAnsi="宋体" w:eastAsia="宋体" w:cs="宋体"/>
          <w:color w:val="auto"/>
          <w:spacing w:val="1"/>
          <w:sz w:val="20"/>
          <w:szCs w:val="20"/>
          <w:highlight w:val="none"/>
        </w:rPr>
        <w:t xml:space="preserve"> </w:t>
      </w:r>
      <w:r>
        <w:rPr>
          <w:rFonts w:ascii="宋体" w:hAnsi="宋体" w:eastAsia="宋体" w:cs="宋体"/>
          <w:color w:val="auto"/>
          <w:spacing w:val="-1"/>
          <w:sz w:val="20"/>
          <w:szCs w:val="20"/>
          <w:highlight w:val="none"/>
        </w:rPr>
        <w:t>46</w:t>
      </w:r>
      <w:r>
        <w:rPr>
          <w:rFonts w:ascii="宋体" w:hAnsi="宋体" w:eastAsia="宋体" w:cs="宋体"/>
          <w:color w:val="auto"/>
          <w:spacing w:val="-45"/>
          <w:sz w:val="20"/>
          <w:szCs w:val="20"/>
          <w:highlight w:val="none"/>
        </w:rPr>
        <w:t xml:space="preserve"> </w:t>
      </w:r>
      <w:r>
        <w:rPr>
          <w:rFonts w:ascii="宋体" w:hAnsi="宋体" w:eastAsia="宋体" w:cs="宋体"/>
          <w:color w:val="auto"/>
          <w:spacing w:val="-1"/>
          <w:sz w:val="20"/>
          <w:szCs w:val="20"/>
          <w:highlight w:val="none"/>
        </w:rPr>
        <w:t>号）的规定，本公司参加</w:t>
      </w:r>
      <w:r>
        <w:rPr>
          <w:rFonts w:ascii="宋体" w:hAnsi="宋体" w:eastAsia="宋体" w:cs="宋体"/>
          <w:color w:val="auto"/>
          <w:spacing w:val="-1"/>
          <w:sz w:val="20"/>
          <w:szCs w:val="20"/>
          <w:highlight w:val="none"/>
          <w:u w:val="single" w:color="auto"/>
        </w:rPr>
        <w:t>（采购单位）</w:t>
      </w:r>
      <w:r>
        <w:rPr>
          <w:rFonts w:ascii="宋体" w:hAnsi="宋体" w:eastAsia="宋体" w:cs="宋体"/>
          <w:color w:val="auto"/>
          <w:spacing w:val="-2"/>
          <w:sz w:val="20"/>
          <w:szCs w:val="20"/>
          <w:highlight w:val="none"/>
        </w:rPr>
        <w:t>的</w:t>
      </w:r>
      <w:r>
        <w:rPr>
          <w:rFonts w:ascii="宋体" w:hAnsi="宋体" w:eastAsia="宋体" w:cs="宋体"/>
          <w:color w:val="auto"/>
          <w:spacing w:val="-2"/>
          <w:sz w:val="20"/>
          <w:szCs w:val="20"/>
          <w:highlight w:val="none"/>
          <w:u w:val="single" w:color="auto"/>
        </w:rPr>
        <w:t>*************工程</w:t>
      </w:r>
      <w:r>
        <w:rPr>
          <w:rFonts w:ascii="宋体" w:hAnsi="宋体" w:eastAsia="宋体" w:cs="宋体"/>
          <w:color w:val="auto"/>
          <w:spacing w:val="-2"/>
          <w:sz w:val="20"/>
          <w:szCs w:val="20"/>
          <w:highlight w:val="none"/>
        </w:rPr>
        <w:t>采购活动，工程的施工</w:t>
      </w:r>
      <w:r>
        <w:rPr>
          <w:rFonts w:ascii="宋体" w:hAnsi="宋体" w:eastAsia="宋体" w:cs="宋体"/>
          <w:color w:val="auto"/>
          <w:sz w:val="20"/>
          <w:szCs w:val="20"/>
          <w:highlight w:val="none"/>
        </w:rPr>
        <w:t xml:space="preserve"> </w:t>
      </w:r>
      <w:r>
        <w:rPr>
          <w:rFonts w:ascii="宋体" w:hAnsi="宋体" w:eastAsia="宋体" w:cs="宋体"/>
          <w:color w:val="auto"/>
          <w:spacing w:val="3"/>
          <w:sz w:val="20"/>
          <w:szCs w:val="20"/>
          <w:highlight w:val="none"/>
        </w:rPr>
        <w:t>单位全部为符合政策要求的小微企业（或者：服务全部由符合政策要求的小微企业承</w:t>
      </w:r>
      <w:r>
        <w:rPr>
          <w:rFonts w:ascii="宋体" w:hAnsi="宋体" w:eastAsia="宋体" w:cs="宋体"/>
          <w:color w:val="auto"/>
          <w:spacing w:val="13"/>
          <w:sz w:val="20"/>
          <w:szCs w:val="20"/>
          <w:highlight w:val="none"/>
        </w:rPr>
        <w:t xml:space="preserve"> </w:t>
      </w:r>
      <w:r>
        <w:rPr>
          <w:rFonts w:ascii="宋体" w:hAnsi="宋体" w:eastAsia="宋体" w:cs="宋体"/>
          <w:color w:val="auto"/>
          <w:spacing w:val="-3"/>
          <w:sz w:val="20"/>
          <w:szCs w:val="20"/>
          <w:highlight w:val="none"/>
        </w:rPr>
        <w:t>接）。相关企业（含联合体中的小微企业、签订分包意向协议的小微企业）的具体情况</w:t>
      </w:r>
      <w:r>
        <w:rPr>
          <w:rFonts w:ascii="宋体" w:hAnsi="宋体" w:eastAsia="宋体" w:cs="宋体"/>
          <w:color w:val="auto"/>
          <w:sz w:val="20"/>
          <w:szCs w:val="20"/>
          <w:highlight w:val="none"/>
        </w:rPr>
        <w:t xml:space="preserve"> </w:t>
      </w:r>
      <w:r>
        <w:rPr>
          <w:rFonts w:ascii="宋体" w:hAnsi="宋体" w:eastAsia="宋体" w:cs="宋体"/>
          <w:color w:val="auto"/>
          <w:spacing w:val="-3"/>
          <w:sz w:val="20"/>
          <w:szCs w:val="20"/>
          <w:highlight w:val="none"/>
        </w:rPr>
        <w:t>如下：</w:t>
      </w:r>
    </w:p>
    <w:p w14:paraId="232647EA">
      <w:pPr>
        <w:tabs>
          <w:tab w:val="left" w:pos="136"/>
        </w:tabs>
        <w:spacing w:line="328" w:lineRule="auto"/>
        <w:ind w:firstLine="682"/>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1.</w:t>
      </w:r>
      <w:r>
        <w:rPr>
          <w:rFonts w:ascii="宋体" w:hAnsi="宋体" w:eastAsia="宋体" w:cs="宋体"/>
          <w:color w:val="auto"/>
          <w:spacing w:val="-3"/>
          <w:sz w:val="20"/>
          <w:szCs w:val="20"/>
          <w:highlight w:val="none"/>
          <w:u w:val="single" w:color="auto"/>
        </w:rPr>
        <w:t>（标的名称）</w:t>
      </w:r>
      <w:r>
        <w:rPr>
          <w:rFonts w:ascii="宋体" w:hAnsi="宋体" w:eastAsia="宋体" w:cs="宋体"/>
          <w:color w:val="auto"/>
          <w:spacing w:val="-3"/>
          <w:sz w:val="20"/>
          <w:szCs w:val="20"/>
          <w:highlight w:val="none"/>
        </w:rPr>
        <w:t>，属于</w:t>
      </w:r>
      <w:r>
        <w:rPr>
          <w:rFonts w:ascii="宋体" w:hAnsi="宋体" w:eastAsia="宋体" w:cs="宋体"/>
          <w:color w:val="auto"/>
          <w:spacing w:val="-3"/>
          <w:sz w:val="20"/>
          <w:szCs w:val="20"/>
          <w:highlight w:val="none"/>
          <w:u w:val="single" w:color="auto"/>
        </w:rPr>
        <w:t>（采购文件中明确的所属行业）</w:t>
      </w:r>
      <w:r>
        <w:rPr>
          <w:rFonts w:ascii="宋体" w:hAnsi="宋体" w:eastAsia="宋体" w:cs="宋体"/>
          <w:color w:val="auto"/>
          <w:spacing w:val="-3"/>
          <w:sz w:val="20"/>
          <w:szCs w:val="20"/>
          <w:highlight w:val="none"/>
        </w:rPr>
        <w:t>行业；承建（承接）企业为</w:t>
      </w:r>
      <w:r>
        <w:rPr>
          <w:rFonts w:ascii="宋体" w:hAnsi="宋体" w:eastAsia="宋体" w:cs="宋体"/>
          <w:color w:val="auto"/>
          <w:spacing w:val="1"/>
          <w:sz w:val="20"/>
          <w:szCs w:val="20"/>
          <w:highlight w:val="none"/>
        </w:rPr>
        <w:t xml:space="preserve"> </w:t>
      </w:r>
      <w:r>
        <w:rPr>
          <w:rFonts w:ascii="宋体" w:hAnsi="宋体" w:eastAsia="宋体" w:cs="宋体"/>
          <w:color w:val="auto"/>
          <w:sz w:val="20"/>
          <w:szCs w:val="20"/>
          <w:highlight w:val="none"/>
          <w:u w:val="single" w:color="auto"/>
        </w:rPr>
        <w:tab/>
      </w:r>
      <w:r>
        <w:rPr>
          <w:rFonts w:ascii="宋体" w:hAnsi="宋体" w:eastAsia="宋体" w:cs="宋体"/>
          <w:color w:val="auto"/>
          <w:spacing w:val="-6"/>
          <w:sz w:val="20"/>
          <w:szCs w:val="20"/>
          <w:highlight w:val="none"/>
          <w:u w:val="single" w:color="auto"/>
        </w:rPr>
        <w:t>（企业名称</w:t>
      </w:r>
      <w:r>
        <w:rPr>
          <w:rFonts w:ascii="宋体" w:hAnsi="宋体" w:eastAsia="宋体" w:cs="宋体"/>
          <w:color w:val="auto"/>
          <w:spacing w:val="17"/>
          <w:sz w:val="20"/>
          <w:szCs w:val="20"/>
          <w:highlight w:val="none"/>
          <w:u w:val="single" w:color="auto"/>
        </w:rPr>
        <w:t>）</w:t>
      </w:r>
      <w:r>
        <w:rPr>
          <w:rFonts w:ascii="宋体" w:hAnsi="宋体" w:eastAsia="宋体" w:cs="宋体"/>
          <w:color w:val="auto"/>
          <w:spacing w:val="17"/>
          <w:sz w:val="20"/>
          <w:szCs w:val="20"/>
          <w:highlight w:val="none"/>
        </w:rPr>
        <w:t>，</w:t>
      </w:r>
      <w:r>
        <w:rPr>
          <w:rFonts w:ascii="宋体" w:hAnsi="宋体" w:eastAsia="宋体" w:cs="宋体"/>
          <w:color w:val="auto"/>
          <w:spacing w:val="-6"/>
          <w:sz w:val="20"/>
          <w:szCs w:val="20"/>
          <w:highlight w:val="none"/>
        </w:rPr>
        <w:t>从业人员</w:t>
      </w:r>
      <w:r>
        <w:rPr>
          <w:rFonts w:ascii="宋体" w:hAnsi="宋体" w:eastAsia="宋体" w:cs="宋体"/>
          <w:color w:val="auto"/>
          <w:spacing w:val="-118"/>
          <w:sz w:val="20"/>
          <w:szCs w:val="20"/>
          <w:highlight w:val="none"/>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108"/>
          <w:sz w:val="20"/>
          <w:szCs w:val="20"/>
          <w:highlight w:val="none"/>
        </w:rPr>
        <w:t xml:space="preserve"> </w:t>
      </w:r>
      <w:r>
        <w:rPr>
          <w:rFonts w:ascii="宋体" w:hAnsi="宋体" w:eastAsia="宋体" w:cs="宋体"/>
          <w:color w:val="auto"/>
          <w:spacing w:val="-6"/>
          <w:sz w:val="20"/>
          <w:szCs w:val="20"/>
          <w:highlight w:val="none"/>
        </w:rPr>
        <w:t>人，营业收入为</w:t>
      </w:r>
      <w:r>
        <w:rPr>
          <w:rFonts w:ascii="宋体" w:hAnsi="宋体" w:eastAsia="宋体" w:cs="宋体"/>
          <w:color w:val="auto"/>
          <w:spacing w:val="-119"/>
          <w:sz w:val="20"/>
          <w:szCs w:val="20"/>
          <w:highlight w:val="none"/>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104"/>
          <w:sz w:val="20"/>
          <w:szCs w:val="20"/>
          <w:highlight w:val="none"/>
        </w:rPr>
        <w:t xml:space="preserve"> </w:t>
      </w:r>
      <w:r>
        <w:rPr>
          <w:rFonts w:ascii="宋体" w:hAnsi="宋体" w:eastAsia="宋体" w:cs="宋体"/>
          <w:color w:val="auto"/>
          <w:spacing w:val="-6"/>
          <w:sz w:val="20"/>
          <w:szCs w:val="20"/>
          <w:highlight w:val="none"/>
        </w:rPr>
        <w:t>万元，资产总额为</w:t>
      </w:r>
      <w:r>
        <w:rPr>
          <w:rFonts w:ascii="宋体" w:hAnsi="宋体" w:eastAsia="宋体" w:cs="宋体"/>
          <w:color w:val="auto"/>
          <w:spacing w:val="-118"/>
          <w:sz w:val="20"/>
          <w:szCs w:val="20"/>
          <w:highlight w:val="none"/>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104"/>
          <w:sz w:val="20"/>
          <w:szCs w:val="20"/>
          <w:highlight w:val="none"/>
        </w:rPr>
        <w:t xml:space="preserve"> </w:t>
      </w:r>
      <w:r>
        <w:rPr>
          <w:rFonts w:ascii="宋体" w:hAnsi="宋体" w:eastAsia="宋体" w:cs="宋体"/>
          <w:color w:val="auto"/>
          <w:spacing w:val="-6"/>
          <w:sz w:val="20"/>
          <w:szCs w:val="20"/>
          <w:highlight w:val="none"/>
        </w:rPr>
        <w:t>万元，</w:t>
      </w:r>
      <w:r>
        <w:rPr>
          <w:rFonts w:ascii="宋体" w:hAnsi="宋体" w:eastAsia="宋体" w:cs="宋体"/>
          <w:color w:val="auto"/>
          <w:sz w:val="20"/>
          <w:szCs w:val="20"/>
          <w:highlight w:val="none"/>
        </w:rPr>
        <w:t xml:space="preserve"> 属于</w:t>
      </w:r>
      <w:r>
        <w:rPr>
          <w:rFonts w:ascii="宋体" w:hAnsi="宋体" w:eastAsia="宋体" w:cs="宋体"/>
          <w:color w:val="auto"/>
          <w:sz w:val="20"/>
          <w:szCs w:val="20"/>
          <w:highlight w:val="none"/>
          <w:u w:val="single" w:color="auto"/>
        </w:rPr>
        <w:t>（中型企业、小型企业、微型企业）</w:t>
      </w:r>
      <w:r>
        <w:rPr>
          <w:rFonts w:ascii="宋体" w:hAnsi="宋体" w:eastAsia="宋体" w:cs="宋体"/>
          <w:color w:val="auto"/>
          <w:sz w:val="20"/>
          <w:szCs w:val="20"/>
          <w:highlight w:val="none"/>
        </w:rPr>
        <w:t>；</w:t>
      </w:r>
    </w:p>
    <w:p w14:paraId="17091F41">
      <w:pPr>
        <w:tabs>
          <w:tab w:val="left" w:pos="136"/>
        </w:tabs>
        <w:spacing w:before="211" w:line="328" w:lineRule="auto"/>
        <w:ind w:firstLine="668"/>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2.</w:t>
      </w:r>
      <w:r>
        <w:rPr>
          <w:rFonts w:ascii="宋体" w:hAnsi="宋体" w:eastAsia="宋体" w:cs="宋体"/>
          <w:color w:val="auto"/>
          <w:spacing w:val="-3"/>
          <w:sz w:val="20"/>
          <w:szCs w:val="20"/>
          <w:highlight w:val="none"/>
          <w:u w:val="single" w:color="auto"/>
        </w:rPr>
        <w:t>（标的名称</w:t>
      </w:r>
      <w:r>
        <w:rPr>
          <w:rFonts w:ascii="宋体" w:hAnsi="宋体" w:eastAsia="宋体" w:cs="宋体"/>
          <w:color w:val="auto"/>
          <w:spacing w:val="5"/>
          <w:sz w:val="20"/>
          <w:szCs w:val="20"/>
          <w:highlight w:val="none"/>
          <w:u w:val="single" w:color="auto"/>
        </w:rPr>
        <w:t>）</w:t>
      </w:r>
      <w:r>
        <w:rPr>
          <w:rFonts w:ascii="宋体" w:hAnsi="宋体" w:eastAsia="宋体" w:cs="宋体"/>
          <w:color w:val="auto"/>
          <w:spacing w:val="5"/>
          <w:sz w:val="20"/>
          <w:szCs w:val="20"/>
          <w:highlight w:val="none"/>
        </w:rPr>
        <w:t>，</w:t>
      </w:r>
      <w:r>
        <w:rPr>
          <w:rFonts w:ascii="宋体" w:hAnsi="宋体" w:eastAsia="宋体" w:cs="宋体"/>
          <w:color w:val="auto"/>
          <w:spacing w:val="-3"/>
          <w:sz w:val="20"/>
          <w:szCs w:val="20"/>
          <w:highlight w:val="none"/>
        </w:rPr>
        <w:t>属于</w:t>
      </w:r>
      <w:r>
        <w:rPr>
          <w:rFonts w:ascii="宋体" w:hAnsi="宋体" w:eastAsia="宋体" w:cs="宋体"/>
          <w:color w:val="auto"/>
          <w:spacing w:val="-3"/>
          <w:sz w:val="20"/>
          <w:szCs w:val="20"/>
          <w:highlight w:val="none"/>
          <w:u w:val="single" w:color="auto"/>
        </w:rPr>
        <w:t>（采购文件中明确的所属行业）</w:t>
      </w:r>
      <w:r>
        <w:rPr>
          <w:rFonts w:ascii="宋体" w:hAnsi="宋体" w:eastAsia="宋体" w:cs="宋体"/>
          <w:color w:val="auto"/>
          <w:spacing w:val="-3"/>
          <w:sz w:val="20"/>
          <w:szCs w:val="20"/>
          <w:highlight w:val="none"/>
        </w:rPr>
        <w:t>行业；承建（承接）企业为</w:t>
      </w:r>
      <w:r>
        <w:rPr>
          <w:rFonts w:ascii="宋体" w:hAnsi="宋体" w:eastAsia="宋体" w:cs="宋体"/>
          <w:color w:val="auto"/>
          <w:sz w:val="20"/>
          <w:szCs w:val="20"/>
          <w:highlight w:val="none"/>
        </w:rPr>
        <w:t xml:space="preserve"> </w:t>
      </w:r>
      <w:r>
        <w:rPr>
          <w:rFonts w:ascii="宋体" w:hAnsi="宋体" w:eastAsia="宋体" w:cs="宋体"/>
          <w:color w:val="auto"/>
          <w:sz w:val="20"/>
          <w:szCs w:val="20"/>
          <w:highlight w:val="none"/>
          <w:u w:val="single" w:color="auto"/>
        </w:rPr>
        <w:tab/>
      </w:r>
      <w:r>
        <w:rPr>
          <w:rFonts w:ascii="宋体" w:hAnsi="宋体" w:eastAsia="宋体" w:cs="宋体"/>
          <w:color w:val="auto"/>
          <w:spacing w:val="-6"/>
          <w:sz w:val="20"/>
          <w:szCs w:val="20"/>
          <w:highlight w:val="none"/>
          <w:u w:val="single" w:color="auto"/>
        </w:rPr>
        <w:t>（企业名称</w:t>
      </w:r>
      <w:r>
        <w:rPr>
          <w:rFonts w:ascii="宋体" w:hAnsi="宋体" w:eastAsia="宋体" w:cs="宋体"/>
          <w:color w:val="auto"/>
          <w:spacing w:val="17"/>
          <w:sz w:val="20"/>
          <w:szCs w:val="20"/>
          <w:highlight w:val="none"/>
          <w:u w:val="single" w:color="auto"/>
        </w:rPr>
        <w:t>）</w:t>
      </w:r>
      <w:r>
        <w:rPr>
          <w:rFonts w:ascii="宋体" w:hAnsi="宋体" w:eastAsia="宋体" w:cs="宋体"/>
          <w:color w:val="auto"/>
          <w:spacing w:val="17"/>
          <w:sz w:val="20"/>
          <w:szCs w:val="20"/>
          <w:highlight w:val="none"/>
        </w:rPr>
        <w:t>，</w:t>
      </w:r>
      <w:r>
        <w:rPr>
          <w:rFonts w:ascii="宋体" w:hAnsi="宋体" w:eastAsia="宋体" w:cs="宋体"/>
          <w:color w:val="auto"/>
          <w:spacing w:val="-6"/>
          <w:sz w:val="20"/>
          <w:szCs w:val="20"/>
          <w:highlight w:val="none"/>
        </w:rPr>
        <w:t>从业人员</w:t>
      </w:r>
      <w:r>
        <w:rPr>
          <w:rFonts w:ascii="宋体" w:hAnsi="宋体" w:eastAsia="宋体" w:cs="宋体"/>
          <w:color w:val="auto"/>
          <w:spacing w:val="-118"/>
          <w:sz w:val="20"/>
          <w:szCs w:val="20"/>
          <w:highlight w:val="none"/>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108"/>
          <w:sz w:val="20"/>
          <w:szCs w:val="20"/>
          <w:highlight w:val="none"/>
        </w:rPr>
        <w:t xml:space="preserve"> </w:t>
      </w:r>
      <w:r>
        <w:rPr>
          <w:rFonts w:ascii="宋体" w:hAnsi="宋体" w:eastAsia="宋体" w:cs="宋体"/>
          <w:color w:val="auto"/>
          <w:spacing w:val="-6"/>
          <w:sz w:val="20"/>
          <w:szCs w:val="20"/>
          <w:highlight w:val="none"/>
        </w:rPr>
        <w:t>人，营业收入为</w:t>
      </w:r>
      <w:r>
        <w:rPr>
          <w:rFonts w:ascii="宋体" w:hAnsi="宋体" w:eastAsia="宋体" w:cs="宋体"/>
          <w:color w:val="auto"/>
          <w:spacing w:val="-119"/>
          <w:sz w:val="20"/>
          <w:szCs w:val="20"/>
          <w:highlight w:val="none"/>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104"/>
          <w:sz w:val="20"/>
          <w:szCs w:val="20"/>
          <w:highlight w:val="none"/>
        </w:rPr>
        <w:t xml:space="preserve"> </w:t>
      </w:r>
      <w:r>
        <w:rPr>
          <w:rFonts w:ascii="宋体" w:hAnsi="宋体" w:eastAsia="宋体" w:cs="宋体"/>
          <w:color w:val="auto"/>
          <w:spacing w:val="-6"/>
          <w:sz w:val="20"/>
          <w:szCs w:val="20"/>
          <w:highlight w:val="none"/>
        </w:rPr>
        <w:t>万元，资产总额为</w:t>
      </w:r>
      <w:r>
        <w:rPr>
          <w:rFonts w:ascii="宋体" w:hAnsi="宋体" w:eastAsia="宋体" w:cs="宋体"/>
          <w:color w:val="auto"/>
          <w:spacing w:val="-118"/>
          <w:sz w:val="20"/>
          <w:szCs w:val="20"/>
          <w:highlight w:val="none"/>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104"/>
          <w:sz w:val="20"/>
          <w:szCs w:val="20"/>
          <w:highlight w:val="none"/>
        </w:rPr>
        <w:t xml:space="preserve"> </w:t>
      </w:r>
      <w:r>
        <w:rPr>
          <w:rFonts w:ascii="宋体" w:hAnsi="宋体" w:eastAsia="宋体" w:cs="宋体"/>
          <w:color w:val="auto"/>
          <w:spacing w:val="-6"/>
          <w:sz w:val="20"/>
          <w:szCs w:val="20"/>
          <w:highlight w:val="none"/>
        </w:rPr>
        <w:t>万元，</w:t>
      </w:r>
      <w:r>
        <w:rPr>
          <w:rFonts w:ascii="宋体" w:hAnsi="宋体" w:eastAsia="宋体" w:cs="宋体"/>
          <w:color w:val="auto"/>
          <w:sz w:val="20"/>
          <w:szCs w:val="20"/>
          <w:highlight w:val="none"/>
        </w:rPr>
        <w:t xml:space="preserve"> 属于</w:t>
      </w:r>
      <w:r>
        <w:rPr>
          <w:rFonts w:ascii="宋体" w:hAnsi="宋体" w:eastAsia="宋体" w:cs="宋体"/>
          <w:color w:val="auto"/>
          <w:sz w:val="20"/>
          <w:szCs w:val="20"/>
          <w:highlight w:val="none"/>
          <w:u w:val="single" w:color="auto"/>
        </w:rPr>
        <w:t>（中型企业、小型企业、微型企业）</w:t>
      </w:r>
      <w:r>
        <w:rPr>
          <w:rFonts w:ascii="宋体" w:hAnsi="宋体" w:eastAsia="宋体" w:cs="宋体"/>
          <w:color w:val="auto"/>
          <w:sz w:val="20"/>
          <w:szCs w:val="20"/>
          <w:highlight w:val="none"/>
        </w:rPr>
        <w:t>；</w:t>
      </w:r>
    </w:p>
    <w:p w14:paraId="5101C486">
      <w:pPr>
        <w:spacing w:before="208" w:line="379" w:lineRule="exact"/>
        <w:ind w:left="591"/>
        <w:rPr>
          <w:rFonts w:ascii="宋体" w:hAnsi="宋体" w:eastAsia="宋体" w:cs="宋体"/>
          <w:color w:val="auto"/>
          <w:sz w:val="20"/>
          <w:szCs w:val="20"/>
          <w:highlight w:val="none"/>
        </w:rPr>
      </w:pPr>
      <w:r>
        <w:rPr>
          <w:rFonts w:ascii="宋体" w:hAnsi="宋体" w:eastAsia="宋体" w:cs="宋体"/>
          <w:color w:val="auto"/>
          <w:spacing w:val="-13"/>
          <w:position w:val="3"/>
          <w:sz w:val="20"/>
          <w:szCs w:val="20"/>
          <w:highlight w:val="none"/>
        </w:rPr>
        <w:t>……</w:t>
      </w:r>
    </w:p>
    <w:p w14:paraId="59ABE5DE">
      <w:pPr>
        <w:spacing w:before="118" w:line="382" w:lineRule="auto"/>
        <w:ind w:left="33" w:right="199" w:firstLine="478"/>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以上企业，不属于大企业的分支机构，不存在控股股东为大企业的情形，也不存在</w:t>
      </w:r>
      <w:r>
        <w:rPr>
          <w:rFonts w:ascii="宋体" w:hAnsi="宋体" w:eastAsia="宋体" w:cs="宋体"/>
          <w:color w:val="auto"/>
          <w:spacing w:val="5"/>
          <w:sz w:val="20"/>
          <w:szCs w:val="20"/>
          <w:highlight w:val="none"/>
        </w:rPr>
        <w:t xml:space="preserve"> </w:t>
      </w:r>
      <w:r>
        <w:rPr>
          <w:rFonts w:ascii="宋体" w:hAnsi="宋体" w:eastAsia="宋体" w:cs="宋体"/>
          <w:color w:val="auto"/>
          <w:spacing w:val="-1"/>
          <w:sz w:val="20"/>
          <w:szCs w:val="20"/>
          <w:highlight w:val="none"/>
        </w:rPr>
        <w:t>与大企业的负责人为同一人的情形。</w:t>
      </w:r>
    </w:p>
    <w:p w14:paraId="692DBDF4">
      <w:pPr>
        <w:spacing w:before="1" w:line="219" w:lineRule="auto"/>
        <w:ind w:left="577"/>
        <w:rPr>
          <w:rFonts w:ascii="宋体" w:hAnsi="宋体" w:eastAsia="宋体" w:cs="宋体"/>
          <w:color w:val="auto"/>
          <w:sz w:val="20"/>
          <w:szCs w:val="20"/>
          <w:highlight w:val="none"/>
        </w:rPr>
      </w:pPr>
      <w:r>
        <w:rPr>
          <w:rFonts w:ascii="宋体" w:hAnsi="宋体" w:eastAsia="宋体" w:cs="宋体"/>
          <w:color w:val="auto"/>
          <w:sz w:val="20"/>
          <w:szCs w:val="20"/>
          <w:highlight w:val="none"/>
        </w:rPr>
        <w:t>本企业对上述声明内容的真实性负责。如有虚</w:t>
      </w:r>
      <w:r>
        <w:rPr>
          <w:rFonts w:ascii="宋体" w:hAnsi="宋体" w:eastAsia="宋体" w:cs="宋体"/>
          <w:color w:val="auto"/>
          <w:spacing w:val="-1"/>
          <w:sz w:val="20"/>
          <w:szCs w:val="20"/>
          <w:highlight w:val="none"/>
        </w:rPr>
        <w:t>假，将依法承担相应责任。</w:t>
      </w:r>
    </w:p>
    <w:p w14:paraId="5BA9D458">
      <w:pPr>
        <w:pStyle w:val="6"/>
        <w:spacing w:line="313" w:lineRule="auto"/>
        <w:rPr>
          <w:color w:val="auto"/>
          <w:sz w:val="20"/>
          <w:szCs w:val="20"/>
          <w:highlight w:val="none"/>
        </w:rPr>
      </w:pPr>
    </w:p>
    <w:p w14:paraId="63B3186A">
      <w:pPr>
        <w:pStyle w:val="6"/>
        <w:spacing w:line="314" w:lineRule="auto"/>
        <w:rPr>
          <w:color w:val="auto"/>
          <w:sz w:val="20"/>
          <w:szCs w:val="20"/>
          <w:highlight w:val="none"/>
        </w:rPr>
      </w:pPr>
    </w:p>
    <w:p w14:paraId="4AC81724">
      <w:pPr>
        <w:spacing w:before="78" w:line="219" w:lineRule="auto"/>
        <w:ind w:left="4529"/>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5A94DBA1">
      <w:pPr>
        <w:spacing w:before="212" w:line="220" w:lineRule="auto"/>
        <w:ind w:right="6"/>
        <w:jc w:val="right"/>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日期：</w:t>
      </w:r>
      <w:r>
        <w:rPr>
          <w:rFonts w:ascii="宋体" w:hAnsi="宋体" w:eastAsia="宋体" w:cs="宋体"/>
          <w:color w:val="auto"/>
          <w:spacing w:val="102"/>
          <w:sz w:val="20"/>
          <w:szCs w:val="20"/>
          <w:highlight w:val="none"/>
        </w:rPr>
        <w:t xml:space="preserve"> </w:t>
      </w:r>
      <w:r>
        <w:rPr>
          <w:rFonts w:ascii="宋体" w:hAnsi="宋体" w:eastAsia="宋体" w:cs="宋体"/>
          <w:color w:val="auto"/>
          <w:spacing w:val="-13"/>
          <w:sz w:val="20"/>
          <w:szCs w:val="20"/>
          <w:highlight w:val="none"/>
        </w:rPr>
        <w:t>年</w:t>
      </w:r>
      <w:r>
        <w:rPr>
          <w:rFonts w:ascii="宋体" w:hAnsi="宋体" w:eastAsia="宋体" w:cs="宋体"/>
          <w:color w:val="auto"/>
          <w:spacing w:val="7"/>
          <w:sz w:val="20"/>
          <w:szCs w:val="20"/>
          <w:highlight w:val="none"/>
        </w:rPr>
        <w:t xml:space="preserve">  </w:t>
      </w:r>
      <w:r>
        <w:rPr>
          <w:rFonts w:ascii="宋体" w:hAnsi="宋体" w:eastAsia="宋体" w:cs="宋体"/>
          <w:color w:val="auto"/>
          <w:spacing w:val="-13"/>
          <w:sz w:val="20"/>
          <w:szCs w:val="20"/>
          <w:highlight w:val="none"/>
        </w:rPr>
        <w:t>月</w:t>
      </w:r>
      <w:r>
        <w:rPr>
          <w:rFonts w:ascii="宋体" w:hAnsi="宋体" w:eastAsia="宋体" w:cs="宋体"/>
          <w:color w:val="auto"/>
          <w:spacing w:val="17"/>
          <w:sz w:val="20"/>
          <w:szCs w:val="20"/>
          <w:highlight w:val="none"/>
        </w:rPr>
        <w:t xml:space="preserve">   </w:t>
      </w:r>
      <w:r>
        <w:rPr>
          <w:rFonts w:ascii="宋体" w:hAnsi="宋体" w:eastAsia="宋体" w:cs="宋体"/>
          <w:color w:val="auto"/>
          <w:spacing w:val="-13"/>
          <w:sz w:val="20"/>
          <w:szCs w:val="20"/>
          <w:highlight w:val="none"/>
        </w:rPr>
        <w:t>日</w:t>
      </w:r>
    </w:p>
    <w:p w14:paraId="372954E3">
      <w:pPr>
        <w:pStyle w:val="6"/>
        <w:spacing w:line="312" w:lineRule="auto"/>
        <w:rPr>
          <w:color w:val="auto"/>
          <w:sz w:val="20"/>
          <w:szCs w:val="20"/>
          <w:highlight w:val="none"/>
        </w:rPr>
      </w:pPr>
    </w:p>
    <w:p w14:paraId="10BC3477">
      <w:pPr>
        <w:pStyle w:val="6"/>
        <w:spacing w:line="312" w:lineRule="auto"/>
        <w:rPr>
          <w:color w:val="auto"/>
          <w:sz w:val="20"/>
          <w:szCs w:val="20"/>
          <w:highlight w:val="none"/>
        </w:rPr>
      </w:pPr>
    </w:p>
    <w:p w14:paraId="3E0F52B8">
      <w:pPr>
        <w:spacing w:before="78" w:line="383" w:lineRule="auto"/>
        <w:ind w:left="435" w:right="88" w:hanging="1"/>
        <w:jc w:val="both"/>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注：享受《政府采购促进中小企业发展管理办法》（财库〔2020〕46</w:t>
      </w:r>
      <w:r>
        <w:rPr>
          <w:rFonts w:ascii="宋体" w:hAnsi="宋体" w:eastAsia="宋体" w:cs="宋体"/>
          <w:color w:val="auto"/>
          <w:spacing w:val="-32"/>
          <w:sz w:val="20"/>
          <w:szCs w:val="20"/>
          <w:highlight w:val="none"/>
        </w:rPr>
        <w:t xml:space="preserve"> </w:t>
      </w:r>
      <w:r>
        <w:rPr>
          <w:rFonts w:ascii="宋体" w:hAnsi="宋体" w:eastAsia="宋体" w:cs="宋体"/>
          <w:color w:val="auto"/>
          <w:spacing w:val="-1"/>
          <w:sz w:val="20"/>
          <w:szCs w:val="20"/>
          <w:highlight w:val="none"/>
        </w:rPr>
        <w:t>号）规定的中</w:t>
      </w:r>
      <w:r>
        <w:rPr>
          <w:rFonts w:ascii="宋体" w:hAnsi="宋体" w:eastAsia="宋体" w:cs="宋体"/>
          <w:color w:val="auto"/>
          <w:sz w:val="20"/>
          <w:szCs w:val="20"/>
          <w:highlight w:val="none"/>
        </w:rPr>
        <w:t xml:space="preserve"> 小企业扶持政策的，采购人、采购代理机构应当随成</w:t>
      </w:r>
      <w:r>
        <w:rPr>
          <w:rFonts w:ascii="宋体" w:hAnsi="宋体" w:eastAsia="宋体" w:cs="宋体"/>
          <w:color w:val="auto"/>
          <w:spacing w:val="-1"/>
          <w:sz w:val="20"/>
          <w:szCs w:val="20"/>
          <w:highlight w:val="none"/>
        </w:rPr>
        <w:t>交结果公开成交供应商的《中</w:t>
      </w:r>
      <w:r>
        <w:rPr>
          <w:rFonts w:ascii="宋体" w:hAnsi="宋体" w:eastAsia="宋体" w:cs="宋体"/>
          <w:color w:val="auto"/>
          <w:sz w:val="20"/>
          <w:szCs w:val="20"/>
          <w:highlight w:val="none"/>
        </w:rPr>
        <w:t xml:space="preserve"> 小企业声明函》。从业人员、营业收入、资产总额填</w:t>
      </w:r>
      <w:r>
        <w:rPr>
          <w:rFonts w:ascii="宋体" w:hAnsi="宋体" w:eastAsia="宋体" w:cs="宋体"/>
          <w:color w:val="auto"/>
          <w:spacing w:val="-1"/>
          <w:sz w:val="20"/>
          <w:szCs w:val="20"/>
          <w:highlight w:val="none"/>
        </w:rPr>
        <w:t>报上一年度数据，无上一年度</w:t>
      </w:r>
      <w:r>
        <w:rPr>
          <w:rFonts w:ascii="宋体" w:hAnsi="宋体" w:eastAsia="宋体" w:cs="宋体"/>
          <w:color w:val="auto"/>
          <w:sz w:val="20"/>
          <w:szCs w:val="20"/>
          <w:highlight w:val="none"/>
        </w:rPr>
        <w:t xml:space="preserve"> </w:t>
      </w:r>
      <w:r>
        <w:rPr>
          <w:rFonts w:ascii="宋体" w:hAnsi="宋体" w:eastAsia="宋体" w:cs="宋体"/>
          <w:color w:val="auto"/>
          <w:spacing w:val="-1"/>
          <w:sz w:val="20"/>
          <w:szCs w:val="20"/>
          <w:highlight w:val="none"/>
        </w:rPr>
        <w:t>数据的新成立企业可不填报。</w:t>
      </w:r>
    </w:p>
    <w:p w14:paraId="0FA28A45">
      <w:pPr>
        <w:spacing w:line="383" w:lineRule="auto"/>
        <w:rPr>
          <w:rFonts w:ascii="宋体" w:hAnsi="宋体" w:eastAsia="宋体" w:cs="宋体"/>
          <w:color w:val="auto"/>
          <w:sz w:val="20"/>
          <w:szCs w:val="20"/>
          <w:highlight w:val="none"/>
        </w:rPr>
        <w:sectPr>
          <w:footerReference r:id="rId48" w:type="default"/>
          <w:pgSz w:w="11905" w:h="16839"/>
          <w:pgMar w:top="400" w:right="1529" w:bottom="1079" w:left="1160" w:header="0" w:footer="843" w:gutter="0"/>
          <w:pgNumType w:fmt="decimal"/>
          <w:cols w:space="720" w:num="1"/>
        </w:sectPr>
      </w:pPr>
    </w:p>
    <w:p w14:paraId="17EC5216">
      <w:pPr>
        <w:pStyle w:val="6"/>
        <w:spacing w:line="263" w:lineRule="auto"/>
        <w:rPr>
          <w:color w:val="auto"/>
          <w:highlight w:val="none"/>
        </w:rPr>
      </w:pPr>
    </w:p>
    <w:p w14:paraId="2F8DC672">
      <w:pPr>
        <w:pStyle w:val="6"/>
        <w:spacing w:line="264" w:lineRule="auto"/>
        <w:rPr>
          <w:color w:val="auto"/>
          <w:highlight w:val="none"/>
        </w:rPr>
      </w:pPr>
    </w:p>
    <w:p w14:paraId="3AD116ED">
      <w:pPr>
        <w:pStyle w:val="6"/>
        <w:spacing w:line="264" w:lineRule="auto"/>
        <w:rPr>
          <w:color w:val="auto"/>
          <w:highlight w:val="none"/>
        </w:rPr>
      </w:pPr>
    </w:p>
    <w:p w14:paraId="73FDBF93">
      <w:pPr>
        <w:spacing w:before="97" w:line="220" w:lineRule="auto"/>
        <w:ind w:left="2110"/>
        <w:rPr>
          <w:rFonts w:ascii="宋体" w:hAnsi="宋体" w:eastAsia="宋体" w:cs="宋体"/>
          <w:color w:val="auto"/>
          <w:sz w:val="30"/>
          <w:szCs w:val="30"/>
          <w:highlight w:val="none"/>
        </w:rPr>
      </w:pPr>
      <w:r>
        <w:rPr>
          <w:rFonts w:ascii="宋体" w:hAnsi="宋体" w:eastAsia="宋体" w:cs="宋体"/>
          <w:b/>
          <w:bCs/>
          <w:color w:val="auto"/>
          <w:spacing w:val="-3"/>
          <w:sz w:val="30"/>
          <w:szCs w:val="30"/>
          <w:highlight w:val="none"/>
        </w:rPr>
        <w:t>残疾人福利性单位声明函（格式）</w:t>
      </w:r>
    </w:p>
    <w:p w14:paraId="0643F6AE">
      <w:pPr>
        <w:pStyle w:val="6"/>
        <w:spacing w:line="284" w:lineRule="auto"/>
        <w:rPr>
          <w:color w:val="auto"/>
          <w:highlight w:val="none"/>
        </w:rPr>
      </w:pPr>
    </w:p>
    <w:p w14:paraId="490179B1">
      <w:pPr>
        <w:pStyle w:val="6"/>
        <w:spacing w:line="284" w:lineRule="auto"/>
        <w:rPr>
          <w:color w:val="auto"/>
          <w:highlight w:val="none"/>
        </w:rPr>
      </w:pPr>
    </w:p>
    <w:p w14:paraId="290188F5">
      <w:pPr>
        <w:spacing w:before="78" w:line="382" w:lineRule="auto"/>
        <w:ind w:firstLine="481"/>
        <w:jc w:val="both"/>
        <w:rPr>
          <w:rFonts w:ascii="宋体" w:hAnsi="宋体" w:eastAsia="宋体" w:cs="宋体"/>
          <w:color w:val="auto"/>
          <w:sz w:val="20"/>
          <w:szCs w:val="20"/>
          <w:highlight w:val="none"/>
        </w:rPr>
      </w:pPr>
      <w:r>
        <w:rPr>
          <w:rFonts w:ascii="宋体" w:hAnsi="宋体" w:eastAsia="宋体" w:cs="宋体"/>
          <w:color w:val="auto"/>
          <w:sz w:val="20"/>
          <w:szCs w:val="20"/>
          <w:highlight w:val="none"/>
        </w:rPr>
        <w:t>本单位郑重声明，根据《财政部</w:t>
      </w:r>
      <w:r>
        <w:rPr>
          <w:rFonts w:ascii="宋体" w:hAnsi="宋体" w:eastAsia="宋体" w:cs="宋体"/>
          <w:color w:val="auto"/>
          <w:spacing w:val="42"/>
          <w:sz w:val="20"/>
          <w:szCs w:val="20"/>
          <w:highlight w:val="none"/>
        </w:rPr>
        <w:t xml:space="preserve"> </w:t>
      </w:r>
      <w:r>
        <w:rPr>
          <w:rFonts w:ascii="宋体" w:hAnsi="宋体" w:eastAsia="宋体" w:cs="宋体"/>
          <w:color w:val="auto"/>
          <w:sz w:val="20"/>
          <w:szCs w:val="20"/>
          <w:highlight w:val="none"/>
        </w:rPr>
        <w:t>民政部</w:t>
      </w:r>
      <w:r>
        <w:rPr>
          <w:rFonts w:ascii="宋体" w:hAnsi="宋体" w:eastAsia="宋体" w:cs="宋体"/>
          <w:color w:val="auto"/>
          <w:spacing w:val="37"/>
          <w:sz w:val="20"/>
          <w:szCs w:val="20"/>
          <w:highlight w:val="none"/>
        </w:rPr>
        <w:t xml:space="preserve"> </w:t>
      </w:r>
      <w:r>
        <w:rPr>
          <w:rFonts w:ascii="宋体" w:hAnsi="宋体" w:eastAsia="宋体" w:cs="宋体"/>
          <w:color w:val="auto"/>
          <w:sz w:val="20"/>
          <w:szCs w:val="20"/>
          <w:highlight w:val="none"/>
        </w:rPr>
        <w:t>中国残疾人联合会关于促进残疾人就</w:t>
      </w:r>
      <w:r>
        <w:rPr>
          <w:rFonts w:ascii="宋体" w:hAnsi="宋体" w:eastAsia="宋体" w:cs="宋体"/>
          <w:color w:val="auto"/>
          <w:spacing w:val="-3"/>
          <w:sz w:val="20"/>
          <w:szCs w:val="20"/>
          <w:highlight w:val="none"/>
        </w:rPr>
        <w:t>业政府采购政策的通知》（财库〔2017〕141</w:t>
      </w:r>
      <w:r>
        <w:rPr>
          <w:rFonts w:ascii="宋体" w:hAnsi="宋体" w:eastAsia="宋体" w:cs="宋体"/>
          <w:color w:val="auto"/>
          <w:spacing w:val="-39"/>
          <w:sz w:val="20"/>
          <w:szCs w:val="20"/>
          <w:highlight w:val="none"/>
        </w:rPr>
        <w:t xml:space="preserve"> </w:t>
      </w:r>
      <w:r>
        <w:rPr>
          <w:rFonts w:ascii="宋体" w:hAnsi="宋体" w:eastAsia="宋体" w:cs="宋体"/>
          <w:color w:val="auto"/>
          <w:spacing w:val="-3"/>
          <w:sz w:val="20"/>
          <w:szCs w:val="20"/>
          <w:highlight w:val="none"/>
        </w:rPr>
        <w:t>号）的规定，本单位为符合条件的残疾</w:t>
      </w:r>
      <w:r>
        <w:rPr>
          <w:rFonts w:ascii="宋体" w:hAnsi="宋体" w:eastAsia="宋体" w:cs="宋体"/>
          <w:color w:val="auto"/>
          <w:spacing w:val="-1"/>
          <w:sz w:val="20"/>
          <w:szCs w:val="20"/>
          <w:highlight w:val="none"/>
        </w:rPr>
        <w:t>人福利性单位，且本单位参加</w:t>
      </w:r>
      <w:r>
        <w:rPr>
          <w:rFonts w:ascii="宋体" w:hAnsi="宋体" w:eastAsia="宋体" w:cs="宋体"/>
          <w:color w:val="auto"/>
          <w:spacing w:val="-1"/>
          <w:sz w:val="20"/>
          <w:szCs w:val="20"/>
          <w:highlight w:val="none"/>
          <w:u w:val="single" w:color="auto"/>
        </w:rPr>
        <w:t>（采购单位）</w:t>
      </w:r>
      <w:r>
        <w:rPr>
          <w:rFonts w:ascii="宋体" w:hAnsi="宋体" w:eastAsia="宋体" w:cs="宋体"/>
          <w:color w:val="auto"/>
          <w:spacing w:val="-1"/>
          <w:sz w:val="20"/>
          <w:szCs w:val="20"/>
          <w:highlight w:val="none"/>
        </w:rPr>
        <w:t>单位的</w:t>
      </w:r>
      <w:r>
        <w:rPr>
          <w:rFonts w:ascii="宋体" w:hAnsi="宋体" w:eastAsia="宋体" w:cs="宋体"/>
          <w:color w:val="auto"/>
          <w:spacing w:val="-1"/>
          <w:sz w:val="20"/>
          <w:szCs w:val="20"/>
          <w:highlight w:val="none"/>
          <w:u w:val="single" w:color="auto"/>
        </w:rPr>
        <w:t>*************工程</w:t>
      </w:r>
      <w:r>
        <w:rPr>
          <w:rFonts w:ascii="宋体" w:hAnsi="宋体" w:eastAsia="宋体" w:cs="宋体"/>
          <w:color w:val="auto"/>
          <w:spacing w:val="-1"/>
          <w:sz w:val="20"/>
          <w:szCs w:val="20"/>
          <w:highlight w:val="none"/>
        </w:rPr>
        <w:t>采购活动由本</w:t>
      </w:r>
      <w:r>
        <w:rPr>
          <w:rFonts w:ascii="宋体" w:hAnsi="宋体" w:eastAsia="宋体" w:cs="宋体"/>
          <w:color w:val="auto"/>
          <w:spacing w:val="4"/>
          <w:sz w:val="20"/>
          <w:szCs w:val="20"/>
          <w:highlight w:val="none"/>
        </w:rPr>
        <w:t xml:space="preserve"> </w:t>
      </w:r>
      <w:r>
        <w:rPr>
          <w:rFonts w:ascii="宋体" w:hAnsi="宋体" w:eastAsia="宋体" w:cs="宋体"/>
          <w:color w:val="auto"/>
          <w:spacing w:val="-2"/>
          <w:sz w:val="20"/>
          <w:szCs w:val="20"/>
          <w:highlight w:val="none"/>
        </w:rPr>
        <w:t>单位提供服务。</w:t>
      </w:r>
    </w:p>
    <w:p w14:paraId="66E8F3C3">
      <w:pPr>
        <w:spacing w:line="219" w:lineRule="auto"/>
        <w:ind w:left="481"/>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本单位对上述声明的真实性负责。如有虚假，将依法承担相应责任。</w:t>
      </w:r>
    </w:p>
    <w:p w14:paraId="6E2EC349">
      <w:pPr>
        <w:pStyle w:val="6"/>
        <w:spacing w:line="269" w:lineRule="auto"/>
        <w:rPr>
          <w:color w:val="auto"/>
          <w:sz w:val="20"/>
          <w:szCs w:val="20"/>
          <w:highlight w:val="none"/>
        </w:rPr>
      </w:pPr>
    </w:p>
    <w:p w14:paraId="5BA06439">
      <w:pPr>
        <w:pStyle w:val="6"/>
        <w:spacing w:line="269" w:lineRule="auto"/>
        <w:rPr>
          <w:color w:val="auto"/>
          <w:sz w:val="20"/>
          <w:szCs w:val="20"/>
          <w:highlight w:val="none"/>
        </w:rPr>
      </w:pPr>
    </w:p>
    <w:p w14:paraId="4BEA5BB5">
      <w:pPr>
        <w:pStyle w:val="6"/>
        <w:spacing w:line="269" w:lineRule="auto"/>
        <w:rPr>
          <w:rFonts w:hint="eastAsia" w:ascii="宋体" w:hAnsi="宋体" w:eastAsia="宋体" w:cs="宋体"/>
          <w:color w:val="auto"/>
          <w:sz w:val="20"/>
          <w:szCs w:val="20"/>
          <w:highlight w:val="none"/>
        </w:rPr>
      </w:pPr>
    </w:p>
    <w:p w14:paraId="1872A84E">
      <w:pPr>
        <w:pStyle w:val="6"/>
        <w:spacing w:line="269" w:lineRule="auto"/>
        <w:rPr>
          <w:color w:val="auto"/>
          <w:sz w:val="20"/>
          <w:szCs w:val="20"/>
          <w:highlight w:val="none"/>
        </w:rPr>
      </w:pPr>
    </w:p>
    <w:p w14:paraId="7A8622E5">
      <w:pPr>
        <w:pStyle w:val="6"/>
        <w:spacing w:line="269" w:lineRule="auto"/>
        <w:rPr>
          <w:color w:val="auto"/>
          <w:sz w:val="20"/>
          <w:szCs w:val="20"/>
          <w:highlight w:val="none"/>
        </w:rPr>
      </w:pPr>
    </w:p>
    <w:p w14:paraId="44ADC3F8">
      <w:pPr>
        <w:pStyle w:val="6"/>
        <w:spacing w:line="269" w:lineRule="auto"/>
        <w:rPr>
          <w:color w:val="auto"/>
          <w:sz w:val="20"/>
          <w:szCs w:val="20"/>
          <w:highlight w:val="none"/>
        </w:rPr>
      </w:pPr>
    </w:p>
    <w:p w14:paraId="76CD1EC3">
      <w:pPr>
        <w:spacing w:before="78" w:line="219" w:lineRule="auto"/>
        <w:ind w:left="240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6452955F">
      <w:pPr>
        <w:spacing w:before="212" w:line="220" w:lineRule="auto"/>
        <w:ind w:left="4362"/>
        <w:rPr>
          <w:rFonts w:ascii="宋体" w:hAnsi="宋体" w:eastAsia="宋体" w:cs="宋体"/>
          <w:color w:val="auto"/>
          <w:sz w:val="20"/>
          <w:szCs w:val="20"/>
          <w:highlight w:val="none"/>
        </w:rPr>
      </w:pPr>
      <w:r>
        <w:rPr>
          <w:rFonts w:ascii="宋体" w:hAnsi="宋体" w:eastAsia="宋体" w:cs="宋体"/>
          <w:color w:val="auto"/>
          <w:spacing w:val="-20"/>
          <w:sz w:val="20"/>
          <w:szCs w:val="20"/>
          <w:highlight w:val="none"/>
        </w:rPr>
        <w:t>日</w:t>
      </w:r>
      <w:r>
        <w:rPr>
          <w:rFonts w:ascii="宋体" w:hAnsi="宋体" w:eastAsia="宋体" w:cs="宋体"/>
          <w:color w:val="auto"/>
          <w:spacing w:val="6"/>
          <w:sz w:val="20"/>
          <w:szCs w:val="20"/>
          <w:highlight w:val="none"/>
        </w:rPr>
        <w:t xml:space="preserve">  </w:t>
      </w:r>
      <w:r>
        <w:rPr>
          <w:rFonts w:ascii="宋体" w:hAnsi="宋体" w:eastAsia="宋体" w:cs="宋体"/>
          <w:color w:val="auto"/>
          <w:spacing w:val="-20"/>
          <w:sz w:val="20"/>
          <w:szCs w:val="20"/>
          <w:highlight w:val="none"/>
        </w:rPr>
        <w:t>期</w:t>
      </w:r>
      <w:r>
        <w:rPr>
          <w:rFonts w:ascii="宋体" w:hAnsi="宋体" w:eastAsia="宋体" w:cs="宋体"/>
          <w:color w:val="auto"/>
          <w:spacing w:val="-89"/>
          <w:sz w:val="20"/>
          <w:szCs w:val="20"/>
          <w:highlight w:val="none"/>
        </w:rPr>
        <w:t xml:space="preserve"> </w:t>
      </w:r>
      <w:r>
        <w:rPr>
          <w:rFonts w:ascii="宋体" w:hAnsi="宋体" w:eastAsia="宋体" w:cs="宋体"/>
          <w:color w:val="auto"/>
          <w:spacing w:val="-20"/>
          <w:sz w:val="20"/>
          <w:szCs w:val="20"/>
          <w:highlight w:val="none"/>
        </w:rPr>
        <w:t>：</w:t>
      </w:r>
      <w:r>
        <w:rPr>
          <w:rFonts w:ascii="宋体" w:hAnsi="宋体" w:eastAsia="宋体" w:cs="宋体"/>
          <w:color w:val="auto"/>
          <w:spacing w:val="3"/>
          <w:sz w:val="20"/>
          <w:szCs w:val="20"/>
          <w:highlight w:val="none"/>
        </w:rPr>
        <w:t xml:space="preserve">   </w:t>
      </w:r>
      <w:r>
        <w:rPr>
          <w:rFonts w:ascii="宋体" w:hAnsi="宋体" w:eastAsia="宋体" w:cs="宋体"/>
          <w:color w:val="auto"/>
          <w:spacing w:val="-20"/>
          <w:sz w:val="20"/>
          <w:szCs w:val="20"/>
          <w:highlight w:val="none"/>
        </w:rPr>
        <w:t>年</w:t>
      </w:r>
      <w:r>
        <w:rPr>
          <w:rFonts w:ascii="宋体" w:hAnsi="宋体" w:eastAsia="宋体" w:cs="宋体"/>
          <w:color w:val="auto"/>
          <w:spacing w:val="5"/>
          <w:sz w:val="20"/>
          <w:szCs w:val="20"/>
          <w:highlight w:val="none"/>
        </w:rPr>
        <w:t xml:space="preserve">   </w:t>
      </w:r>
      <w:r>
        <w:rPr>
          <w:rFonts w:ascii="宋体" w:hAnsi="宋体" w:eastAsia="宋体" w:cs="宋体"/>
          <w:color w:val="auto"/>
          <w:spacing w:val="-20"/>
          <w:sz w:val="20"/>
          <w:szCs w:val="20"/>
          <w:highlight w:val="none"/>
        </w:rPr>
        <w:t>月</w:t>
      </w:r>
      <w:r>
        <w:rPr>
          <w:rFonts w:ascii="宋体" w:hAnsi="宋体" w:eastAsia="宋体" w:cs="宋体"/>
          <w:color w:val="auto"/>
          <w:spacing w:val="17"/>
          <w:sz w:val="20"/>
          <w:szCs w:val="20"/>
          <w:highlight w:val="none"/>
        </w:rPr>
        <w:t xml:space="preserve">   </w:t>
      </w:r>
      <w:r>
        <w:rPr>
          <w:rFonts w:ascii="宋体" w:hAnsi="宋体" w:eastAsia="宋体" w:cs="宋体"/>
          <w:color w:val="auto"/>
          <w:spacing w:val="-20"/>
          <w:sz w:val="20"/>
          <w:szCs w:val="20"/>
          <w:highlight w:val="none"/>
        </w:rPr>
        <w:t>日</w:t>
      </w:r>
    </w:p>
    <w:p w14:paraId="5623E39D">
      <w:pPr>
        <w:pStyle w:val="6"/>
        <w:spacing w:line="268" w:lineRule="auto"/>
        <w:rPr>
          <w:color w:val="auto"/>
          <w:sz w:val="20"/>
          <w:szCs w:val="20"/>
          <w:highlight w:val="none"/>
        </w:rPr>
      </w:pPr>
    </w:p>
    <w:p w14:paraId="5E883F4B">
      <w:pPr>
        <w:pStyle w:val="6"/>
        <w:spacing w:line="268" w:lineRule="auto"/>
        <w:rPr>
          <w:color w:val="auto"/>
          <w:sz w:val="20"/>
          <w:szCs w:val="20"/>
          <w:highlight w:val="none"/>
        </w:rPr>
      </w:pPr>
    </w:p>
    <w:p w14:paraId="7DED83DB">
      <w:pPr>
        <w:pStyle w:val="6"/>
        <w:spacing w:line="268" w:lineRule="auto"/>
        <w:rPr>
          <w:color w:val="auto"/>
          <w:sz w:val="20"/>
          <w:szCs w:val="20"/>
          <w:highlight w:val="none"/>
        </w:rPr>
      </w:pPr>
    </w:p>
    <w:p w14:paraId="6D5D61DB">
      <w:pPr>
        <w:pStyle w:val="6"/>
        <w:spacing w:line="269" w:lineRule="auto"/>
        <w:rPr>
          <w:color w:val="auto"/>
          <w:sz w:val="20"/>
          <w:szCs w:val="20"/>
          <w:highlight w:val="none"/>
        </w:rPr>
      </w:pPr>
    </w:p>
    <w:p w14:paraId="5D9F8B8D">
      <w:pPr>
        <w:pStyle w:val="6"/>
        <w:spacing w:line="269" w:lineRule="auto"/>
        <w:rPr>
          <w:color w:val="auto"/>
          <w:sz w:val="20"/>
          <w:szCs w:val="20"/>
          <w:highlight w:val="none"/>
        </w:rPr>
      </w:pPr>
    </w:p>
    <w:p w14:paraId="633080E4">
      <w:pPr>
        <w:pStyle w:val="6"/>
        <w:spacing w:line="269" w:lineRule="auto"/>
        <w:rPr>
          <w:color w:val="auto"/>
          <w:sz w:val="20"/>
          <w:szCs w:val="20"/>
          <w:highlight w:val="none"/>
        </w:rPr>
      </w:pPr>
    </w:p>
    <w:p w14:paraId="47B8DDD9">
      <w:pPr>
        <w:spacing w:before="78" w:line="383" w:lineRule="auto"/>
        <w:jc w:val="both"/>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注：请根据自己的真实情况出具《残疾人福利性单位声明函》。依法享受中小企业</w:t>
      </w:r>
      <w:r>
        <w:rPr>
          <w:rFonts w:ascii="宋体" w:hAnsi="宋体" w:eastAsia="宋体" w:cs="宋体"/>
          <w:color w:val="auto"/>
          <w:spacing w:val="8"/>
          <w:sz w:val="20"/>
          <w:szCs w:val="20"/>
          <w:highlight w:val="none"/>
        </w:rPr>
        <w:t xml:space="preserve"> </w:t>
      </w:r>
      <w:r>
        <w:rPr>
          <w:rFonts w:ascii="宋体" w:hAnsi="宋体" w:eastAsia="宋体" w:cs="宋体"/>
          <w:color w:val="auto"/>
          <w:spacing w:val="2"/>
          <w:sz w:val="20"/>
          <w:szCs w:val="20"/>
          <w:highlight w:val="none"/>
        </w:rPr>
        <w:t>优惠政策的，采购人或者采购代理机构在公告中标结果时，同时公告其《残疾人福</w:t>
      </w:r>
      <w:r>
        <w:rPr>
          <w:rFonts w:ascii="宋体" w:hAnsi="宋体" w:eastAsia="宋体" w:cs="宋体"/>
          <w:color w:val="auto"/>
          <w:spacing w:val="9"/>
          <w:sz w:val="20"/>
          <w:szCs w:val="20"/>
          <w:highlight w:val="none"/>
        </w:rPr>
        <w:t xml:space="preserve"> </w:t>
      </w:r>
      <w:r>
        <w:rPr>
          <w:rFonts w:ascii="宋体" w:hAnsi="宋体" w:eastAsia="宋体" w:cs="宋体"/>
          <w:color w:val="auto"/>
          <w:spacing w:val="-1"/>
          <w:sz w:val="20"/>
          <w:szCs w:val="20"/>
          <w:highlight w:val="none"/>
        </w:rPr>
        <w:t>利性单位声明函》，接受社会监督。</w:t>
      </w:r>
    </w:p>
    <w:p w14:paraId="5A33C996">
      <w:pPr>
        <w:spacing w:line="383" w:lineRule="auto"/>
        <w:rPr>
          <w:rFonts w:ascii="宋体" w:hAnsi="宋体" w:eastAsia="宋体" w:cs="宋体"/>
          <w:color w:val="auto"/>
          <w:sz w:val="24"/>
          <w:szCs w:val="24"/>
          <w:highlight w:val="none"/>
        </w:rPr>
        <w:sectPr>
          <w:footerReference r:id="rId49" w:type="default"/>
          <w:pgSz w:w="11905" w:h="16839"/>
          <w:pgMar w:top="400" w:right="1587" w:bottom="1079" w:left="1594" w:header="0" w:footer="843" w:gutter="0"/>
          <w:pgNumType w:fmt="decimal"/>
          <w:cols w:space="720" w:num="1"/>
        </w:sectPr>
      </w:pPr>
    </w:p>
    <w:p w14:paraId="4F896353">
      <w:pPr>
        <w:pStyle w:val="6"/>
        <w:spacing w:line="292" w:lineRule="auto"/>
        <w:rPr>
          <w:color w:val="auto"/>
          <w:highlight w:val="none"/>
        </w:rPr>
      </w:pPr>
    </w:p>
    <w:p w14:paraId="4AA19FA0">
      <w:pPr>
        <w:pStyle w:val="6"/>
        <w:spacing w:line="293" w:lineRule="auto"/>
        <w:rPr>
          <w:color w:val="auto"/>
          <w:highlight w:val="none"/>
        </w:rPr>
      </w:pPr>
    </w:p>
    <w:p w14:paraId="0EBFC8E7">
      <w:pPr>
        <w:pStyle w:val="6"/>
        <w:spacing w:line="293" w:lineRule="auto"/>
        <w:rPr>
          <w:color w:val="auto"/>
          <w:highlight w:val="none"/>
        </w:rPr>
      </w:pPr>
    </w:p>
    <w:p w14:paraId="70FBC266">
      <w:pPr>
        <w:pStyle w:val="6"/>
        <w:spacing w:line="293" w:lineRule="auto"/>
        <w:rPr>
          <w:color w:val="auto"/>
          <w:highlight w:val="none"/>
        </w:rPr>
      </w:pPr>
    </w:p>
    <w:p w14:paraId="5B5C4A8B">
      <w:pPr>
        <w:spacing w:before="97" w:line="219" w:lineRule="auto"/>
        <w:jc w:val="right"/>
        <w:outlineLvl w:val="1"/>
        <w:rPr>
          <w:rFonts w:ascii="宋体" w:hAnsi="宋体" w:eastAsia="宋体" w:cs="宋体"/>
          <w:color w:val="auto"/>
          <w:sz w:val="30"/>
          <w:szCs w:val="30"/>
          <w:highlight w:val="none"/>
        </w:rPr>
      </w:pPr>
      <w:bookmarkStart w:id="21" w:name="_Toc26127"/>
      <w:r>
        <w:rPr>
          <w:rFonts w:ascii="宋体" w:hAnsi="宋体" w:eastAsia="宋体" w:cs="宋体"/>
          <w:b/>
          <w:bCs/>
          <w:color w:val="auto"/>
          <w:spacing w:val="-3"/>
          <w:sz w:val="30"/>
          <w:szCs w:val="30"/>
          <w:highlight w:val="none"/>
        </w:rPr>
        <w:t>十、除磋商文件规定必须提供以外，供应商认为需要提供的其</w:t>
      </w:r>
      <w:bookmarkEnd w:id="21"/>
    </w:p>
    <w:p w14:paraId="73C50E3C">
      <w:pPr>
        <w:spacing w:before="227" w:line="219" w:lineRule="auto"/>
        <w:rPr>
          <w:rFonts w:ascii="宋体" w:hAnsi="宋体" w:eastAsia="宋体" w:cs="宋体"/>
          <w:color w:val="auto"/>
          <w:sz w:val="30"/>
          <w:szCs w:val="30"/>
          <w:highlight w:val="none"/>
        </w:rPr>
      </w:pPr>
      <w:r>
        <w:rPr>
          <w:rFonts w:ascii="宋体" w:hAnsi="宋体" w:eastAsia="宋体" w:cs="宋体"/>
          <w:b/>
          <w:bCs/>
          <w:color w:val="auto"/>
          <w:spacing w:val="-5"/>
          <w:sz w:val="30"/>
          <w:szCs w:val="30"/>
          <w:highlight w:val="none"/>
        </w:rPr>
        <w:t>他证明材料</w:t>
      </w:r>
    </w:p>
    <w:p w14:paraId="5538B79A">
      <w:pPr>
        <w:pStyle w:val="6"/>
        <w:spacing w:line="270" w:lineRule="auto"/>
        <w:rPr>
          <w:color w:val="auto"/>
          <w:highlight w:val="none"/>
        </w:rPr>
      </w:pPr>
    </w:p>
    <w:p w14:paraId="7B8EA927">
      <w:pPr>
        <w:pStyle w:val="6"/>
        <w:spacing w:line="271" w:lineRule="auto"/>
        <w:rPr>
          <w:color w:val="auto"/>
          <w:highlight w:val="none"/>
        </w:rPr>
      </w:pPr>
    </w:p>
    <w:p w14:paraId="76DCE8E9">
      <w:pPr>
        <w:pStyle w:val="6"/>
        <w:spacing w:line="271" w:lineRule="auto"/>
        <w:rPr>
          <w:color w:val="auto"/>
          <w:highlight w:val="none"/>
        </w:rPr>
      </w:pPr>
    </w:p>
    <w:p w14:paraId="7364F009">
      <w:pPr>
        <w:spacing w:before="78" w:line="219" w:lineRule="auto"/>
        <w:ind w:left="23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供应商名称（电子签章</w:t>
      </w:r>
      <w:r>
        <w:rPr>
          <w:rFonts w:ascii="宋体" w:hAnsi="宋体" w:eastAsia="宋体" w:cs="宋体"/>
          <w:color w:val="auto"/>
          <w:sz w:val="24"/>
          <w:szCs w:val="24"/>
          <w:highlight w:val="none"/>
        </w:rPr>
        <w:t>）：</w:t>
      </w:r>
    </w:p>
    <w:p w14:paraId="7A04BCCA">
      <w:pPr>
        <w:spacing w:before="211" w:line="220" w:lineRule="auto"/>
        <w:ind w:left="4358"/>
        <w:rPr>
          <w:rFonts w:ascii="宋体" w:hAnsi="宋体" w:eastAsia="宋体" w:cs="宋体"/>
          <w:color w:val="auto"/>
          <w:sz w:val="24"/>
          <w:szCs w:val="24"/>
          <w:highlight w:val="none"/>
        </w:rPr>
      </w:pPr>
      <w:r>
        <w:rPr>
          <w:rFonts w:ascii="宋体" w:hAnsi="宋体" w:eastAsia="宋体" w:cs="宋体"/>
          <w:color w:val="auto"/>
          <w:spacing w:val="-20"/>
          <w:sz w:val="24"/>
          <w:szCs w:val="24"/>
          <w:highlight w:val="none"/>
        </w:rPr>
        <w:t>日</w:t>
      </w:r>
      <w:r>
        <w:rPr>
          <w:rFonts w:ascii="宋体" w:hAnsi="宋体" w:eastAsia="宋体" w:cs="宋体"/>
          <w:color w:val="auto"/>
          <w:spacing w:val="6"/>
          <w:sz w:val="24"/>
          <w:szCs w:val="24"/>
          <w:highlight w:val="none"/>
        </w:rPr>
        <w:t xml:space="preserve">  </w:t>
      </w:r>
      <w:r>
        <w:rPr>
          <w:rFonts w:ascii="宋体" w:hAnsi="宋体" w:eastAsia="宋体" w:cs="宋体"/>
          <w:color w:val="auto"/>
          <w:spacing w:val="-20"/>
          <w:sz w:val="24"/>
          <w:szCs w:val="24"/>
          <w:highlight w:val="none"/>
        </w:rPr>
        <w:t>期</w:t>
      </w:r>
      <w:r>
        <w:rPr>
          <w:rFonts w:ascii="宋体" w:hAnsi="宋体" w:eastAsia="宋体" w:cs="宋体"/>
          <w:color w:val="auto"/>
          <w:spacing w:val="-89"/>
          <w:sz w:val="24"/>
          <w:szCs w:val="24"/>
          <w:highlight w:val="none"/>
        </w:rPr>
        <w:t xml:space="preserve"> </w:t>
      </w:r>
      <w:r>
        <w:rPr>
          <w:rFonts w:ascii="宋体" w:hAnsi="宋体" w:eastAsia="宋体" w:cs="宋体"/>
          <w:color w:val="auto"/>
          <w:spacing w:val="-20"/>
          <w:sz w:val="24"/>
          <w:szCs w:val="24"/>
          <w:highlight w:val="none"/>
        </w:rPr>
        <w:t>：</w:t>
      </w:r>
      <w:r>
        <w:rPr>
          <w:rFonts w:ascii="宋体" w:hAnsi="宋体" w:eastAsia="宋体" w:cs="宋体"/>
          <w:color w:val="auto"/>
          <w:spacing w:val="3"/>
          <w:sz w:val="24"/>
          <w:szCs w:val="24"/>
          <w:highlight w:val="none"/>
        </w:rPr>
        <w:t xml:space="preserve">   </w:t>
      </w:r>
      <w:r>
        <w:rPr>
          <w:rFonts w:ascii="宋体" w:hAnsi="宋体" w:eastAsia="宋体" w:cs="宋体"/>
          <w:color w:val="auto"/>
          <w:spacing w:val="-20"/>
          <w:sz w:val="24"/>
          <w:szCs w:val="24"/>
          <w:highlight w:val="none"/>
        </w:rPr>
        <w:t>年</w:t>
      </w:r>
      <w:r>
        <w:rPr>
          <w:rFonts w:ascii="宋体" w:hAnsi="宋体" w:eastAsia="宋体" w:cs="宋体"/>
          <w:color w:val="auto"/>
          <w:spacing w:val="5"/>
          <w:sz w:val="24"/>
          <w:szCs w:val="24"/>
          <w:highlight w:val="none"/>
        </w:rPr>
        <w:t xml:space="preserve">   </w:t>
      </w:r>
      <w:r>
        <w:rPr>
          <w:rFonts w:ascii="宋体" w:hAnsi="宋体" w:eastAsia="宋体" w:cs="宋体"/>
          <w:color w:val="auto"/>
          <w:spacing w:val="-20"/>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20"/>
          <w:sz w:val="24"/>
          <w:szCs w:val="24"/>
          <w:highlight w:val="none"/>
        </w:rPr>
        <w:t>日</w:t>
      </w:r>
    </w:p>
    <w:p w14:paraId="2C8C4EB0">
      <w:pPr>
        <w:spacing w:line="220" w:lineRule="auto"/>
        <w:rPr>
          <w:rFonts w:ascii="宋体" w:hAnsi="宋体" w:eastAsia="宋体" w:cs="宋体"/>
          <w:color w:val="auto"/>
          <w:sz w:val="24"/>
          <w:szCs w:val="24"/>
          <w:highlight w:val="none"/>
        </w:rPr>
        <w:sectPr>
          <w:footerReference r:id="rId50" w:type="default"/>
          <w:pgSz w:w="11905" w:h="16839"/>
          <w:pgMar w:top="400" w:right="1587" w:bottom="1079" w:left="1598" w:header="0" w:footer="843" w:gutter="0"/>
          <w:pgNumType w:fmt="decimal"/>
          <w:cols w:space="720" w:num="1"/>
        </w:sectPr>
      </w:pPr>
    </w:p>
    <w:p w14:paraId="58809FE1">
      <w:pPr>
        <w:pStyle w:val="6"/>
        <w:spacing w:line="265" w:lineRule="auto"/>
        <w:rPr>
          <w:color w:val="auto"/>
          <w:highlight w:val="none"/>
        </w:rPr>
      </w:pPr>
    </w:p>
    <w:p w14:paraId="592C13DD">
      <w:pPr>
        <w:pStyle w:val="6"/>
        <w:spacing w:line="265" w:lineRule="auto"/>
        <w:rPr>
          <w:color w:val="auto"/>
          <w:highlight w:val="none"/>
        </w:rPr>
      </w:pPr>
    </w:p>
    <w:p w14:paraId="6E5D0F84">
      <w:pPr>
        <w:pStyle w:val="6"/>
        <w:spacing w:line="265" w:lineRule="auto"/>
        <w:rPr>
          <w:color w:val="auto"/>
          <w:highlight w:val="none"/>
        </w:rPr>
      </w:pPr>
    </w:p>
    <w:p w14:paraId="6B62AC1C">
      <w:pPr>
        <w:pStyle w:val="6"/>
        <w:spacing w:line="266" w:lineRule="auto"/>
        <w:rPr>
          <w:color w:val="auto"/>
          <w:highlight w:val="none"/>
        </w:rPr>
      </w:pPr>
    </w:p>
    <w:p w14:paraId="01A9EAA9">
      <w:pPr>
        <w:spacing w:before="100" w:line="225" w:lineRule="auto"/>
        <w:ind w:left="2337"/>
        <w:rPr>
          <w:rFonts w:ascii="宋体" w:hAnsi="宋体" w:eastAsia="宋体" w:cs="宋体"/>
          <w:color w:val="auto"/>
          <w:sz w:val="31"/>
          <w:szCs w:val="31"/>
          <w:highlight w:val="none"/>
        </w:rPr>
      </w:pPr>
      <w:r>
        <w:rPr>
          <w:rFonts w:ascii="宋体" w:hAnsi="宋体" w:eastAsia="宋体" w:cs="宋体"/>
          <w:color w:val="auto"/>
          <w:spacing w:val="8"/>
          <w:sz w:val="31"/>
          <w:szCs w:val="31"/>
          <w:highlight w:val="none"/>
        </w:rPr>
        <w:t>第三节 商务技术文件格式</w:t>
      </w:r>
    </w:p>
    <w:p w14:paraId="290C87BB">
      <w:pPr>
        <w:pStyle w:val="6"/>
        <w:spacing w:line="333" w:lineRule="auto"/>
        <w:rPr>
          <w:color w:val="auto"/>
          <w:highlight w:val="none"/>
        </w:rPr>
      </w:pPr>
    </w:p>
    <w:p w14:paraId="7765C0C7">
      <w:pPr>
        <w:spacing w:before="65" w:line="228" w:lineRule="auto"/>
        <w:ind w:left="6051"/>
        <w:rPr>
          <w:rFonts w:ascii="宋体" w:hAnsi="宋体" w:eastAsia="宋体" w:cs="宋体"/>
          <w:color w:val="auto"/>
          <w:sz w:val="20"/>
          <w:szCs w:val="20"/>
          <w:highlight w:val="none"/>
        </w:rPr>
      </w:pPr>
      <w:r>
        <w:rPr>
          <w:rFonts w:ascii="宋体" w:hAnsi="宋体" w:eastAsia="宋体" w:cs="宋体"/>
          <w:b/>
          <w:bCs/>
          <w:color w:val="auto"/>
          <w:spacing w:val="7"/>
          <w:sz w:val="20"/>
          <w:szCs w:val="20"/>
          <w:highlight w:val="none"/>
        </w:rPr>
        <w:t>全流程电子文件</w:t>
      </w:r>
    </w:p>
    <w:p w14:paraId="167E0A17">
      <w:pPr>
        <w:pStyle w:val="6"/>
        <w:spacing w:line="248" w:lineRule="auto"/>
        <w:rPr>
          <w:color w:val="auto"/>
          <w:highlight w:val="none"/>
        </w:rPr>
      </w:pPr>
    </w:p>
    <w:p w14:paraId="517BF5E3">
      <w:pPr>
        <w:pStyle w:val="6"/>
        <w:spacing w:line="248" w:lineRule="auto"/>
        <w:rPr>
          <w:color w:val="auto"/>
          <w:highlight w:val="none"/>
        </w:rPr>
      </w:pPr>
    </w:p>
    <w:p w14:paraId="465EBDC1">
      <w:pPr>
        <w:pStyle w:val="6"/>
        <w:spacing w:line="248" w:lineRule="auto"/>
        <w:rPr>
          <w:color w:val="auto"/>
          <w:highlight w:val="none"/>
        </w:rPr>
      </w:pPr>
    </w:p>
    <w:p w14:paraId="23F42D62">
      <w:pPr>
        <w:pStyle w:val="6"/>
        <w:spacing w:line="249" w:lineRule="auto"/>
        <w:rPr>
          <w:color w:val="auto"/>
          <w:highlight w:val="none"/>
        </w:rPr>
      </w:pPr>
    </w:p>
    <w:p w14:paraId="79537DC7">
      <w:pPr>
        <w:pStyle w:val="6"/>
        <w:spacing w:line="249" w:lineRule="auto"/>
        <w:rPr>
          <w:color w:val="auto"/>
          <w:highlight w:val="none"/>
        </w:rPr>
      </w:pPr>
    </w:p>
    <w:p w14:paraId="274E2D99">
      <w:pPr>
        <w:pStyle w:val="6"/>
        <w:spacing w:line="249" w:lineRule="auto"/>
        <w:rPr>
          <w:color w:val="auto"/>
          <w:highlight w:val="none"/>
        </w:rPr>
      </w:pPr>
    </w:p>
    <w:p w14:paraId="20A92EA7">
      <w:pPr>
        <w:spacing w:before="169" w:line="220" w:lineRule="auto"/>
        <w:ind w:left="1585"/>
        <w:rPr>
          <w:rFonts w:ascii="宋体" w:hAnsi="宋体" w:eastAsia="宋体" w:cs="宋体"/>
          <w:color w:val="auto"/>
          <w:sz w:val="52"/>
          <w:szCs w:val="52"/>
          <w:highlight w:val="none"/>
        </w:rPr>
      </w:pPr>
      <w:r>
        <w:rPr>
          <w:rFonts w:ascii="宋体" w:hAnsi="宋体" w:eastAsia="宋体" w:cs="宋体"/>
          <w:b/>
          <w:bCs/>
          <w:color w:val="auto"/>
          <w:spacing w:val="-7"/>
          <w:sz w:val="52"/>
          <w:szCs w:val="52"/>
          <w:highlight w:val="none"/>
        </w:rPr>
        <w:t>商务技术文件（封面）</w:t>
      </w:r>
    </w:p>
    <w:p w14:paraId="4CC49A27">
      <w:pPr>
        <w:pStyle w:val="6"/>
        <w:spacing w:line="246" w:lineRule="auto"/>
        <w:rPr>
          <w:color w:val="auto"/>
          <w:highlight w:val="none"/>
        </w:rPr>
      </w:pPr>
    </w:p>
    <w:p w14:paraId="2CE79D1F">
      <w:pPr>
        <w:pStyle w:val="6"/>
        <w:spacing w:line="246" w:lineRule="auto"/>
        <w:rPr>
          <w:color w:val="auto"/>
          <w:highlight w:val="none"/>
        </w:rPr>
      </w:pPr>
    </w:p>
    <w:p w14:paraId="348DEA2A">
      <w:pPr>
        <w:pStyle w:val="6"/>
        <w:spacing w:line="246" w:lineRule="auto"/>
        <w:rPr>
          <w:color w:val="auto"/>
          <w:highlight w:val="none"/>
        </w:rPr>
      </w:pPr>
    </w:p>
    <w:p w14:paraId="08524B89">
      <w:pPr>
        <w:pStyle w:val="6"/>
        <w:spacing w:line="246" w:lineRule="auto"/>
        <w:rPr>
          <w:color w:val="auto"/>
          <w:highlight w:val="none"/>
        </w:rPr>
      </w:pPr>
    </w:p>
    <w:p w14:paraId="4383C2F3">
      <w:pPr>
        <w:pStyle w:val="6"/>
        <w:spacing w:line="246" w:lineRule="auto"/>
        <w:rPr>
          <w:color w:val="auto"/>
          <w:highlight w:val="none"/>
        </w:rPr>
      </w:pPr>
    </w:p>
    <w:p w14:paraId="12C4C608">
      <w:pPr>
        <w:pStyle w:val="6"/>
        <w:spacing w:line="246" w:lineRule="auto"/>
        <w:rPr>
          <w:color w:val="auto"/>
          <w:highlight w:val="none"/>
        </w:rPr>
      </w:pPr>
    </w:p>
    <w:p w14:paraId="7B3415D2">
      <w:pPr>
        <w:pStyle w:val="6"/>
        <w:spacing w:line="246" w:lineRule="auto"/>
        <w:rPr>
          <w:color w:val="auto"/>
          <w:highlight w:val="none"/>
        </w:rPr>
      </w:pPr>
    </w:p>
    <w:p w14:paraId="542F8FCC">
      <w:pPr>
        <w:pStyle w:val="6"/>
        <w:spacing w:line="246" w:lineRule="auto"/>
        <w:rPr>
          <w:color w:val="auto"/>
          <w:highlight w:val="none"/>
        </w:rPr>
      </w:pPr>
    </w:p>
    <w:p w14:paraId="5321761F">
      <w:pPr>
        <w:pStyle w:val="6"/>
        <w:spacing w:line="246" w:lineRule="auto"/>
        <w:rPr>
          <w:color w:val="auto"/>
          <w:highlight w:val="none"/>
        </w:rPr>
      </w:pPr>
    </w:p>
    <w:p w14:paraId="7E98F8D0">
      <w:pPr>
        <w:pStyle w:val="6"/>
        <w:spacing w:line="247" w:lineRule="auto"/>
        <w:rPr>
          <w:color w:val="auto"/>
          <w:sz w:val="28"/>
          <w:szCs w:val="28"/>
          <w:highlight w:val="none"/>
        </w:rPr>
      </w:pPr>
    </w:p>
    <w:p w14:paraId="2F38E8D3">
      <w:pPr>
        <w:spacing w:before="100" w:line="226" w:lineRule="auto"/>
        <w:ind w:left="458"/>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项目名称：</w:t>
      </w:r>
    </w:p>
    <w:p w14:paraId="7C7D3E1F">
      <w:pPr>
        <w:pStyle w:val="6"/>
        <w:spacing w:line="340" w:lineRule="auto"/>
        <w:rPr>
          <w:color w:val="auto"/>
          <w:sz w:val="28"/>
          <w:szCs w:val="28"/>
          <w:highlight w:val="none"/>
        </w:rPr>
      </w:pPr>
    </w:p>
    <w:p w14:paraId="2429F68B">
      <w:pPr>
        <w:pStyle w:val="6"/>
        <w:spacing w:line="340" w:lineRule="auto"/>
        <w:rPr>
          <w:color w:val="auto"/>
          <w:sz w:val="28"/>
          <w:szCs w:val="28"/>
          <w:highlight w:val="none"/>
        </w:rPr>
      </w:pPr>
    </w:p>
    <w:p w14:paraId="0406D533">
      <w:pPr>
        <w:spacing w:before="101" w:line="225" w:lineRule="auto"/>
        <w:ind w:left="458"/>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项目编号：</w:t>
      </w:r>
    </w:p>
    <w:p w14:paraId="6896F0FF">
      <w:pPr>
        <w:pStyle w:val="6"/>
        <w:spacing w:line="339" w:lineRule="auto"/>
        <w:rPr>
          <w:color w:val="auto"/>
          <w:sz w:val="28"/>
          <w:szCs w:val="28"/>
          <w:highlight w:val="none"/>
        </w:rPr>
      </w:pPr>
    </w:p>
    <w:p w14:paraId="69AD96DA">
      <w:pPr>
        <w:pStyle w:val="6"/>
        <w:spacing w:line="339" w:lineRule="auto"/>
        <w:rPr>
          <w:color w:val="auto"/>
          <w:sz w:val="28"/>
          <w:szCs w:val="28"/>
          <w:highlight w:val="none"/>
        </w:rPr>
      </w:pPr>
    </w:p>
    <w:p w14:paraId="7A1007E6">
      <w:pPr>
        <w:spacing w:before="101" w:line="226" w:lineRule="auto"/>
        <w:jc w:val="right"/>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所竞分标（如有则填写，无分标时填写“无</w:t>
      </w:r>
      <w:r>
        <w:rPr>
          <w:rFonts w:ascii="宋体" w:hAnsi="宋体" w:eastAsia="宋体" w:cs="宋体"/>
          <w:color w:val="auto"/>
          <w:spacing w:val="-110"/>
          <w:sz w:val="28"/>
          <w:szCs w:val="28"/>
          <w:highlight w:val="none"/>
        </w:rPr>
        <w:t xml:space="preserve"> </w:t>
      </w:r>
      <w:r>
        <w:rPr>
          <w:rFonts w:ascii="宋体" w:hAnsi="宋体" w:eastAsia="宋体" w:cs="宋体"/>
          <w:color w:val="auto"/>
          <w:spacing w:val="5"/>
          <w:sz w:val="28"/>
          <w:szCs w:val="28"/>
          <w:highlight w:val="none"/>
        </w:rPr>
        <w:t>”或者留空</w:t>
      </w:r>
      <w:r>
        <w:rPr>
          <w:rFonts w:ascii="宋体" w:hAnsi="宋体" w:eastAsia="宋体" w:cs="宋体"/>
          <w:color w:val="auto"/>
          <w:spacing w:val="-34"/>
          <w:sz w:val="28"/>
          <w:szCs w:val="28"/>
          <w:highlight w:val="none"/>
        </w:rPr>
        <w:t>）：</w:t>
      </w:r>
    </w:p>
    <w:p w14:paraId="16B83FD2">
      <w:pPr>
        <w:pStyle w:val="6"/>
        <w:spacing w:line="280" w:lineRule="auto"/>
        <w:rPr>
          <w:color w:val="auto"/>
          <w:sz w:val="28"/>
          <w:szCs w:val="28"/>
          <w:highlight w:val="none"/>
        </w:rPr>
      </w:pPr>
    </w:p>
    <w:p w14:paraId="604E254B">
      <w:pPr>
        <w:pStyle w:val="6"/>
        <w:spacing w:line="281" w:lineRule="auto"/>
        <w:rPr>
          <w:color w:val="auto"/>
          <w:sz w:val="28"/>
          <w:szCs w:val="28"/>
          <w:highlight w:val="none"/>
        </w:rPr>
      </w:pPr>
    </w:p>
    <w:p w14:paraId="6272A633">
      <w:pPr>
        <w:spacing w:before="102" w:line="225" w:lineRule="auto"/>
        <w:ind w:left="453"/>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供应商名称：</w:t>
      </w:r>
    </w:p>
    <w:p w14:paraId="4BA6FAB6">
      <w:pPr>
        <w:pStyle w:val="6"/>
        <w:spacing w:line="248" w:lineRule="auto"/>
        <w:rPr>
          <w:color w:val="auto"/>
          <w:sz w:val="28"/>
          <w:szCs w:val="28"/>
          <w:highlight w:val="none"/>
        </w:rPr>
      </w:pPr>
    </w:p>
    <w:p w14:paraId="4141C0B6">
      <w:pPr>
        <w:pStyle w:val="6"/>
        <w:spacing w:line="248" w:lineRule="auto"/>
        <w:rPr>
          <w:color w:val="auto"/>
          <w:sz w:val="28"/>
          <w:szCs w:val="28"/>
          <w:highlight w:val="none"/>
        </w:rPr>
      </w:pPr>
    </w:p>
    <w:p w14:paraId="28B5D640">
      <w:pPr>
        <w:pStyle w:val="6"/>
        <w:spacing w:line="248" w:lineRule="auto"/>
        <w:rPr>
          <w:color w:val="auto"/>
          <w:sz w:val="28"/>
          <w:szCs w:val="28"/>
          <w:highlight w:val="none"/>
        </w:rPr>
      </w:pPr>
    </w:p>
    <w:p w14:paraId="7BFC7E30">
      <w:pPr>
        <w:pStyle w:val="6"/>
        <w:spacing w:line="248" w:lineRule="auto"/>
        <w:rPr>
          <w:color w:val="auto"/>
          <w:sz w:val="28"/>
          <w:szCs w:val="28"/>
          <w:highlight w:val="none"/>
        </w:rPr>
      </w:pPr>
    </w:p>
    <w:p w14:paraId="3DF1B2D7">
      <w:pPr>
        <w:pStyle w:val="6"/>
        <w:spacing w:line="248" w:lineRule="auto"/>
        <w:rPr>
          <w:color w:val="auto"/>
          <w:sz w:val="28"/>
          <w:szCs w:val="28"/>
          <w:highlight w:val="none"/>
        </w:rPr>
      </w:pPr>
    </w:p>
    <w:p w14:paraId="22EB668C">
      <w:pPr>
        <w:pStyle w:val="6"/>
        <w:spacing w:line="248" w:lineRule="auto"/>
        <w:rPr>
          <w:color w:val="auto"/>
          <w:sz w:val="28"/>
          <w:szCs w:val="28"/>
          <w:highlight w:val="none"/>
        </w:rPr>
      </w:pPr>
    </w:p>
    <w:p w14:paraId="4727EE81">
      <w:pPr>
        <w:spacing w:before="101" w:line="225" w:lineRule="auto"/>
        <w:ind w:left="3059"/>
        <w:rPr>
          <w:rFonts w:ascii="宋体" w:hAnsi="宋体" w:eastAsia="宋体" w:cs="宋体"/>
          <w:color w:val="auto"/>
          <w:sz w:val="28"/>
          <w:szCs w:val="28"/>
          <w:highlight w:val="none"/>
        </w:rPr>
      </w:pPr>
      <w:r>
        <w:rPr>
          <w:rFonts w:ascii="宋体" w:hAnsi="宋体" w:eastAsia="宋体" w:cs="宋体"/>
          <w:color w:val="auto"/>
          <w:spacing w:val="-6"/>
          <w:sz w:val="28"/>
          <w:szCs w:val="28"/>
          <w:highlight w:val="none"/>
        </w:rPr>
        <w:t>年</w:t>
      </w:r>
      <w:r>
        <w:rPr>
          <w:rFonts w:ascii="宋体" w:hAnsi="宋体" w:eastAsia="宋体" w:cs="宋体"/>
          <w:color w:val="auto"/>
          <w:spacing w:val="10"/>
          <w:sz w:val="28"/>
          <w:szCs w:val="28"/>
          <w:highlight w:val="none"/>
        </w:rPr>
        <w:t xml:space="preserve">    </w:t>
      </w:r>
      <w:r>
        <w:rPr>
          <w:rFonts w:ascii="宋体" w:hAnsi="宋体" w:eastAsia="宋体" w:cs="宋体"/>
          <w:color w:val="auto"/>
          <w:spacing w:val="-6"/>
          <w:sz w:val="28"/>
          <w:szCs w:val="28"/>
          <w:highlight w:val="none"/>
        </w:rPr>
        <w:t>月</w:t>
      </w:r>
      <w:r>
        <w:rPr>
          <w:rFonts w:ascii="宋体" w:hAnsi="宋体" w:eastAsia="宋体" w:cs="宋体"/>
          <w:color w:val="auto"/>
          <w:spacing w:val="22"/>
          <w:sz w:val="28"/>
          <w:szCs w:val="28"/>
          <w:highlight w:val="none"/>
        </w:rPr>
        <w:t xml:space="preserve">    </w:t>
      </w:r>
      <w:r>
        <w:rPr>
          <w:rFonts w:ascii="宋体" w:hAnsi="宋体" w:eastAsia="宋体" w:cs="宋体"/>
          <w:color w:val="auto"/>
          <w:spacing w:val="-6"/>
          <w:sz w:val="28"/>
          <w:szCs w:val="28"/>
          <w:highlight w:val="none"/>
        </w:rPr>
        <w:t>日</w:t>
      </w:r>
    </w:p>
    <w:p w14:paraId="25893CD7">
      <w:pPr>
        <w:spacing w:line="225" w:lineRule="auto"/>
        <w:rPr>
          <w:rFonts w:ascii="宋体" w:hAnsi="宋体" w:eastAsia="宋体" w:cs="宋体"/>
          <w:color w:val="auto"/>
          <w:sz w:val="31"/>
          <w:szCs w:val="31"/>
          <w:highlight w:val="none"/>
        </w:rPr>
        <w:sectPr>
          <w:footerReference r:id="rId51" w:type="default"/>
          <w:pgSz w:w="11905" w:h="16839"/>
          <w:pgMar w:top="400" w:right="1507" w:bottom="1019" w:left="1785" w:header="0" w:footer="859" w:gutter="0"/>
          <w:pgNumType w:fmt="decimal"/>
          <w:cols w:space="720" w:num="1"/>
        </w:sectPr>
      </w:pPr>
    </w:p>
    <w:p w14:paraId="49174564">
      <w:pPr>
        <w:pStyle w:val="6"/>
        <w:spacing w:line="275" w:lineRule="auto"/>
        <w:rPr>
          <w:color w:val="auto"/>
          <w:highlight w:val="none"/>
        </w:rPr>
      </w:pPr>
    </w:p>
    <w:p w14:paraId="57CC39BE">
      <w:pPr>
        <w:pStyle w:val="6"/>
        <w:spacing w:line="276" w:lineRule="auto"/>
        <w:rPr>
          <w:color w:val="auto"/>
          <w:highlight w:val="none"/>
        </w:rPr>
      </w:pPr>
    </w:p>
    <w:p w14:paraId="6A59DABF">
      <w:pPr>
        <w:pStyle w:val="6"/>
        <w:spacing w:line="276" w:lineRule="auto"/>
        <w:rPr>
          <w:color w:val="auto"/>
          <w:highlight w:val="none"/>
        </w:rPr>
      </w:pPr>
    </w:p>
    <w:p w14:paraId="49736C31">
      <w:pPr>
        <w:spacing w:before="91" w:line="221" w:lineRule="auto"/>
        <w:ind w:left="3249"/>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商务技术文件目录</w:t>
      </w:r>
    </w:p>
    <w:p w14:paraId="568D3E07">
      <w:pPr>
        <w:pStyle w:val="6"/>
        <w:spacing w:line="281" w:lineRule="auto"/>
        <w:rPr>
          <w:color w:val="auto"/>
          <w:highlight w:val="none"/>
        </w:rPr>
      </w:pPr>
    </w:p>
    <w:p w14:paraId="2A072658">
      <w:pPr>
        <w:pStyle w:val="6"/>
        <w:spacing w:line="281" w:lineRule="auto"/>
        <w:rPr>
          <w:color w:val="auto"/>
          <w:highlight w:val="none"/>
        </w:rPr>
      </w:pPr>
    </w:p>
    <w:p w14:paraId="6A010FF3">
      <w:pPr>
        <w:pStyle w:val="6"/>
        <w:spacing w:line="281" w:lineRule="auto"/>
        <w:rPr>
          <w:color w:val="auto"/>
          <w:highlight w:val="none"/>
        </w:rPr>
      </w:pPr>
    </w:p>
    <w:p w14:paraId="23CD2A95">
      <w:pPr>
        <w:spacing w:before="78" w:line="220" w:lineRule="auto"/>
        <w:jc w:val="left"/>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一、无串通竞标行为的承诺函………………………………………………（页码）</w:t>
      </w:r>
    </w:p>
    <w:p w14:paraId="08C44DF4">
      <w:pPr>
        <w:spacing w:before="211" w:line="219" w:lineRule="auto"/>
        <w:jc w:val="left"/>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二、法定代表人身份证明书及法定代表人有效身份证正反面复印件……（页码）</w:t>
      </w:r>
    </w:p>
    <w:p w14:paraId="5E13B82D">
      <w:pPr>
        <w:spacing w:before="212" w:line="302" w:lineRule="auto"/>
        <w:jc w:val="left"/>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三、法定代表人授权委托书及委托代理人有效身份证正反面复印件（如有委托</w:t>
      </w:r>
      <w:r>
        <w:rPr>
          <w:rFonts w:ascii="宋体" w:hAnsi="宋体" w:eastAsia="宋体" w:cs="宋体"/>
          <w:color w:val="auto"/>
          <w:spacing w:val="-2"/>
          <w:sz w:val="20"/>
          <w:szCs w:val="20"/>
          <w:highlight w:val="none"/>
        </w:rPr>
        <w:t>时）…………………………………………………………………………………（页码）</w:t>
      </w:r>
    </w:p>
    <w:p w14:paraId="63CD06BE">
      <w:pPr>
        <w:spacing w:before="207" w:line="220" w:lineRule="auto"/>
        <w:jc w:val="left"/>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四、商务条款偏离表……………………………</w:t>
      </w:r>
      <w:r>
        <w:rPr>
          <w:rFonts w:ascii="宋体" w:hAnsi="宋体" w:eastAsia="宋体" w:cs="宋体"/>
          <w:color w:val="auto"/>
          <w:spacing w:val="-3"/>
          <w:sz w:val="20"/>
          <w:szCs w:val="20"/>
          <w:highlight w:val="none"/>
        </w:rPr>
        <w:t>……………………………（页码）</w:t>
      </w:r>
    </w:p>
    <w:p w14:paraId="2C99ACFD">
      <w:pPr>
        <w:spacing w:before="209" w:line="220" w:lineRule="auto"/>
        <w:jc w:val="left"/>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五、企业概况表…………………………………………………………（页码）</w:t>
      </w:r>
    </w:p>
    <w:p w14:paraId="1F04420C">
      <w:pPr>
        <w:spacing w:before="213" w:line="219" w:lineRule="auto"/>
        <w:jc w:val="left"/>
        <w:rPr>
          <w:rFonts w:ascii="宋体" w:hAnsi="宋体" w:eastAsia="宋体" w:cs="宋体"/>
          <w:color w:val="auto"/>
          <w:sz w:val="20"/>
          <w:szCs w:val="20"/>
          <w:highlight w:val="none"/>
        </w:rPr>
      </w:pPr>
      <w:r>
        <w:rPr>
          <w:rFonts w:ascii="宋体" w:hAnsi="宋体" w:eastAsia="宋体" w:cs="宋体"/>
          <w:color w:val="auto"/>
          <w:sz w:val="20"/>
          <w:szCs w:val="20"/>
          <w:highlight w:val="none"/>
        </w:rPr>
        <w:t>六、供应商类似的业绩证明文件……………</w:t>
      </w:r>
      <w:r>
        <w:rPr>
          <w:rFonts w:ascii="宋体" w:hAnsi="宋体" w:eastAsia="宋体" w:cs="宋体"/>
          <w:color w:val="auto"/>
          <w:spacing w:val="-1"/>
          <w:sz w:val="20"/>
          <w:szCs w:val="20"/>
          <w:highlight w:val="none"/>
        </w:rPr>
        <w:t>………………………（页码）</w:t>
      </w:r>
    </w:p>
    <w:p w14:paraId="58D77ED2">
      <w:pPr>
        <w:spacing w:before="210" w:line="220" w:lineRule="auto"/>
        <w:jc w:val="left"/>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七、技术需求偏离表…………………………………………………………（页码）</w:t>
      </w:r>
    </w:p>
    <w:p w14:paraId="682AAE1A">
      <w:pPr>
        <w:spacing w:before="210" w:line="221" w:lineRule="auto"/>
        <w:jc w:val="left"/>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八、施工组织设计……………………………………………………………（页码）</w:t>
      </w:r>
    </w:p>
    <w:p w14:paraId="0A734F21">
      <w:pPr>
        <w:spacing w:before="210" w:line="219" w:lineRule="auto"/>
        <w:jc w:val="left"/>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九、项目管理机构……………………………………………………………（页码）</w:t>
      </w:r>
    </w:p>
    <w:p w14:paraId="35C86A12">
      <w:pPr>
        <w:spacing w:before="213" w:line="219" w:lineRule="auto"/>
        <w:jc w:val="left"/>
        <w:rPr>
          <w:rFonts w:ascii="宋体" w:hAnsi="宋体" w:eastAsia="宋体" w:cs="宋体"/>
          <w:color w:val="auto"/>
          <w:sz w:val="20"/>
          <w:szCs w:val="20"/>
          <w:highlight w:val="none"/>
        </w:rPr>
      </w:pPr>
      <w:r>
        <w:rPr>
          <w:rFonts w:ascii="宋体" w:hAnsi="宋体" w:eastAsia="宋体" w:cs="宋体"/>
          <w:color w:val="auto"/>
          <w:sz w:val="20"/>
          <w:szCs w:val="20"/>
          <w:highlight w:val="none"/>
        </w:rPr>
        <w:t>十、建设工程项目管理承诺书…………………</w:t>
      </w:r>
      <w:r>
        <w:rPr>
          <w:rFonts w:ascii="宋体" w:hAnsi="宋体" w:eastAsia="宋体" w:cs="宋体"/>
          <w:color w:val="auto"/>
          <w:spacing w:val="-1"/>
          <w:sz w:val="20"/>
          <w:szCs w:val="20"/>
          <w:highlight w:val="none"/>
        </w:rPr>
        <w:t>……………………（页码）</w:t>
      </w:r>
    </w:p>
    <w:p w14:paraId="01B64FE9">
      <w:pPr>
        <w:spacing w:before="212" w:line="219" w:lineRule="auto"/>
        <w:jc w:val="left"/>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十一、供应商认为需要提供的其他有关资料………………………………（页码）</w:t>
      </w:r>
    </w:p>
    <w:p w14:paraId="759A4B16">
      <w:pPr>
        <w:pStyle w:val="6"/>
        <w:spacing w:line="312" w:lineRule="auto"/>
        <w:jc w:val="left"/>
        <w:rPr>
          <w:color w:val="auto"/>
          <w:sz w:val="20"/>
          <w:szCs w:val="20"/>
          <w:highlight w:val="none"/>
        </w:rPr>
      </w:pPr>
    </w:p>
    <w:p w14:paraId="1B47E5ED">
      <w:pPr>
        <w:pStyle w:val="6"/>
        <w:spacing w:line="312" w:lineRule="auto"/>
        <w:jc w:val="left"/>
        <w:rPr>
          <w:color w:val="auto"/>
          <w:sz w:val="20"/>
          <w:szCs w:val="20"/>
          <w:highlight w:val="none"/>
        </w:rPr>
      </w:pPr>
    </w:p>
    <w:p w14:paraId="5BFD07A8">
      <w:pPr>
        <w:spacing w:before="78" w:line="386" w:lineRule="auto"/>
        <w:ind w:left="3" w:right="99" w:hanging="3"/>
        <w:jc w:val="left"/>
        <w:rPr>
          <w:rFonts w:ascii="宋体" w:hAnsi="宋体" w:eastAsia="宋体" w:cs="宋体"/>
          <w:color w:val="auto"/>
          <w:sz w:val="20"/>
          <w:szCs w:val="20"/>
          <w:highlight w:val="none"/>
        </w:rPr>
      </w:pPr>
      <w:r>
        <w:rPr>
          <w:rFonts w:ascii="宋体" w:hAnsi="宋体" w:eastAsia="宋体" w:cs="宋体"/>
          <w:b/>
          <w:bCs/>
          <w:color w:val="auto"/>
          <w:sz w:val="20"/>
          <w:szCs w:val="20"/>
          <w:highlight w:val="none"/>
        </w:rPr>
        <w:t>注：以上目录是编制供应商响应文件的基本格式要求，各供</w:t>
      </w:r>
      <w:r>
        <w:rPr>
          <w:rFonts w:ascii="宋体" w:hAnsi="宋体" w:eastAsia="宋体" w:cs="宋体"/>
          <w:b/>
          <w:bCs/>
          <w:color w:val="auto"/>
          <w:spacing w:val="-1"/>
          <w:sz w:val="20"/>
          <w:szCs w:val="20"/>
          <w:highlight w:val="none"/>
        </w:rPr>
        <w:t>应商可根据自身情况进</w:t>
      </w:r>
      <w:r>
        <w:rPr>
          <w:rFonts w:ascii="宋体" w:hAnsi="宋体" w:eastAsia="宋体" w:cs="宋体"/>
          <w:color w:val="auto"/>
          <w:sz w:val="20"/>
          <w:szCs w:val="20"/>
          <w:highlight w:val="none"/>
        </w:rPr>
        <w:t xml:space="preserve"> </w:t>
      </w:r>
      <w:r>
        <w:rPr>
          <w:rFonts w:ascii="宋体" w:hAnsi="宋体" w:eastAsia="宋体" w:cs="宋体"/>
          <w:b/>
          <w:bCs/>
          <w:color w:val="auto"/>
          <w:spacing w:val="-3"/>
          <w:sz w:val="20"/>
          <w:szCs w:val="20"/>
          <w:highlight w:val="none"/>
        </w:rPr>
        <w:t>一步向下增加内容或细化。</w:t>
      </w:r>
    </w:p>
    <w:p w14:paraId="652BDB8E">
      <w:pPr>
        <w:spacing w:line="386" w:lineRule="auto"/>
        <w:rPr>
          <w:rFonts w:ascii="宋体" w:hAnsi="宋体" w:eastAsia="宋体" w:cs="宋体"/>
          <w:color w:val="auto"/>
          <w:sz w:val="24"/>
          <w:szCs w:val="24"/>
          <w:highlight w:val="none"/>
        </w:rPr>
        <w:sectPr>
          <w:footerReference r:id="rId52" w:type="default"/>
          <w:pgSz w:w="11905" w:h="16839"/>
          <w:pgMar w:top="400" w:right="1488" w:bottom="1079" w:left="1595" w:header="0" w:footer="843" w:gutter="0"/>
          <w:pgNumType w:fmt="decimal"/>
          <w:cols w:space="720" w:num="1"/>
        </w:sectPr>
      </w:pPr>
    </w:p>
    <w:p w14:paraId="4B5A8CFA">
      <w:pPr>
        <w:pStyle w:val="6"/>
        <w:spacing w:line="263" w:lineRule="auto"/>
        <w:rPr>
          <w:color w:val="auto"/>
          <w:highlight w:val="none"/>
        </w:rPr>
      </w:pPr>
    </w:p>
    <w:p w14:paraId="3E710CC2">
      <w:pPr>
        <w:pStyle w:val="6"/>
        <w:spacing w:line="264" w:lineRule="auto"/>
        <w:rPr>
          <w:color w:val="auto"/>
          <w:highlight w:val="none"/>
        </w:rPr>
      </w:pPr>
    </w:p>
    <w:p w14:paraId="6E9B2D1B">
      <w:pPr>
        <w:pStyle w:val="6"/>
        <w:spacing w:line="264" w:lineRule="auto"/>
        <w:rPr>
          <w:color w:val="auto"/>
          <w:highlight w:val="none"/>
        </w:rPr>
      </w:pPr>
    </w:p>
    <w:p w14:paraId="77257F15">
      <w:pPr>
        <w:spacing w:before="97" w:line="220" w:lineRule="auto"/>
        <w:ind w:left="8"/>
        <w:rPr>
          <w:rFonts w:ascii="宋体" w:hAnsi="宋体" w:eastAsia="宋体" w:cs="宋体"/>
          <w:color w:val="auto"/>
          <w:sz w:val="30"/>
          <w:szCs w:val="30"/>
          <w:highlight w:val="none"/>
        </w:rPr>
      </w:pPr>
      <w:r>
        <w:rPr>
          <w:rFonts w:ascii="宋体" w:hAnsi="宋体" w:eastAsia="宋体" w:cs="宋体"/>
          <w:b/>
          <w:bCs/>
          <w:color w:val="auto"/>
          <w:spacing w:val="-4"/>
          <w:sz w:val="30"/>
          <w:szCs w:val="30"/>
          <w:highlight w:val="none"/>
        </w:rPr>
        <w:t>一、无串通竞标行为的承诺函</w:t>
      </w:r>
    </w:p>
    <w:p w14:paraId="42298285">
      <w:pPr>
        <w:pStyle w:val="6"/>
        <w:spacing w:line="290" w:lineRule="auto"/>
        <w:rPr>
          <w:color w:val="auto"/>
          <w:highlight w:val="none"/>
        </w:rPr>
      </w:pPr>
    </w:p>
    <w:p w14:paraId="2C69F219">
      <w:pPr>
        <w:pStyle w:val="6"/>
        <w:spacing w:line="290" w:lineRule="auto"/>
        <w:rPr>
          <w:color w:val="auto"/>
          <w:highlight w:val="none"/>
        </w:rPr>
      </w:pPr>
    </w:p>
    <w:p w14:paraId="003A48DE">
      <w:pPr>
        <w:spacing w:before="98" w:line="220" w:lineRule="auto"/>
        <w:ind w:left="2715"/>
        <w:rPr>
          <w:rFonts w:ascii="宋体" w:hAnsi="宋体" w:eastAsia="宋体" w:cs="宋体"/>
          <w:color w:val="auto"/>
          <w:sz w:val="20"/>
          <w:szCs w:val="20"/>
          <w:highlight w:val="none"/>
        </w:rPr>
      </w:pPr>
      <w:r>
        <w:rPr>
          <w:rFonts w:ascii="宋体" w:hAnsi="宋体" w:eastAsia="宋体" w:cs="宋体"/>
          <w:b/>
          <w:bCs/>
          <w:color w:val="auto"/>
          <w:spacing w:val="-4"/>
          <w:sz w:val="20"/>
          <w:szCs w:val="20"/>
          <w:highlight w:val="none"/>
        </w:rPr>
        <w:t>无串通竞标行为的承诺函</w:t>
      </w:r>
    </w:p>
    <w:p w14:paraId="2281A3CF">
      <w:pPr>
        <w:spacing w:before="315" w:line="220" w:lineRule="auto"/>
        <w:ind w:left="484"/>
        <w:rPr>
          <w:rFonts w:ascii="宋体" w:hAnsi="宋体" w:eastAsia="宋体" w:cs="宋体"/>
          <w:color w:val="auto"/>
          <w:sz w:val="20"/>
          <w:szCs w:val="20"/>
          <w:highlight w:val="none"/>
        </w:rPr>
      </w:pPr>
      <w:r>
        <w:rPr>
          <w:rFonts w:ascii="宋体" w:hAnsi="宋体" w:eastAsia="宋体" w:cs="宋体"/>
          <w:b/>
          <w:bCs/>
          <w:color w:val="auto"/>
          <w:spacing w:val="-3"/>
          <w:sz w:val="20"/>
          <w:szCs w:val="20"/>
          <w:highlight w:val="none"/>
        </w:rPr>
        <w:t>一、我方承诺无下列相互串通竞标的情形：</w:t>
      </w:r>
    </w:p>
    <w:p w14:paraId="3A3EDFD6">
      <w:pPr>
        <w:spacing w:before="154" w:line="299" w:lineRule="auto"/>
        <w:ind w:right="63" w:firstLine="497"/>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1.不同供应商的响应文件由同一单位或者个人</w:t>
      </w:r>
      <w:r>
        <w:rPr>
          <w:rFonts w:ascii="宋体" w:hAnsi="宋体" w:eastAsia="宋体" w:cs="宋体"/>
          <w:color w:val="auto"/>
          <w:spacing w:val="-2"/>
          <w:sz w:val="20"/>
          <w:szCs w:val="20"/>
          <w:highlight w:val="none"/>
        </w:rPr>
        <w:t>编制；或者不同供应商报名的</w:t>
      </w:r>
      <w:r>
        <w:rPr>
          <w:rFonts w:ascii="宋体" w:hAnsi="宋体" w:eastAsia="宋体" w:cs="宋体"/>
          <w:color w:val="auto"/>
          <w:spacing w:val="-38"/>
          <w:sz w:val="20"/>
          <w:szCs w:val="20"/>
          <w:highlight w:val="none"/>
        </w:rPr>
        <w:t xml:space="preserve"> </w:t>
      </w:r>
      <w:r>
        <w:rPr>
          <w:rFonts w:ascii="宋体" w:hAnsi="宋体" w:eastAsia="宋体" w:cs="宋体"/>
          <w:color w:val="auto"/>
          <w:spacing w:val="-2"/>
          <w:sz w:val="20"/>
          <w:szCs w:val="20"/>
          <w:highlight w:val="none"/>
        </w:rPr>
        <w:t>IP</w:t>
      </w:r>
      <w:r>
        <w:rPr>
          <w:rFonts w:ascii="宋体" w:hAnsi="宋体" w:eastAsia="宋体" w:cs="宋体"/>
          <w:color w:val="auto"/>
          <w:sz w:val="20"/>
          <w:szCs w:val="20"/>
          <w:highlight w:val="none"/>
        </w:rPr>
        <w:t xml:space="preserve"> </w:t>
      </w:r>
      <w:r>
        <w:rPr>
          <w:rFonts w:ascii="宋体" w:hAnsi="宋体" w:eastAsia="宋体" w:cs="宋体"/>
          <w:color w:val="auto"/>
          <w:spacing w:val="2"/>
          <w:sz w:val="20"/>
          <w:szCs w:val="20"/>
          <w:highlight w:val="none"/>
        </w:rPr>
        <w:t>地址一致的；或者编制响应文件硬件设备</w:t>
      </w:r>
      <w:r>
        <w:rPr>
          <w:rFonts w:ascii="宋体" w:hAnsi="宋体" w:eastAsia="宋体" w:cs="宋体"/>
          <w:color w:val="auto"/>
          <w:spacing w:val="-50"/>
          <w:sz w:val="20"/>
          <w:szCs w:val="20"/>
          <w:highlight w:val="none"/>
        </w:rPr>
        <w:t xml:space="preserve"> </w:t>
      </w:r>
      <w:r>
        <w:rPr>
          <w:rFonts w:ascii="宋体" w:hAnsi="宋体" w:eastAsia="宋体" w:cs="宋体"/>
          <w:color w:val="auto"/>
          <w:sz w:val="20"/>
          <w:szCs w:val="20"/>
          <w:highlight w:val="none"/>
        </w:rPr>
        <w:t>CPU</w:t>
      </w:r>
      <w:r>
        <w:rPr>
          <w:rFonts w:ascii="宋体" w:hAnsi="宋体" w:eastAsia="宋体" w:cs="宋体"/>
          <w:color w:val="auto"/>
          <w:spacing w:val="-47"/>
          <w:sz w:val="20"/>
          <w:szCs w:val="20"/>
          <w:highlight w:val="none"/>
        </w:rPr>
        <w:t xml:space="preserve"> </w:t>
      </w:r>
      <w:r>
        <w:rPr>
          <w:rFonts w:ascii="宋体" w:hAnsi="宋体" w:eastAsia="宋体" w:cs="宋体"/>
          <w:color w:val="auto"/>
          <w:spacing w:val="2"/>
          <w:sz w:val="20"/>
          <w:szCs w:val="20"/>
          <w:highlight w:val="none"/>
        </w:rPr>
        <w:t>编号、硬盘</w:t>
      </w:r>
      <w:r>
        <w:rPr>
          <w:rFonts w:ascii="宋体" w:hAnsi="宋体" w:eastAsia="宋体" w:cs="宋体"/>
          <w:color w:val="auto"/>
          <w:spacing w:val="1"/>
          <w:sz w:val="20"/>
          <w:szCs w:val="20"/>
          <w:highlight w:val="none"/>
        </w:rPr>
        <w:t>编号、网卡地址一致的情</w:t>
      </w:r>
      <w:r>
        <w:rPr>
          <w:rFonts w:ascii="宋体" w:hAnsi="宋体" w:eastAsia="宋体" w:cs="宋体"/>
          <w:color w:val="auto"/>
          <w:sz w:val="20"/>
          <w:szCs w:val="20"/>
          <w:highlight w:val="none"/>
        </w:rPr>
        <w:t xml:space="preserve"> </w:t>
      </w:r>
      <w:r>
        <w:rPr>
          <w:rFonts w:ascii="宋体" w:hAnsi="宋体" w:eastAsia="宋体" w:cs="宋体"/>
          <w:color w:val="auto"/>
          <w:spacing w:val="-5"/>
          <w:sz w:val="20"/>
          <w:szCs w:val="20"/>
          <w:highlight w:val="none"/>
        </w:rPr>
        <w:t>况。</w:t>
      </w:r>
    </w:p>
    <w:p w14:paraId="06F12061">
      <w:pPr>
        <w:spacing w:before="155" w:line="219" w:lineRule="auto"/>
        <w:ind w:left="483"/>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2.不同供应商委托同一单位或者个人办理竞标事宜；</w:t>
      </w:r>
    </w:p>
    <w:p w14:paraId="7850E76C">
      <w:pPr>
        <w:spacing w:before="155" w:line="219" w:lineRule="auto"/>
        <w:ind w:left="485"/>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3.不同的供应商的响应文件载明的项目管理员为同一个人；</w:t>
      </w:r>
    </w:p>
    <w:p w14:paraId="2089897F">
      <w:pPr>
        <w:spacing w:before="153" w:line="219" w:lineRule="auto"/>
        <w:ind w:left="480"/>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4.不同供应商的响应文件异常一致或者竞标报</w:t>
      </w:r>
      <w:r>
        <w:rPr>
          <w:rFonts w:ascii="宋体" w:hAnsi="宋体" w:eastAsia="宋体" w:cs="宋体"/>
          <w:color w:val="auto"/>
          <w:spacing w:val="-11"/>
          <w:sz w:val="20"/>
          <w:szCs w:val="20"/>
          <w:highlight w:val="none"/>
        </w:rPr>
        <w:t>价呈规律性差异；</w:t>
      </w:r>
    </w:p>
    <w:p w14:paraId="33DB9288">
      <w:pPr>
        <w:spacing w:before="158" w:line="219" w:lineRule="auto"/>
        <w:ind w:left="485"/>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5.不同供应商的响应文件相互混装；</w:t>
      </w:r>
    </w:p>
    <w:p w14:paraId="40D524A3">
      <w:pPr>
        <w:spacing w:before="154" w:line="219" w:lineRule="auto"/>
        <w:ind w:left="482"/>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6.不同供应商的竞标保证金从同一单位或者个人账户转出。</w:t>
      </w:r>
    </w:p>
    <w:p w14:paraId="3D487180">
      <w:pPr>
        <w:spacing w:before="155" w:line="220" w:lineRule="auto"/>
        <w:ind w:left="484"/>
        <w:rPr>
          <w:rFonts w:ascii="宋体" w:hAnsi="宋体" w:eastAsia="宋体" w:cs="宋体"/>
          <w:color w:val="auto"/>
          <w:sz w:val="20"/>
          <w:szCs w:val="20"/>
          <w:highlight w:val="none"/>
        </w:rPr>
      </w:pPr>
      <w:r>
        <w:rPr>
          <w:rFonts w:ascii="宋体" w:hAnsi="宋体" w:eastAsia="宋体" w:cs="宋体"/>
          <w:b/>
          <w:bCs/>
          <w:color w:val="auto"/>
          <w:spacing w:val="-3"/>
          <w:sz w:val="20"/>
          <w:szCs w:val="20"/>
          <w:highlight w:val="none"/>
        </w:rPr>
        <w:t>二、我方承诺无下列恶意串通的情形：</w:t>
      </w:r>
    </w:p>
    <w:p w14:paraId="4498F470">
      <w:pPr>
        <w:spacing w:before="155" w:line="279" w:lineRule="auto"/>
        <w:ind w:left="8" w:right="63" w:firstLine="490"/>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1.供应商直接或者间接从采购人或者采购代理机构处获得其</w:t>
      </w:r>
      <w:r>
        <w:rPr>
          <w:rFonts w:ascii="宋体" w:hAnsi="宋体" w:eastAsia="宋体" w:cs="宋体"/>
          <w:color w:val="auto"/>
          <w:spacing w:val="1"/>
          <w:sz w:val="20"/>
          <w:szCs w:val="20"/>
          <w:highlight w:val="none"/>
        </w:rPr>
        <w:t>他供应商的相关信</w:t>
      </w:r>
      <w:r>
        <w:rPr>
          <w:rFonts w:ascii="宋体" w:hAnsi="宋体" w:eastAsia="宋体" w:cs="宋体"/>
          <w:color w:val="auto"/>
          <w:sz w:val="20"/>
          <w:szCs w:val="20"/>
          <w:highlight w:val="none"/>
        </w:rPr>
        <w:t xml:space="preserve"> </w:t>
      </w:r>
      <w:r>
        <w:rPr>
          <w:rFonts w:ascii="宋体" w:hAnsi="宋体" w:eastAsia="宋体" w:cs="宋体"/>
          <w:color w:val="auto"/>
          <w:spacing w:val="-2"/>
          <w:sz w:val="20"/>
          <w:szCs w:val="20"/>
          <w:highlight w:val="none"/>
        </w:rPr>
        <w:t>息并修改其响应文件；</w:t>
      </w:r>
    </w:p>
    <w:p w14:paraId="64D95BCA">
      <w:pPr>
        <w:spacing w:before="154" w:line="219" w:lineRule="auto"/>
        <w:ind w:left="483"/>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2.供应商按照采购人或者采购代理机构的授意撤换、修改响应文件；</w:t>
      </w:r>
    </w:p>
    <w:p w14:paraId="172A0835">
      <w:pPr>
        <w:spacing w:before="156" w:line="219" w:lineRule="auto"/>
        <w:ind w:left="485"/>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3.供应商之间协商报价、技术方案等响应文件的实质性内容；</w:t>
      </w:r>
    </w:p>
    <w:p w14:paraId="2334A747">
      <w:pPr>
        <w:spacing w:before="153" w:line="279" w:lineRule="auto"/>
        <w:ind w:right="63" w:firstLine="480"/>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4.属于同一集团、协会、商会等组织成员的供应商按照该组织要求协同参加政</w:t>
      </w:r>
      <w:r>
        <w:rPr>
          <w:rFonts w:ascii="宋体" w:hAnsi="宋体" w:eastAsia="宋体" w:cs="宋体"/>
          <w:color w:val="auto"/>
          <w:spacing w:val="11"/>
          <w:sz w:val="20"/>
          <w:szCs w:val="20"/>
          <w:highlight w:val="none"/>
        </w:rPr>
        <w:t xml:space="preserve"> </w:t>
      </w:r>
      <w:r>
        <w:rPr>
          <w:rFonts w:ascii="宋体" w:hAnsi="宋体" w:eastAsia="宋体" w:cs="宋体"/>
          <w:color w:val="auto"/>
          <w:spacing w:val="-2"/>
          <w:sz w:val="20"/>
          <w:szCs w:val="20"/>
          <w:highlight w:val="none"/>
        </w:rPr>
        <w:t>府采购活动；</w:t>
      </w:r>
    </w:p>
    <w:p w14:paraId="1D3EDE71">
      <w:pPr>
        <w:spacing w:before="156" w:line="299" w:lineRule="auto"/>
        <w:ind w:right="63" w:firstLine="484"/>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5.供应商之间事先约定一致抬高或者压低竞</w:t>
      </w:r>
      <w:r>
        <w:rPr>
          <w:rFonts w:ascii="宋体" w:hAnsi="宋体" w:eastAsia="宋体" w:cs="宋体"/>
          <w:color w:val="auto"/>
          <w:spacing w:val="5"/>
          <w:sz w:val="20"/>
          <w:szCs w:val="20"/>
          <w:highlight w:val="none"/>
        </w:rPr>
        <w:t>标报价,或者在竞争性磋商项目中</w:t>
      </w:r>
      <w:r>
        <w:rPr>
          <w:rFonts w:ascii="宋体" w:hAnsi="宋体" w:eastAsia="宋体" w:cs="宋体"/>
          <w:color w:val="auto"/>
          <w:sz w:val="20"/>
          <w:szCs w:val="20"/>
          <w:highlight w:val="none"/>
        </w:rPr>
        <w:t xml:space="preserve"> </w:t>
      </w:r>
      <w:r>
        <w:rPr>
          <w:rFonts w:ascii="宋体" w:hAnsi="宋体" w:eastAsia="宋体" w:cs="宋体"/>
          <w:color w:val="auto"/>
          <w:spacing w:val="2"/>
          <w:sz w:val="20"/>
          <w:szCs w:val="20"/>
          <w:highlight w:val="none"/>
        </w:rPr>
        <w:t>事先约定轮流以高价位或者低价位成交,或者事先约定由某一特定供应商成交,然后</w:t>
      </w:r>
      <w:r>
        <w:rPr>
          <w:rFonts w:ascii="宋体" w:hAnsi="宋体" w:eastAsia="宋体" w:cs="宋体"/>
          <w:color w:val="auto"/>
          <w:spacing w:val="6"/>
          <w:sz w:val="20"/>
          <w:szCs w:val="20"/>
          <w:highlight w:val="none"/>
        </w:rPr>
        <w:t xml:space="preserve"> </w:t>
      </w:r>
      <w:r>
        <w:rPr>
          <w:rFonts w:ascii="宋体" w:hAnsi="宋体" w:eastAsia="宋体" w:cs="宋体"/>
          <w:color w:val="auto"/>
          <w:spacing w:val="-2"/>
          <w:sz w:val="20"/>
          <w:szCs w:val="20"/>
          <w:highlight w:val="none"/>
        </w:rPr>
        <w:t>再参加竞标；</w:t>
      </w:r>
    </w:p>
    <w:p w14:paraId="0CD94E1B">
      <w:pPr>
        <w:spacing w:before="155" w:line="219" w:lineRule="auto"/>
        <w:ind w:left="482"/>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6.供应商之间商定部分供应商放弃参加政府采购活动或者放弃成交；</w:t>
      </w:r>
    </w:p>
    <w:p w14:paraId="073B910F">
      <w:pPr>
        <w:spacing w:before="153" w:line="279" w:lineRule="auto"/>
        <w:ind w:left="2" w:right="51" w:firstLine="483"/>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7.供应商与采购人或者采购代理机构之间、供应商相互之间</w:t>
      </w:r>
      <w:r>
        <w:rPr>
          <w:rFonts w:ascii="宋体" w:hAnsi="宋体" w:eastAsia="宋体" w:cs="宋体"/>
          <w:color w:val="auto"/>
          <w:spacing w:val="-5"/>
          <w:sz w:val="20"/>
          <w:szCs w:val="20"/>
          <w:highlight w:val="none"/>
        </w:rPr>
        <w:t>，为谋求特定供应商</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rPr>
        <w:t>成交或者排斥其他供应商的其他串通行为。</w:t>
      </w:r>
    </w:p>
    <w:p w14:paraId="28C17E44">
      <w:pPr>
        <w:spacing w:before="156" w:line="340" w:lineRule="auto"/>
        <w:ind w:left="2" w:firstLine="505"/>
        <w:rPr>
          <w:rFonts w:ascii="宋体" w:hAnsi="宋体" w:eastAsia="宋体" w:cs="宋体"/>
          <w:color w:val="auto"/>
          <w:sz w:val="20"/>
          <w:szCs w:val="20"/>
          <w:highlight w:val="none"/>
        </w:rPr>
      </w:pPr>
      <w:r>
        <w:rPr>
          <w:rFonts w:ascii="宋体" w:hAnsi="宋体" w:eastAsia="宋体" w:cs="宋体"/>
          <w:b/>
          <w:bCs/>
          <w:color w:val="auto"/>
          <w:spacing w:val="-6"/>
          <w:sz w:val="20"/>
          <w:szCs w:val="20"/>
          <w:highlight w:val="none"/>
        </w:rPr>
        <w:t>以上情形一经核查属实，接受政府采购监管部门对我方认定存在围标串标行</w:t>
      </w:r>
      <w:r>
        <w:rPr>
          <w:rFonts w:ascii="宋体" w:hAnsi="宋体" w:eastAsia="宋体" w:cs="宋体"/>
          <w:b/>
          <w:bCs/>
          <w:color w:val="auto"/>
          <w:spacing w:val="-7"/>
          <w:sz w:val="20"/>
          <w:szCs w:val="20"/>
          <w:highlight w:val="none"/>
        </w:rPr>
        <w:t>为，</w:t>
      </w:r>
      <w:r>
        <w:rPr>
          <w:rFonts w:ascii="宋体" w:hAnsi="宋体" w:eastAsia="宋体" w:cs="宋体"/>
          <w:color w:val="auto"/>
          <w:sz w:val="20"/>
          <w:szCs w:val="20"/>
          <w:highlight w:val="none"/>
        </w:rPr>
        <w:t xml:space="preserve"> </w:t>
      </w:r>
      <w:r>
        <w:rPr>
          <w:rFonts w:ascii="宋体" w:hAnsi="宋体" w:eastAsia="宋体" w:cs="宋体"/>
          <w:b/>
          <w:bCs/>
          <w:color w:val="auto"/>
          <w:spacing w:val="-2"/>
          <w:sz w:val="20"/>
          <w:szCs w:val="20"/>
          <w:highlight w:val="none"/>
        </w:rPr>
        <w:t>我方愿意承担一切后果，并不再寻求任何旨在减轻或者免除法律责任的辩</w:t>
      </w:r>
      <w:r>
        <w:rPr>
          <w:rFonts w:ascii="宋体" w:hAnsi="宋体" w:eastAsia="宋体" w:cs="宋体"/>
          <w:b/>
          <w:bCs/>
          <w:color w:val="auto"/>
          <w:spacing w:val="-3"/>
          <w:sz w:val="20"/>
          <w:szCs w:val="20"/>
          <w:highlight w:val="none"/>
        </w:rPr>
        <w:t>解。</w:t>
      </w:r>
    </w:p>
    <w:p w14:paraId="5B6DE321">
      <w:pPr>
        <w:pStyle w:val="6"/>
        <w:spacing w:line="392" w:lineRule="auto"/>
        <w:rPr>
          <w:color w:val="auto"/>
          <w:sz w:val="20"/>
          <w:szCs w:val="20"/>
          <w:highlight w:val="none"/>
        </w:rPr>
      </w:pPr>
    </w:p>
    <w:p w14:paraId="3653C92F">
      <w:pPr>
        <w:spacing w:before="79" w:line="219" w:lineRule="auto"/>
        <w:ind w:left="4095"/>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29FC767C">
      <w:pPr>
        <w:spacing w:before="214" w:line="220" w:lineRule="auto"/>
        <w:ind w:right="12"/>
        <w:jc w:val="right"/>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日期：</w:t>
      </w:r>
      <w:r>
        <w:rPr>
          <w:rFonts w:ascii="宋体" w:hAnsi="宋体" w:eastAsia="宋体" w:cs="宋体"/>
          <w:color w:val="auto"/>
          <w:spacing w:val="102"/>
          <w:sz w:val="20"/>
          <w:szCs w:val="20"/>
          <w:highlight w:val="none"/>
        </w:rPr>
        <w:t xml:space="preserve"> </w:t>
      </w:r>
      <w:r>
        <w:rPr>
          <w:rFonts w:ascii="宋体" w:hAnsi="宋体" w:eastAsia="宋体" w:cs="宋体"/>
          <w:color w:val="auto"/>
          <w:spacing w:val="-13"/>
          <w:sz w:val="20"/>
          <w:szCs w:val="20"/>
          <w:highlight w:val="none"/>
        </w:rPr>
        <w:t>年</w:t>
      </w:r>
      <w:r>
        <w:rPr>
          <w:rFonts w:ascii="宋体" w:hAnsi="宋体" w:eastAsia="宋体" w:cs="宋体"/>
          <w:color w:val="auto"/>
          <w:spacing w:val="7"/>
          <w:sz w:val="20"/>
          <w:szCs w:val="20"/>
          <w:highlight w:val="none"/>
        </w:rPr>
        <w:t xml:space="preserve">  </w:t>
      </w:r>
      <w:r>
        <w:rPr>
          <w:rFonts w:ascii="宋体" w:hAnsi="宋体" w:eastAsia="宋体" w:cs="宋体"/>
          <w:color w:val="auto"/>
          <w:spacing w:val="-13"/>
          <w:sz w:val="20"/>
          <w:szCs w:val="20"/>
          <w:highlight w:val="none"/>
        </w:rPr>
        <w:t>月</w:t>
      </w:r>
      <w:r>
        <w:rPr>
          <w:rFonts w:ascii="宋体" w:hAnsi="宋体" w:eastAsia="宋体" w:cs="宋体"/>
          <w:color w:val="auto"/>
          <w:spacing w:val="17"/>
          <w:sz w:val="20"/>
          <w:szCs w:val="20"/>
          <w:highlight w:val="none"/>
        </w:rPr>
        <w:t xml:space="preserve">   </w:t>
      </w:r>
      <w:r>
        <w:rPr>
          <w:rFonts w:ascii="宋体" w:hAnsi="宋体" w:eastAsia="宋体" w:cs="宋体"/>
          <w:color w:val="auto"/>
          <w:spacing w:val="-13"/>
          <w:sz w:val="20"/>
          <w:szCs w:val="20"/>
          <w:highlight w:val="none"/>
        </w:rPr>
        <w:t>日</w:t>
      </w:r>
    </w:p>
    <w:p w14:paraId="145F4C8C">
      <w:pPr>
        <w:spacing w:line="220" w:lineRule="auto"/>
        <w:rPr>
          <w:rFonts w:ascii="宋体" w:hAnsi="宋体" w:eastAsia="宋体" w:cs="宋体"/>
          <w:color w:val="auto"/>
          <w:sz w:val="24"/>
          <w:szCs w:val="24"/>
          <w:highlight w:val="none"/>
        </w:rPr>
        <w:sectPr>
          <w:footerReference r:id="rId53" w:type="default"/>
          <w:pgSz w:w="11905" w:h="16839"/>
          <w:pgMar w:top="400" w:right="1524" w:bottom="1019" w:left="1594" w:header="0" w:footer="859" w:gutter="0"/>
          <w:pgNumType w:fmt="decimal"/>
          <w:cols w:space="720" w:num="1"/>
        </w:sectPr>
      </w:pPr>
    </w:p>
    <w:p w14:paraId="7E3AB10B">
      <w:pPr>
        <w:pStyle w:val="6"/>
        <w:spacing w:line="271" w:lineRule="auto"/>
        <w:rPr>
          <w:color w:val="auto"/>
          <w:highlight w:val="none"/>
        </w:rPr>
      </w:pPr>
    </w:p>
    <w:p w14:paraId="7B09B782">
      <w:pPr>
        <w:pStyle w:val="6"/>
        <w:spacing w:line="271" w:lineRule="auto"/>
        <w:rPr>
          <w:color w:val="auto"/>
          <w:highlight w:val="none"/>
        </w:rPr>
      </w:pPr>
    </w:p>
    <w:p w14:paraId="6D5DAF93">
      <w:pPr>
        <w:pStyle w:val="6"/>
        <w:spacing w:line="271" w:lineRule="auto"/>
        <w:rPr>
          <w:color w:val="auto"/>
          <w:highlight w:val="none"/>
        </w:rPr>
      </w:pPr>
    </w:p>
    <w:p w14:paraId="647032E5">
      <w:pPr>
        <w:spacing w:before="97" w:line="219" w:lineRule="auto"/>
        <w:jc w:val="right"/>
        <w:rPr>
          <w:rFonts w:ascii="宋体" w:hAnsi="宋体" w:eastAsia="宋体" w:cs="宋体"/>
          <w:color w:val="auto"/>
          <w:sz w:val="30"/>
          <w:szCs w:val="30"/>
          <w:highlight w:val="none"/>
        </w:rPr>
      </w:pPr>
      <w:r>
        <w:rPr>
          <w:rFonts w:ascii="宋体" w:hAnsi="宋体" w:eastAsia="宋体" w:cs="宋体"/>
          <w:b/>
          <w:bCs/>
          <w:color w:val="auto"/>
          <w:spacing w:val="-3"/>
          <w:sz w:val="30"/>
          <w:szCs w:val="30"/>
          <w:highlight w:val="none"/>
        </w:rPr>
        <w:t>二、法定代表人身份证明书及法定代表人有效身份证正反面复印件</w:t>
      </w:r>
    </w:p>
    <w:p w14:paraId="47A58E23">
      <w:pPr>
        <w:pStyle w:val="6"/>
        <w:spacing w:line="340" w:lineRule="auto"/>
        <w:rPr>
          <w:color w:val="auto"/>
          <w:highlight w:val="none"/>
        </w:rPr>
      </w:pPr>
    </w:p>
    <w:p w14:paraId="45CD59C2">
      <w:pPr>
        <w:pStyle w:val="6"/>
        <w:spacing w:line="341" w:lineRule="auto"/>
        <w:rPr>
          <w:color w:val="auto"/>
          <w:highlight w:val="none"/>
        </w:rPr>
      </w:pPr>
    </w:p>
    <w:p w14:paraId="3C15B0C8">
      <w:pPr>
        <w:spacing w:before="100" w:line="225" w:lineRule="auto"/>
        <w:ind w:left="3085"/>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法定代表人证明书</w:t>
      </w:r>
    </w:p>
    <w:p w14:paraId="4124B7DA">
      <w:pPr>
        <w:pStyle w:val="6"/>
        <w:spacing w:line="355" w:lineRule="auto"/>
        <w:rPr>
          <w:color w:val="auto"/>
          <w:highlight w:val="none"/>
        </w:rPr>
      </w:pPr>
    </w:p>
    <w:p w14:paraId="302293D0">
      <w:pPr>
        <w:pStyle w:val="6"/>
        <w:spacing w:line="355" w:lineRule="auto"/>
        <w:rPr>
          <w:color w:val="auto"/>
          <w:sz w:val="20"/>
          <w:szCs w:val="20"/>
          <w:highlight w:val="none"/>
        </w:rPr>
      </w:pPr>
    </w:p>
    <w:p w14:paraId="1D54FED6">
      <w:pPr>
        <w:spacing w:before="78" w:line="219" w:lineRule="auto"/>
        <w:ind w:left="540"/>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供应商名称：</w:t>
      </w:r>
      <w:r>
        <w:rPr>
          <w:rFonts w:ascii="宋体" w:hAnsi="宋体" w:eastAsia="宋体" w:cs="宋体"/>
          <w:color w:val="auto"/>
          <w:sz w:val="20"/>
          <w:szCs w:val="20"/>
          <w:highlight w:val="none"/>
          <w:u w:val="single" w:color="auto"/>
        </w:rPr>
        <w:t xml:space="preserve">                                         </w:t>
      </w:r>
    </w:p>
    <w:p w14:paraId="19834D83">
      <w:pPr>
        <w:spacing w:before="209" w:line="229" w:lineRule="auto"/>
        <w:ind w:left="540"/>
        <w:rPr>
          <w:rFonts w:ascii="宋体" w:hAnsi="宋体" w:eastAsia="宋体" w:cs="宋体"/>
          <w:color w:val="auto"/>
          <w:sz w:val="20"/>
          <w:szCs w:val="20"/>
          <w:highlight w:val="none"/>
        </w:rPr>
      </w:pPr>
      <w:r>
        <w:rPr>
          <w:rFonts w:ascii="宋体" w:hAnsi="宋体" w:eastAsia="宋体" w:cs="宋体"/>
          <w:color w:val="auto"/>
          <w:spacing w:val="-17"/>
          <w:sz w:val="20"/>
          <w:szCs w:val="20"/>
          <w:highlight w:val="none"/>
        </w:rPr>
        <w:t>地</w:t>
      </w:r>
      <w:r>
        <w:rPr>
          <w:rFonts w:ascii="宋体" w:hAnsi="宋体" w:eastAsia="宋体" w:cs="宋体"/>
          <w:color w:val="auto"/>
          <w:spacing w:val="2"/>
          <w:sz w:val="20"/>
          <w:szCs w:val="20"/>
          <w:highlight w:val="none"/>
        </w:rPr>
        <w:t xml:space="preserve">    </w:t>
      </w:r>
      <w:r>
        <w:rPr>
          <w:rFonts w:ascii="宋体" w:hAnsi="宋体" w:eastAsia="宋体" w:cs="宋体"/>
          <w:color w:val="auto"/>
          <w:spacing w:val="-17"/>
          <w:sz w:val="20"/>
          <w:szCs w:val="20"/>
          <w:highlight w:val="none"/>
        </w:rPr>
        <w:t>址</w:t>
      </w:r>
      <w:r>
        <w:rPr>
          <w:rFonts w:ascii="宋体" w:hAnsi="宋体" w:eastAsia="宋体" w:cs="宋体"/>
          <w:color w:val="auto"/>
          <w:spacing w:val="-88"/>
          <w:sz w:val="20"/>
          <w:szCs w:val="20"/>
          <w:highlight w:val="none"/>
        </w:rPr>
        <w:t xml:space="preserve"> </w:t>
      </w:r>
      <w:r>
        <w:rPr>
          <w:rFonts w:ascii="宋体" w:hAnsi="宋体" w:eastAsia="宋体" w:cs="宋体"/>
          <w:color w:val="auto"/>
          <w:spacing w:val="-17"/>
          <w:sz w:val="20"/>
          <w:szCs w:val="20"/>
          <w:highlight w:val="none"/>
        </w:rPr>
        <w:t>：</w:t>
      </w:r>
      <w:r>
        <w:rPr>
          <w:rFonts w:ascii="宋体" w:hAnsi="宋体" w:eastAsia="宋体" w:cs="宋体"/>
          <w:color w:val="auto"/>
          <w:sz w:val="20"/>
          <w:szCs w:val="20"/>
          <w:highlight w:val="none"/>
          <w:u w:val="single" w:color="auto"/>
        </w:rPr>
        <w:t xml:space="preserve">                                           </w:t>
      </w:r>
    </w:p>
    <w:p w14:paraId="5DC2AE12">
      <w:pPr>
        <w:spacing w:before="199" w:line="220" w:lineRule="auto"/>
        <w:ind w:left="540"/>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姓</w:t>
      </w:r>
      <w:r>
        <w:rPr>
          <w:rFonts w:ascii="宋体" w:hAnsi="宋体" w:eastAsia="宋体" w:cs="宋体"/>
          <w:color w:val="auto"/>
          <w:spacing w:val="4"/>
          <w:sz w:val="20"/>
          <w:szCs w:val="20"/>
          <w:highlight w:val="none"/>
        </w:rPr>
        <w:t xml:space="preserve">    </w:t>
      </w:r>
      <w:r>
        <w:rPr>
          <w:rFonts w:ascii="宋体" w:hAnsi="宋体" w:eastAsia="宋体" w:cs="宋体"/>
          <w:color w:val="auto"/>
          <w:spacing w:val="-10"/>
          <w:sz w:val="20"/>
          <w:szCs w:val="20"/>
          <w:highlight w:val="none"/>
        </w:rPr>
        <w:t>名</w:t>
      </w:r>
      <w:r>
        <w:rPr>
          <w:rFonts w:ascii="宋体" w:hAnsi="宋体" w:eastAsia="宋体" w:cs="宋体"/>
          <w:color w:val="auto"/>
          <w:spacing w:val="-89"/>
          <w:sz w:val="20"/>
          <w:szCs w:val="20"/>
          <w:highlight w:val="none"/>
        </w:rPr>
        <w:t xml:space="preserve"> </w:t>
      </w:r>
      <w:r>
        <w:rPr>
          <w:rFonts w:ascii="宋体" w:hAnsi="宋体" w:eastAsia="宋体" w:cs="宋体"/>
          <w:color w:val="auto"/>
          <w:spacing w:val="-10"/>
          <w:sz w:val="20"/>
          <w:szCs w:val="20"/>
          <w:highlight w:val="none"/>
        </w:rPr>
        <w:t>：</w:t>
      </w:r>
      <w:r>
        <w:rPr>
          <w:rFonts w:ascii="宋体" w:hAnsi="宋体" w:eastAsia="宋体" w:cs="宋体"/>
          <w:color w:val="auto"/>
          <w:spacing w:val="-10"/>
          <w:sz w:val="20"/>
          <w:szCs w:val="20"/>
          <w:highlight w:val="none"/>
          <w:u w:val="single" w:color="auto"/>
        </w:rPr>
        <w:t xml:space="preserve">                 </w:t>
      </w:r>
      <w:r>
        <w:rPr>
          <w:rFonts w:ascii="宋体" w:hAnsi="宋体" w:eastAsia="宋体" w:cs="宋体"/>
          <w:color w:val="auto"/>
          <w:spacing w:val="-110"/>
          <w:sz w:val="20"/>
          <w:szCs w:val="20"/>
          <w:highlight w:val="none"/>
        </w:rPr>
        <w:t xml:space="preserve"> </w:t>
      </w:r>
      <w:r>
        <w:rPr>
          <w:rFonts w:ascii="宋体" w:hAnsi="宋体" w:eastAsia="宋体" w:cs="宋体"/>
          <w:color w:val="auto"/>
          <w:spacing w:val="-10"/>
          <w:sz w:val="20"/>
          <w:szCs w:val="20"/>
          <w:highlight w:val="none"/>
        </w:rPr>
        <w:t>性</w:t>
      </w:r>
      <w:r>
        <w:rPr>
          <w:rFonts w:ascii="宋体" w:hAnsi="宋体" w:eastAsia="宋体" w:cs="宋体"/>
          <w:color w:val="auto"/>
          <w:spacing w:val="3"/>
          <w:sz w:val="20"/>
          <w:szCs w:val="20"/>
          <w:highlight w:val="none"/>
        </w:rPr>
        <w:t xml:space="preserve">    </w:t>
      </w:r>
      <w:r>
        <w:rPr>
          <w:rFonts w:ascii="宋体" w:hAnsi="宋体" w:eastAsia="宋体" w:cs="宋体"/>
          <w:color w:val="auto"/>
          <w:spacing w:val="-10"/>
          <w:sz w:val="20"/>
          <w:szCs w:val="20"/>
          <w:highlight w:val="none"/>
        </w:rPr>
        <w:t>别</w:t>
      </w:r>
      <w:r>
        <w:rPr>
          <w:rFonts w:ascii="宋体" w:hAnsi="宋体" w:eastAsia="宋体" w:cs="宋体"/>
          <w:color w:val="auto"/>
          <w:spacing w:val="-90"/>
          <w:sz w:val="20"/>
          <w:szCs w:val="20"/>
          <w:highlight w:val="none"/>
        </w:rPr>
        <w:t xml:space="preserve"> </w:t>
      </w:r>
      <w:r>
        <w:rPr>
          <w:rFonts w:ascii="宋体" w:hAnsi="宋体" w:eastAsia="宋体" w:cs="宋体"/>
          <w:color w:val="auto"/>
          <w:spacing w:val="-10"/>
          <w:sz w:val="20"/>
          <w:szCs w:val="20"/>
          <w:highlight w:val="none"/>
        </w:rPr>
        <w:t>：</w:t>
      </w:r>
      <w:r>
        <w:rPr>
          <w:rFonts w:ascii="宋体" w:hAnsi="宋体" w:eastAsia="宋体" w:cs="宋体"/>
          <w:color w:val="auto"/>
          <w:sz w:val="20"/>
          <w:szCs w:val="20"/>
          <w:highlight w:val="none"/>
          <w:u w:val="single" w:color="auto"/>
        </w:rPr>
        <w:t xml:space="preserve">                 </w:t>
      </w:r>
    </w:p>
    <w:p w14:paraId="59E9E172">
      <w:pPr>
        <w:spacing w:before="211" w:line="220" w:lineRule="auto"/>
        <w:ind w:left="540"/>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年</w:t>
      </w:r>
      <w:r>
        <w:rPr>
          <w:rFonts w:ascii="宋体" w:hAnsi="宋体" w:eastAsia="宋体" w:cs="宋体"/>
          <w:color w:val="auto"/>
          <w:spacing w:val="4"/>
          <w:sz w:val="20"/>
          <w:szCs w:val="20"/>
          <w:highlight w:val="none"/>
        </w:rPr>
        <w:t xml:space="preserve">    </w:t>
      </w:r>
      <w:r>
        <w:rPr>
          <w:rFonts w:ascii="宋体" w:hAnsi="宋体" w:eastAsia="宋体" w:cs="宋体"/>
          <w:color w:val="auto"/>
          <w:spacing w:val="-10"/>
          <w:sz w:val="20"/>
          <w:szCs w:val="20"/>
          <w:highlight w:val="none"/>
        </w:rPr>
        <w:t>龄</w:t>
      </w:r>
      <w:r>
        <w:rPr>
          <w:rFonts w:ascii="宋体" w:hAnsi="宋体" w:eastAsia="宋体" w:cs="宋体"/>
          <w:color w:val="auto"/>
          <w:spacing w:val="-90"/>
          <w:sz w:val="20"/>
          <w:szCs w:val="20"/>
          <w:highlight w:val="none"/>
        </w:rPr>
        <w:t xml:space="preserve"> </w:t>
      </w:r>
      <w:r>
        <w:rPr>
          <w:rFonts w:ascii="宋体" w:hAnsi="宋体" w:eastAsia="宋体" w:cs="宋体"/>
          <w:color w:val="auto"/>
          <w:spacing w:val="-10"/>
          <w:sz w:val="20"/>
          <w:szCs w:val="20"/>
          <w:highlight w:val="none"/>
        </w:rPr>
        <w:t>：</w:t>
      </w:r>
      <w:r>
        <w:rPr>
          <w:rFonts w:ascii="宋体" w:hAnsi="宋体" w:eastAsia="宋体" w:cs="宋体"/>
          <w:color w:val="auto"/>
          <w:spacing w:val="-10"/>
          <w:sz w:val="20"/>
          <w:szCs w:val="20"/>
          <w:highlight w:val="none"/>
          <w:u w:val="single" w:color="auto"/>
        </w:rPr>
        <w:t xml:space="preserve">                 </w:t>
      </w:r>
      <w:r>
        <w:rPr>
          <w:rFonts w:ascii="宋体" w:hAnsi="宋体" w:eastAsia="宋体" w:cs="宋体"/>
          <w:color w:val="auto"/>
          <w:spacing w:val="-109"/>
          <w:sz w:val="20"/>
          <w:szCs w:val="20"/>
          <w:highlight w:val="none"/>
        </w:rPr>
        <w:t xml:space="preserve"> </w:t>
      </w:r>
      <w:r>
        <w:rPr>
          <w:rFonts w:ascii="宋体" w:hAnsi="宋体" w:eastAsia="宋体" w:cs="宋体"/>
          <w:color w:val="auto"/>
          <w:spacing w:val="-10"/>
          <w:sz w:val="20"/>
          <w:szCs w:val="20"/>
          <w:highlight w:val="none"/>
        </w:rPr>
        <w:t>职</w:t>
      </w:r>
      <w:r>
        <w:rPr>
          <w:rFonts w:ascii="宋体" w:hAnsi="宋体" w:eastAsia="宋体" w:cs="宋体"/>
          <w:color w:val="auto"/>
          <w:spacing w:val="2"/>
          <w:sz w:val="20"/>
          <w:szCs w:val="20"/>
          <w:highlight w:val="none"/>
        </w:rPr>
        <w:t xml:space="preserve">    </w:t>
      </w:r>
      <w:r>
        <w:rPr>
          <w:rFonts w:ascii="宋体" w:hAnsi="宋体" w:eastAsia="宋体" w:cs="宋体"/>
          <w:color w:val="auto"/>
          <w:spacing w:val="-10"/>
          <w:sz w:val="20"/>
          <w:szCs w:val="20"/>
          <w:highlight w:val="none"/>
        </w:rPr>
        <w:t>务</w:t>
      </w:r>
      <w:r>
        <w:rPr>
          <w:rFonts w:ascii="宋体" w:hAnsi="宋体" w:eastAsia="宋体" w:cs="宋体"/>
          <w:color w:val="auto"/>
          <w:spacing w:val="-87"/>
          <w:sz w:val="20"/>
          <w:szCs w:val="20"/>
          <w:highlight w:val="none"/>
        </w:rPr>
        <w:t xml:space="preserve"> </w:t>
      </w:r>
      <w:r>
        <w:rPr>
          <w:rFonts w:ascii="宋体" w:hAnsi="宋体" w:eastAsia="宋体" w:cs="宋体"/>
          <w:color w:val="auto"/>
          <w:spacing w:val="-10"/>
          <w:sz w:val="20"/>
          <w:szCs w:val="20"/>
          <w:highlight w:val="none"/>
        </w:rPr>
        <w:t>：</w:t>
      </w:r>
      <w:r>
        <w:rPr>
          <w:rFonts w:ascii="宋体" w:hAnsi="宋体" w:eastAsia="宋体" w:cs="宋体"/>
          <w:color w:val="auto"/>
          <w:sz w:val="20"/>
          <w:szCs w:val="20"/>
          <w:highlight w:val="none"/>
          <w:u w:val="single" w:color="auto"/>
        </w:rPr>
        <w:t xml:space="preserve">                 </w:t>
      </w:r>
    </w:p>
    <w:p w14:paraId="01A2F9CA">
      <w:pPr>
        <w:spacing w:before="210" w:line="220" w:lineRule="auto"/>
        <w:ind w:left="546"/>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身份证号码：</w:t>
      </w:r>
      <w:r>
        <w:rPr>
          <w:rFonts w:ascii="宋体" w:hAnsi="宋体" w:eastAsia="宋体" w:cs="宋体"/>
          <w:color w:val="auto"/>
          <w:sz w:val="20"/>
          <w:szCs w:val="20"/>
          <w:highlight w:val="none"/>
          <w:u w:val="single" w:color="auto"/>
        </w:rPr>
        <w:t xml:space="preserve">                                         </w:t>
      </w:r>
    </w:p>
    <w:p w14:paraId="36A7292F">
      <w:pPr>
        <w:spacing w:before="212" w:line="219" w:lineRule="auto"/>
        <w:ind w:left="484"/>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系</w:t>
      </w:r>
      <w:r>
        <w:rPr>
          <w:rFonts w:ascii="宋体" w:hAnsi="宋体" w:eastAsia="宋体" w:cs="宋体"/>
          <w:color w:val="auto"/>
          <w:spacing w:val="-3"/>
          <w:sz w:val="20"/>
          <w:szCs w:val="20"/>
          <w:highlight w:val="none"/>
          <w:u w:val="single" w:color="auto"/>
        </w:rPr>
        <w:t xml:space="preserve">（供应商名称） </w:t>
      </w:r>
      <w:r>
        <w:rPr>
          <w:rFonts w:ascii="宋体" w:hAnsi="宋体" w:eastAsia="宋体" w:cs="宋体"/>
          <w:color w:val="auto"/>
          <w:spacing w:val="-88"/>
          <w:sz w:val="20"/>
          <w:szCs w:val="20"/>
          <w:highlight w:val="none"/>
        </w:rPr>
        <w:t xml:space="preserve"> </w:t>
      </w:r>
      <w:r>
        <w:rPr>
          <w:rFonts w:ascii="宋体" w:hAnsi="宋体" w:eastAsia="宋体" w:cs="宋体"/>
          <w:color w:val="auto"/>
          <w:spacing w:val="-3"/>
          <w:sz w:val="20"/>
          <w:szCs w:val="20"/>
          <w:highlight w:val="none"/>
        </w:rPr>
        <w:t>的法定代表人。</w:t>
      </w:r>
    </w:p>
    <w:p w14:paraId="335D738E">
      <w:pPr>
        <w:spacing w:before="211" w:line="220" w:lineRule="auto"/>
        <w:ind w:left="540"/>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特此证明。</w:t>
      </w:r>
    </w:p>
    <w:p w14:paraId="30C375DE">
      <w:pPr>
        <w:pStyle w:val="6"/>
        <w:spacing w:line="313" w:lineRule="auto"/>
        <w:rPr>
          <w:color w:val="auto"/>
          <w:sz w:val="20"/>
          <w:szCs w:val="20"/>
          <w:highlight w:val="none"/>
        </w:rPr>
      </w:pPr>
    </w:p>
    <w:p w14:paraId="1325965A">
      <w:pPr>
        <w:pStyle w:val="6"/>
        <w:spacing w:line="313" w:lineRule="auto"/>
        <w:rPr>
          <w:color w:val="auto"/>
          <w:sz w:val="20"/>
          <w:szCs w:val="20"/>
          <w:highlight w:val="none"/>
        </w:rPr>
      </w:pPr>
    </w:p>
    <w:p w14:paraId="358ED141">
      <w:pPr>
        <w:spacing w:before="78" w:line="219" w:lineRule="auto"/>
        <w:ind w:left="558"/>
        <w:rPr>
          <w:rFonts w:ascii="宋体" w:hAnsi="宋体" w:eastAsia="宋体" w:cs="宋体"/>
          <w:color w:val="auto"/>
          <w:sz w:val="20"/>
          <w:szCs w:val="20"/>
          <w:highlight w:val="none"/>
        </w:rPr>
      </w:pPr>
      <w:r>
        <w:rPr>
          <w:color w:val="auto"/>
          <w:sz w:val="20"/>
          <w:szCs w:val="20"/>
          <w:highlight w:val="none"/>
        </w:rPr>
        <w:pict>
          <v:shape id="_x0000_s1028" o:spid="_x0000_s1028" o:spt="202" type="#_x0000_t202" style="position:absolute;left:0pt;margin-left:25.55pt;margin-top:26.1pt;height:91.4pt;width:179.25pt;z-index:251737088;mso-width-relative:page;mso-height-relative:page;" filled="f" stroked="f" coordsize="21600,21600">
            <v:path/>
            <v:fill on="f" focussize="0,0"/>
            <v:stroke on="f"/>
            <v:imagedata o:title=""/>
            <o:lock v:ext="edit" aspectratio="f"/>
            <v:textbox inset="0mm,0mm,0mm,0mm">
              <w:txbxContent>
                <w:p w14:paraId="4E194047">
                  <w:pPr>
                    <w:spacing w:line="20" w:lineRule="exact"/>
                  </w:pPr>
                </w:p>
                <w:tbl>
                  <w:tblPr>
                    <w:tblStyle w:val="19"/>
                    <w:tblW w:w="3534"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3534"/>
                  </w:tblGrid>
                  <w:tr w14:paraId="75AD424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767" w:hRule="atLeast"/>
                    </w:trPr>
                    <w:tc>
                      <w:tcPr>
                        <w:tcW w:w="3534" w:type="dxa"/>
                        <w:vAlign w:val="top"/>
                      </w:tcPr>
                      <w:p w14:paraId="5DD999CB">
                        <w:pPr>
                          <w:spacing w:line="373" w:lineRule="auto"/>
                          <w:rPr>
                            <w:rFonts w:ascii="Arial"/>
                            <w:sz w:val="21"/>
                          </w:rPr>
                        </w:pPr>
                      </w:p>
                      <w:p w14:paraId="3E60D931">
                        <w:pPr>
                          <w:pStyle w:val="20"/>
                          <w:spacing w:before="78" w:line="220" w:lineRule="auto"/>
                          <w:ind w:left="452"/>
                          <w:rPr>
                            <w:sz w:val="20"/>
                            <w:szCs w:val="20"/>
                          </w:rPr>
                        </w:pPr>
                        <w:r>
                          <w:rPr>
                            <w:spacing w:val="-1"/>
                            <w:sz w:val="24"/>
                            <w:szCs w:val="24"/>
                          </w:rPr>
                          <w:t>法</w:t>
                        </w:r>
                        <w:r>
                          <w:rPr>
                            <w:spacing w:val="-1"/>
                            <w:sz w:val="20"/>
                            <w:szCs w:val="20"/>
                          </w:rPr>
                          <w:t>定代表人身份证复印件</w:t>
                        </w:r>
                      </w:p>
                      <w:p w14:paraId="725BE4A6">
                        <w:pPr>
                          <w:pStyle w:val="20"/>
                          <w:spacing w:before="44" w:line="222" w:lineRule="auto"/>
                          <w:ind w:left="1303"/>
                          <w:rPr>
                            <w:sz w:val="24"/>
                            <w:szCs w:val="24"/>
                          </w:rPr>
                        </w:pPr>
                        <w:r>
                          <w:rPr>
                            <w:spacing w:val="-6"/>
                            <w:sz w:val="20"/>
                            <w:szCs w:val="20"/>
                          </w:rPr>
                          <w:t>（正面）</w:t>
                        </w:r>
                      </w:p>
                    </w:tc>
                  </w:tr>
                </w:tbl>
                <w:p w14:paraId="0A039B15">
                  <w:pPr>
                    <w:pStyle w:val="6"/>
                  </w:pPr>
                </w:p>
              </w:txbxContent>
            </v:textbox>
          </v:shape>
        </w:pict>
      </w:r>
      <w:r>
        <w:rPr>
          <w:rFonts w:ascii="宋体" w:hAnsi="宋体" w:eastAsia="宋体" w:cs="宋体"/>
          <w:color w:val="auto"/>
          <w:spacing w:val="-2"/>
          <w:sz w:val="20"/>
          <w:szCs w:val="20"/>
          <w:highlight w:val="none"/>
        </w:rPr>
        <w:t>附件：法定代表人有效身份证正反面复印件</w:t>
      </w:r>
    </w:p>
    <w:p w14:paraId="18382CE1">
      <w:pPr>
        <w:spacing w:line="180" w:lineRule="exact"/>
        <w:rPr>
          <w:color w:val="auto"/>
          <w:sz w:val="20"/>
          <w:szCs w:val="20"/>
          <w:highlight w:val="none"/>
        </w:rPr>
      </w:pPr>
    </w:p>
    <w:tbl>
      <w:tblPr>
        <w:tblStyle w:val="19"/>
        <w:tblW w:w="3534" w:type="dxa"/>
        <w:tblInd w:w="471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3534"/>
      </w:tblGrid>
      <w:tr w14:paraId="4BF0F7D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767" w:hRule="atLeast"/>
        </w:trPr>
        <w:tc>
          <w:tcPr>
            <w:tcW w:w="3534" w:type="dxa"/>
            <w:vAlign w:val="top"/>
          </w:tcPr>
          <w:p w14:paraId="603B1EBE">
            <w:pPr>
              <w:spacing w:line="373" w:lineRule="auto"/>
              <w:rPr>
                <w:rFonts w:ascii="Arial"/>
                <w:color w:val="auto"/>
                <w:sz w:val="20"/>
                <w:szCs w:val="20"/>
                <w:highlight w:val="none"/>
              </w:rPr>
            </w:pPr>
          </w:p>
          <w:p w14:paraId="0F4FE6B9">
            <w:pPr>
              <w:pStyle w:val="20"/>
              <w:spacing w:before="78" w:line="220" w:lineRule="auto"/>
              <w:ind w:left="452"/>
              <w:rPr>
                <w:color w:val="auto"/>
                <w:sz w:val="20"/>
                <w:szCs w:val="20"/>
                <w:highlight w:val="none"/>
              </w:rPr>
            </w:pPr>
            <w:r>
              <w:rPr>
                <w:color w:val="auto"/>
                <w:spacing w:val="-1"/>
                <w:sz w:val="20"/>
                <w:szCs w:val="20"/>
                <w:highlight w:val="none"/>
              </w:rPr>
              <w:t>法定代表人身份证复印件</w:t>
            </w:r>
          </w:p>
          <w:p w14:paraId="48CB388C">
            <w:pPr>
              <w:pStyle w:val="20"/>
              <w:spacing w:before="44" w:line="222" w:lineRule="auto"/>
              <w:ind w:left="1302"/>
              <w:rPr>
                <w:color w:val="auto"/>
                <w:sz w:val="20"/>
                <w:szCs w:val="20"/>
                <w:highlight w:val="none"/>
              </w:rPr>
            </w:pPr>
            <w:r>
              <w:rPr>
                <w:color w:val="auto"/>
                <w:spacing w:val="-6"/>
                <w:sz w:val="20"/>
                <w:szCs w:val="20"/>
                <w:highlight w:val="none"/>
              </w:rPr>
              <w:t>（反面）</w:t>
            </w:r>
          </w:p>
        </w:tc>
      </w:tr>
    </w:tbl>
    <w:p w14:paraId="6FE17D94">
      <w:pPr>
        <w:pStyle w:val="6"/>
        <w:spacing w:line="271" w:lineRule="auto"/>
        <w:rPr>
          <w:color w:val="auto"/>
          <w:sz w:val="20"/>
          <w:szCs w:val="20"/>
          <w:highlight w:val="none"/>
        </w:rPr>
      </w:pPr>
    </w:p>
    <w:p w14:paraId="705A1CF8">
      <w:pPr>
        <w:pStyle w:val="6"/>
        <w:spacing w:line="272" w:lineRule="auto"/>
        <w:rPr>
          <w:color w:val="auto"/>
          <w:sz w:val="20"/>
          <w:szCs w:val="20"/>
          <w:highlight w:val="none"/>
        </w:rPr>
      </w:pPr>
    </w:p>
    <w:p w14:paraId="15A5039E">
      <w:pPr>
        <w:pStyle w:val="6"/>
        <w:spacing w:line="272" w:lineRule="auto"/>
        <w:rPr>
          <w:color w:val="auto"/>
          <w:sz w:val="20"/>
          <w:szCs w:val="20"/>
          <w:highlight w:val="none"/>
        </w:rPr>
      </w:pPr>
    </w:p>
    <w:p w14:paraId="75686E01">
      <w:pPr>
        <w:pStyle w:val="6"/>
        <w:spacing w:line="272" w:lineRule="auto"/>
        <w:rPr>
          <w:color w:val="auto"/>
          <w:sz w:val="20"/>
          <w:szCs w:val="20"/>
          <w:highlight w:val="none"/>
        </w:rPr>
      </w:pPr>
    </w:p>
    <w:p w14:paraId="54568F24">
      <w:pPr>
        <w:pStyle w:val="6"/>
        <w:spacing w:line="272" w:lineRule="auto"/>
        <w:rPr>
          <w:color w:val="auto"/>
          <w:sz w:val="20"/>
          <w:szCs w:val="20"/>
          <w:highlight w:val="none"/>
        </w:rPr>
      </w:pPr>
    </w:p>
    <w:p w14:paraId="16D9F89C">
      <w:pPr>
        <w:pStyle w:val="6"/>
        <w:spacing w:line="272" w:lineRule="auto"/>
        <w:rPr>
          <w:color w:val="auto"/>
          <w:sz w:val="20"/>
          <w:szCs w:val="20"/>
          <w:highlight w:val="none"/>
        </w:rPr>
      </w:pPr>
    </w:p>
    <w:p w14:paraId="23DC144F">
      <w:pPr>
        <w:spacing w:before="79" w:line="219" w:lineRule="auto"/>
        <w:ind w:left="4094"/>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2F269D86">
      <w:pPr>
        <w:spacing w:before="209" w:line="220" w:lineRule="auto"/>
        <w:jc w:val="right"/>
        <w:rPr>
          <w:rFonts w:ascii="宋体" w:hAnsi="宋体" w:eastAsia="宋体" w:cs="宋体"/>
          <w:color w:val="auto"/>
          <w:sz w:val="20"/>
          <w:szCs w:val="20"/>
          <w:highlight w:val="none"/>
        </w:rPr>
      </w:pPr>
      <w:r>
        <w:rPr>
          <w:rFonts w:ascii="宋体" w:hAnsi="宋体" w:eastAsia="宋体" w:cs="宋体"/>
          <w:color w:val="auto"/>
          <w:spacing w:val="-17"/>
          <w:sz w:val="20"/>
          <w:szCs w:val="20"/>
          <w:highlight w:val="none"/>
        </w:rPr>
        <w:t>日期：   年</w:t>
      </w:r>
      <w:r>
        <w:rPr>
          <w:rFonts w:ascii="宋体" w:hAnsi="宋体" w:eastAsia="宋体" w:cs="宋体"/>
          <w:color w:val="auto"/>
          <w:spacing w:val="7"/>
          <w:sz w:val="20"/>
          <w:szCs w:val="20"/>
          <w:highlight w:val="none"/>
        </w:rPr>
        <w:t xml:space="preserve">   </w:t>
      </w:r>
      <w:r>
        <w:rPr>
          <w:rFonts w:ascii="宋体" w:hAnsi="宋体" w:eastAsia="宋体" w:cs="宋体"/>
          <w:color w:val="auto"/>
          <w:spacing w:val="-17"/>
          <w:sz w:val="20"/>
          <w:szCs w:val="20"/>
          <w:highlight w:val="none"/>
        </w:rPr>
        <w:t>月</w:t>
      </w:r>
      <w:r>
        <w:rPr>
          <w:rFonts w:ascii="宋体" w:hAnsi="宋体" w:eastAsia="宋体" w:cs="宋体"/>
          <w:color w:val="auto"/>
          <w:spacing w:val="17"/>
          <w:sz w:val="20"/>
          <w:szCs w:val="20"/>
          <w:highlight w:val="none"/>
        </w:rPr>
        <w:t xml:space="preserve">   </w:t>
      </w:r>
      <w:r>
        <w:rPr>
          <w:rFonts w:ascii="宋体" w:hAnsi="宋体" w:eastAsia="宋体" w:cs="宋体"/>
          <w:color w:val="auto"/>
          <w:spacing w:val="-17"/>
          <w:sz w:val="20"/>
          <w:szCs w:val="20"/>
          <w:highlight w:val="none"/>
        </w:rPr>
        <w:t>日</w:t>
      </w:r>
    </w:p>
    <w:p w14:paraId="7ECDF4BE">
      <w:pPr>
        <w:pStyle w:val="6"/>
        <w:spacing w:line="313" w:lineRule="auto"/>
        <w:rPr>
          <w:color w:val="auto"/>
          <w:sz w:val="20"/>
          <w:szCs w:val="20"/>
          <w:highlight w:val="none"/>
        </w:rPr>
      </w:pPr>
    </w:p>
    <w:p w14:paraId="3EEDEEE3">
      <w:pPr>
        <w:pStyle w:val="6"/>
        <w:spacing w:line="313" w:lineRule="auto"/>
        <w:rPr>
          <w:color w:val="auto"/>
          <w:sz w:val="20"/>
          <w:szCs w:val="20"/>
          <w:highlight w:val="none"/>
        </w:rPr>
      </w:pPr>
    </w:p>
    <w:p w14:paraId="25D50364">
      <w:pPr>
        <w:spacing w:before="78" w:line="219" w:lineRule="auto"/>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注：1.</w:t>
      </w:r>
      <w:r>
        <w:rPr>
          <w:rFonts w:ascii="宋体" w:hAnsi="宋体" w:eastAsia="宋体" w:cs="宋体"/>
          <w:color w:val="auto"/>
          <w:spacing w:val="-71"/>
          <w:sz w:val="20"/>
          <w:szCs w:val="20"/>
          <w:highlight w:val="none"/>
        </w:rPr>
        <w:t xml:space="preserve"> </w:t>
      </w:r>
      <w:r>
        <w:rPr>
          <w:rFonts w:ascii="宋体" w:hAnsi="宋体" w:eastAsia="宋体" w:cs="宋体"/>
          <w:color w:val="auto"/>
          <w:spacing w:val="-2"/>
          <w:sz w:val="20"/>
          <w:szCs w:val="20"/>
          <w:highlight w:val="none"/>
        </w:rPr>
        <w:t>自然人竞标的无需提供，联合体竞标的只需牵头人出</w:t>
      </w:r>
      <w:r>
        <w:rPr>
          <w:rFonts w:ascii="宋体" w:hAnsi="宋体" w:eastAsia="宋体" w:cs="宋体"/>
          <w:color w:val="auto"/>
          <w:spacing w:val="-3"/>
          <w:sz w:val="20"/>
          <w:szCs w:val="20"/>
          <w:highlight w:val="none"/>
        </w:rPr>
        <w:t>具。</w:t>
      </w:r>
    </w:p>
    <w:p w14:paraId="75FDC220">
      <w:pPr>
        <w:spacing w:before="213" w:line="383" w:lineRule="auto"/>
        <w:ind w:right="91" w:firstLine="481"/>
        <w:jc w:val="both"/>
        <w:rPr>
          <w:rFonts w:ascii="宋体" w:hAnsi="宋体" w:eastAsia="宋体" w:cs="宋体"/>
          <w:color w:val="auto"/>
          <w:sz w:val="20"/>
          <w:szCs w:val="20"/>
          <w:highlight w:val="none"/>
        </w:rPr>
      </w:pPr>
      <w:r>
        <w:rPr>
          <w:rFonts w:ascii="宋体" w:hAnsi="宋体" w:eastAsia="宋体" w:cs="宋体"/>
          <w:color w:val="auto"/>
          <w:sz w:val="20"/>
          <w:szCs w:val="20"/>
          <w:highlight w:val="none"/>
        </w:rPr>
        <w:t>2.供应商为其他组织或者自然人时，本磋商文</w:t>
      </w:r>
      <w:r>
        <w:rPr>
          <w:rFonts w:ascii="宋体" w:hAnsi="宋体" w:eastAsia="宋体" w:cs="宋体"/>
          <w:color w:val="auto"/>
          <w:spacing w:val="-1"/>
          <w:sz w:val="20"/>
          <w:szCs w:val="20"/>
          <w:highlight w:val="none"/>
        </w:rPr>
        <w:t>件规定的法定代表人指负责人或</w:t>
      </w:r>
      <w:r>
        <w:rPr>
          <w:rFonts w:ascii="宋体" w:hAnsi="宋体" w:eastAsia="宋体" w:cs="宋体"/>
          <w:color w:val="auto"/>
          <w:sz w:val="20"/>
          <w:szCs w:val="20"/>
          <w:highlight w:val="none"/>
        </w:rPr>
        <w:t xml:space="preserve"> 者自然人。本磋商文件所称负责人是指参加竞标的其他</w:t>
      </w:r>
      <w:r>
        <w:rPr>
          <w:rFonts w:ascii="宋体" w:hAnsi="宋体" w:eastAsia="宋体" w:cs="宋体"/>
          <w:color w:val="auto"/>
          <w:spacing w:val="-1"/>
          <w:sz w:val="20"/>
          <w:szCs w:val="20"/>
          <w:highlight w:val="none"/>
        </w:rPr>
        <w:t>组织营业执照上的负责人，</w:t>
      </w:r>
      <w:r>
        <w:rPr>
          <w:rFonts w:ascii="宋体" w:hAnsi="宋体" w:eastAsia="宋体" w:cs="宋体"/>
          <w:color w:val="auto"/>
          <w:sz w:val="20"/>
          <w:szCs w:val="20"/>
          <w:highlight w:val="none"/>
        </w:rPr>
        <w:t xml:space="preserve"> </w:t>
      </w:r>
      <w:r>
        <w:rPr>
          <w:rFonts w:ascii="宋体" w:hAnsi="宋体" w:eastAsia="宋体" w:cs="宋体"/>
          <w:color w:val="auto"/>
          <w:spacing w:val="-1"/>
          <w:sz w:val="20"/>
          <w:szCs w:val="20"/>
          <w:highlight w:val="none"/>
        </w:rPr>
        <w:t>本磋商文件所称自然人指参与竞标的自然人本人。</w:t>
      </w:r>
    </w:p>
    <w:p w14:paraId="354715C8">
      <w:pPr>
        <w:spacing w:line="383" w:lineRule="auto"/>
        <w:rPr>
          <w:rFonts w:ascii="宋体" w:hAnsi="宋体" w:eastAsia="宋体" w:cs="宋体"/>
          <w:color w:val="auto"/>
          <w:sz w:val="24"/>
          <w:szCs w:val="24"/>
          <w:highlight w:val="none"/>
        </w:rPr>
        <w:sectPr>
          <w:footerReference r:id="rId54" w:type="default"/>
          <w:pgSz w:w="11905" w:h="16839"/>
          <w:pgMar w:top="400" w:right="1587" w:bottom="1079" w:left="1595" w:header="0" w:footer="843" w:gutter="0"/>
          <w:pgNumType w:fmt="decimal"/>
          <w:cols w:space="720" w:num="1"/>
        </w:sectPr>
      </w:pPr>
    </w:p>
    <w:p w14:paraId="1C6F331C">
      <w:pPr>
        <w:pStyle w:val="6"/>
        <w:spacing w:line="264" w:lineRule="auto"/>
        <w:rPr>
          <w:color w:val="auto"/>
          <w:highlight w:val="none"/>
        </w:rPr>
      </w:pPr>
    </w:p>
    <w:p w14:paraId="4AE4E300">
      <w:pPr>
        <w:pStyle w:val="6"/>
        <w:spacing w:line="264" w:lineRule="auto"/>
        <w:rPr>
          <w:color w:val="auto"/>
          <w:highlight w:val="none"/>
        </w:rPr>
      </w:pPr>
    </w:p>
    <w:p w14:paraId="5B073EDE">
      <w:pPr>
        <w:pStyle w:val="6"/>
        <w:spacing w:line="264" w:lineRule="auto"/>
        <w:rPr>
          <w:color w:val="auto"/>
          <w:highlight w:val="none"/>
        </w:rPr>
      </w:pPr>
    </w:p>
    <w:p w14:paraId="395DA5FF">
      <w:pPr>
        <w:spacing w:before="98" w:line="321" w:lineRule="auto"/>
        <w:ind w:left="16" w:right="349" w:hanging="13"/>
        <w:rPr>
          <w:rFonts w:ascii="宋体" w:hAnsi="宋体" w:eastAsia="宋体" w:cs="宋体"/>
          <w:color w:val="auto"/>
          <w:sz w:val="30"/>
          <w:szCs w:val="30"/>
          <w:highlight w:val="none"/>
        </w:rPr>
      </w:pPr>
      <w:r>
        <w:rPr>
          <w:rFonts w:ascii="宋体" w:hAnsi="宋体" w:eastAsia="宋体" w:cs="宋体"/>
          <w:b/>
          <w:bCs/>
          <w:color w:val="auto"/>
          <w:spacing w:val="-3"/>
          <w:sz w:val="30"/>
          <w:szCs w:val="30"/>
          <w:highlight w:val="none"/>
        </w:rPr>
        <w:t>三、法定代表人授权委托书及委托代理人有效身份证正反面复印件</w:t>
      </w:r>
      <w:r>
        <w:rPr>
          <w:rFonts w:ascii="宋体" w:hAnsi="宋体" w:eastAsia="宋体" w:cs="宋体"/>
          <w:color w:val="auto"/>
          <w:spacing w:val="16"/>
          <w:sz w:val="30"/>
          <w:szCs w:val="30"/>
          <w:highlight w:val="none"/>
        </w:rPr>
        <w:t xml:space="preserve"> </w:t>
      </w:r>
      <w:r>
        <w:rPr>
          <w:rFonts w:ascii="宋体" w:hAnsi="宋体" w:eastAsia="宋体" w:cs="宋体"/>
          <w:b/>
          <w:bCs/>
          <w:color w:val="auto"/>
          <w:spacing w:val="-7"/>
          <w:sz w:val="30"/>
          <w:szCs w:val="30"/>
          <w:highlight w:val="none"/>
        </w:rPr>
        <w:t>（如有委托时）</w:t>
      </w:r>
    </w:p>
    <w:p w14:paraId="341FD82F">
      <w:pPr>
        <w:pStyle w:val="6"/>
        <w:spacing w:line="394" w:lineRule="auto"/>
        <w:rPr>
          <w:color w:val="auto"/>
          <w:highlight w:val="none"/>
        </w:rPr>
      </w:pPr>
    </w:p>
    <w:p w14:paraId="54E74C55">
      <w:pPr>
        <w:spacing w:before="98" w:line="219" w:lineRule="auto"/>
        <w:ind w:left="2253"/>
        <w:rPr>
          <w:rFonts w:ascii="宋体" w:hAnsi="宋体" w:eastAsia="宋体" w:cs="宋体"/>
          <w:color w:val="auto"/>
          <w:sz w:val="20"/>
          <w:szCs w:val="20"/>
          <w:highlight w:val="none"/>
        </w:rPr>
      </w:pPr>
      <w:r>
        <w:rPr>
          <w:rFonts w:ascii="宋体" w:hAnsi="宋体" w:eastAsia="宋体" w:cs="宋体"/>
          <w:b/>
          <w:bCs/>
          <w:color w:val="auto"/>
          <w:spacing w:val="-3"/>
          <w:sz w:val="20"/>
          <w:szCs w:val="20"/>
          <w:highlight w:val="none"/>
        </w:rPr>
        <w:t>授权委托书（非联合体竞标格式）</w:t>
      </w:r>
    </w:p>
    <w:p w14:paraId="42F91068">
      <w:pPr>
        <w:spacing w:before="164" w:line="221" w:lineRule="auto"/>
        <w:ind w:left="3472"/>
        <w:rPr>
          <w:rFonts w:ascii="宋体" w:hAnsi="宋体" w:eastAsia="宋体" w:cs="宋体"/>
          <w:color w:val="auto"/>
          <w:sz w:val="20"/>
          <w:szCs w:val="20"/>
          <w:highlight w:val="none"/>
        </w:rPr>
      </w:pPr>
      <w:r>
        <w:rPr>
          <w:rFonts w:ascii="宋体" w:hAnsi="宋体" w:eastAsia="宋体" w:cs="宋体"/>
          <w:b/>
          <w:bCs/>
          <w:color w:val="auto"/>
          <w:spacing w:val="-7"/>
          <w:sz w:val="20"/>
          <w:szCs w:val="20"/>
          <w:highlight w:val="none"/>
        </w:rPr>
        <w:t>（如有委托时）</w:t>
      </w:r>
    </w:p>
    <w:p w14:paraId="0D66F492">
      <w:pPr>
        <w:pStyle w:val="6"/>
        <w:spacing w:line="477" w:lineRule="auto"/>
        <w:rPr>
          <w:color w:val="auto"/>
          <w:sz w:val="20"/>
          <w:szCs w:val="20"/>
          <w:highlight w:val="none"/>
        </w:rPr>
      </w:pPr>
    </w:p>
    <w:p w14:paraId="1F0EA987">
      <w:pPr>
        <w:spacing w:before="78" w:line="219" w:lineRule="auto"/>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致：</w:t>
      </w:r>
      <w:r>
        <w:rPr>
          <w:rFonts w:ascii="宋体" w:hAnsi="宋体" w:eastAsia="宋体" w:cs="宋体"/>
          <w:color w:val="auto"/>
          <w:spacing w:val="-1"/>
          <w:sz w:val="20"/>
          <w:szCs w:val="20"/>
          <w:highlight w:val="none"/>
          <w:u w:val="single" w:color="auto"/>
        </w:rPr>
        <w:t>广西拓正工程造价咨询有限公司</w:t>
      </w:r>
      <w:r>
        <w:rPr>
          <w:rFonts w:ascii="宋体" w:hAnsi="宋体" w:eastAsia="宋体" w:cs="宋体"/>
          <w:color w:val="auto"/>
          <w:spacing w:val="5"/>
          <w:sz w:val="20"/>
          <w:szCs w:val="20"/>
          <w:highlight w:val="none"/>
          <w:u w:val="single" w:color="auto"/>
        </w:rPr>
        <w:t xml:space="preserve"> </w:t>
      </w:r>
    </w:p>
    <w:p w14:paraId="05496580">
      <w:pPr>
        <w:spacing w:before="181" w:line="359" w:lineRule="auto"/>
        <w:ind w:left="1" w:firstLine="480"/>
        <w:jc w:val="both"/>
        <w:rPr>
          <w:rFonts w:ascii="宋体" w:hAnsi="宋体" w:eastAsia="宋体" w:cs="宋体"/>
          <w:color w:val="auto"/>
          <w:sz w:val="20"/>
          <w:szCs w:val="20"/>
          <w:highlight w:val="none"/>
        </w:rPr>
      </w:pPr>
      <w:r>
        <w:rPr>
          <w:rFonts w:ascii="宋体" w:hAnsi="宋体" w:eastAsia="宋体" w:cs="宋体"/>
          <w:color w:val="auto"/>
          <w:sz w:val="20"/>
          <w:szCs w:val="20"/>
          <w:highlight w:val="none"/>
        </w:rPr>
        <w:t>我</w:t>
      </w:r>
      <w:r>
        <w:rPr>
          <w:rFonts w:ascii="宋体" w:hAnsi="宋体" w:eastAsia="宋体" w:cs="宋体"/>
          <w:color w:val="auto"/>
          <w:spacing w:val="56"/>
          <w:sz w:val="20"/>
          <w:szCs w:val="20"/>
          <w:highlight w:val="none"/>
          <w:u w:val="single" w:color="auto"/>
        </w:rPr>
        <w:t xml:space="preserve"> </w:t>
      </w:r>
      <w:r>
        <w:rPr>
          <w:rFonts w:ascii="宋体" w:hAnsi="宋体" w:eastAsia="宋体" w:cs="宋体"/>
          <w:color w:val="auto"/>
          <w:sz w:val="20"/>
          <w:szCs w:val="20"/>
          <w:highlight w:val="none"/>
          <w:u w:val="single" w:color="auto"/>
        </w:rPr>
        <w:t>（姓名）</w:t>
      </w:r>
      <w:r>
        <w:rPr>
          <w:rFonts w:ascii="宋体" w:hAnsi="宋体" w:eastAsia="宋体" w:cs="宋体"/>
          <w:color w:val="auto"/>
          <w:spacing w:val="52"/>
          <w:sz w:val="20"/>
          <w:szCs w:val="20"/>
          <w:highlight w:val="none"/>
          <w:u w:val="single" w:color="auto"/>
        </w:rPr>
        <w:t xml:space="preserve"> </w:t>
      </w:r>
      <w:r>
        <w:rPr>
          <w:rFonts w:ascii="宋体" w:hAnsi="宋体" w:eastAsia="宋体" w:cs="宋体"/>
          <w:color w:val="auto"/>
          <w:spacing w:val="-105"/>
          <w:sz w:val="20"/>
          <w:szCs w:val="20"/>
          <w:highlight w:val="none"/>
        </w:rPr>
        <w:t xml:space="preserve"> </w:t>
      </w:r>
      <w:r>
        <w:rPr>
          <w:rFonts w:ascii="宋体" w:hAnsi="宋体" w:eastAsia="宋体" w:cs="宋体"/>
          <w:color w:val="auto"/>
          <w:sz w:val="20"/>
          <w:szCs w:val="20"/>
          <w:highlight w:val="none"/>
        </w:rPr>
        <w:t>系</w:t>
      </w:r>
      <w:r>
        <w:rPr>
          <w:rFonts w:ascii="宋体" w:hAnsi="宋体" w:eastAsia="宋体" w:cs="宋体"/>
          <w:color w:val="auto"/>
          <w:spacing w:val="52"/>
          <w:sz w:val="20"/>
          <w:szCs w:val="20"/>
          <w:highlight w:val="none"/>
          <w:u w:val="single" w:color="auto"/>
        </w:rPr>
        <w:t xml:space="preserve"> </w:t>
      </w:r>
      <w:r>
        <w:rPr>
          <w:rFonts w:ascii="宋体" w:hAnsi="宋体" w:eastAsia="宋体" w:cs="宋体"/>
          <w:color w:val="auto"/>
          <w:sz w:val="20"/>
          <w:szCs w:val="20"/>
          <w:highlight w:val="none"/>
          <w:u w:val="single" w:color="auto"/>
        </w:rPr>
        <w:t>（供应商名称）</w:t>
      </w:r>
      <w:r>
        <w:rPr>
          <w:rFonts w:ascii="宋体" w:hAnsi="宋体" w:eastAsia="宋体" w:cs="宋体"/>
          <w:color w:val="auto"/>
          <w:spacing w:val="51"/>
          <w:sz w:val="20"/>
          <w:szCs w:val="20"/>
          <w:highlight w:val="none"/>
          <w:u w:val="single" w:color="auto"/>
        </w:rPr>
        <w:t xml:space="preserve"> </w:t>
      </w:r>
      <w:r>
        <w:rPr>
          <w:rFonts w:ascii="宋体" w:hAnsi="宋体" w:eastAsia="宋体" w:cs="宋体"/>
          <w:color w:val="auto"/>
          <w:spacing w:val="-91"/>
          <w:sz w:val="20"/>
          <w:szCs w:val="20"/>
          <w:highlight w:val="none"/>
        </w:rPr>
        <w:t xml:space="preserve"> </w:t>
      </w:r>
      <w:r>
        <w:rPr>
          <w:rFonts w:ascii="宋体" w:hAnsi="宋体" w:eastAsia="宋体" w:cs="宋体"/>
          <w:color w:val="auto"/>
          <w:sz w:val="20"/>
          <w:szCs w:val="20"/>
          <w:highlight w:val="none"/>
        </w:rPr>
        <w:t>的(</w:t>
      </w:r>
      <w:r>
        <w:rPr>
          <w:rFonts w:ascii="宋体" w:hAnsi="宋体" w:eastAsia="宋体" w:cs="宋体"/>
          <w:color w:val="auto"/>
          <w:sz w:val="20"/>
          <w:szCs w:val="20"/>
          <w:highlight w:val="none"/>
          <w:u w:val="single" w:color="auto"/>
        </w:rPr>
        <w:t>□法定代表人/□负责人/□</w:t>
      </w:r>
      <w:r>
        <w:rPr>
          <w:rFonts w:ascii="宋体" w:hAnsi="宋体" w:eastAsia="宋体" w:cs="宋体"/>
          <w:color w:val="auto"/>
          <w:spacing w:val="-1"/>
          <w:sz w:val="20"/>
          <w:szCs w:val="20"/>
          <w:highlight w:val="none"/>
          <w:u w:val="single" w:color="auto"/>
        </w:rPr>
        <w:t>自然人本人</w:t>
      </w:r>
      <w:r>
        <w:rPr>
          <w:rFonts w:ascii="宋体" w:hAnsi="宋体" w:eastAsia="宋体" w:cs="宋体"/>
          <w:color w:val="auto"/>
          <w:spacing w:val="-54"/>
          <w:w w:val="85"/>
          <w:sz w:val="20"/>
          <w:szCs w:val="20"/>
          <w:highlight w:val="none"/>
        </w:rPr>
        <w:t>），</w:t>
      </w:r>
      <w:r>
        <w:rPr>
          <w:rFonts w:ascii="宋体" w:hAnsi="宋体" w:eastAsia="宋体" w:cs="宋体"/>
          <w:color w:val="auto"/>
          <w:sz w:val="20"/>
          <w:szCs w:val="20"/>
          <w:highlight w:val="none"/>
        </w:rPr>
        <w:t xml:space="preserve"> </w:t>
      </w:r>
      <w:r>
        <w:rPr>
          <w:rFonts w:ascii="宋体" w:hAnsi="宋体" w:eastAsia="宋体" w:cs="宋体"/>
          <w:color w:val="auto"/>
          <w:spacing w:val="-1"/>
          <w:sz w:val="20"/>
          <w:szCs w:val="20"/>
          <w:highlight w:val="none"/>
        </w:rPr>
        <w:t>现授权</w:t>
      </w:r>
      <w:r>
        <w:rPr>
          <w:rFonts w:ascii="宋体" w:hAnsi="宋体" w:eastAsia="宋体" w:cs="宋体"/>
          <w:color w:val="auto"/>
          <w:spacing w:val="-1"/>
          <w:sz w:val="20"/>
          <w:szCs w:val="20"/>
          <w:highlight w:val="none"/>
          <w:u w:val="single" w:color="auto"/>
        </w:rPr>
        <w:t xml:space="preserve"> （姓名、职务） </w:t>
      </w:r>
      <w:r>
        <w:rPr>
          <w:rFonts w:ascii="宋体" w:hAnsi="宋体" w:eastAsia="宋体" w:cs="宋体"/>
          <w:color w:val="auto"/>
          <w:spacing w:val="-84"/>
          <w:sz w:val="20"/>
          <w:szCs w:val="20"/>
          <w:highlight w:val="none"/>
        </w:rPr>
        <w:t xml:space="preserve"> </w:t>
      </w:r>
      <w:r>
        <w:rPr>
          <w:rFonts w:ascii="宋体" w:hAnsi="宋体" w:eastAsia="宋体" w:cs="宋体"/>
          <w:color w:val="auto"/>
          <w:spacing w:val="-1"/>
          <w:sz w:val="20"/>
          <w:szCs w:val="20"/>
          <w:highlight w:val="none"/>
        </w:rPr>
        <w:t>以我方的名义参加</w:t>
      </w:r>
      <w:r>
        <w:rPr>
          <w:rFonts w:ascii="宋体" w:hAnsi="宋体" w:eastAsia="宋体" w:cs="宋体"/>
          <w:color w:val="auto"/>
          <w:spacing w:val="-1"/>
          <w:sz w:val="20"/>
          <w:szCs w:val="20"/>
          <w:highlight w:val="none"/>
          <w:u w:val="single" w:color="auto"/>
        </w:rPr>
        <w:t xml:space="preserve">    （项目名称、项目编号）   </w:t>
      </w:r>
      <w:r>
        <w:rPr>
          <w:rFonts w:ascii="宋体" w:hAnsi="宋体" w:eastAsia="宋体" w:cs="宋体"/>
          <w:color w:val="auto"/>
          <w:spacing w:val="-107"/>
          <w:sz w:val="20"/>
          <w:szCs w:val="20"/>
          <w:highlight w:val="none"/>
        </w:rPr>
        <w:t xml:space="preserve"> </w:t>
      </w:r>
      <w:r>
        <w:rPr>
          <w:rFonts w:ascii="宋体" w:hAnsi="宋体" w:eastAsia="宋体" w:cs="宋体"/>
          <w:color w:val="auto"/>
          <w:spacing w:val="-1"/>
          <w:sz w:val="20"/>
          <w:szCs w:val="20"/>
          <w:highlight w:val="none"/>
        </w:rPr>
        <w:t>项目的竞</w:t>
      </w:r>
      <w:r>
        <w:rPr>
          <w:rFonts w:ascii="宋体" w:hAnsi="宋体" w:eastAsia="宋体" w:cs="宋体"/>
          <w:color w:val="auto"/>
          <w:sz w:val="20"/>
          <w:szCs w:val="20"/>
          <w:highlight w:val="none"/>
        </w:rPr>
        <w:t xml:space="preserve"> </w:t>
      </w:r>
      <w:r>
        <w:rPr>
          <w:rFonts w:ascii="宋体" w:hAnsi="宋体" w:eastAsia="宋体" w:cs="宋体"/>
          <w:color w:val="auto"/>
          <w:spacing w:val="-3"/>
          <w:sz w:val="20"/>
          <w:szCs w:val="20"/>
          <w:highlight w:val="none"/>
        </w:rPr>
        <w:t>标活动，并代表我方全权办理针对上述项目的所有采购程序和环节的具体事务和签署相</w:t>
      </w:r>
      <w:r>
        <w:rPr>
          <w:rFonts w:ascii="宋体" w:hAnsi="宋体" w:eastAsia="宋体" w:cs="宋体"/>
          <w:color w:val="auto"/>
          <w:spacing w:val="1"/>
          <w:sz w:val="20"/>
          <w:szCs w:val="20"/>
          <w:highlight w:val="none"/>
        </w:rPr>
        <w:t xml:space="preserve"> </w:t>
      </w:r>
      <w:r>
        <w:rPr>
          <w:rFonts w:ascii="宋体" w:hAnsi="宋体" w:eastAsia="宋体" w:cs="宋体"/>
          <w:color w:val="auto"/>
          <w:spacing w:val="-3"/>
          <w:sz w:val="20"/>
          <w:szCs w:val="20"/>
          <w:highlight w:val="none"/>
        </w:rPr>
        <w:t>关文件。</w:t>
      </w:r>
    </w:p>
    <w:p w14:paraId="07C65A99">
      <w:pPr>
        <w:spacing w:line="220" w:lineRule="auto"/>
        <w:ind w:left="482"/>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我方对委托代理人的签字事项负全部责任。</w:t>
      </w:r>
    </w:p>
    <w:p w14:paraId="0A9344F0">
      <w:pPr>
        <w:spacing w:before="182" w:line="359" w:lineRule="auto"/>
        <w:ind w:right="63" w:firstLine="480"/>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本授权书自签署之日起生效，在撤销授权的书面通知以前，本授权书一</w:t>
      </w:r>
      <w:r>
        <w:rPr>
          <w:rFonts w:ascii="宋体" w:hAnsi="宋体" w:eastAsia="宋体" w:cs="宋体"/>
          <w:color w:val="auto"/>
          <w:spacing w:val="-4"/>
          <w:sz w:val="20"/>
          <w:szCs w:val="20"/>
          <w:highlight w:val="none"/>
        </w:rPr>
        <w:t>直有效。委</w:t>
      </w:r>
      <w:r>
        <w:rPr>
          <w:rFonts w:ascii="宋体" w:hAnsi="宋体" w:eastAsia="宋体" w:cs="宋体"/>
          <w:color w:val="auto"/>
          <w:sz w:val="20"/>
          <w:szCs w:val="20"/>
          <w:highlight w:val="none"/>
        </w:rPr>
        <w:t xml:space="preserve"> 托代理人在授权书有效期内签署的所有文件</w:t>
      </w:r>
      <w:r>
        <w:rPr>
          <w:rFonts w:ascii="宋体" w:hAnsi="宋体" w:eastAsia="宋体" w:cs="宋体"/>
          <w:color w:val="auto"/>
          <w:spacing w:val="-1"/>
          <w:sz w:val="20"/>
          <w:szCs w:val="20"/>
          <w:highlight w:val="none"/>
        </w:rPr>
        <w:t>不因授权的撤销而失效。</w:t>
      </w:r>
    </w:p>
    <w:p w14:paraId="01652640">
      <w:pPr>
        <w:spacing w:line="220" w:lineRule="auto"/>
        <w:ind w:left="48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委托代理人无转委托权，特此委托。</w:t>
      </w:r>
    </w:p>
    <w:p w14:paraId="5FE281E9">
      <w:pPr>
        <w:spacing w:before="179" w:line="219" w:lineRule="auto"/>
        <w:ind w:left="499"/>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附：法定代表人身份证明书及委托代理人有效身份证正反面复印件</w:t>
      </w:r>
    </w:p>
    <w:p w14:paraId="7C152CF1">
      <w:pPr>
        <w:pStyle w:val="6"/>
        <w:spacing w:line="283" w:lineRule="auto"/>
        <w:rPr>
          <w:color w:val="auto"/>
          <w:sz w:val="20"/>
          <w:szCs w:val="20"/>
          <w:highlight w:val="none"/>
        </w:rPr>
      </w:pPr>
    </w:p>
    <w:p w14:paraId="39ED71E2">
      <w:pPr>
        <w:pStyle w:val="6"/>
        <w:spacing w:line="284" w:lineRule="auto"/>
        <w:rPr>
          <w:color w:val="auto"/>
          <w:sz w:val="20"/>
          <w:szCs w:val="20"/>
          <w:highlight w:val="none"/>
        </w:rPr>
      </w:pPr>
    </w:p>
    <w:p w14:paraId="26B5313B">
      <w:pPr>
        <w:spacing w:before="79" w:line="219" w:lineRule="auto"/>
        <w:ind w:left="48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委托代理人（签字或盖章</w:t>
      </w:r>
      <w:r>
        <w:rPr>
          <w:rFonts w:ascii="宋体" w:hAnsi="宋体" w:eastAsia="宋体" w:cs="宋体"/>
          <w:color w:val="auto"/>
          <w:sz w:val="20"/>
          <w:szCs w:val="20"/>
          <w:highlight w:val="none"/>
        </w:rPr>
        <w:t xml:space="preserve">）：              </w:t>
      </w:r>
      <w:r>
        <w:rPr>
          <w:rFonts w:ascii="宋体" w:hAnsi="宋体" w:eastAsia="宋体" w:cs="宋体"/>
          <w:color w:val="auto"/>
          <w:spacing w:val="-1"/>
          <w:sz w:val="20"/>
          <w:szCs w:val="20"/>
          <w:highlight w:val="none"/>
        </w:rPr>
        <w:t>法定代表人（签字或盖章</w:t>
      </w:r>
      <w:r>
        <w:rPr>
          <w:rFonts w:ascii="宋体" w:hAnsi="宋体" w:eastAsia="宋体" w:cs="宋体"/>
          <w:color w:val="auto"/>
          <w:sz w:val="20"/>
          <w:szCs w:val="20"/>
          <w:highlight w:val="none"/>
        </w:rPr>
        <w:t>）：</w:t>
      </w:r>
    </w:p>
    <w:p w14:paraId="43502112">
      <w:pPr>
        <w:spacing w:before="183" w:line="220" w:lineRule="auto"/>
        <w:ind w:left="48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委托代理人身份证号码：</w:t>
      </w:r>
    </w:p>
    <w:p w14:paraId="61CB0B62">
      <w:pPr>
        <w:pStyle w:val="6"/>
        <w:spacing w:line="283" w:lineRule="auto"/>
        <w:rPr>
          <w:color w:val="auto"/>
          <w:sz w:val="20"/>
          <w:szCs w:val="20"/>
          <w:highlight w:val="none"/>
        </w:rPr>
      </w:pPr>
    </w:p>
    <w:p w14:paraId="527EE22B">
      <w:pPr>
        <w:pStyle w:val="6"/>
        <w:spacing w:line="283" w:lineRule="auto"/>
        <w:rPr>
          <w:color w:val="auto"/>
          <w:sz w:val="20"/>
          <w:szCs w:val="20"/>
          <w:highlight w:val="none"/>
        </w:rPr>
      </w:pPr>
    </w:p>
    <w:p w14:paraId="7A4D2757">
      <w:pPr>
        <w:spacing w:before="78" w:line="219" w:lineRule="auto"/>
        <w:ind w:left="300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44DDA301">
      <w:pPr>
        <w:spacing w:before="181" w:line="220" w:lineRule="auto"/>
        <w:ind w:left="5211"/>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日期：</w:t>
      </w:r>
      <w:r>
        <w:rPr>
          <w:rFonts w:ascii="宋体" w:hAnsi="宋体" w:eastAsia="宋体" w:cs="宋体"/>
          <w:color w:val="auto"/>
          <w:spacing w:val="5"/>
          <w:sz w:val="20"/>
          <w:szCs w:val="20"/>
          <w:highlight w:val="none"/>
        </w:rPr>
        <w:t xml:space="preserve">  </w:t>
      </w:r>
      <w:r>
        <w:rPr>
          <w:rFonts w:ascii="宋体" w:hAnsi="宋体" w:eastAsia="宋体" w:cs="宋体"/>
          <w:color w:val="auto"/>
          <w:spacing w:val="-13"/>
          <w:sz w:val="20"/>
          <w:szCs w:val="20"/>
          <w:highlight w:val="none"/>
        </w:rPr>
        <w:t>年</w:t>
      </w:r>
      <w:r>
        <w:rPr>
          <w:rFonts w:ascii="宋体" w:hAnsi="宋体" w:eastAsia="宋体" w:cs="宋体"/>
          <w:color w:val="auto"/>
          <w:spacing w:val="5"/>
          <w:sz w:val="20"/>
          <w:szCs w:val="20"/>
          <w:highlight w:val="none"/>
        </w:rPr>
        <w:t xml:space="preserve">   </w:t>
      </w:r>
      <w:r>
        <w:rPr>
          <w:rFonts w:ascii="宋体" w:hAnsi="宋体" w:eastAsia="宋体" w:cs="宋体"/>
          <w:color w:val="auto"/>
          <w:spacing w:val="-13"/>
          <w:sz w:val="20"/>
          <w:szCs w:val="20"/>
          <w:highlight w:val="none"/>
        </w:rPr>
        <w:t>月</w:t>
      </w:r>
      <w:r>
        <w:rPr>
          <w:rFonts w:ascii="宋体" w:hAnsi="宋体" w:eastAsia="宋体" w:cs="宋体"/>
          <w:color w:val="auto"/>
          <w:spacing w:val="17"/>
          <w:sz w:val="20"/>
          <w:szCs w:val="20"/>
          <w:highlight w:val="none"/>
        </w:rPr>
        <w:t xml:space="preserve">   </w:t>
      </w:r>
      <w:r>
        <w:rPr>
          <w:rFonts w:ascii="宋体" w:hAnsi="宋体" w:eastAsia="宋体" w:cs="宋体"/>
          <w:color w:val="auto"/>
          <w:spacing w:val="-13"/>
          <w:sz w:val="20"/>
          <w:szCs w:val="20"/>
          <w:highlight w:val="none"/>
        </w:rPr>
        <w:t>日</w:t>
      </w:r>
    </w:p>
    <w:p w14:paraId="506452FC">
      <w:pPr>
        <w:spacing w:before="182" w:line="359" w:lineRule="auto"/>
        <w:ind w:left="1" w:right="63" w:hanging="1"/>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注：1.法定代表人必须在授权委托书上亲笔签字或盖章，委托代理人必须在授权委托书</w:t>
      </w:r>
      <w:r>
        <w:rPr>
          <w:rFonts w:ascii="宋体" w:hAnsi="宋体" w:eastAsia="宋体" w:cs="宋体"/>
          <w:color w:val="auto"/>
          <w:spacing w:val="5"/>
          <w:sz w:val="20"/>
          <w:szCs w:val="20"/>
          <w:highlight w:val="none"/>
        </w:rPr>
        <w:t xml:space="preserve"> </w:t>
      </w:r>
      <w:r>
        <w:rPr>
          <w:rFonts w:ascii="宋体" w:hAnsi="宋体" w:eastAsia="宋体" w:cs="宋体"/>
          <w:color w:val="auto"/>
          <w:spacing w:val="-2"/>
          <w:sz w:val="20"/>
          <w:szCs w:val="20"/>
          <w:highlight w:val="none"/>
        </w:rPr>
        <w:t>上签字或盖章，</w:t>
      </w:r>
      <w:r>
        <w:rPr>
          <w:rFonts w:ascii="宋体" w:hAnsi="宋体" w:eastAsia="宋体" w:cs="宋体"/>
          <w:b/>
          <w:bCs/>
          <w:color w:val="auto"/>
          <w:spacing w:val="-2"/>
          <w:sz w:val="20"/>
          <w:szCs w:val="20"/>
          <w:highlight w:val="none"/>
        </w:rPr>
        <w:t>否则其响应文件按无效响应处理。</w:t>
      </w:r>
    </w:p>
    <w:p w14:paraId="55AFEA80">
      <w:pPr>
        <w:spacing w:before="2" w:line="312" w:lineRule="auto"/>
        <w:ind w:right="63" w:firstLine="483"/>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2.供应商为其他组织或者自然人时，本磋商文件规定的法定代表人指负责</w:t>
      </w:r>
      <w:r>
        <w:rPr>
          <w:rFonts w:ascii="宋体" w:hAnsi="宋体" w:eastAsia="宋体" w:cs="宋体"/>
          <w:color w:val="auto"/>
          <w:spacing w:val="-4"/>
          <w:sz w:val="20"/>
          <w:szCs w:val="20"/>
          <w:highlight w:val="none"/>
        </w:rPr>
        <w:t>人或者自</w:t>
      </w:r>
      <w:r>
        <w:rPr>
          <w:rFonts w:ascii="宋体" w:hAnsi="宋体" w:eastAsia="宋体" w:cs="宋体"/>
          <w:color w:val="auto"/>
          <w:sz w:val="20"/>
          <w:szCs w:val="20"/>
          <w:highlight w:val="none"/>
        </w:rPr>
        <w:t xml:space="preserve"> </w:t>
      </w:r>
      <w:r>
        <w:rPr>
          <w:rFonts w:ascii="宋体" w:hAnsi="宋体" w:eastAsia="宋体" w:cs="宋体"/>
          <w:color w:val="auto"/>
          <w:spacing w:val="-3"/>
          <w:sz w:val="20"/>
          <w:szCs w:val="20"/>
          <w:highlight w:val="none"/>
        </w:rPr>
        <w:t>然人。本磋商文件所称负责人是指参加竞标的其他组织营业执照上的负责人，本磋商文</w:t>
      </w:r>
      <w:r>
        <w:rPr>
          <w:rFonts w:ascii="宋体" w:hAnsi="宋体" w:eastAsia="宋体" w:cs="宋体"/>
          <w:color w:val="auto"/>
          <w:spacing w:val="3"/>
          <w:sz w:val="20"/>
          <w:szCs w:val="20"/>
          <w:highlight w:val="none"/>
        </w:rPr>
        <w:t xml:space="preserve"> </w:t>
      </w:r>
      <w:r>
        <w:rPr>
          <w:rFonts w:ascii="宋体" w:hAnsi="宋体" w:eastAsia="宋体" w:cs="宋体"/>
          <w:color w:val="auto"/>
          <w:spacing w:val="-1"/>
          <w:sz w:val="20"/>
          <w:szCs w:val="20"/>
          <w:highlight w:val="none"/>
        </w:rPr>
        <w:t>件所称自然人指参与竞标的自然人本人。</w:t>
      </w:r>
    </w:p>
    <w:p w14:paraId="11354CBF">
      <w:pPr>
        <w:spacing w:before="182" w:line="291" w:lineRule="auto"/>
        <w:ind w:left="2" w:right="63" w:firstLine="482"/>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3.法人、其他组织竞标时“我方</w:t>
      </w:r>
      <w:r>
        <w:rPr>
          <w:rFonts w:ascii="宋体" w:hAnsi="宋体" w:eastAsia="宋体" w:cs="宋体"/>
          <w:color w:val="auto"/>
          <w:spacing w:val="-84"/>
          <w:sz w:val="20"/>
          <w:szCs w:val="20"/>
          <w:highlight w:val="none"/>
        </w:rPr>
        <w:t xml:space="preserve"> </w:t>
      </w:r>
      <w:r>
        <w:rPr>
          <w:rFonts w:ascii="宋体" w:hAnsi="宋体" w:eastAsia="宋体" w:cs="宋体"/>
          <w:color w:val="auto"/>
          <w:spacing w:val="-12"/>
          <w:sz w:val="20"/>
          <w:szCs w:val="20"/>
          <w:highlight w:val="none"/>
        </w:rPr>
        <w:t>”是指“我单位</w:t>
      </w:r>
      <w:r>
        <w:rPr>
          <w:rFonts w:ascii="宋体" w:hAnsi="宋体" w:eastAsia="宋体" w:cs="宋体"/>
          <w:color w:val="auto"/>
          <w:spacing w:val="-88"/>
          <w:sz w:val="20"/>
          <w:szCs w:val="20"/>
          <w:highlight w:val="none"/>
        </w:rPr>
        <w:t xml:space="preserve"> </w:t>
      </w:r>
      <w:r>
        <w:rPr>
          <w:rFonts w:ascii="宋体" w:hAnsi="宋体" w:eastAsia="宋体" w:cs="宋体"/>
          <w:color w:val="auto"/>
          <w:spacing w:val="-12"/>
          <w:sz w:val="20"/>
          <w:szCs w:val="20"/>
          <w:highlight w:val="none"/>
        </w:rPr>
        <w:t>”，自然人竞标时“我方</w:t>
      </w:r>
      <w:r>
        <w:rPr>
          <w:rFonts w:ascii="宋体" w:hAnsi="宋体" w:eastAsia="宋体" w:cs="宋体"/>
          <w:color w:val="auto"/>
          <w:spacing w:val="-88"/>
          <w:sz w:val="20"/>
          <w:szCs w:val="20"/>
          <w:highlight w:val="none"/>
        </w:rPr>
        <w:t xml:space="preserve"> </w:t>
      </w:r>
      <w:r>
        <w:rPr>
          <w:rFonts w:ascii="宋体" w:hAnsi="宋体" w:eastAsia="宋体" w:cs="宋体"/>
          <w:color w:val="auto"/>
          <w:spacing w:val="-12"/>
          <w:sz w:val="20"/>
          <w:szCs w:val="20"/>
          <w:highlight w:val="none"/>
        </w:rPr>
        <w:t>”是指“本</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人</w:t>
      </w:r>
      <w:r>
        <w:rPr>
          <w:rFonts w:ascii="宋体" w:hAnsi="宋体" w:eastAsia="宋体" w:cs="宋体"/>
          <w:color w:val="auto"/>
          <w:spacing w:val="-88"/>
          <w:sz w:val="20"/>
          <w:szCs w:val="20"/>
          <w:highlight w:val="none"/>
        </w:rPr>
        <w:t xml:space="preserve"> </w:t>
      </w:r>
      <w:r>
        <w:rPr>
          <w:rFonts w:ascii="宋体" w:hAnsi="宋体" w:eastAsia="宋体" w:cs="宋体"/>
          <w:color w:val="auto"/>
          <w:spacing w:val="-4"/>
          <w:sz w:val="20"/>
          <w:szCs w:val="20"/>
          <w:highlight w:val="none"/>
        </w:rPr>
        <w:t>”。</w:t>
      </w:r>
    </w:p>
    <w:p w14:paraId="633599ED">
      <w:pPr>
        <w:spacing w:line="291" w:lineRule="auto"/>
        <w:rPr>
          <w:rFonts w:ascii="宋体" w:hAnsi="宋体" w:eastAsia="宋体" w:cs="宋体"/>
          <w:color w:val="auto"/>
          <w:sz w:val="24"/>
          <w:szCs w:val="24"/>
          <w:highlight w:val="none"/>
        </w:rPr>
        <w:sectPr>
          <w:footerReference r:id="rId55" w:type="default"/>
          <w:pgSz w:w="11910" w:h="16840"/>
          <w:pgMar w:top="400" w:right="1353" w:bottom="1079" w:left="1481" w:header="0" w:footer="843" w:gutter="0"/>
          <w:pgNumType w:fmt="decimal"/>
          <w:cols w:space="720" w:num="1"/>
        </w:sectPr>
      </w:pPr>
    </w:p>
    <w:p w14:paraId="078FAF66">
      <w:pPr>
        <w:pStyle w:val="6"/>
        <w:spacing w:line="338" w:lineRule="auto"/>
        <w:rPr>
          <w:color w:val="auto"/>
          <w:highlight w:val="none"/>
        </w:rPr>
      </w:pPr>
    </w:p>
    <w:p w14:paraId="307A155C">
      <w:pPr>
        <w:pStyle w:val="6"/>
        <w:spacing w:line="338" w:lineRule="auto"/>
        <w:rPr>
          <w:color w:val="auto"/>
          <w:highlight w:val="none"/>
        </w:rPr>
      </w:pPr>
    </w:p>
    <w:p w14:paraId="6839974F">
      <w:pPr>
        <w:spacing w:before="98" w:line="220" w:lineRule="auto"/>
        <w:ind w:left="31"/>
        <w:rPr>
          <w:rFonts w:ascii="宋体" w:hAnsi="宋体" w:eastAsia="宋体" w:cs="宋体"/>
          <w:color w:val="auto"/>
          <w:sz w:val="30"/>
          <w:szCs w:val="30"/>
          <w:highlight w:val="none"/>
        </w:rPr>
      </w:pPr>
      <w:r>
        <w:rPr>
          <w:rFonts w:ascii="宋体" w:hAnsi="宋体" w:eastAsia="宋体" w:cs="宋体"/>
          <w:b/>
          <w:bCs/>
          <w:color w:val="auto"/>
          <w:spacing w:val="-7"/>
          <w:sz w:val="30"/>
          <w:szCs w:val="30"/>
          <w:highlight w:val="none"/>
        </w:rPr>
        <w:t>四、商务条款偏离表</w:t>
      </w:r>
    </w:p>
    <w:p w14:paraId="041548AB">
      <w:pPr>
        <w:spacing w:before="324" w:line="220" w:lineRule="auto"/>
        <w:ind w:left="3465"/>
        <w:rPr>
          <w:rFonts w:ascii="宋体" w:hAnsi="宋体" w:eastAsia="宋体" w:cs="宋体"/>
          <w:color w:val="auto"/>
          <w:sz w:val="30"/>
          <w:szCs w:val="30"/>
          <w:highlight w:val="none"/>
        </w:rPr>
      </w:pPr>
      <w:r>
        <w:rPr>
          <w:rFonts w:ascii="宋体" w:hAnsi="宋体" w:eastAsia="宋体" w:cs="宋体"/>
          <w:b/>
          <w:bCs/>
          <w:color w:val="auto"/>
          <w:spacing w:val="-5"/>
          <w:sz w:val="30"/>
          <w:szCs w:val="30"/>
          <w:highlight w:val="none"/>
        </w:rPr>
        <w:t>商务条款偏离表</w:t>
      </w:r>
    </w:p>
    <w:p w14:paraId="5AF087DD">
      <w:pPr>
        <w:pStyle w:val="6"/>
        <w:spacing w:line="475" w:lineRule="auto"/>
        <w:rPr>
          <w:color w:val="auto"/>
          <w:highlight w:val="none"/>
        </w:rPr>
      </w:pPr>
    </w:p>
    <w:p w14:paraId="75EC8F62">
      <w:pPr>
        <w:spacing w:before="78" w:line="219" w:lineRule="auto"/>
        <w:rPr>
          <w:rFonts w:ascii="宋体" w:hAnsi="宋体" w:eastAsia="宋体" w:cs="宋体"/>
          <w:color w:val="auto"/>
          <w:sz w:val="20"/>
          <w:szCs w:val="20"/>
          <w:highlight w:val="none"/>
        </w:rPr>
      </w:pPr>
      <w:r>
        <w:rPr>
          <w:color w:val="auto"/>
          <w:sz w:val="20"/>
          <w:szCs w:val="20"/>
          <w:highlight w:val="none"/>
        </w:rPr>
        <w:pict>
          <v:shape id="_x0000_s1029" o:spid="_x0000_s1029" style="position:absolute;left:0pt;margin-left:83.85pt;margin-top:15.4pt;height:0.6pt;width:96pt;z-index:251739136;mso-width-relative:page;mso-height-relative:page;" filled="f" stroked="t" coordsize="1920,12" path="m0,5l1920,5e">
            <v:fill on="f" focussize="0,0"/>
            <v:stroke weight="0.6pt" color="#000000" miterlimit="2" joinstyle="bevel"/>
            <v:imagedata o:title=""/>
            <o:lock v:ext="edit"/>
          </v:shape>
        </w:pict>
      </w:r>
      <w:r>
        <w:rPr>
          <w:rFonts w:ascii="宋体" w:hAnsi="宋体" w:eastAsia="宋体" w:cs="宋体"/>
          <w:color w:val="auto"/>
          <w:spacing w:val="-2"/>
          <w:sz w:val="20"/>
          <w:szCs w:val="20"/>
          <w:highlight w:val="none"/>
        </w:rPr>
        <w:t>采购项目编号：</w:t>
      </w:r>
    </w:p>
    <w:p w14:paraId="42DFB28A">
      <w:pPr>
        <w:spacing w:before="180" w:line="219" w:lineRule="auto"/>
        <w:rPr>
          <w:rFonts w:ascii="宋体" w:hAnsi="宋体" w:eastAsia="宋体" w:cs="宋体"/>
          <w:color w:val="auto"/>
          <w:sz w:val="20"/>
          <w:szCs w:val="20"/>
          <w:highlight w:val="none"/>
        </w:rPr>
      </w:pPr>
      <w:r>
        <w:rPr>
          <w:color w:val="auto"/>
          <w:sz w:val="20"/>
          <w:szCs w:val="20"/>
          <w:highlight w:val="none"/>
        </w:rPr>
        <w:pict>
          <v:shape id="_x0000_s1030" o:spid="_x0000_s1030" style="position:absolute;left:0pt;margin-left:83.85pt;margin-top:20.7pt;height:0.65pt;width:102pt;z-index:251738112;mso-width-relative:page;mso-height-relative:page;" filled="f" stroked="t" coordsize="2040,12" path="m0,5l2039,5e">
            <v:fill on="f" focussize="0,0"/>
            <v:stroke weight="0.6pt" color="#000000" miterlimit="2" joinstyle="bevel"/>
            <v:imagedata o:title=""/>
            <o:lock v:ext="edit"/>
          </v:shape>
        </w:pict>
      </w:r>
      <w:r>
        <w:rPr>
          <w:rFonts w:ascii="宋体" w:hAnsi="宋体" w:eastAsia="宋体" w:cs="宋体"/>
          <w:color w:val="auto"/>
          <w:spacing w:val="-2"/>
          <w:sz w:val="20"/>
          <w:szCs w:val="20"/>
          <w:highlight w:val="none"/>
        </w:rPr>
        <w:t>采购项目名称：</w:t>
      </w:r>
    </w:p>
    <w:p w14:paraId="1C9ABEDB">
      <w:pPr>
        <w:spacing w:before="182" w:line="221" w:lineRule="auto"/>
        <w:ind w:left="4"/>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分标号（此处有分标时填写具体分标号，无分标时填写“无</w:t>
      </w:r>
      <w:r>
        <w:rPr>
          <w:rFonts w:ascii="宋体" w:hAnsi="宋体" w:eastAsia="宋体" w:cs="宋体"/>
          <w:color w:val="auto"/>
          <w:spacing w:val="-69"/>
          <w:sz w:val="20"/>
          <w:szCs w:val="20"/>
          <w:highlight w:val="none"/>
        </w:rPr>
        <w:t xml:space="preserve"> </w:t>
      </w:r>
      <w:r>
        <w:rPr>
          <w:rFonts w:ascii="宋体" w:hAnsi="宋体" w:eastAsia="宋体" w:cs="宋体"/>
          <w:color w:val="auto"/>
          <w:spacing w:val="8"/>
          <w:sz w:val="20"/>
          <w:szCs w:val="20"/>
          <w:highlight w:val="none"/>
        </w:rPr>
        <w:t>”</w:t>
      </w:r>
      <w:r>
        <w:rPr>
          <w:rFonts w:ascii="宋体" w:hAnsi="宋体" w:eastAsia="宋体" w:cs="宋体"/>
          <w:color w:val="auto"/>
          <w:spacing w:val="-5"/>
          <w:sz w:val="20"/>
          <w:szCs w:val="20"/>
          <w:highlight w:val="none"/>
        </w:rPr>
        <w:t>）：</w:t>
      </w:r>
      <w:r>
        <w:rPr>
          <w:rFonts w:ascii="宋体" w:hAnsi="宋体" w:eastAsia="宋体" w:cs="宋体"/>
          <w:color w:val="auto"/>
          <w:sz w:val="20"/>
          <w:szCs w:val="20"/>
          <w:highlight w:val="none"/>
          <w:u w:val="single" w:color="auto"/>
        </w:rPr>
        <w:t xml:space="preserve">        </w:t>
      </w:r>
    </w:p>
    <w:p w14:paraId="42472DC2">
      <w:pPr>
        <w:spacing w:line="238" w:lineRule="exact"/>
        <w:rPr>
          <w:color w:val="auto"/>
          <w:sz w:val="20"/>
          <w:szCs w:val="20"/>
          <w:highlight w:val="none"/>
        </w:rPr>
      </w:pPr>
    </w:p>
    <w:tbl>
      <w:tblPr>
        <w:tblStyle w:val="19"/>
        <w:tblW w:w="8614" w:type="dxa"/>
        <w:tblInd w:w="1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3447"/>
        <w:gridCol w:w="3194"/>
        <w:gridCol w:w="1278"/>
      </w:tblGrid>
      <w:tr w14:paraId="557B5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695" w:type="dxa"/>
            <w:textDirection w:val="tbRlV"/>
            <w:vAlign w:val="top"/>
          </w:tcPr>
          <w:p w14:paraId="261ED473">
            <w:pPr>
              <w:pStyle w:val="20"/>
              <w:spacing w:before="224" w:line="205" w:lineRule="auto"/>
              <w:ind w:left="72"/>
              <w:rPr>
                <w:color w:val="auto"/>
                <w:sz w:val="20"/>
                <w:szCs w:val="20"/>
                <w:highlight w:val="none"/>
              </w:rPr>
            </w:pPr>
            <w:r>
              <w:rPr>
                <w:color w:val="auto"/>
                <w:sz w:val="20"/>
                <w:szCs w:val="20"/>
                <w:highlight w:val="none"/>
              </w:rPr>
              <w:t>项</w:t>
            </w:r>
            <w:r>
              <w:rPr>
                <w:color w:val="auto"/>
                <w:spacing w:val="-22"/>
                <w:sz w:val="20"/>
                <w:szCs w:val="20"/>
                <w:highlight w:val="none"/>
              </w:rPr>
              <w:t xml:space="preserve"> </w:t>
            </w:r>
            <w:r>
              <w:rPr>
                <w:color w:val="auto"/>
                <w:sz w:val="20"/>
                <w:szCs w:val="20"/>
                <w:highlight w:val="none"/>
              </w:rPr>
              <w:t>号</w:t>
            </w:r>
          </w:p>
        </w:tc>
        <w:tc>
          <w:tcPr>
            <w:tcW w:w="3447" w:type="dxa"/>
            <w:vAlign w:val="top"/>
          </w:tcPr>
          <w:p w14:paraId="173A240B">
            <w:pPr>
              <w:pStyle w:val="20"/>
              <w:spacing w:before="242" w:line="220" w:lineRule="auto"/>
              <w:ind w:left="291"/>
              <w:rPr>
                <w:color w:val="auto"/>
                <w:sz w:val="20"/>
                <w:szCs w:val="20"/>
                <w:highlight w:val="none"/>
              </w:rPr>
            </w:pPr>
            <w:r>
              <w:rPr>
                <w:color w:val="auto"/>
                <w:spacing w:val="-2"/>
                <w:sz w:val="20"/>
                <w:szCs w:val="20"/>
                <w:highlight w:val="none"/>
              </w:rPr>
              <w:t>竞争性磋商文件的商务需求</w:t>
            </w:r>
          </w:p>
        </w:tc>
        <w:tc>
          <w:tcPr>
            <w:tcW w:w="3194" w:type="dxa"/>
            <w:vAlign w:val="top"/>
          </w:tcPr>
          <w:p w14:paraId="767A6610">
            <w:pPr>
              <w:pStyle w:val="20"/>
              <w:spacing w:before="242" w:line="220" w:lineRule="auto"/>
              <w:ind w:left="297"/>
              <w:rPr>
                <w:color w:val="auto"/>
                <w:sz w:val="20"/>
                <w:szCs w:val="20"/>
                <w:highlight w:val="none"/>
              </w:rPr>
            </w:pPr>
            <w:r>
              <w:rPr>
                <w:color w:val="auto"/>
                <w:spacing w:val="-2"/>
                <w:sz w:val="20"/>
                <w:szCs w:val="20"/>
                <w:highlight w:val="none"/>
              </w:rPr>
              <w:t>响应文件承诺的商务条款</w:t>
            </w:r>
          </w:p>
        </w:tc>
        <w:tc>
          <w:tcPr>
            <w:tcW w:w="1278" w:type="dxa"/>
            <w:vAlign w:val="top"/>
          </w:tcPr>
          <w:p w14:paraId="530129A2">
            <w:pPr>
              <w:pStyle w:val="20"/>
              <w:spacing w:before="242" w:line="220" w:lineRule="auto"/>
              <w:ind w:left="165"/>
              <w:rPr>
                <w:color w:val="auto"/>
                <w:sz w:val="20"/>
                <w:szCs w:val="20"/>
                <w:highlight w:val="none"/>
              </w:rPr>
            </w:pPr>
            <w:r>
              <w:rPr>
                <w:color w:val="auto"/>
                <w:spacing w:val="-3"/>
                <w:sz w:val="20"/>
                <w:szCs w:val="20"/>
                <w:highlight w:val="none"/>
              </w:rPr>
              <w:t>偏离说明</w:t>
            </w:r>
          </w:p>
        </w:tc>
      </w:tr>
      <w:tr w14:paraId="030B2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95" w:type="dxa"/>
            <w:vAlign w:val="top"/>
          </w:tcPr>
          <w:p w14:paraId="7AD3F65F">
            <w:pPr>
              <w:pStyle w:val="20"/>
              <w:spacing w:before="66" w:line="242" w:lineRule="auto"/>
              <w:ind w:left="134"/>
              <w:rPr>
                <w:color w:val="auto"/>
                <w:sz w:val="20"/>
                <w:szCs w:val="20"/>
                <w:highlight w:val="none"/>
              </w:rPr>
            </w:pPr>
            <w:r>
              <w:rPr>
                <w:color w:val="auto"/>
                <w:sz w:val="20"/>
                <w:szCs w:val="20"/>
                <w:highlight w:val="none"/>
              </w:rPr>
              <w:t>1</w:t>
            </w:r>
          </w:p>
        </w:tc>
        <w:tc>
          <w:tcPr>
            <w:tcW w:w="3447" w:type="dxa"/>
            <w:vAlign w:val="top"/>
          </w:tcPr>
          <w:p w14:paraId="06F24563">
            <w:pPr>
              <w:pStyle w:val="20"/>
              <w:spacing w:before="66" w:line="242" w:lineRule="auto"/>
              <w:ind w:left="130"/>
              <w:rPr>
                <w:color w:val="auto"/>
                <w:sz w:val="20"/>
                <w:szCs w:val="20"/>
                <w:highlight w:val="none"/>
              </w:rPr>
            </w:pPr>
            <w:r>
              <w:rPr>
                <w:color w:val="auto"/>
                <w:spacing w:val="-18"/>
                <w:sz w:val="20"/>
                <w:szCs w:val="20"/>
                <w:highlight w:val="none"/>
              </w:rPr>
              <w:t>1</w:t>
            </w:r>
            <w:r>
              <w:rPr>
                <w:color w:val="auto"/>
                <w:spacing w:val="12"/>
                <w:sz w:val="20"/>
                <w:szCs w:val="20"/>
                <w:highlight w:val="none"/>
              </w:rPr>
              <w:t xml:space="preserve">  </w:t>
            </w:r>
            <w:r>
              <w:rPr>
                <w:color w:val="auto"/>
                <w:spacing w:val="-18"/>
                <w:sz w:val="20"/>
                <w:szCs w:val="20"/>
                <w:highlight w:val="none"/>
              </w:rPr>
              <w:t>……</w:t>
            </w:r>
          </w:p>
          <w:p w14:paraId="034BC35E">
            <w:pPr>
              <w:pStyle w:val="20"/>
              <w:spacing w:before="26" w:line="242" w:lineRule="auto"/>
              <w:ind w:left="115"/>
              <w:rPr>
                <w:color w:val="auto"/>
                <w:sz w:val="20"/>
                <w:szCs w:val="20"/>
                <w:highlight w:val="none"/>
              </w:rPr>
            </w:pPr>
            <w:r>
              <w:rPr>
                <w:color w:val="auto"/>
                <w:spacing w:val="-13"/>
                <w:sz w:val="20"/>
                <w:szCs w:val="20"/>
                <w:highlight w:val="none"/>
              </w:rPr>
              <w:t>2</w:t>
            </w:r>
            <w:r>
              <w:rPr>
                <w:color w:val="auto"/>
                <w:spacing w:val="12"/>
                <w:sz w:val="20"/>
                <w:szCs w:val="20"/>
                <w:highlight w:val="none"/>
              </w:rPr>
              <w:t xml:space="preserve">  </w:t>
            </w:r>
            <w:r>
              <w:rPr>
                <w:color w:val="auto"/>
                <w:spacing w:val="-13"/>
                <w:sz w:val="20"/>
                <w:szCs w:val="20"/>
                <w:highlight w:val="none"/>
              </w:rPr>
              <w:t>……</w:t>
            </w:r>
          </w:p>
          <w:p w14:paraId="36B830D3">
            <w:pPr>
              <w:pStyle w:val="20"/>
              <w:spacing w:before="26"/>
              <w:ind w:left="117"/>
              <w:rPr>
                <w:color w:val="auto"/>
                <w:sz w:val="20"/>
                <w:szCs w:val="20"/>
                <w:highlight w:val="none"/>
              </w:rPr>
            </w:pPr>
            <w:r>
              <w:rPr>
                <w:color w:val="auto"/>
                <w:spacing w:val="-13"/>
                <w:sz w:val="20"/>
                <w:szCs w:val="20"/>
                <w:highlight w:val="none"/>
              </w:rPr>
              <w:t>3</w:t>
            </w:r>
            <w:r>
              <w:rPr>
                <w:color w:val="auto"/>
                <w:spacing w:val="12"/>
                <w:sz w:val="20"/>
                <w:szCs w:val="20"/>
                <w:highlight w:val="none"/>
              </w:rPr>
              <w:t xml:space="preserve">  </w:t>
            </w:r>
            <w:r>
              <w:rPr>
                <w:color w:val="auto"/>
                <w:spacing w:val="-13"/>
                <w:sz w:val="20"/>
                <w:szCs w:val="20"/>
                <w:highlight w:val="none"/>
              </w:rPr>
              <w:t>……</w:t>
            </w:r>
          </w:p>
          <w:p w14:paraId="44C13FB1">
            <w:pPr>
              <w:spacing w:before="118" w:line="56" w:lineRule="exact"/>
              <w:ind w:firstLine="128"/>
              <w:rPr>
                <w:color w:val="auto"/>
                <w:sz w:val="20"/>
                <w:szCs w:val="20"/>
                <w:highlight w:val="none"/>
              </w:rPr>
            </w:pPr>
            <w:r>
              <w:rPr>
                <w:color w:val="auto"/>
                <w:position w:val="-1"/>
                <w:sz w:val="20"/>
                <w:szCs w:val="20"/>
                <w:highlight w:val="none"/>
              </w:rPr>
              <w:drawing>
                <wp:inline distT="0" distB="0" distL="0" distR="0">
                  <wp:extent cx="263525" cy="349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1"/>
                          <a:stretch>
                            <a:fillRect/>
                          </a:stretch>
                        </pic:blipFill>
                        <pic:spPr>
                          <a:xfrm>
                            <a:off x="0" y="0"/>
                            <a:ext cx="264102" cy="35274"/>
                          </a:xfrm>
                          <a:prstGeom prst="rect">
                            <a:avLst/>
                          </a:prstGeom>
                        </pic:spPr>
                      </pic:pic>
                    </a:graphicData>
                  </a:graphic>
                </wp:inline>
              </w:drawing>
            </w:r>
          </w:p>
        </w:tc>
        <w:tc>
          <w:tcPr>
            <w:tcW w:w="3194" w:type="dxa"/>
            <w:vAlign w:val="top"/>
          </w:tcPr>
          <w:p w14:paraId="29789DD9">
            <w:pPr>
              <w:pStyle w:val="20"/>
              <w:spacing w:before="66" w:line="242" w:lineRule="auto"/>
              <w:ind w:left="132"/>
              <w:rPr>
                <w:color w:val="auto"/>
                <w:sz w:val="20"/>
                <w:szCs w:val="20"/>
                <w:highlight w:val="none"/>
              </w:rPr>
            </w:pPr>
            <w:r>
              <w:rPr>
                <w:color w:val="auto"/>
                <w:spacing w:val="-18"/>
                <w:sz w:val="20"/>
                <w:szCs w:val="20"/>
                <w:highlight w:val="none"/>
              </w:rPr>
              <w:t>1</w:t>
            </w:r>
            <w:r>
              <w:rPr>
                <w:color w:val="auto"/>
                <w:spacing w:val="12"/>
                <w:sz w:val="20"/>
                <w:szCs w:val="20"/>
                <w:highlight w:val="none"/>
              </w:rPr>
              <w:t xml:space="preserve">  </w:t>
            </w:r>
            <w:r>
              <w:rPr>
                <w:color w:val="auto"/>
                <w:spacing w:val="-18"/>
                <w:sz w:val="20"/>
                <w:szCs w:val="20"/>
                <w:highlight w:val="none"/>
              </w:rPr>
              <w:t>……</w:t>
            </w:r>
          </w:p>
          <w:p w14:paraId="6943499C">
            <w:pPr>
              <w:pStyle w:val="20"/>
              <w:spacing w:before="26" w:line="242" w:lineRule="auto"/>
              <w:ind w:left="117"/>
              <w:rPr>
                <w:color w:val="auto"/>
                <w:sz w:val="20"/>
                <w:szCs w:val="20"/>
                <w:highlight w:val="none"/>
              </w:rPr>
            </w:pPr>
            <w:r>
              <w:rPr>
                <w:color w:val="auto"/>
                <w:spacing w:val="-13"/>
                <w:sz w:val="20"/>
                <w:szCs w:val="20"/>
                <w:highlight w:val="none"/>
              </w:rPr>
              <w:t>2</w:t>
            </w:r>
            <w:r>
              <w:rPr>
                <w:color w:val="auto"/>
                <w:spacing w:val="12"/>
                <w:sz w:val="20"/>
                <w:szCs w:val="20"/>
                <w:highlight w:val="none"/>
              </w:rPr>
              <w:t xml:space="preserve">  </w:t>
            </w:r>
            <w:r>
              <w:rPr>
                <w:color w:val="auto"/>
                <w:spacing w:val="-13"/>
                <w:sz w:val="20"/>
                <w:szCs w:val="20"/>
                <w:highlight w:val="none"/>
              </w:rPr>
              <w:t>……</w:t>
            </w:r>
          </w:p>
          <w:p w14:paraId="4EBD2DCF">
            <w:pPr>
              <w:pStyle w:val="20"/>
              <w:spacing w:before="26"/>
              <w:ind w:left="119"/>
              <w:rPr>
                <w:color w:val="auto"/>
                <w:sz w:val="20"/>
                <w:szCs w:val="20"/>
                <w:highlight w:val="none"/>
              </w:rPr>
            </w:pPr>
            <w:r>
              <w:rPr>
                <w:color w:val="auto"/>
                <w:spacing w:val="-13"/>
                <w:sz w:val="20"/>
                <w:szCs w:val="20"/>
                <w:highlight w:val="none"/>
              </w:rPr>
              <w:t>3</w:t>
            </w:r>
            <w:r>
              <w:rPr>
                <w:color w:val="auto"/>
                <w:spacing w:val="12"/>
                <w:sz w:val="20"/>
                <w:szCs w:val="20"/>
                <w:highlight w:val="none"/>
              </w:rPr>
              <w:t xml:space="preserve">  </w:t>
            </w:r>
            <w:r>
              <w:rPr>
                <w:color w:val="auto"/>
                <w:spacing w:val="-13"/>
                <w:sz w:val="20"/>
                <w:szCs w:val="20"/>
                <w:highlight w:val="none"/>
              </w:rPr>
              <w:t>……</w:t>
            </w:r>
          </w:p>
          <w:p w14:paraId="52F0FD0E">
            <w:pPr>
              <w:spacing w:before="118" w:line="56" w:lineRule="exact"/>
              <w:ind w:firstLine="129"/>
              <w:rPr>
                <w:color w:val="auto"/>
                <w:sz w:val="20"/>
                <w:szCs w:val="20"/>
                <w:highlight w:val="none"/>
              </w:rPr>
            </w:pPr>
            <w:r>
              <w:rPr>
                <w:color w:val="auto"/>
                <w:position w:val="-1"/>
                <w:sz w:val="20"/>
                <w:szCs w:val="20"/>
                <w:highlight w:val="none"/>
              </w:rPr>
              <w:drawing>
                <wp:inline distT="0" distB="0" distL="0" distR="0">
                  <wp:extent cx="276860" cy="349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1"/>
                          <a:stretch>
                            <a:fillRect/>
                          </a:stretch>
                        </pic:blipFill>
                        <pic:spPr>
                          <a:xfrm>
                            <a:off x="0" y="0"/>
                            <a:ext cx="277202" cy="35274"/>
                          </a:xfrm>
                          <a:prstGeom prst="rect">
                            <a:avLst/>
                          </a:prstGeom>
                        </pic:spPr>
                      </pic:pic>
                    </a:graphicData>
                  </a:graphic>
                </wp:inline>
              </w:drawing>
            </w:r>
          </w:p>
        </w:tc>
        <w:tc>
          <w:tcPr>
            <w:tcW w:w="1278" w:type="dxa"/>
            <w:vAlign w:val="top"/>
          </w:tcPr>
          <w:p w14:paraId="00BD0A05">
            <w:pPr>
              <w:rPr>
                <w:rFonts w:ascii="Arial"/>
                <w:color w:val="auto"/>
                <w:sz w:val="20"/>
                <w:szCs w:val="20"/>
                <w:highlight w:val="none"/>
              </w:rPr>
            </w:pPr>
          </w:p>
        </w:tc>
      </w:tr>
      <w:tr w14:paraId="45A90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6" w:hRule="atLeast"/>
        </w:trPr>
        <w:tc>
          <w:tcPr>
            <w:tcW w:w="695" w:type="dxa"/>
            <w:vAlign w:val="top"/>
          </w:tcPr>
          <w:p w14:paraId="745441C7">
            <w:pPr>
              <w:pStyle w:val="20"/>
              <w:spacing w:before="246" w:line="99" w:lineRule="exact"/>
              <w:ind w:left="123"/>
              <w:rPr>
                <w:color w:val="auto"/>
                <w:sz w:val="20"/>
                <w:szCs w:val="20"/>
                <w:highlight w:val="none"/>
              </w:rPr>
            </w:pPr>
            <w:r>
              <w:rPr>
                <w:color w:val="auto"/>
                <w:position w:val="1"/>
                <w:sz w:val="20"/>
                <w:szCs w:val="20"/>
                <w:highlight w:val="none"/>
              </w:rPr>
              <w:t>...</w:t>
            </w:r>
          </w:p>
        </w:tc>
        <w:tc>
          <w:tcPr>
            <w:tcW w:w="3447" w:type="dxa"/>
            <w:vAlign w:val="top"/>
          </w:tcPr>
          <w:p w14:paraId="44F26619">
            <w:pPr>
              <w:pStyle w:val="20"/>
              <w:spacing w:before="69" w:line="242" w:lineRule="auto"/>
              <w:ind w:left="130"/>
              <w:rPr>
                <w:color w:val="auto"/>
                <w:sz w:val="20"/>
                <w:szCs w:val="20"/>
                <w:highlight w:val="none"/>
              </w:rPr>
            </w:pPr>
            <w:r>
              <w:rPr>
                <w:color w:val="auto"/>
                <w:spacing w:val="-18"/>
                <w:sz w:val="20"/>
                <w:szCs w:val="20"/>
                <w:highlight w:val="none"/>
              </w:rPr>
              <w:t>1</w:t>
            </w:r>
            <w:r>
              <w:rPr>
                <w:color w:val="auto"/>
                <w:spacing w:val="12"/>
                <w:sz w:val="20"/>
                <w:szCs w:val="20"/>
                <w:highlight w:val="none"/>
              </w:rPr>
              <w:t xml:space="preserve">  </w:t>
            </w:r>
            <w:r>
              <w:rPr>
                <w:color w:val="auto"/>
                <w:spacing w:val="-18"/>
                <w:sz w:val="20"/>
                <w:szCs w:val="20"/>
                <w:highlight w:val="none"/>
              </w:rPr>
              <w:t>……</w:t>
            </w:r>
          </w:p>
          <w:p w14:paraId="62615530">
            <w:pPr>
              <w:pStyle w:val="20"/>
              <w:spacing w:before="26" w:line="242" w:lineRule="auto"/>
              <w:ind w:left="115"/>
              <w:rPr>
                <w:color w:val="auto"/>
                <w:sz w:val="20"/>
                <w:szCs w:val="20"/>
                <w:highlight w:val="none"/>
              </w:rPr>
            </w:pPr>
            <w:r>
              <w:rPr>
                <w:color w:val="auto"/>
                <w:spacing w:val="-13"/>
                <w:sz w:val="20"/>
                <w:szCs w:val="20"/>
                <w:highlight w:val="none"/>
              </w:rPr>
              <w:t>2</w:t>
            </w:r>
            <w:r>
              <w:rPr>
                <w:color w:val="auto"/>
                <w:spacing w:val="12"/>
                <w:sz w:val="20"/>
                <w:szCs w:val="20"/>
                <w:highlight w:val="none"/>
              </w:rPr>
              <w:t xml:space="preserve">  </w:t>
            </w:r>
            <w:r>
              <w:rPr>
                <w:color w:val="auto"/>
                <w:spacing w:val="-13"/>
                <w:sz w:val="20"/>
                <w:szCs w:val="20"/>
                <w:highlight w:val="none"/>
              </w:rPr>
              <w:t>……</w:t>
            </w:r>
          </w:p>
          <w:p w14:paraId="0D5EFF0D">
            <w:pPr>
              <w:pStyle w:val="20"/>
              <w:spacing w:before="24"/>
              <w:ind w:left="117"/>
              <w:rPr>
                <w:color w:val="auto"/>
                <w:sz w:val="20"/>
                <w:szCs w:val="20"/>
                <w:highlight w:val="none"/>
              </w:rPr>
            </w:pPr>
            <w:r>
              <w:rPr>
                <w:color w:val="auto"/>
                <w:spacing w:val="-13"/>
                <w:sz w:val="20"/>
                <w:szCs w:val="20"/>
                <w:highlight w:val="none"/>
              </w:rPr>
              <w:t>3</w:t>
            </w:r>
            <w:r>
              <w:rPr>
                <w:color w:val="auto"/>
                <w:spacing w:val="12"/>
                <w:sz w:val="20"/>
                <w:szCs w:val="20"/>
                <w:highlight w:val="none"/>
              </w:rPr>
              <w:t xml:space="preserve">  </w:t>
            </w:r>
            <w:r>
              <w:rPr>
                <w:color w:val="auto"/>
                <w:spacing w:val="-13"/>
                <w:sz w:val="20"/>
                <w:szCs w:val="20"/>
                <w:highlight w:val="none"/>
              </w:rPr>
              <w:t>……</w:t>
            </w:r>
          </w:p>
          <w:p w14:paraId="2CC04CC5">
            <w:pPr>
              <w:spacing w:before="121" w:line="55" w:lineRule="exact"/>
              <w:ind w:firstLine="128"/>
              <w:rPr>
                <w:color w:val="auto"/>
                <w:sz w:val="20"/>
                <w:szCs w:val="20"/>
                <w:highlight w:val="none"/>
              </w:rPr>
            </w:pPr>
            <w:r>
              <w:rPr>
                <w:color w:val="auto"/>
                <w:position w:val="-1"/>
                <w:sz w:val="20"/>
                <w:szCs w:val="20"/>
                <w:highlight w:val="none"/>
              </w:rPr>
              <w:drawing>
                <wp:inline distT="0" distB="0" distL="0" distR="0">
                  <wp:extent cx="263525" cy="349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2"/>
                          <a:stretch>
                            <a:fillRect/>
                          </a:stretch>
                        </pic:blipFill>
                        <pic:spPr>
                          <a:xfrm>
                            <a:off x="0" y="0"/>
                            <a:ext cx="264102" cy="35274"/>
                          </a:xfrm>
                          <a:prstGeom prst="rect">
                            <a:avLst/>
                          </a:prstGeom>
                        </pic:spPr>
                      </pic:pic>
                    </a:graphicData>
                  </a:graphic>
                </wp:inline>
              </w:drawing>
            </w:r>
          </w:p>
        </w:tc>
        <w:tc>
          <w:tcPr>
            <w:tcW w:w="3194" w:type="dxa"/>
            <w:vAlign w:val="top"/>
          </w:tcPr>
          <w:p w14:paraId="2488F3B9">
            <w:pPr>
              <w:pStyle w:val="20"/>
              <w:spacing w:before="69" w:line="242" w:lineRule="auto"/>
              <w:ind w:left="132"/>
              <w:rPr>
                <w:color w:val="auto"/>
                <w:sz w:val="20"/>
                <w:szCs w:val="20"/>
                <w:highlight w:val="none"/>
              </w:rPr>
            </w:pPr>
            <w:r>
              <w:rPr>
                <w:color w:val="auto"/>
                <w:spacing w:val="-18"/>
                <w:sz w:val="20"/>
                <w:szCs w:val="20"/>
                <w:highlight w:val="none"/>
              </w:rPr>
              <w:t>1</w:t>
            </w:r>
            <w:r>
              <w:rPr>
                <w:color w:val="auto"/>
                <w:spacing w:val="12"/>
                <w:sz w:val="20"/>
                <w:szCs w:val="20"/>
                <w:highlight w:val="none"/>
              </w:rPr>
              <w:t xml:space="preserve">  </w:t>
            </w:r>
            <w:r>
              <w:rPr>
                <w:color w:val="auto"/>
                <w:spacing w:val="-18"/>
                <w:sz w:val="20"/>
                <w:szCs w:val="20"/>
                <w:highlight w:val="none"/>
              </w:rPr>
              <w:t>……</w:t>
            </w:r>
          </w:p>
          <w:p w14:paraId="1D6D32F2">
            <w:pPr>
              <w:pStyle w:val="20"/>
              <w:spacing w:before="26" w:line="242" w:lineRule="auto"/>
              <w:ind w:left="117"/>
              <w:rPr>
                <w:color w:val="auto"/>
                <w:sz w:val="20"/>
                <w:szCs w:val="20"/>
                <w:highlight w:val="none"/>
              </w:rPr>
            </w:pPr>
            <w:r>
              <w:rPr>
                <w:color w:val="auto"/>
                <w:spacing w:val="-13"/>
                <w:sz w:val="20"/>
                <w:szCs w:val="20"/>
                <w:highlight w:val="none"/>
              </w:rPr>
              <w:t>2</w:t>
            </w:r>
            <w:r>
              <w:rPr>
                <w:color w:val="auto"/>
                <w:spacing w:val="12"/>
                <w:sz w:val="20"/>
                <w:szCs w:val="20"/>
                <w:highlight w:val="none"/>
              </w:rPr>
              <w:t xml:space="preserve">  </w:t>
            </w:r>
            <w:r>
              <w:rPr>
                <w:color w:val="auto"/>
                <w:spacing w:val="-13"/>
                <w:sz w:val="20"/>
                <w:szCs w:val="20"/>
                <w:highlight w:val="none"/>
              </w:rPr>
              <w:t>……</w:t>
            </w:r>
          </w:p>
          <w:p w14:paraId="27ED2192">
            <w:pPr>
              <w:pStyle w:val="20"/>
              <w:spacing w:before="24"/>
              <w:ind w:left="119"/>
              <w:rPr>
                <w:color w:val="auto"/>
                <w:sz w:val="20"/>
                <w:szCs w:val="20"/>
                <w:highlight w:val="none"/>
              </w:rPr>
            </w:pPr>
            <w:r>
              <w:rPr>
                <w:color w:val="auto"/>
                <w:spacing w:val="-13"/>
                <w:sz w:val="20"/>
                <w:szCs w:val="20"/>
                <w:highlight w:val="none"/>
              </w:rPr>
              <w:t>3</w:t>
            </w:r>
            <w:r>
              <w:rPr>
                <w:color w:val="auto"/>
                <w:spacing w:val="12"/>
                <w:sz w:val="20"/>
                <w:szCs w:val="20"/>
                <w:highlight w:val="none"/>
              </w:rPr>
              <w:t xml:space="preserve">  </w:t>
            </w:r>
            <w:r>
              <w:rPr>
                <w:color w:val="auto"/>
                <w:spacing w:val="-13"/>
                <w:sz w:val="20"/>
                <w:szCs w:val="20"/>
                <w:highlight w:val="none"/>
              </w:rPr>
              <w:t>……</w:t>
            </w:r>
          </w:p>
          <w:p w14:paraId="0B63C883">
            <w:pPr>
              <w:spacing w:before="121" w:line="55" w:lineRule="exact"/>
              <w:ind w:firstLine="129"/>
              <w:rPr>
                <w:color w:val="auto"/>
                <w:sz w:val="20"/>
                <w:szCs w:val="20"/>
                <w:highlight w:val="none"/>
              </w:rPr>
            </w:pPr>
            <w:r>
              <w:rPr>
                <w:color w:val="auto"/>
                <w:position w:val="-1"/>
                <w:sz w:val="20"/>
                <w:szCs w:val="20"/>
                <w:highlight w:val="none"/>
              </w:rPr>
              <w:drawing>
                <wp:inline distT="0" distB="0" distL="0" distR="0">
                  <wp:extent cx="276860" cy="349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2"/>
                          <a:stretch>
                            <a:fillRect/>
                          </a:stretch>
                        </pic:blipFill>
                        <pic:spPr>
                          <a:xfrm>
                            <a:off x="0" y="0"/>
                            <a:ext cx="277202" cy="35274"/>
                          </a:xfrm>
                          <a:prstGeom prst="rect">
                            <a:avLst/>
                          </a:prstGeom>
                        </pic:spPr>
                      </pic:pic>
                    </a:graphicData>
                  </a:graphic>
                </wp:inline>
              </w:drawing>
            </w:r>
          </w:p>
        </w:tc>
        <w:tc>
          <w:tcPr>
            <w:tcW w:w="1278" w:type="dxa"/>
            <w:vAlign w:val="top"/>
          </w:tcPr>
          <w:p w14:paraId="52B219BF">
            <w:pPr>
              <w:rPr>
                <w:rFonts w:ascii="Arial"/>
                <w:color w:val="auto"/>
                <w:sz w:val="20"/>
                <w:szCs w:val="20"/>
                <w:highlight w:val="none"/>
              </w:rPr>
            </w:pPr>
          </w:p>
        </w:tc>
      </w:tr>
    </w:tbl>
    <w:p w14:paraId="316CD0CE">
      <w:pPr>
        <w:spacing w:before="142" w:line="231" w:lineRule="auto"/>
        <w:rPr>
          <w:rFonts w:ascii="宋体" w:hAnsi="宋体" w:eastAsia="宋体" w:cs="宋体"/>
          <w:color w:val="auto"/>
          <w:sz w:val="20"/>
          <w:szCs w:val="20"/>
          <w:highlight w:val="none"/>
        </w:rPr>
      </w:pPr>
      <w:r>
        <w:rPr>
          <w:rFonts w:ascii="宋体" w:hAnsi="宋体" w:eastAsia="宋体" w:cs="宋体"/>
          <w:color w:val="auto"/>
          <w:sz w:val="20"/>
          <w:szCs w:val="20"/>
          <w:highlight w:val="none"/>
        </w:rPr>
        <w:t>注：</w:t>
      </w:r>
    </w:p>
    <w:p w14:paraId="5204873A">
      <w:pPr>
        <w:spacing w:before="148" w:line="228" w:lineRule="auto"/>
        <w:ind w:left="15"/>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1.说明：应对照磋商文件“第二章 采购需求</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”中的商务条款逐条作出明确响应，并作出偏离说明。</w:t>
      </w:r>
    </w:p>
    <w:p w14:paraId="5A0F8A36">
      <w:pPr>
        <w:spacing w:before="154" w:line="321" w:lineRule="auto"/>
        <w:ind w:left="2"/>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2.供应商应根据自身的承诺，对照磋商文件要求，在“偏离说明</w:t>
      </w:r>
      <w:r>
        <w:rPr>
          <w:rFonts w:ascii="宋体" w:hAnsi="宋体" w:eastAsia="宋体" w:cs="宋体"/>
          <w:color w:val="auto"/>
          <w:spacing w:val="-70"/>
          <w:sz w:val="20"/>
          <w:szCs w:val="20"/>
          <w:highlight w:val="none"/>
        </w:rPr>
        <w:t xml:space="preserve"> </w:t>
      </w:r>
      <w:r>
        <w:rPr>
          <w:rFonts w:ascii="宋体" w:hAnsi="宋体" w:eastAsia="宋体" w:cs="宋体"/>
          <w:color w:val="auto"/>
          <w:spacing w:val="10"/>
          <w:sz w:val="20"/>
          <w:szCs w:val="20"/>
          <w:highlight w:val="none"/>
        </w:rPr>
        <w:t>”中注明“正偏</w:t>
      </w:r>
      <w:r>
        <w:rPr>
          <w:rFonts w:ascii="宋体" w:hAnsi="宋体" w:eastAsia="宋体" w:cs="宋体"/>
          <w:color w:val="auto"/>
          <w:spacing w:val="9"/>
          <w:sz w:val="20"/>
          <w:szCs w:val="20"/>
          <w:highlight w:val="none"/>
        </w:rPr>
        <w:t>离</w:t>
      </w:r>
      <w:r>
        <w:rPr>
          <w:rFonts w:ascii="宋体" w:hAnsi="宋体" w:eastAsia="宋体" w:cs="宋体"/>
          <w:color w:val="auto"/>
          <w:spacing w:val="-73"/>
          <w:sz w:val="20"/>
          <w:szCs w:val="20"/>
          <w:highlight w:val="none"/>
        </w:rPr>
        <w:t xml:space="preserve"> </w:t>
      </w:r>
      <w:r>
        <w:rPr>
          <w:rFonts w:ascii="宋体" w:hAnsi="宋体" w:eastAsia="宋体" w:cs="宋体"/>
          <w:color w:val="auto"/>
          <w:spacing w:val="9"/>
          <w:sz w:val="20"/>
          <w:szCs w:val="20"/>
          <w:highlight w:val="none"/>
        </w:rPr>
        <w:t>”、“负偏离</w:t>
      </w:r>
      <w:r>
        <w:rPr>
          <w:rFonts w:ascii="宋体" w:hAnsi="宋体" w:eastAsia="宋体" w:cs="宋体"/>
          <w:color w:val="auto"/>
          <w:spacing w:val="-72"/>
          <w:sz w:val="20"/>
          <w:szCs w:val="20"/>
          <w:highlight w:val="none"/>
        </w:rPr>
        <w:t xml:space="preserve"> </w:t>
      </w:r>
      <w:r>
        <w:rPr>
          <w:rFonts w:ascii="宋体" w:hAnsi="宋体" w:eastAsia="宋体" w:cs="宋体"/>
          <w:color w:val="auto"/>
          <w:spacing w:val="9"/>
          <w:sz w:val="20"/>
          <w:szCs w:val="20"/>
          <w:highlight w:val="none"/>
        </w:rPr>
        <w:t>”</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rPr>
        <w:t>或者“无偏离</w:t>
      </w:r>
      <w:r>
        <w:rPr>
          <w:rFonts w:ascii="宋体" w:hAnsi="宋体" w:eastAsia="宋体" w:cs="宋体"/>
          <w:color w:val="auto"/>
          <w:spacing w:val="-61"/>
          <w:sz w:val="20"/>
          <w:szCs w:val="20"/>
          <w:highlight w:val="none"/>
        </w:rPr>
        <w:t xml:space="preserve"> </w:t>
      </w:r>
      <w:r>
        <w:rPr>
          <w:rFonts w:ascii="宋体" w:hAnsi="宋体" w:eastAsia="宋体" w:cs="宋体"/>
          <w:color w:val="auto"/>
          <w:spacing w:val="8"/>
          <w:sz w:val="20"/>
          <w:szCs w:val="20"/>
          <w:highlight w:val="none"/>
        </w:rPr>
        <w:t>”。既不属于“正偏离</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”也不属于“负偏离</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”即为“无偏离</w:t>
      </w:r>
      <w:r>
        <w:rPr>
          <w:rFonts w:ascii="宋体" w:hAnsi="宋体" w:eastAsia="宋体" w:cs="宋体"/>
          <w:color w:val="auto"/>
          <w:spacing w:val="-68"/>
          <w:sz w:val="20"/>
          <w:szCs w:val="20"/>
          <w:highlight w:val="none"/>
        </w:rPr>
        <w:t xml:space="preserve"> </w:t>
      </w:r>
      <w:r>
        <w:rPr>
          <w:rFonts w:ascii="宋体" w:hAnsi="宋体" w:eastAsia="宋体" w:cs="宋体"/>
          <w:color w:val="auto"/>
          <w:spacing w:val="8"/>
          <w:sz w:val="20"/>
          <w:szCs w:val="20"/>
          <w:highlight w:val="none"/>
        </w:rPr>
        <w:t>”。</w:t>
      </w:r>
      <w:r>
        <w:rPr>
          <w:rFonts w:ascii="宋体" w:hAnsi="宋体" w:eastAsia="宋体" w:cs="宋体"/>
          <w:color w:val="auto"/>
          <w:spacing w:val="38"/>
          <w:sz w:val="20"/>
          <w:szCs w:val="20"/>
          <w:highlight w:val="none"/>
        </w:rPr>
        <w:t xml:space="preserve"> </w:t>
      </w:r>
      <w:r>
        <w:rPr>
          <w:rFonts w:ascii="宋体" w:hAnsi="宋体" w:eastAsia="宋体" w:cs="宋体"/>
          <w:color w:val="auto"/>
          <w:spacing w:val="8"/>
          <w:sz w:val="20"/>
          <w:szCs w:val="20"/>
          <w:highlight w:val="none"/>
        </w:rPr>
        <w:t>当响应文件的商务</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内容低于竞争性磋商文件要求时，竞标人应当如实写明“负偏离</w:t>
      </w:r>
      <w:r>
        <w:rPr>
          <w:rFonts w:ascii="宋体" w:hAnsi="宋体" w:eastAsia="宋体" w:cs="宋体"/>
          <w:color w:val="auto"/>
          <w:spacing w:val="-72"/>
          <w:sz w:val="20"/>
          <w:szCs w:val="20"/>
          <w:highlight w:val="none"/>
        </w:rPr>
        <w:t xml:space="preserve"> </w:t>
      </w:r>
      <w:r>
        <w:rPr>
          <w:rFonts w:ascii="宋体" w:hAnsi="宋体" w:eastAsia="宋体" w:cs="宋体"/>
          <w:color w:val="auto"/>
          <w:spacing w:val="8"/>
          <w:sz w:val="20"/>
          <w:szCs w:val="20"/>
          <w:highlight w:val="none"/>
        </w:rPr>
        <w:t>”，否则视为虚假应标。</w:t>
      </w:r>
    </w:p>
    <w:p w14:paraId="613D109B">
      <w:pPr>
        <w:spacing w:before="157" w:line="226" w:lineRule="auto"/>
        <w:ind w:left="4"/>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3.表格内容均需按要求填写，不得留空，否则按竞</w:t>
      </w:r>
      <w:r>
        <w:rPr>
          <w:rFonts w:ascii="宋体" w:hAnsi="宋体" w:eastAsia="宋体" w:cs="宋体"/>
          <w:color w:val="auto"/>
          <w:spacing w:val="8"/>
          <w:sz w:val="20"/>
          <w:szCs w:val="20"/>
          <w:highlight w:val="none"/>
        </w:rPr>
        <w:t>标无效处理。</w:t>
      </w:r>
    </w:p>
    <w:p w14:paraId="3CC3DBF2">
      <w:pPr>
        <w:pStyle w:val="6"/>
        <w:spacing w:line="272" w:lineRule="auto"/>
        <w:rPr>
          <w:color w:val="auto"/>
          <w:sz w:val="20"/>
          <w:szCs w:val="20"/>
          <w:highlight w:val="none"/>
        </w:rPr>
      </w:pPr>
    </w:p>
    <w:p w14:paraId="47C2ABC9">
      <w:pPr>
        <w:pStyle w:val="6"/>
        <w:spacing w:line="272" w:lineRule="auto"/>
        <w:rPr>
          <w:color w:val="auto"/>
          <w:sz w:val="20"/>
          <w:szCs w:val="20"/>
          <w:highlight w:val="none"/>
        </w:rPr>
      </w:pPr>
    </w:p>
    <w:p w14:paraId="7636C0B1">
      <w:pPr>
        <w:pStyle w:val="6"/>
        <w:spacing w:line="273" w:lineRule="auto"/>
        <w:rPr>
          <w:color w:val="auto"/>
          <w:sz w:val="20"/>
          <w:szCs w:val="20"/>
          <w:highlight w:val="none"/>
        </w:rPr>
      </w:pPr>
    </w:p>
    <w:p w14:paraId="5E08CADE">
      <w:pPr>
        <w:pStyle w:val="6"/>
        <w:spacing w:line="273" w:lineRule="auto"/>
        <w:rPr>
          <w:color w:val="auto"/>
          <w:sz w:val="20"/>
          <w:szCs w:val="20"/>
          <w:highlight w:val="none"/>
        </w:rPr>
      </w:pPr>
    </w:p>
    <w:p w14:paraId="7D21D572">
      <w:pPr>
        <w:pStyle w:val="6"/>
        <w:spacing w:line="273" w:lineRule="auto"/>
        <w:rPr>
          <w:color w:val="auto"/>
          <w:sz w:val="20"/>
          <w:szCs w:val="20"/>
          <w:highlight w:val="none"/>
        </w:rPr>
      </w:pPr>
    </w:p>
    <w:p w14:paraId="11965F6C">
      <w:pPr>
        <w:spacing w:before="79" w:line="219" w:lineRule="auto"/>
        <w:ind w:left="3841"/>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3DC48BD0">
      <w:pPr>
        <w:spacing w:before="183" w:line="220" w:lineRule="auto"/>
        <w:ind w:left="6112"/>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日期：</w:t>
      </w:r>
      <w:r>
        <w:rPr>
          <w:rFonts w:ascii="宋体" w:hAnsi="宋体" w:eastAsia="宋体" w:cs="宋体"/>
          <w:color w:val="auto"/>
          <w:spacing w:val="5"/>
          <w:sz w:val="20"/>
          <w:szCs w:val="20"/>
          <w:highlight w:val="none"/>
        </w:rPr>
        <w:t xml:space="preserve">  </w:t>
      </w:r>
      <w:r>
        <w:rPr>
          <w:rFonts w:ascii="宋体" w:hAnsi="宋体" w:eastAsia="宋体" w:cs="宋体"/>
          <w:color w:val="auto"/>
          <w:spacing w:val="-13"/>
          <w:sz w:val="20"/>
          <w:szCs w:val="20"/>
          <w:highlight w:val="none"/>
        </w:rPr>
        <w:t>年</w:t>
      </w:r>
      <w:r>
        <w:rPr>
          <w:rFonts w:ascii="宋体" w:hAnsi="宋体" w:eastAsia="宋体" w:cs="宋体"/>
          <w:color w:val="auto"/>
          <w:spacing w:val="8"/>
          <w:sz w:val="20"/>
          <w:szCs w:val="20"/>
          <w:highlight w:val="none"/>
        </w:rPr>
        <w:t xml:space="preserve">  </w:t>
      </w:r>
      <w:r>
        <w:rPr>
          <w:rFonts w:ascii="宋体" w:hAnsi="宋体" w:eastAsia="宋体" w:cs="宋体"/>
          <w:color w:val="auto"/>
          <w:spacing w:val="-13"/>
          <w:sz w:val="20"/>
          <w:szCs w:val="20"/>
          <w:highlight w:val="none"/>
        </w:rPr>
        <w:t>月</w:t>
      </w:r>
      <w:r>
        <w:rPr>
          <w:rFonts w:ascii="宋体" w:hAnsi="宋体" w:eastAsia="宋体" w:cs="宋体"/>
          <w:color w:val="auto"/>
          <w:spacing w:val="25"/>
          <w:sz w:val="20"/>
          <w:szCs w:val="20"/>
          <w:highlight w:val="none"/>
        </w:rPr>
        <w:t xml:space="preserve">  </w:t>
      </w:r>
      <w:r>
        <w:rPr>
          <w:rFonts w:ascii="宋体" w:hAnsi="宋体" w:eastAsia="宋体" w:cs="宋体"/>
          <w:color w:val="auto"/>
          <w:spacing w:val="-13"/>
          <w:sz w:val="20"/>
          <w:szCs w:val="20"/>
          <w:highlight w:val="none"/>
        </w:rPr>
        <w:t>日</w:t>
      </w:r>
    </w:p>
    <w:p w14:paraId="0FD8CA8B">
      <w:pPr>
        <w:spacing w:line="220" w:lineRule="auto"/>
        <w:rPr>
          <w:rFonts w:ascii="宋体" w:hAnsi="宋体" w:eastAsia="宋体" w:cs="宋体"/>
          <w:color w:val="auto"/>
          <w:sz w:val="24"/>
          <w:szCs w:val="24"/>
          <w:highlight w:val="none"/>
        </w:rPr>
        <w:sectPr>
          <w:footerReference r:id="rId56" w:type="default"/>
          <w:pgSz w:w="11910" w:h="16840"/>
          <w:pgMar w:top="400" w:right="1307" w:bottom="1079" w:left="1481" w:header="0" w:footer="843" w:gutter="0"/>
          <w:pgNumType w:fmt="decimal"/>
          <w:cols w:space="720" w:num="1"/>
        </w:sectPr>
      </w:pPr>
    </w:p>
    <w:p w14:paraId="7A9D4301">
      <w:pPr>
        <w:pStyle w:val="6"/>
        <w:spacing w:line="338" w:lineRule="auto"/>
        <w:rPr>
          <w:color w:val="auto"/>
          <w:highlight w:val="none"/>
        </w:rPr>
      </w:pPr>
    </w:p>
    <w:p w14:paraId="2CC273AD">
      <w:pPr>
        <w:pStyle w:val="6"/>
        <w:spacing w:line="338" w:lineRule="auto"/>
        <w:rPr>
          <w:color w:val="auto"/>
          <w:highlight w:val="none"/>
        </w:rPr>
      </w:pPr>
    </w:p>
    <w:p w14:paraId="1DB9F67E">
      <w:pPr>
        <w:spacing w:before="98" w:line="220" w:lineRule="auto"/>
        <w:ind w:left="7"/>
        <w:rPr>
          <w:rFonts w:ascii="宋体" w:hAnsi="宋体" w:eastAsia="宋体" w:cs="宋体"/>
          <w:color w:val="auto"/>
          <w:sz w:val="30"/>
          <w:szCs w:val="30"/>
          <w:highlight w:val="none"/>
        </w:rPr>
      </w:pPr>
      <w:r>
        <w:rPr>
          <w:rFonts w:ascii="宋体" w:hAnsi="宋体" w:eastAsia="宋体" w:cs="宋体"/>
          <w:b/>
          <w:bCs/>
          <w:color w:val="auto"/>
          <w:spacing w:val="-5"/>
          <w:sz w:val="30"/>
          <w:szCs w:val="30"/>
          <w:highlight w:val="none"/>
        </w:rPr>
        <w:t>五、企业概况表</w:t>
      </w:r>
    </w:p>
    <w:p w14:paraId="5DC4A022">
      <w:pPr>
        <w:spacing w:line="181" w:lineRule="exact"/>
        <w:rPr>
          <w:color w:val="auto"/>
          <w:highlight w:val="none"/>
        </w:rPr>
      </w:pPr>
    </w:p>
    <w:tbl>
      <w:tblPr>
        <w:tblStyle w:val="19"/>
        <w:tblW w:w="8812"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2"/>
        <w:gridCol w:w="1317"/>
        <w:gridCol w:w="1381"/>
        <w:gridCol w:w="1399"/>
        <w:gridCol w:w="1512"/>
        <w:gridCol w:w="1191"/>
      </w:tblGrid>
      <w:tr w14:paraId="67A5F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012" w:type="dxa"/>
            <w:vAlign w:val="top"/>
          </w:tcPr>
          <w:p w14:paraId="7690249C">
            <w:pPr>
              <w:spacing w:before="148" w:line="229" w:lineRule="auto"/>
              <w:ind w:left="391"/>
              <w:rPr>
                <w:rFonts w:ascii="仿宋" w:hAnsi="仿宋" w:eastAsia="仿宋" w:cs="仿宋"/>
                <w:color w:val="auto"/>
                <w:sz w:val="20"/>
                <w:szCs w:val="20"/>
                <w:highlight w:val="none"/>
              </w:rPr>
            </w:pPr>
            <w:r>
              <w:rPr>
                <w:rFonts w:ascii="仿宋" w:hAnsi="仿宋" w:eastAsia="仿宋" w:cs="仿宋"/>
                <w:b/>
                <w:bCs/>
                <w:color w:val="auto"/>
                <w:spacing w:val="5"/>
                <w:sz w:val="20"/>
                <w:szCs w:val="20"/>
                <w:highlight w:val="none"/>
              </w:rPr>
              <w:t>企业注册名称</w:t>
            </w:r>
          </w:p>
        </w:tc>
        <w:tc>
          <w:tcPr>
            <w:tcW w:w="4097" w:type="dxa"/>
            <w:gridSpan w:val="3"/>
            <w:vAlign w:val="top"/>
          </w:tcPr>
          <w:p w14:paraId="5879926C">
            <w:pPr>
              <w:rPr>
                <w:rFonts w:ascii="Arial"/>
                <w:color w:val="auto"/>
                <w:sz w:val="20"/>
                <w:szCs w:val="20"/>
                <w:highlight w:val="none"/>
              </w:rPr>
            </w:pPr>
          </w:p>
        </w:tc>
        <w:tc>
          <w:tcPr>
            <w:tcW w:w="1512" w:type="dxa"/>
            <w:vAlign w:val="top"/>
          </w:tcPr>
          <w:p w14:paraId="41280AAB">
            <w:pPr>
              <w:spacing w:before="148" w:line="232" w:lineRule="auto"/>
              <w:ind w:left="364"/>
              <w:rPr>
                <w:rFonts w:ascii="仿宋" w:hAnsi="仿宋" w:eastAsia="仿宋" w:cs="仿宋"/>
                <w:color w:val="auto"/>
                <w:sz w:val="20"/>
                <w:szCs w:val="20"/>
                <w:highlight w:val="none"/>
              </w:rPr>
            </w:pPr>
            <w:r>
              <w:rPr>
                <w:rFonts w:ascii="仿宋" w:hAnsi="仿宋" w:eastAsia="仿宋" w:cs="仿宋"/>
                <w:b/>
                <w:bCs/>
                <w:color w:val="auto"/>
                <w:spacing w:val="3"/>
                <w:sz w:val="20"/>
                <w:szCs w:val="20"/>
                <w:highlight w:val="none"/>
              </w:rPr>
              <w:t>注册资金</w:t>
            </w:r>
          </w:p>
        </w:tc>
        <w:tc>
          <w:tcPr>
            <w:tcW w:w="1191" w:type="dxa"/>
            <w:vAlign w:val="top"/>
          </w:tcPr>
          <w:p w14:paraId="5A37482C">
            <w:pPr>
              <w:rPr>
                <w:rFonts w:ascii="Arial"/>
                <w:color w:val="auto"/>
                <w:sz w:val="20"/>
                <w:szCs w:val="20"/>
                <w:highlight w:val="none"/>
              </w:rPr>
            </w:pPr>
          </w:p>
        </w:tc>
      </w:tr>
      <w:tr w14:paraId="4075A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012" w:type="dxa"/>
            <w:vAlign w:val="top"/>
          </w:tcPr>
          <w:p w14:paraId="159C9C21">
            <w:pPr>
              <w:spacing w:before="150" w:line="232" w:lineRule="auto"/>
              <w:ind w:left="600"/>
              <w:rPr>
                <w:rFonts w:ascii="仿宋" w:hAnsi="仿宋" w:eastAsia="仿宋" w:cs="仿宋"/>
                <w:color w:val="auto"/>
                <w:sz w:val="20"/>
                <w:szCs w:val="20"/>
                <w:highlight w:val="none"/>
              </w:rPr>
            </w:pPr>
            <w:r>
              <w:rPr>
                <w:rFonts w:ascii="仿宋" w:hAnsi="仿宋" w:eastAsia="仿宋" w:cs="仿宋"/>
                <w:b/>
                <w:bCs/>
                <w:color w:val="auto"/>
                <w:spacing w:val="3"/>
                <w:sz w:val="20"/>
                <w:szCs w:val="20"/>
                <w:highlight w:val="none"/>
              </w:rPr>
              <w:t>注册地址</w:t>
            </w:r>
          </w:p>
        </w:tc>
        <w:tc>
          <w:tcPr>
            <w:tcW w:w="6800" w:type="dxa"/>
            <w:gridSpan w:val="5"/>
            <w:vAlign w:val="top"/>
          </w:tcPr>
          <w:p w14:paraId="188A4D90">
            <w:pPr>
              <w:rPr>
                <w:rFonts w:ascii="Arial"/>
                <w:color w:val="auto"/>
                <w:sz w:val="20"/>
                <w:szCs w:val="20"/>
                <w:highlight w:val="none"/>
              </w:rPr>
            </w:pPr>
          </w:p>
        </w:tc>
      </w:tr>
      <w:tr w14:paraId="0A00D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012" w:type="dxa"/>
            <w:vAlign w:val="top"/>
          </w:tcPr>
          <w:p w14:paraId="084D0CD0">
            <w:pPr>
              <w:spacing w:before="147" w:line="233" w:lineRule="auto"/>
              <w:ind w:left="491"/>
              <w:rPr>
                <w:rFonts w:ascii="仿宋" w:hAnsi="仿宋" w:eastAsia="仿宋" w:cs="仿宋"/>
                <w:color w:val="auto"/>
                <w:sz w:val="20"/>
                <w:szCs w:val="20"/>
                <w:highlight w:val="none"/>
              </w:rPr>
            </w:pPr>
            <w:r>
              <w:rPr>
                <w:rFonts w:ascii="仿宋" w:hAnsi="仿宋" w:eastAsia="仿宋" w:cs="仿宋"/>
                <w:b/>
                <w:bCs/>
                <w:color w:val="auto"/>
                <w:spacing w:val="5"/>
                <w:sz w:val="20"/>
                <w:szCs w:val="20"/>
                <w:highlight w:val="none"/>
              </w:rPr>
              <w:t>联系人姓名</w:t>
            </w:r>
          </w:p>
        </w:tc>
        <w:tc>
          <w:tcPr>
            <w:tcW w:w="1317" w:type="dxa"/>
            <w:vAlign w:val="top"/>
          </w:tcPr>
          <w:p w14:paraId="68019B92">
            <w:pPr>
              <w:rPr>
                <w:rFonts w:ascii="Arial"/>
                <w:color w:val="auto"/>
                <w:sz w:val="20"/>
                <w:szCs w:val="20"/>
                <w:highlight w:val="none"/>
              </w:rPr>
            </w:pPr>
          </w:p>
        </w:tc>
        <w:tc>
          <w:tcPr>
            <w:tcW w:w="1381" w:type="dxa"/>
            <w:vAlign w:val="top"/>
          </w:tcPr>
          <w:p w14:paraId="0B961164">
            <w:pPr>
              <w:spacing w:before="146" w:line="232" w:lineRule="auto"/>
              <w:ind w:left="516"/>
              <w:rPr>
                <w:rFonts w:ascii="仿宋" w:hAnsi="仿宋" w:eastAsia="仿宋" w:cs="仿宋"/>
                <w:color w:val="auto"/>
                <w:sz w:val="20"/>
                <w:szCs w:val="20"/>
                <w:highlight w:val="none"/>
              </w:rPr>
            </w:pPr>
            <w:r>
              <w:rPr>
                <w:rFonts w:ascii="仿宋" w:hAnsi="仿宋" w:eastAsia="仿宋" w:cs="仿宋"/>
                <w:b/>
                <w:bCs/>
                <w:color w:val="auto"/>
                <w:spacing w:val="-11"/>
                <w:sz w:val="20"/>
                <w:szCs w:val="20"/>
                <w:highlight w:val="none"/>
              </w:rPr>
              <w:t>电话</w:t>
            </w:r>
          </w:p>
        </w:tc>
        <w:tc>
          <w:tcPr>
            <w:tcW w:w="1399" w:type="dxa"/>
            <w:vAlign w:val="top"/>
          </w:tcPr>
          <w:p w14:paraId="445D6280">
            <w:pPr>
              <w:rPr>
                <w:rFonts w:ascii="Arial"/>
                <w:color w:val="auto"/>
                <w:sz w:val="20"/>
                <w:szCs w:val="20"/>
                <w:highlight w:val="none"/>
              </w:rPr>
            </w:pPr>
          </w:p>
        </w:tc>
        <w:tc>
          <w:tcPr>
            <w:tcW w:w="1512" w:type="dxa"/>
            <w:vAlign w:val="top"/>
          </w:tcPr>
          <w:p w14:paraId="740F4EB6">
            <w:pPr>
              <w:spacing w:before="147" w:line="229" w:lineRule="auto"/>
              <w:ind w:left="322"/>
              <w:rPr>
                <w:rFonts w:ascii="仿宋" w:hAnsi="仿宋" w:eastAsia="仿宋" w:cs="仿宋"/>
                <w:color w:val="auto"/>
                <w:sz w:val="20"/>
                <w:szCs w:val="20"/>
                <w:highlight w:val="none"/>
              </w:rPr>
            </w:pPr>
            <w:r>
              <w:rPr>
                <w:rFonts w:ascii="仿宋" w:hAnsi="仿宋" w:eastAsia="仿宋" w:cs="仿宋"/>
                <w:b/>
                <w:bCs/>
                <w:color w:val="auto"/>
                <w:spacing w:val="-6"/>
                <w:sz w:val="20"/>
                <w:szCs w:val="20"/>
                <w:highlight w:val="none"/>
              </w:rPr>
              <w:t>企业性质</w:t>
            </w:r>
          </w:p>
        </w:tc>
        <w:tc>
          <w:tcPr>
            <w:tcW w:w="1191" w:type="dxa"/>
            <w:vAlign w:val="top"/>
          </w:tcPr>
          <w:p w14:paraId="53766D2A">
            <w:pPr>
              <w:rPr>
                <w:rFonts w:ascii="Arial"/>
                <w:color w:val="auto"/>
                <w:sz w:val="20"/>
                <w:szCs w:val="20"/>
                <w:highlight w:val="none"/>
              </w:rPr>
            </w:pPr>
          </w:p>
        </w:tc>
      </w:tr>
      <w:tr w14:paraId="71B9D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12" w:type="dxa"/>
            <w:vAlign w:val="top"/>
          </w:tcPr>
          <w:p w14:paraId="0B4B9162">
            <w:pPr>
              <w:spacing w:before="151" w:line="232" w:lineRule="auto"/>
              <w:ind w:left="390"/>
              <w:rPr>
                <w:rFonts w:ascii="仿宋" w:hAnsi="仿宋" w:eastAsia="仿宋" w:cs="仿宋"/>
                <w:color w:val="auto"/>
                <w:sz w:val="20"/>
                <w:szCs w:val="20"/>
                <w:highlight w:val="none"/>
              </w:rPr>
            </w:pPr>
            <w:r>
              <w:rPr>
                <w:rFonts w:ascii="仿宋" w:hAnsi="仿宋" w:eastAsia="仿宋" w:cs="仿宋"/>
                <w:b/>
                <w:bCs/>
                <w:color w:val="auto"/>
                <w:spacing w:val="4"/>
                <w:sz w:val="20"/>
                <w:szCs w:val="20"/>
                <w:highlight w:val="none"/>
              </w:rPr>
              <w:t>法人代表姓名</w:t>
            </w:r>
          </w:p>
        </w:tc>
        <w:tc>
          <w:tcPr>
            <w:tcW w:w="1317" w:type="dxa"/>
            <w:vAlign w:val="top"/>
          </w:tcPr>
          <w:p w14:paraId="768B9E4E">
            <w:pPr>
              <w:rPr>
                <w:rFonts w:ascii="Arial"/>
                <w:color w:val="auto"/>
                <w:sz w:val="20"/>
                <w:szCs w:val="20"/>
                <w:highlight w:val="none"/>
              </w:rPr>
            </w:pPr>
          </w:p>
        </w:tc>
        <w:tc>
          <w:tcPr>
            <w:tcW w:w="1381" w:type="dxa"/>
            <w:vAlign w:val="top"/>
          </w:tcPr>
          <w:p w14:paraId="0124DBE8">
            <w:pPr>
              <w:spacing w:before="152" w:line="229" w:lineRule="auto"/>
              <w:ind w:left="280"/>
              <w:rPr>
                <w:rFonts w:ascii="仿宋" w:hAnsi="仿宋" w:eastAsia="仿宋" w:cs="仿宋"/>
                <w:color w:val="auto"/>
                <w:sz w:val="20"/>
                <w:szCs w:val="20"/>
                <w:highlight w:val="none"/>
              </w:rPr>
            </w:pPr>
            <w:r>
              <w:rPr>
                <w:rFonts w:ascii="仿宋" w:hAnsi="仿宋" w:eastAsia="仿宋" w:cs="仿宋"/>
                <w:b/>
                <w:bCs/>
                <w:color w:val="auto"/>
                <w:spacing w:val="4"/>
                <w:sz w:val="20"/>
                <w:szCs w:val="20"/>
                <w:highlight w:val="none"/>
              </w:rPr>
              <w:t>技术职称</w:t>
            </w:r>
          </w:p>
        </w:tc>
        <w:tc>
          <w:tcPr>
            <w:tcW w:w="1399" w:type="dxa"/>
            <w:vAlign w:val="top"/>
          </w:tcPr>
          <w:p w14:paraId="54789496">
            <w:pPr>
              <w:rPr>
                <w:rFonts w:ascii="Arial"/>
                <w:color w:val="auto"/>
                <w:sz w:val="20"/>
                <w:szCs w:val="20"/>
                <w:highlight w:val="none"/>
              </w:rPr>
            </w:pPr>
          </w:p>
        </w:tc>
        <w:tc>
          <w:tcPr>
            <w:tcW w:w="1512" w:type="dxa"/>
            <w:vAlign w:val="top"/>
          </w:tcPr>
          <w:p w14:paraId="47C2C527">
            <w:pPr>
              <w:spacing w:before="151" w:line="232" w:lineRule="auto"/>
              <w:ind w:left="344"/>
              <w:rPr>
                <w:rFonts w:ascii="仿宋" w:hAnsi="仿宋" w:eastAsia="仿宋" w:cs="仿宋"/>
                <w:color w:val="auto"/>
                <w:sz w:val="20"/>
                <w:szCs w:val="20"/>
                <w:highlight w:val="none"/>
              </w:rPr>
            </w:pPr>
            <w:r>
              <w:rPr>
                <w:rFonts w:ascii="仿宋" w:hAnsi="仿宋" w:eastAsia="仿宋" w:cs="仿宋"/>
                <w:b/>
                <w:bCs/>
                <w:color w:val="auto"/>
                <w:spacing w:val="5"/>
                <w:sz w:val="20"/>
                <w:szCs w:val="20"/>
                <w:highlight w:val="none"/>
              </w:rPr>
              <w:t>联系电话</w:t>
            </w:r>
          </w:p>
        </w:tc>
        <w:tc>
          <w:tcPr>
            <w:tcW w:w="1191" w:type="dxa"/>
            <w:vAlign w:val="top"/>
          </w:tcPr>
          <w:p w14:paraId="254578E8">
            <w:pPr>
              <w:rPr>
                <w:rFonts w:ascii="Arial"/>
                <w:color w:val="auto"/>
                <w:sz w:val="20"/>
                <w:szCs w:val="20"/>
                <w:highlight w:val="none"/>
              </w:rPr>
            </w:pPr>
          </w:p>
        </w:tc>
      </w:tr>
      <w:tr w14:paraId="496C2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12" w:type="dxa"/>
            <w:vAlign w:val="top"/>
          </w:tcPr>
          <w:p w14:paraId="1401CDF2">
            <w:pPr>
              <w:spacing w:before="150" w:line="231" w:lineRule="auto"/>
              <w:ind w:left="281"/>
              <w:rPr>
                <w:rFonts w:ascii="仿宋" w:hAnsi="仿宋" w:eastAsia="仿宋" w:cs="仿宋"/>
                <w:color w:val="auto"/>
                <w:sz w:val="20"/>
                <w:szCs w:val="20"/>
                <w:highlight w:val="none"/>
              </w:rPr>
            </w:pPr>
            <w:r>
              <w:rPr>
                <w:rFonts w:ascii="仿宋" w:hAnsi="仿宋" w:eastAsia="仿宋" w:cs="仿宋"/>
                <w:b/>
                <w:bCs/>
                <w:color w:val="auto"/>
                <w:spacing w:val="6"/>
                <w:sz w:val="20"/>
                <w:szCs w:val="20"/>
                <w:highlight w:val="none"/>
              </w:rPr>
              <w:t>技术负责人姓名</w:t>
            </w:r>
          </w:p>
        </w:tc>
        <w:tc>
          <w:tcPr>
            <w:tcW w:w="1317" w:type="dxa"/>
            <w:vAlign w:val="top"/>
          </w:tcPr>
          <w:p w14:paraId="6231BD28">
            <w:pPr>
              <w:rPr>
                <w:rFonts w:ascii="Arial"/>
                <w:color w:val="auto"/>
                <w:sz w:val="20"/>
                <w:szCs w:val="20"/>
                <w:highlight w:val="none"/>
              </w:rPr>
            </w:pPr>
          </w:p>
        </w:tc>
        <w:tc>
          <w:tcPr>
            <w:tcW w:w="1381" w:type="dxa"/>
            <w:vAlign w:val="top"/>
          </w:tcPr>
          <w:p w14:paraId="507FA1B6">
            <w:pPr>
              <w:spacing w:before="151" w:line="229" w:lineRule="auto"/>
              <w:ind w:left="280"/>
              <w:rPr>
                <w:rFonts w:ascii="仿宋" w:hAnsi="仿宋" w:eastAsia="仿宋" w:cs="仿宋"/>
                <w:color w:val="auto"/>
                <w:sz w:val="20"/>
                <w:szCs w:val="20"/>
                <w:highlight w:val="none"/>
              </w:rPr>
            </w:pPr>
            <w:r>
              <w:rPr>
                <w:rFonts w:ascii="仿宋" w:hAnsi="仿宋" w:eastAsia="仿宋" w:cs="仿宋"/>
                <w:b/>
                <w:bCs/>
                <w:color w:val="auto"/>
                <w:spacing w:val="4"/>
                <w:sz w:val="20"/>
                <w:szCs w:val="20"/>
                <w:highlight w:val="none"/>
              </w:rPr>
              <w:t>技术职称</w:t>
            </w:r>
          </w:p>
        </w:tc>
        <w:tc>
          <w:tcPr>
            <w:tcW w:w="1399" w:type="dxa"/>
            <w:vAlign w:val="top"/>
          </w:tcPr>
          <w:p w14:paraId="02751162">
            <w:pPr>
              <w:rPr>
                <w:rFonts w:ascii="Arial"/>
                <w:color w:val="auto"/>
                <w:sz w:val="20"/>
                <w:szCs w:val="20"/>
                <w:highlight w:val="none"/>
              </w:rPr>
            </w:pPr>
          </w:p>
        </w:tc>
        <w:tc>
          <w:tcPr>
            <w:tcW w:w="1512" w:type="dxa"/>
            <w:vAlign w:val="top"/>
          </w:tcPr>
          <w:p w14:paraId="1C83A86D">
            <w:pPr>
              <w:spacing w:before="150" w:line="232" w:lineRule="auto"/>
              <w:ind w:left="344"/>
              <w:rPr>
                <w:rFonts w:ascii="仿宋" w:hAnsi="仿宋" w:eastAsia="仿宋" w:cs="仿宋"/>
                <w:color w:val="auto"/>
                <w:sz w:val="20"/>
                <w:szCs w:val="20"/>
                <w:highlight w:val="none"/>
              </w:rPr>
            </w:pPr>
            <w:r>
              <w:rPr>
                <w:rFonts w:ascii="仿宋" w:hAnsi="仿宋" w:eastAsia="仿宋" w:cs="仿宋"/>
                <w:b/>
                <w:bCs/>
                <w:color w:val="auto"/>
                <w:spacing w:val="5"/>
                <w:sz w:val="20"/>
                <w:szCs w:val="20"/>
                <w:highlight w:val="none"/>
              </w:rPr>
              <w:t>联系电话</w:t>
            </w:r>
          </w:p>
        </w:tc>
        <w:tc>
          <w:tcPr>
            <w:tcW w:w="1191" w:type="dxa"/>
            <w:vAlign w:val="top"/>
          </w:tcPr>
          <w:p w14:paraId="3BA2111D">
            <w:pPr>
              <w:rPr>
                <w:rFonts w:ascii="Arial"/>
                <w:color w:val="auto"/>
                <w:sz w:val="20"/>
                <w:szCs w:val="20"/>
                <w:highlight w:val="none"/>
              </w:rPr>
            </w:pPr>
          </w:p>
        </w:tc>
      </w:tr>
      <w:tr w14:paraId="76BD9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12" w:type="dxa"/>
            <w:vAlign w:val="top"/>
          </w:tcPr>
          <w:p w14:paraId="388D54A2">
            <w:pPr>
              <w:spacing w:before="152" w:line="232" w:lineRule="auto"/>
              <w:ind w:left="384"/>
              <w:rPr>
                <w:rFonts w:ascii="仿宋" w:hAnsi="仿宋" w:eastAsia="仿宋" w:cs="仿宋"/>
                <w:color w:val="auto"/>
                <w:sz w:val="20"/>
                <w:szCs w:val="20"/>
                <w:highlight w:val="none"/>
              </w:rPr>
            </w:pPr>
            <w:r>
              <w:rPr>
                <w:rFonts w:ascii="仿宋" w:hAnsi="仿宋" w:eastAsia="仿宋" w:cs="仿宋"/>
                <w:b/>
                <w:bCs/>
                <w:color w:val="auto"/>
                <w:spacing w:val="5"/>
                <w:sz w:val="20"/>
                <w:szCs w:val="20"/>
                <w:highlight w:val="none"/>
              </w:rPr>
              <w:t>企业资质等级</w:t>
            </w:r>
          </w:p>
        </w:tc>
        <w:tc>
          <w:tcPr>
            <w:tcW w:w="1317" w:type="dxa"/>
            <w:vAlign w:val="top"/>
          </w:tcPr>
          <w:p w14:paraId="6F68F4ED">
            <w:pPr>
              <w:rPr>
                <w:rFonts w:ascii="Arial"/>
                <w:color w:val="auto"/>
                <w:sz w:val="20"/>
                <w:szCs w:val="20"/>
                <w:highlight w:val="none"/>
              </w:rPr>
            </w:pPr>
          </w:p>
        </w:tc>
        <w:tc>
          <w:tcPr>
            <w:tcW w:w="1381" w:type="dxa"/>
            <w:vAlign w:val="top"/>
          </w:tcPr>
          <w:p w14:paraId="7271A9F1">
            <w:pPr>
              <w:spacing w:before="147" w:line="232" w:lineRule="auto"/>
              <w:ind w:left="492"/>
              <w:rPr>
                <w:rFonts w:ascii="仿宋" w:hAnsi="仿宋" w:eastAsia="仿宋" w:cs="仿宋"/>
                <w:color w:val="auto"/>
                <w:sz w:val="20"/>
                <w:szCs w:val="20"/>
                <w:highlight w:val="none"/>
              </w:rPr>
            </w:pPr>
            <w:r>
              <w:rPr>
                <w:rFonts w:ascii="仿宋" w:hAnsi="仿宋" w:eastAsia="仿宋" w:cs="仿宋"/>
                <w:b/>
                <w:bCs/>
                <w:color w:val="auto"/>
                <w:spacing w:val="1"/>
                <w:sz w:val="20"/>
                <w:szCs w:val="20"/>
                <w:highlight w:val="none"/>
              </w:rPr>
              <w:t>证号</w:t>
            </w:r>
          </w:p>
        </w:tc>
        <w:tc>
          <w:tcPr>
            <w:tcW w:w="4102" w:type="dxa"/>
            <w:gridSpan w:val="3"/>
            <w:vAlign w:val="top"/>
          </w:tcPr>
          <w:p w14:paraId="1A0B4EA4">
            <w:pPr>
              <w:rPr>
                <w:rFonts w:ascii="Arial"/>
                <w:color w:val="auto"/>
                <w:sz w:val="20"/>
                <w:szCs w:val="20"/>
                <w:highlight w:val="none"/>
              </w:rPr>
            </w:pPr>
          </w:p>
        </w:tc>
      </w:tr>
      <w:tr w14:paraId="5B793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12" w:type="dxa"/>
            <w:vAlign w:val="top"/>
          </w:tcPr>
          <w:p w14:paraId="24EDAFCF">
            <w:pPr>
              <w:spacing w:before="150" w:line="231" w:lineRule="auto"/>
              <w:ind w:left="177"/>
              <w:rPr>
                <w:rFonts w:ascii="仿宋" w:hAnsi="仿宋" w:eastAsia="仿宋" w:cs="仿宋"/>
                <w:color w:val="auto"/>
                <w:sz w:val="20"/>
                <w:szCs w:val="20"/>
                <w:highlight w:val="none"/>
              </w:rPr>
            </w:pPr>
            <w:r>
              <w:rPr>
                <w:rFonts w:ascii="仿宋" w:hAnsi="仿宋" w:eastAsia="仿宋" w:cs="仿宋"/>
                <w:b/>
                <w:bCs/>
                <w:color w:val="auto"/>
                <w:spacing w:val="6"/>
                <w:sz w:val="20"/>
                <w:szCs w:val="20"/>
                <w:highlight w:val="none"/>
              </w:rPr>
              <w:t>安全生产许可证号</w:t>
            </w:r>
          </w:p>
        </w:tc>
        <w:tc>
          <w:tcPr>
            <w:tcW w:w="6800" w:type="dxa"/>
            <w:gridSpan w:val="5"/>
            <w:vAlign w:val="top"/>
          </w:tcPr>
          <w:p w14:paraId="762B720C">
            <w:pPr>
              <w:rPr>
                <w:rFonts w:ascii="Arial"/>
                <w:color w:val="auto"/>
                <w:sz w:val="20"/>
                <w:szCs w:val="20"/>
                <w:highlight w:val="none"/>
              </w:rPr>
            </w:pPr>
          </w:p>
        </w:tc>
      </w:tr>
      <w:tr w14:paraId="52C1D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12" w:type="dxa"/>
            <w:vAlign w:val="top"/>
          </w:tcPr>
          <w:p w14:paraId="31DD37E3">
            <w:pPr>
              <w:spacing w:before="152" w:line="230" w:lineRule="auto"/>
              <w:ind w:left="385"/>
              <w:rPr>
                <w:rFonts w:ascii="仿宋" w:hAnsi="仿宋" w:eastAsia="仿宋" w:cs="仿宋"/>
                <w:color w:val="auto"/>
                <w:sz w:val="20"/>
                <w:szCs w:val="20"/>
                <w:highlight w:val="none"/>
              </w:rPr>
            </w:pPr>
            <w:r>
              <w:rPr>
                <w:rFonts w:ascii="仿宋" w:hAnsi="仿宋" w:eastAsia="仿宋" w:cs="仿宋"/>
                <w:b/>
                <w:bCs/>
                <w:color w:val="auto"/>
                <w:spacing w:val="5"/>
                <w:sz w:val="20"/>
                <w:szCs w:val="20"/>
                <w:highlight w:val="none"/>
              </w:rPr>
              <w:t>上级主管部门</w:t>
            </w:r>
          </w:p>
        </w:tc>
        <w:tc>
          <w:tcPr>
            <w:tcW w:w="6800" w:type="dxa"/>
            <w:gridSpan w:val="5"/>
            <w:vAlign w:val="top"/>
          </w:tcPr>
          <w:p w14:paraId="4DE6F78B">
            <w:pPr>
              <w:rPr>
                <w:rFonts w:ascii="Arial"/>
                <w:color w:val="auto"/>
                <w:sz w:val="20"/>
                <w:szCs w:val="20"/>
                <w:highlight w:val="none"/>
              </w:rPr>
            </w:pPr>
          </w:p>
        </w:tc>
      </w:tr>
      <w:tr w14:paraId="2A722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12" w:type="dxa"/>
            <w:vAlign w:val="top"/>
          </w:tcPr>
          <w:p w14:paraId="6730F354">
            <w:pPr>
              <w:spacing w:before="150" w:line="232" w:lineRule="auto"/>
              <w:ind w:left="507"/>
              <w:rPr>
                <w:rFonts w:ascii="仿宋" w:hAnsi="仿宋" w:eastAsia="仿宋" w:cs="仿宋"/>
                <w:color w:val="auto"/>
                <w:sz w:val="20"/>
                <w:szCs w:val="20"/>
                <w:highlight w:val="none"/>
              </w:rPr>
            </w:pPr>
            <w:r>
              <w:rPr>
                <w:rFonts w:ascii="仿宋" w:hAnsi="仿宋" w:eastAsia="仿宋" w:cs="仿宋"/>
                <w:b/>
                <w:bCs/>
                <w:color w:val="auto"/>
                <w:spacing w:val="2"/>
                <w:sz w:val="20"/>
                <w:szCs w:val="20"/>
                <w:highlight w:val="none"/>
              </w:rPr>
              <w:t>员工总人数</w:t>
            </w:r>
          </w:p>
        </w:tc>
        <w:tc>
          <w:tcPr>
            <w:tcW w:w="6800" w:type="dxa"/>
            <w:gridSpan w:val="5"/>
            <w:vAlign w:val="top"/>
          </w:tcPr>
          <w:p w14:paraId="4B60BAB6">
            <w:pPr>
              <w:rPr>
                <w:rFonts w:ascii="Arial"/>
                <w:color w:val="auto"/>
                <w:sz w:val="20"/>
                <w:szCs w:val="20"/>
                <w:highlight w:val="none"/>
              </w:rPr>
            </w:pPr>
          </w:p>
        </w:tc>
      </w:tr>
      <w:tr w14:paraId="16B95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12" w:type="dxa"/>
            <w:vAlign w:val="top"/>
          </w:tcPr>
          <w:p w14:paraId="694B5A0A">
            <w:pPr>
              <w:spacing w:before="151" w:line="231" w:lineRule="auto"/>
              <w:ind w:left="286"/>
              <w:rPr>
                <w:rFonts w:ascii="仿宋" w:hAnsi="仿宋" w:eastAsia="仿宋" w:cs="仿宋"/>
                <w:color w:val="auto"/>
                <w:sz w:val="20"/>
                <w:szCs w:val="20"/>
                <w:highlight w:val="none"/>
              </w:rPr>
            </w:pPr>
            <w:r>
              <w:rPr>
                <w:rFonts w:ascii="仿宋" w:hAnsi="仿宋" w:eastAsia="仿宋" w:cs="仿宋"/>
                <w:b/>
                <w:bCs/>
                <w:color w:val="auto"/>
                <w:spacing w:val="5"/>
                <w:sz w:val="20"/>
                <w:szCs w:val="20"/>
                <w:highlight w:val="none"/>
              </w:rPr>
              <w:t>注册建造师人数</w:t>
            </w:r>
          </w:p>
        </w:tc>
        <w:tc>
          <w:tcPr>
            <w:tcW w:w="6800" w:type="dxa"/>
            <w:gridSpan w:val="5"/>
            <w:vAlign w:val="top"/>
          </w:tcPr>
          <w:p w14:paraId="261AAC91">
            <w:pPr>
              <w:rPr>
                <w:rFonts w:ascii="Arial"/>
                <w:color w:val="auto"/>
                <w:sz w:val="20"/>
                <w:szCs w:val="20"/>
                <w:highlight w:val="none"/>
              </w:rPr>
            </w:pPr>
          </w:p>
        </w:tc>
      </w:tr>
      <w:tr w14:paraId="6EA67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12" w:type="dxa"/>
            <w:vAlign w:val="top"/>
          </w:tcPr>
          <w:p w14:paraId="0B9967AE">
            <w:pPr>
              <w:spacing w:before="151" w:line="229" w:lineRule="auto"/>
              <w:ind w:left="390"/>
              <w:rPr>
                <w:rFonts w:ascii="仿宋" w:hAnsi="仿宋" w:eastAsia="仿宋" w:cs="仿宋"/>
                <w:color w:val="auto"/>
                <w:sz w:val="20"/>
                <w:szCs w:val="20"/>
                <w:highlight w:val="none"/>
              </w:rPr>
            </w:pPr>
            <w:r>
              <w:rPr>
                <w:rFonts w:ascii="仿宋" w:hAnsi="仿宋" w:eastAsia="仿宋" w:cs="仿宋"/>
                <w:b/>
                <w:bCs/>
                <w:color w:val="auto"/>
                <w:spacing w:val="4"/>
                <w:sz w:val="20"/>
                <w:szCs w:val="20"/>
                <w:highlight w:val="none"/>
              </w:rPr>
              <w:t>高级职称人数</w:t>
            </w:r>
          </w:p>
        </w:tc>
        <w:tc>
          <w:tcPr>
            <w:tcW w:w="6800" w:type="dxa"/>
            <w:gridSpan w:val="5"/>
            <w:vAlign w:val="top"/>
          </w:tcPr>
          <w:p w14:paraId="19E36608">
            <w:pPr>
              <w:rPr>
                <w:rFonts w:ascii="Arial"/>
                <w:color w:val="auto"/>
                <w:sz w:val="20"/>
                <w:szCs w:val="20"/>
                <w:highlight w:val="none"/>
              </w:rPr>
            </w:pPr>
          </w:p>
        </w:tc>
      </w:tr>
      <w:tr w14:paraId="1DD7D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12" w:type="dxa"/>
            <w:vAlign w:val="top"/>
          </w:tcPr>
          <w:p w14:paraId="68DF0B86">
            <w:pPr>
              <w:spacing w:before="152" w:line="229" w:lineRule="auto"/>
              <w:ind w:left="410"/>
              <w:rPr>
                <w:rFonts w:ascii="仿宋" w:hAnsi="仿宋" w:eastAsia="仿宋" w:cs="仿宋"/>
                <w:color w:val="auto"/>
                <w:sz w:val="20"/>
                <w:szCs w:val="20"/>
                <w:highlight w:val="none"/>
              </w:rPr>
            </w:pPr>
            <w:r>
              <w:rPr>
                <w:rFonts w:ascii="仿宋" w:hAnsi="仿宋" w:eastAsia="仿宋" w:cs="仿宋"/>
                <w:b/>
                <w:bCs/>
                <w:color w:val="auto"/>
                <w:spacing w:val="1"/>
                <w:sz w:val="20"/>
                <w:szCs w:val="20"/>
                <w:highlight w:val="none"/>
              </w:rPr>
              <w:t>中级职称人数</w:t>
            </w:r>
          </w:p>
        </w:tc>
        <w:tc>
          <w:tcPr>
            <w:tcW w:w="6800" w:type="dxa"/>
            <w:gridSpan w:val="5"/>
            <w:vAlign w:val="top"/>
          </w:tcPr>
          <w:p w14:paraId="36EC856D">
            <w:pPr>
              <w:rPr>
                <w:rFonts w:ascii="Arial"/>
                <w:color w:val="auto"/>
                <w:sz w:val="20"/>
                <w:szCs w:val="20"/>
                <w:highlight w:val="none"/>
              </w:rPr>
            </w:pPr>
          </w:p>
        </w:tc>
      </w:tr>
      <w:tr w14:paraId="78559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12" w:type="dxa"/>
            <w:vAlign w:val="top"/>
          </w:tcPr>
          <w:p w14:paraId="402CDDB1">
            <w:pPr>
              <w:spacing w:before="151" w:line="229" w:lineRule="auto"/>
              <w:ind w:left="383"/>
              <w:rPr>
                <w:rFonts w:ascii="仿宋" w:hAnsi="仿宋" w:eastAsia="仿宋" w:cs="仿宋"/>
                <w:color w:val="auto"/>
                <w:sz w:val="20"/>
                <w:szCs w:val="20"/>
                <w:highlight w:val="none"/>
              </w:rPr>
            </w:pPr>
            <w:r>
              <w:rPr>
                <w:rFonts w:ascii="仿宋" w:hAnsi="仿宋" w:eastAsia="仿宋" w:cs="仿宋"/>
                <w:b/>
                <w:bCs/>
                <w:color w:val="auto"/>
                <w:spacing w:val="6"/>
                <w:sz w:val="20"/>
                <w:szCs w:val="20"/>
                <w:highlight w:val="none"/>
              </w:rPr>
              <w:t>初级职称人数</w:t>
            </w:r>
          </w:p>
        </w:tc>
        <w:tc>
          <w:tcPr>
            <w:tcW w:w="6800" w:type="dxa"/>
            <w:gridSpan w:val="5"/>
            <w:vAlign w:val="top"/>
          </w:tcPr>
          <w:p w14:paraId="76BE3611">
            <w:pPr>
              <w:rPr>
                <w:rFonts w:ascii="Arial"/>
                <w:color w:val="auto"/>
                <w:sz w:val="20"/>
                <w:szCs w:val="20"/>
                <w:highlight w:val="none"/>
              </w:rPr>
            </w:pPr>
          </w:p>
        </w:tc>
      </w:tr>
      <w:tr w14:paraId="5059C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8" w:hRule="atLeast"/>
        </w:trPr>
        <w:tc>
          <w:tcPr>
            <w:tcW w:w="2012" w:type="dxa"/>
            <w:vAlign w:val="top"/>
          </w:tcPr>
          <w:p w14:paraId="30E0903B">
            <w:pPr>
              <w:spacing w:line="256" w:lineRule="auto"/>
              <w:rPr>
                <w:rFonts w:ascii="Arial"/>
                <w:color w:val="auto"/>
                <w:sz w:val="20"/>
                <w:szCs w:val="20"/>
                <w:highlight w:val="none"/>
              </w:rPr>
            </w:pPr>
          </w:p>
          <w:p w14:paraId="60519204">
            <w:pPr>
              <w:spacing w:line="256" w:lineRule="auto"/>
              <w:rPr>
                <w:rFonts w:ascii="Arial"/>
                <w:color w:val="auto"/>
                <w:sz w:val="20"/>
                <w:szCs w:val="20"/>
                <w:highlight w:val="none"/>
              </w:rPr>
            </w:pPr>
          </w:p>
          <w:p w14:paraId="63E61C7D">
            <w:pPr>
              <w:spacing w:before="65" w:line="232" w:lineRule="auto"/>
              <w:ind w:left="599"/>
              <w:rPr>
                <w:rFonts w:ascii="仿宋" w:hAnsi="仿宋" w:eastAsia="仿宋" w:cs="仿宋"/>
                <w:color w:val="auto"/>
                <w:sz w:val="20"/>
                <w:szCs w:val="20"/>
                <w:highlight w:val="none"/>
              </w:rPr>
            </w:pPr>
            <w:r>
              <w:rPr>
                <w:rFonts w:ascii="仿宋" w:hAnsi="仿宋" w:eastAsia="仿宋" w:cs="仿宋"/>
                <w:b/>
                <w:bCs/>
                <w:color w:val="auto"/>
                <w:spacing w:val="5"/>
                <w:sz w:val="20"/>
                <w:szCs w:val="20"/>
                <w:highlight w:val="none"/>
              </w:rPr>
              <w:t>经营范围</w:t>
            </w:r>
          </w:p>
        </w:tc>
        <w:tc>
          <w:tcPr>
            <w:tcW w:w="6800" w:type="dxa"/>
            <w:gridSpan w:val="5"/>
            <w:vAlign w:val="top"/>
          </w:tcPr>
          <w:p w14:paraId="5766252C">
            <w:pPr>
              <w:rPr>
                <w:rFonts w:ascii="Arial"/>
                <w:color w:val="auto"/>
                <w:sz w:val="20"/>
                <w:szCs w:val="20"/>
                <w:highlight w:val="none"/>
              </w:rPr>
            </w:pPr>
          </w:p>
        </w:tc>
      </w:tr>
      <w:tr w14:paraId="3BC36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0" w:hRule="atLeast"/>
        </w:trPr>
        <w:tc>
          <w:tcPr>
            <w:tcW w:w="2012" w:type="dxa"/>
            <w:vAlign w:val="top"/>
          </w:tcPr>
          <w:p w14:paraId="0270B7CF">
            <w:pPr>
              <w:spacing w:line="265" w:lineRule="auto"/>
              <w:rPr>
                <w:rFonts w:ascii="Arial"/>
                <w:color w:val="auto"/>
                <w:sz w:val="20"/>
                <w:szCs w:val="20"/>
                <w:highlight w:val="none"/>
              </w:rPr>
            </w:pPr>
          </w:p>
          <w:p w14:paraId="3570F782">
            <w:pPr>
              <w:spacing w:line="265" w:lineRule="auto"/>
              <w:rPr>
                <w:rFonts w:ascii="Arial"/>
                <w:color w:val="auto"/>
                <w:sz w:val="20"/>
                <w:szCs w:val="20"/>
                <w:highlight w:val="none"/>
              </w:rPr>
            </w:pPr>
          </w:p>
          <w:p w14:paraId="4C65377A">
            <w:pPr>
              <w:spacing w:line="265" w:lineRule="auto"/>
              <w:rPr>
                <w:rFonts w:ascii="Arial"/>
                <w:color w:val="auto"/>
                <w:sz w:val="20"/>
                <w:szCs w:val="20"/>
                <w:highlight w:val="none"/>
              </w:rPr>
            </w:pPr>
          </w:p>
          <w:p w14:paraId="7D91BBCB">
            <w:pPr>
              <w:spacing w:line="266" w:lineRule="auto"/>
              <w:rPr>
                <w:rFonts w:ascii="Arial"/>
                <w:color w:val="auto"/>
                <w:sz w:val="20"/>
                <w:szCs w:val="20"/>
                <w:highlight w:val="none"/>
              </w:rPr>
            </w:pPr>
          </w:p>
          <w:p w14:paraId="35303245">
            <w:pPr>
              <w:spacing w:line="266" w:lineRule="auto"/>
              <w:rPr>
                <w:rFonts w:ascii="Arial"/>
                <w:color w:val="auto"/>
                <w:sz w:val="20"/>
                <w:szCs w:val="20"/>
                <w:highlight w:val="none"/>
              </w:rPr>
            </w:pPr>
          </w:p>
          <w:p w14:paraId="0F02863E">
            <w:pPr>
              <w:spacing w:line="266" w:lineRule="auto"/>
              <w:rPr>
                <w:rFonts w:ascii="Arial"/>
                <w:color w:val="auto"/>
                <w:sz w:val="20"/>
                <w:szCs w:val="20"/>
                <w:highlight w:val="none"/>
              </w:rPr>
            </w:pPr>
          </w:p>
          <w:p w14:paraId="0169D513">
            <w:pPr>
              <w:spacing w:before="65" w:line="229" w:lineRule="auto"/>
              <w:ind w:left="600"/>
              <w:rPr>
                <w:rFonts w:ascii="仿宋" w:hAnsi="仿宋" w:eastAsia="仿宋" w:cs="仿宋"/>
                <w:color w:val="auto"/>
                <w:sz w:val="20"/>
                <w:szCs w:val="20"/>
                <w:highlight w:val="none"/>
              </w:rPr>
            </w:pPr>
            <w:r>
              <w:rPr>
                <w:rFonts w:ascii="仿宋" w:hAnsi="仿宋" w:eastAsia="仿宋" w:cs="仿宋"/>
                <w:b/>
                <w:bCs/>
                <w:color w:val="auto"/>
                <w:spacing w:val="4"/>
                <w:sz w:val="20"/>
                <w:szCs w:val="20"/>
                <w:highlight w:val="none"/>
              </w:rPr>
              <w:t>企业简介</w:t>
            </w:r>
          </w:p>
        </w:tc>
        <w:tc>
          <w:tcPr>
            <w:tcW w:w="6800" w:type="dxa"/>
            <w:gridSpan w:val="5"/>
            <w:vAlign w:val="top"/>
          </w:tcPr>
          <w:p w14:paraId="57693BBA">
            <w:pPr>
              <w:rPr>
                <w:rFonts w:ascii="Arial"/>
                <w:color w:val="auto"/>
                <w:sz w:val="20"/>
                <w:szCs w:val="20"/>
                <w:highlight w:val="none"/>
              </w:rPr>
            </w:pPr>
          </w:p>
        </w:tc>
      </w:tr>
    </w:tbl>
    <w:p w14:paraId="73AC5C70">
      <w:pPr>
        <w:pStyle w:val="6"/>
        <w:spacing w:line="269" w:lineRule="auto"/>
        <w:rPr>
          <w:color w:val="auto"/>
          <w:sz w:val="20"/>
          <w:szCs w:val="20"/>
          <w:highlight w:val="none"/>
        </w:rPr>
      </w:pPr>
    </w:p>
    <w:p w14:paraId="192FA79E">
      <w:pPr>
        <w:pStyle w:val="6"/>
        <w:spacing w:line="270" w:lineRule="auto"/>
        <w:rPr>
          <w:color w:val="auto"/>
          <w:sz w:val="20"/>
          <w:szCs w:val="20"/>
          <w:highlight w:val="none"/>
        </w:rPr>
      </w:pPr>
    </w:p>
    <w:p w14:paraId="77567D93">
      <w:pPr>
        <w:spacing w:before="78" w:line="219" w:lineRule="auto"/>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p>
    <w:p w14:paraId="7291B5BA">
      <w:pPr>
        <w:spacing w:before="180" w:line="220" w:lineRule="auto"/>
        <w:ind w:left="6161"/>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日期：</w:t>
      </w:r>
      <w:r>
        <w:rPr>
          <w:rFonts w:ascii="宋体" w:hAnsi="宋体" w:eastAsia="宋体" w:cs="宋体"/>
          <w:color w:val="auto"/>
          <w:spacing w:val="5"/>
          <w:sz w:val="20"/>
          <w:szCs w:val="20"/>
          <w:highlight w:val="none"/>
        </w:rPr>
        <w:t xml:space="preserve">  </w:t>
      </w:r>
      <w:r>
        <w:rPr>
          <w:rFonts w:ascii="宋体" w:hAnsi="宋体" w:eastAsia="宋体" w:cs="宋体"/>
          <w:color w:val="auto"/>
          <w:spacing w:val="-13"/>
          <w:sz w:val="20"/>
          <w:szCs w:val="20"/>
          <w:highlight w:val="none"/>
        </w:rPr>
        <w:t>年</w:t>
      </w:r>
      <w:r>
        <w:rPr>
          <w:rFonts w:ascii="宋体" w:hAnsi="宋体" w:eastAsia="宋体" w:cs="宋体"/>
          <w:color w:val="auto"/>
          <w:spacing w:val="8"/>
          <w:sz w:val="20"/>
          <w:szCs w:val="20"/>
          <w:highlight w:val="none"/>
        </w:rPr>
        <w:t xml:space="preserve">  </w:t>
      </w:r>
      <w:r>
        <w:rPr>
          <w:rFonts w:ascii="宋体" w:hAnsi="宋体" w:eastAsia="宋体" w:cs="宋体"/>
          <w:color w:val="auto"/>
          <w:spacing w:val="-13"/>
          <w:sz w:val="20"/>
          <w:szCs w:val="20"/>
          <w:highlight w:val="none"/>
        </w:rPr>
        <w:t>月</w:t>
      </w:r>
      <w:r>
        <w:rPr>
          <w:rFonts w:ascii="宋体" w:hAnsi="宋体" w:eastAsia="宋体" w:cs="宋体"/>
          <w:color w:val="auto"/>
          <w:spacing w:val="25"/>
          <w:sz w:val="20"/>
          <w:szCs w:val="20"/>
          <w:highlight w:val="none"/>
        </w:rPr>
        <w:t xml:space="preserve">  </w:t>
      </w:r>
      <w:r>
        <w:rPr>
          <w:rFonts w:ascii="宋体" w:hAnsi="宋体" w:eastAsia="宋体" w:cs="宋体"/>
          <w:color w:val="auto"/>
          <w:spacing w:val="-13"/>
          <w:sz w:val="20"/>
          <w:szCs w:val="20"/>
          <w:highlight w:val="none"/>
        </w:rPr>
        <w:t>日</w:t>
      </w:r>
    </w:p>
    <w:p w14:paraId="4AA78F8C">
      <w:pPr>
        <w:spacing w:line="220" w:lineRule="auto"/>
        <w:rPr>
          <w:rFonts w:ascii="宋体" w:hAnsi="宋体" w:eastAsia="宋体" w:cs="宋体"/>
          <w:color w:val="auto"/>
          <w:sz w:val="24"/>
          <w:szCs w:val="24"/>
          <w:highlight w:val="none"/>
        </w:rPr>
        <w:sectPr>
          <w:footerReference r:id="rId57" w:type="default"/>
          <w:pgSz w:w="11910" w:h="16840"/>
          <w:pgMar w:top="400" w:right="1518" w:bottom="1079" w:left="1482" w:header="0" w:footer="843" w:gutter="0"/>
          <w:pgNumType w:fmt="decimal"/>
          <w:cols w:space="720" w:num="1"/>
        </w:sectPr>
      </w:pPr>
    </w:p>
    <w:p w14:paraId="1159EB3C">
      <w:pPr>
        <w:pStyle w:val="6"/>
        <w:spacing w:line="338" w:lineRule="auto"/>
        <w:rPr>
          <w:color w:val="auto"/>
          <w:highlight w:val="none"/>
        </w:rPr>
      </w:pPr>
    </w:p>
    <w:p w14:paraId="5C248114">
      <w:pPr>
        <w:pStyle w:val="6"/>
        <w:spacing w:line="339" w:lineRule="auto"/>
        <w:rPr>
          <w:color w:val="auto"/>
          <w:highlight w:val="none"/>
        </w:rPr>
      </w:pPr>
    </w:p>
    <w:p w14:paraId="503058A7">
      <w:pPr>
        <w:spacing w:before="97" w:line="219" w:lineRule="auto"/>
        <w:ind w:left="126"/>
        <w:rPr>
          <w:rFonts w:ascii="宋体" w:hAnsi="宋体" w:eastAsia="宋体" w:cs="宋体"/>
          <w:color w:val="auto"/>
          <w:sz w:val="30"/>
          <w:szCs w:val="30"/>
          <w:highlight w:val="none"/>
        </w:rPr>
      </w:pPr>
      <w:r>
        <w:rPr>
          <w:rFonts w:ascii="宋体" w:hAnsi="宋体" w:eastAsia="宋体" w:cs="宋体"/>
          <w:b/>
          <w:bCs/>
          <w:color w:val="auto"/>
          <w:spacing w:val="-4"/>
          <w:sz w:val="30"/>
          <w:szCs w:val="30"/>
          <w:highlight w:val="none"/>
        </w:rPr>
        <w:t>六、供应商类似的业绩证明文件</w:t>
      </w:r>
    </w:p>
    <w:p w14:paraId="569C15DC">
      <w:pPr>
        <w:pStyle w:val="6"/>
        <w:spacing w:line="295" w:lineRule="auto"/>
        <w:rPr>
          <w:color w:val="auto"/>
          <w:highlight w:val="none"/>
        </w:rPr>
      </w:pPr>
    </w:p>
    <w:p w14:paraId="07E22B56">
      <w:pPr>
        <w:spacing w:before="97" w:line="221" w:lineRule="auto"/>
        <w:ind w:left="3337"/>
        <w:rPr>
          <w:rFonts w:ascii="宋体" w:hAnsi="宋体" w:eastAsia="宋体" w:cs="宋体"/>
          <w:color w:val="auto"/>
          <w:sz w:val="20"/>
          <w:szCs w:val="20"/>
          <w:highlight w:val="none"/>
        </w:rPr>
      </w:pPr>
      <w:r>
        <w:rPr>
          <w:rFonts w:ascii="宋体" w:hAnsi="宋体" w:eastAsia="宋体" w:cs="宋体"/>
          <w:b/>
          <w:bCs/>
          <w:color w:val="auto"/>
          <w:spacing w:val="-4"/>
          <w:sz w:val="20"/>
          <w:szCs w:val="20"/>
          <w:highlight w:val="none"/>
        </w:rPr>
        <w:t>相关项目业绩一览表</w:t>
      </w:r>
    </w:p>
    <w:p w14:paraId="2CF0963B">
      <w:pPr>
        <w:spacing w:line="179" w:lineRule="exact"/>
        <w:rPr>
          <w:color w:val="auto"/>
          <w:sz w:val="20"/>
          <w:szCs w:val="20"/>
          <w:highlight w:val="none"/>
        </w:rPr>
      </w:pPr>
    </w:p>
    <w:tbl>
      <w:tblPr>
        <w:tblStyle w:val="19"/>
        <w:tblW w:w="87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2"/>
        <w:gridCol w:w="2259"/>
        <w:gridCol w:w="2146"/>
        <w:gridCol w:w="1482"/>
        <w:gridCol w:w="2089"/>
      </w:tblGrid>
      <w:tr w14:paraId="667CB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52" w:type="dxa"/>
            <w:vAlign w:val="top"/>
          </w:tcPr>
          <w:p w14:paraId="1ADE294E">
            <w:pPr>
              <w:pStyle w:val="20"/>
              <w:spacing w:before="194" w:line="222" w:lineRule="auto"/>
              <w:ind w:left="142"/>
              <w:rPr>
                <w:color w:val="auto"/>
                <w:sz w:val="20"/>
                <w:szCs w:val="20"/>
                <w:highlight w:val="none"/>
              </w:rPr>
            </w:pPr>
            <w:r>
              <w:rPr>
                <w:color w:val="auto"/>
                <w:spacing w:val="-5"/>
                <w:sz w:val="20"/>
                <w:szCs w:val="20"/>
                <w:highlight w:val="none"/>
              </w:rPr>
              <w:t>序号</w:t>
            </w:r>
          </w:p>
        </w:tc>
        <w:tc>
          <w:tcPr>
            <w:tcW w:w="2259" w:type="dxa"/>
            <w:vAlign w:val="top"/>
          </w:tcPr>
          <w:p w14:paraId="54231CA5">
            <w:pPr>
              <w:pStyle w:val="20"/>
              <w:spacing w:before="195" w:line="219" w:lineRule="auto"/>
              <w:ind w:left="534"/>
              <w:rPr>
                <w:color w:val="auto"/>
                <w:sz w:val="20"/>
                <w:szCs w:val="20"/>
                <w:highlight w:val="none"/>
              </w:rPr>
            </w:pPr>
            <w:r>
              <w:rPr>
                <w:color w:val="auto"/>
                <w:spacing w:val="-2"/>
                <w:sz w:val="20"/>
                <w:szCs w:val="20"/>
                <w:highlight w:val="none"/>
              </w:rPr>
              <w:t>采购人名称</w:t>
            </w:r>
          </w:p>
        </w:tc>
        <w:tc>
          <w:tcPr>
            <w:tcW w:w="2146" w:type="dxa"/>
            <w:vAlign w:val="top"/>
          </w:tcPr>
          <w:p w14:paraId="3E31F9F0">
            <w:pPr>
              <w:pStyle w:val="20"/>
              <w:spacing w:before="194" w:line="221" w:lineRule="auto"/>
              <w:ind w:left="603"/>
              <w:rPr>
                <w:color w:val="auto"/>
                <w:sz w:val="20"/>
                <w:szCs w:val="20"/>
                <w:highlight w:val="none"/>
              </w:rPr>
            </w:pPr>
            <w:r>
              <w:rPr>
                <w:color w:val="auto"/>
                <w:spacing w:val="-4"/>
                <w:sz w:val="20"/>
                <w:szCs w:val="20"/>
                <w:highlight w:val="none"/>
              </w:rPr>
              <w:t>项目名称</w:t>
            </w:r>
          </w:p>
        </w:tc>
        <w:tc>
          <w:tcPr>
            <w:tcW w:w="1482" w:type="dxa"/>
            <w:vAlign w:val="top"/>
          </w:tcPr>
          <w:p w14:paraId="5AE5F566">
            <w:pPr>
              <w:pStyle w:val="20"/>
              <w:spacing w:before="38" w:line="220" w:lineRule="auto"/>
              <w:ind w:left="269"/>
              <w:rPr>
                <w:color w:val="auto"/>
                <w:sz w:val="20"/>
                <w:szCs w:val="20"/>
                <w:highlight w:val="none"/>
              </w:rPr>
            </w:pPr>
            <w:r>
              <w:rPr>
                <w:color w:val="auto"/>
                <w:spacing w:val="-3"/>
                <w:sz w:val="20"/>
                <w:szCs w:val="20"/>
                <w:highlight w:val="none"/>
              </w:rPr>
              <w:t>合同金额</w:t>
            </w:r>
          </w:p>
          <w:p w14:paraId="787E228F">
            <w:pPr>
              <w:pStyle w:val="20"/>
              <w:spacing w:before="25" w:line="208" w:lineRule="auto"/>
              <w:ind w:left="280"/>
              <w:rPr>
                <w:color w:val="auto"/>
                <w:sz w:val="20"/>
                <w:szCs w:val="20"/>
                <w:highlight w:val="none"/>
              </w:rPr>
            </w:pPr>
            <w:r>
              <w:rPr>
                <w:color w:val="auto"/>
                <w:spacing w:val="-6"/>
                <w:sz w:val="20"/>
                <w:szCs w:val="20"/>
                <w:highlight w:val="none"/>
              </w:rPr>
              <w:t>（万元）</w:t>
            </w:r>
          </w:p>
        </w:tc>
        <w:tc>
          <w:tcPr>
            <w:tcW w:w="2089" w:type="dxa"/>
            <w:vAlign w:val="top"/>
          </w:tcPr>
          <w:p w14:paraId="07D27B9E">
            <w:pPr>
              <w:pStyle w:val="20"/>
              <w:spacing w:before="38" w:line="224" w:lineRule="auto"/>
              <w:ind w:left="572" w:right="201" w:hanging="361"/>
              <w:rPr>
                <w:color w:val="auto"/>
                <w:sz w:val="20"/>
                <w:szCs w:val="20"/>
                <w:highlight w:val="none"/>
              </w:rPr>
            </w:pPr>
            <w:r>
              <w:rPr>
                <w:color w:val="auto"/>
                <w:spacing w:val="-2"/>
                <w:sz w:val="20"/>
                <w:szCs w:val="20"/>
                <w:highlight w:val="none"/>
              </w:rPr>
              <w:t>采购人联系人及</w:t>
            </w:r>
            <w:r>
              <w:rPr>
                <w:color w:val="auto"/>
                <w:spacing w:val="4"/>
                <w:sz w:val="20"/>
                <w:szCs w:val="20"/>
                <w:highlight w:val="none"/>
              </w:rPr>
              <w:t xml:space="preserve"> </w:t>
            </w:r>
            <w:r>
              <w:rPr>
                <w:color w:val="auto"/>
                <w:spacing w:val="-3"/>
                <w:sz w:val="20"/>
                <w:szCs w:val="20"/>
                <w:highlight w:val="none"/>
              </w:rPr>
              <w:t>联系电话</w:t>
            </w:r>
          </w:p>
        </w:tc>
      </w:tr>
      <w:tr w14:paraId="1CA97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2" w:type="dxa"/>
            <w:vAlign w:val="top"/>
          </w:tcPr>
          <w:p w14:paraId="4F23E543">
            <w:pPr>
              <w:rPr>
                <w:rFonts w:ascii="Arial"/>
                <w:color w:val="auto"/>
                <w:sz w:val="20"/>
                <w:szCs w:val="20"/>
                <w:highlight w:val="none"/>
              </w:rPr>
            </w:pPr>
          </w:p>
        </w:tc>
        <w:tc>
          <w:tcPr>
            <w:tcW w:w="2259" w:type="dxa"/>
            <w:vAlign w:val="top"/>
          </w:tcPr>
          <w:p w14:paraId="67913783">
            <w:pPr>
              <w:rPr>
                <w:rFonts w:ascii="Arial"/>
                <w:color w:val="auto"/>
                <w:sz w:val="20"/>
                <w:szCs w:val="20"/>
                <w:highlight w:val="none"/>
              </w:rPr>
            </w:pPr>
          </w:p>
        </w:tc>
        <w:tc>
          <w:tcPr>
            <w:tcW w:w="2146" w:type="dxa"/>
            <w:vAlign w:val="top"/>
          </w:tcPr>
          <w:p w14:paraId="588AC293">
            <w:pPr>
              <w:rPr>
                <w:rFonts w:ascii="Arial"/>
                <w:color w:val="auto"/>
                <w:sz w:val="20"/>
                <w:szCs w:val="20"/>
                <w:highlight w:val="none"/>
              </w:rPr>
            </w:pPr>
          </w:p>
        </w:tc>
        <w:tc>
          <w:tcPr>
            <w:tcW w:w="1482" w:type="dxa"/>
            <w:vAlign w:val="top"/>
          </w:tcPr>
          <w:p w14:paraId="0D5D1C65">
            <w:pPr>
              <w:rPr>
                <w:rFonts w:ascii="Arial"/>
                <w:color w:val="auto"/>
                <w:sz w:val="20"/>
                <w:szCs w:val="20"/>
                <w:highlight w:val="none"/>
              </w:rPr>
            </w:pPr>
          </w:p>
        </w:tc>
        <w:tc>
          <w:tcPr>
            <w:tcW w:w="2089" w:type="dxa"/>
            <w:vAlign w:val="top"/>
          </w:tcPr>
          <w:p w14:paraId="41A99750">
            <w:pPr>
              <w:rPr>
                <w:rFonts w:ascii="Arial"/>
                <w:color w:val="auto"/>
                <w:sz w:val="20"/>
                <w:szCs w:val="20"/>
                <w:highlight w:val="none"/>
              </w:rPr>
            </w:pPr>
          </w:p>
        </w:tc>
      </w:tr>
      <w:tr w14:paraId="59DC1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2" w:type="dxa"/>
            <w:vAlign w:val="top"/>
          </w:tcPr>
          <w:p w14:paraId="2724292F">
            <w:pPr>
              <w:rPr>
                <w:rFonts w:ascii="Arial"/>
                <w:color w:val="auto"/>
                <w:sz w:val="20"/>
                <w:szCs w:val="20"/>
                <w:highlight w:val="none"/>
              </w:rPr>
            </w:pPr>
          </w:p>
        </w:tc>
        <w:tc>
          <w:tcPr>
            <w:tcW w:w="2259" w:type="dxa"/>
            <w:vAlign w:val="top"/>
          </w:tcPr>
          <w:p w14:paraId="7E800CE3">
            <w:pPr>
              <w:rPr>
                <w:rFonts w:ascii="Arial"/>
                <w:color w:val="auto"/>
                <w:sz w:val="20"/>
                <w:szCs w:val="20"/>
                <w:highlight w:val="none"/>
              </w:rPr>
            </w:pPr>
          </w:p>
        </w:tc>
        <w:tc>
          <w:tcPr>
            <w:tcW w:w="2146" w:type="dxa"/>
            <w:vAlign w:val="top"/>
          </w:tcPr>
          <w:p w14:paraId="59800BCB">
            <w:pPr>
              <w:rPr>
                <w:rFonts w:ascii="Arial"/>
                <w:color w:val="auto"/>
                <w:sz w:val="20"/>
                <w:szCs w:val="20"/>
                <w:highlight w:val="none"/>
              </w:rPr>
            </w:pPr>
          </w:p>
        </w:tc>
        <w:tc>
          <w:tcPr>
            <w:tcW w:w="1482" w:type="dxa"/>
            <w:vAlign w:val="top"/>
          </w:tcPr>
          <w:p w14:paraId="2AE83E2D">
            <w:pPr>
              <w:rPr>
                <w:rFonts w:ascii="Arial"/>
                <w:color w:val="auto"/>
                <w:sz w:val="20"/>
                <w:szCs w:val="20"/>
                <w:highlight w:val="none"/>
              </w:rPr>
            </w:pPr>
          </w:p>
        </w:tc>
        <w:tc>
          <w:tcPr>
            <w:tcW w:w="2089" w:type="dxa"/>
            <w:vAlign w:val="top"/>
          </w:tcPr>
          <w:p w14:paraId="376B6630">
            <w:pPr>
              <w:rPr>
                <w:rFonts w:ascii="Arial"/>
                <w:color w:val="auto"/>
                <w:sz w:val="20"/>
                <w:szCs w:val="20"/>
                <w:highlight w:val="none"/>
              </w:rPr>
            </w:pPr>
          </w:p>
        </w:tc>
      </w:tr>
      <w:tr w14:paraId="79AED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2" w:type="dxa"/>
            <w:vAlign w:val="top"/>
          </w:tcPr>
          <w:p w14:paraId="44CB91A1">
            <w:pPr>
              <w:rPr>
                <w:rFonts w:ascii="Arial"/>
                <w:color w:val="auto"/>
                <w:sz w:val="20"/>
                <w:szCs w:val="20"/>
                <w:highlight w:val="none"/>
              </w:rPr>
            </w:pPr>
          </w:p>
        </w:tc>
        <w:tc>
          <w:tcPr>
            <w:tcW w:w="2259" w:type="dxa"/>
            <w:vAlign w:val="top"/>
          </w:tcPr>
          <w:p w14:paraId="78C03EC5">
            <w:pPr>
              <w:rPr>
                <w:rFonts w:ascii="Arial"/>
                <w:color w:val="auto"/>
                <w:sz w:val="20"/>
                <w:szCs w:val="20"/>
                <w:highlight w:val="none"/>
              </w:rPr>
            </w:pPr>
          </w:p>
        </w:tc>
        <w:tc>
          <w:tcPr>
            <w:tcW w:w="2146" w:type="dxa"/>
            <w:vAlign w:val="top"/>
          </w:tcPr>
          <w:p w14:paraId="44BA34D6">
            <w:pPr>
              <w:rPr>
                <w:rFonts w:ascii="Arial"/>
                <w:color w:val="auto"/>
                <w:sz w:val="20"/>
                <w:szCs w:val="20"/>
                <w:highlight w:val="none"/>
              </w:rPr>
            </w:pPr>
          </w:p>
        </w:tc>
        <w:tc>
          <w:tcPr>
            <w:tcW w:w="1482" w:type="dxa"/>
            <w:vAlign w:val="top"/>
          </w:tcPr>
          <w:p w14:paraId="0EAABA29">
            <w:pPr>
              <w:rPr>
                <w:rFonts w:ascii="Arial"/>
                <w:color w:val="auto"/>
                <w:sz w:val="20"/>
                <w:szCs w:val="20"/>
                <w:highlight w:val="none"/>
              </w:rPr>
            </w:pPr>
          </w:p>
        </w:tc>
        <w:tc>
          <w:tcPr>
            <w:tcW w:w="2089" w:type="dxa"/>
            <w:vAlign w:val="top"/>
          </w:tcPr>
          <w:p w14:paraId="47638EA7">
            <w:pPr>
              <w:rPr>
                <w:rFonts w:ascii="Arial"/>
                <w:color w:val="auto"/>
                <w:sz w:val="20"/>
                <w:szCs w:val="20"/>
                <w:highlight w:val="none"/>
              </w:rPr>
            </w:pPr>
          </w:p>
        </w:tc>
      </w:tr>
      <w:tr w14:paraId="4556B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2" w:type="dxa"/>
            <w:vAlign w:val="top"/>
          </w:tcPr>
          <w:p w14:paraId="48AF889B">
            <w:pPr>
              <w:rPr>
                <w:rFonts w:ascii="Arial"/>
                <w:color w:val="auto"/>
                <w:sz w:val="20"/>
                <w:szCs w:val="20"/>
                <w:highlight w:val="none"/>
              </w:rPr>
            </w:pPr>
          </w:p>
        </w:tc>
        <w:tc>
          <w:tcPr>
            <w:tcW w:w="2259" w:type="dxa"/>
            <w:vAlign w:val="top"/>
          </w:tcPr>
          <w:p w14:paraId="51D91BD9">
            <w:pPr>
              <w:rPr>
                <w:rFonts w:ascii="Arial"/>
                <w:color w:val="auto"/>
                <w:sz w:val="20"/>
                <w:szCs w:val="20"/>
                <w:highlight w:val="none"/>
              </w:rPr>
            </w:pPr>
          </w:p>
        </w:tc>
        <w:tc>
          <w:tcPr>
            <w:tcW w:w="2146" w:type="dxa"/>
            <w:vAlign w:val="top"/>
          </w:tcPr>
          <w:p w14:paraId="733F1E3F">
            <w:pPr>
              <w:rPr>
                <w:rFonts w:ascii="Arial"/>
                <w:color w:val="auto"/>
                <w:sz w:val="20"/>
                <w:szCs w:val="20"/>
                <w:highlight w:val="none"/>
              </w:rPr>
            </w:pPr>
          </w:p>
        </w:tc>
        <w:tc>
          <w:tcPr>
            <w:tcW w:w="1482" w:type="dxa"/>
            <w:vAlign w:val="top"/>
          </w:tcPr>
          <w:p w14:paraId="285ADF49">
            <w:pPr>
              <w:rPr>
                <w:rFonts w:ascii="Arial"/>
                <w:color w:val="auto"/>
                <w:sz w:val="20"/>
                <w:szCs w:val="20"/>
                <w:highlight w:val="none"/>
              </w:rPr>
            </w:pPr>
          </w:p>
        </w:tc>
        <w:tc>
          <w:tcPr>
            <w:tcW w:w="2089" w:type="dxa"/>
            <w:vAlign w:val="top"/>
          </w:tcPr>
          <w:p w14:paraId="3B617802">
            <w:pPr>
              <w:rPr>
                <w:rFonts w:ascii="Arial"/>
                <w:color w:val="auto"/>
                <w:sz w:val="20"/>
                <w:szCs w:val="20"/>
                <w:highlight w:val="none"/>
              </w:rPr>
            </w:pPr>
          </w:p>
        </w:tc>
      </w:tr>
      <w:tr w14:paraId="339ED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52" w:type="dxa"/>
            <w:vAlign w:val="top"/>
          </w:tcPr>
          <w:p w14:paraId="79ECA36E">
            <w:pPr>
              <w:rPr>
                <w:rFonts w:ascii="Arial"/>
                <w:color w:val="auto"/>
                <w:sz w:val="20"/>
                <w:szCs w:val="20"/>
                <w:highlight w:val="none"/>
              </w:rPr>
            </w:pPr>
          </w:p>
        </w:tc>
        <w:tc>
          <w:tcPr>
            <w:tcW w:w="2259" w:type="dxa"/>
            <w:vAlign w:val="top"/>
          </w:tcPr>
          <w:p w14:paraId="498FE19E">
            <w:pPr>
              <w:rPr>
                <w:rFonts w:ascii="Arial"/>
                <w:color w:val="auto"/>
                <w:sz w:val="20"/>
                <w:szCs w:val="20"/>
                <w:highlight w:val="none"/>
              </w:rPr>
            </w:pPr>
          </w:p>
        </w:tc>
        <w:tc>
          <w:tcPr>
            <w:tcW w:w="2146" w:type="dxa"/>
            <w:vAlign w:val="top"/>
          </w:tcPr>
          <w:p w14:paraId="6C664D24">
            <w:pPr>
              <w:rPr>
                <w:rFonts w:ascii="Arial"/>
                <w:color w:val="auto"/>
                <w:sz w:val="20"/>
                <w:szCs w:val="20"/>
                <w:highlight w:val="none"/>
              </w:rPr>
            </w:pPr>
          </w:p>
        </w:tc>
        <w:tc>
          <w:tcPr>
            <w:tcW w:w="1482" w:type="dxa"/>
            <w:vAlign w:val="top"/>
          </w:tcPr>
          <w:p w14:paraId="71995360">
            <w:pPr>
              <w:rPr>
                <w:rFonts w:ascii="Arial"/>
                <w:color w:val="auto"/>
                <w:sz w:val="20"/>
                <w:szCs w:val="20"/>
                <w:highlight w:val="none"/>
              </w:rPr>
            </w:pPr>
          </w:p>
        </w:tc>
        <w:tc>
          <w:tcPr>
            <w:tcW w:w="2089" w:type="dxa"/>
            <w:vAlign w:val="top"/>
          </w:tcPr>
          <w:p w14:paraId="6318F753">
            <w:pPr>
              <w:rPr>
                <w:rFonts w:ascii="Arial"/>
                <w:color w:val="auto"/>
                <w:sz w:val="20"/>
                <w:szCs w:val="20"/>
                <w:highlight w:val="none"/>
              </w:rPr>
            </w:pPr>
          </w:p>
        </w:tc>
      </w:tr>
    </w:tbl>
    <w:p w14:paraId="76396379">
      <w:pPr>
        <w:pStyle w:val="6"/>
        <w:spacing w:line="423" w:lineRule="auto"/>
        <w:rPr>
          <w:color w:val="auto"/>
          <w:sz w:val="20"/>
          <w:szCs w:val="20"/>
          <w:highlight w:val="none"/>
        </w:rPr>
      </w:pPr>
    </w:p>
    <w:p w14:paraId="72EEBD8A">
      <w:pPr>
        <w:spacing w:before="78" w:line="360" w:lineRule="auto"/>
        <w:ind w:left="199" w:hanging="6"/>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注：供应商可按上述的格式自行编制，须随</w:t>
      </w:r>
      <w:r>
        <w:rPr>
          <w:rFonts w:ascii="宋体" w:hAnsi="宋体" w:eastAsia="宋体" w:cs="宋体"/>
          <w:color w:val="auto"/>
          <w:spacing w:val="1"/>
          <w:sz w:val="20"/>
          <w:szCs w:val="20"/>
          <w:highlight w:val="none"/>
        </w:rPr>
        <w:t>表提交相应的合同或中标（成交）通知书</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复印件。</w:t>
      </w:r>
    </w:p>
    <w:p w14:paraId="26B725EF">
      <w:pPr>
        <w:pStyle w:val="6"/>
        <w:spacing w:line="325" w:lineRule="auto"/>
        <w:rPr>
          <w:color w:val="auto"/>
          <w:sz w:val="20"/>
          <w:szCs w:val="20"/>
          <w:highlight w:val="none"/>
        </w:rPr>
      </w:pPr>
    </w:p>
    <w:p w14:paraId="1CA3F871">
      <w:pPr>
        <w:spacing w:before="78" w:line="219" w:lineRule="auto"/>
        <w:ind w:left="4532"/>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p>
    <w:p w14:paraId="190BD6E3">
      <w:pPr>
        <w:spacing w:before="183" w:line="220" w:lineRule="auto"/>
        <w:ind w:left="6523"/>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8"/>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25"/>
          <w:sz w:val="24"/>
          <w:szCs w:val="24"/>
          <w:highlight w:val="none"/>
        </w:rPr>
        <w:t xml:space="preserve">  </w:t>
      </w:r>
      <w:r>
        <w:rPr>
          <w:rFonts w:ascii="宋体" w:hAnsi="宋体" w:eastAsia="宋体" w:cs="宋体"/>
          <w:color w:val="auto"/>
          <w:spacing w:val="-13"/>
          <w:sz w:val="24"/>
          <w:szCs w:val="24"/>
          <w:highlight w:val="none"/>
        </w:rPr>
        <w:t>日</w:t>
      </w:r>
    </w:p>
    <w:p w14:paraId="60ED7EC3">
      <w:pPr>
        <w:spacing w:line="220" w:lineRule="auto"/>
        <w:rPr>
          <w:rFonts w:ascii="宋体" w:hAnsi="宋体" w:eastAsia="宋体" w:cs="宋体"/>
          <w:color w:val="auto"/>
          <w:sz w:val="24"/>
          <w:szCs w:val="24"/>
          <w:highlight w:val="none"/>
        </w:rPr>
        <w:sectPr>
          <w:footerReference r:id="rId58" w:type="default"/>
          <w:pgSz w:w="11910" w:h="16840"/>
          <w:pgMar w:top="400" w:right="1417" w:bottom="1079" w:left="1361" w:header="0" w:footer="843" w:gutter="0"/>
          <w:pgNumType w:fmt="decimal"/>
          <w:cols w:space="720" w:num="1"/>
        </w:sectPr>
      </w:pPr>
    </w:p>
    <w:p w14:paraId="1215E44C">
      <w:pPr>
        <w:pStyle w:val="6"/>
        <w:spacing w:line="338" w:lineRule="auto"/>
        <w:rPr>
          <w:color w:val="auto"/>
          <w:highlight w:val="none"/>
        </w:rPr>
      </w:pPr>
    </w:p>
    <w:p w14:paraId="6394BC54">
      <w:pPr>
        <w:pStyle w:val="6"/>
        <w:spacing w:line="338" w:lineRule="auto"/>
        <w:rPr>
          <w:color w:val="auto"/>
          <w:highlight w:val="none"/>
        </w:rPr>
      </w:pPr>
    </w:p>
    <w:p w14:paraId="0F258C68">
      <w:pPr>
        <w:spacing w:before="98" w:line="220" w:lineRule="auto"/>
        <w:ind w:left="3155"/>
        <w:rPr>
          <w:rFonts w:ascii="宋体" w:hAnsi="宋体" w:eastAsia="宋体" w:cs="宋体"/>
          <w:color w:val="auto"/>
          <w:sz w:val="30"/>
          <w:szCs w:val="30"/>
          <w:highlight w:val="none"/>
        </w:rPr>
      </w:pPr>
      <w:r>
        <w:rPr>
          <w:rFonts w:ascii="宋体" w:hAnsi="宋体" w:eastAsia="宋体" w:cs="宋体"/>
          <w:b/>
          <w:bCs/>
          <w:color w:val="auto"/>
          <w:spacing w:val="-4"/>
          <w:sz w:val="30"/>
          <w:szCs w:val="30"/>
          <w:highlight w:val="none"/>
        </w:rPr>
        <w:t>七、技术需求偏离表</w:t>
      </w:r>
    </w:p>
    <w:p w14:paraId="57D71A94">
      <w:pPr>
        <w:spacing w:before="180" w:line="220" w:lineRule="auto"/>
        <w:ind w:left="3460"/>
        <w:rPr>
          <w:rFonts w:ascii="宋体" w:hAnsi="宋体" w:eastAsia="宋体" w:cs="宋体"/>
          <w:color w:val="auto"/>
          <w:sz w:val="30"/>
          <w:szCs w:val="30"/>
          <w:highlight w:val="none"/>
        </w:rPr>
      </w:pPr>
      <w:r>
        <w:rPr>
          <w:rFonts w:ascii="宋体" w:hAnsi="宋体" w:eastAsia="宋体" w:cs="宋体"/>
          <w:b/>
          <w:bCs/>
          <w:color w:val="auto"/>
          <w:spacing w:val="-4"/>
          <w:sz w:val="30"/>
          <w:szCs w:val="30"/>
          <w:highlight w:val="none"/>
        </w:rPr>
        <w:t>技术需求偏离表</w:t>
      </w:r>
    </w:p>
    <w:p w14:paraId="13C1AB30">
      <w:pPr>
        <w:spacing w:before="35" w:line="219" w:lineRule="auto"/>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采购项目编号：</w:t>
      </w:r>
      <w:r>
        <w:rPr>
          <w:rFonts w:ascii="宋体" w:hAnsi="宋体" w:eastAsia="宋体" w:cs="宋体"/>
          <w:color w:val="auto"/>
          <w:sz w:val="20"/>
          <w:szCs w:val="20"/>
          <w:highlight w:val="none"/>
          <w:u w:val="single" w:color="auto"/>
        </w:rPr>
        <w:t xml:space="preserve">                </w:t>
      </w:r>
    </w:p>
    <w:p w14:paraId="6453AE06">
      <w:pPr>
        <w:spacing w:before="180" w:line="219" w:lineRule="auto"/>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采购项目名称：</w:t>
      </w:r>
      <w:r>
        <w:rPr>
          <w:rFonts w:ascii="宋体" w:hAnsi="宋体" w:eastAsia="宋体" w:cs="宋体"/>
          <w:color w:val="auto"/>
          <w:sz w:val="20"/>
          <w:szCs w:val="20"/>
          <w:highlight w:val="none"/>
          <w:u w:val="single" w:color="auto"/>
        </w:rPr>
        <w:t xml:space="preserve">                 </w:t>
      </w:r>
    </w:p>
    <w:p w14:paraId="68E3F005">
      <w:pPr>
        <w:spacing w:before="182" w:line="221" w:lineRule="auto"/>
        <w:ind w:left="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分标号（此处有分标时填写具体分标号，无分标时填写“无</w:t>
      </w:r>
      <w:r>
        <w:rPr>
          <w:rFonts w:ascii="宋体" w:hAnsi="宋体" w:eastAsia="宋体" w:cs="宋体"/>
          <w:color w:val="auto"/>
          <w:spacing w:val="-69"/>
          <w:sz w:val="20"/>
          <w:szCs w:val="20"/>
          <w:highlight w:val="none"/>
        </w:rPr>
        <w:t xml:space="preserve"> </w:t>
      </w:r>
      <w:r>
        <w:rPr>
          <w:rFonts w:ascii="宋体" w:hAnsi="宋体" w:eastAsia="宋体" w:cs="宋体"/>
          <w:color w:val="auto"/>
          <w:spacing w:val="8"/>
          <w:sz w:val="20"/>
          <w:szCs w:val="20"/>
          <w:highlight w:val="none"/>
        </w:rPr>
        <w:t>”</w:t>
      </w:r>
      <w:r>
        <w:rPr>
          <w:rFonts w:ascii="宋体" w:hAnsi="宋体" w:eastAsia="宋体" w:cs="宋体"/>
          <w:color w:val="auto"/>
          <w:spacing w:val="-5"/>
          <w:sz w:val="20"/>
          <w:szCs w:val="20"/>
          <w:highlight w:val="none"/>
        </w:rPr>
        <w:t>）：</w:t>
      </w:r>
      <w:r>
        <w:rPr>
          <w:rFonts w:ascii="宋体" w:hAnsi="宋体" w:eastAsia="宋体" w:cs="宋体"/>
          <w:color w:val="auto"/>
          <w:sz w:val="20"/>
          <w:szCs w:val="20"/>
          <w:highlight w:val="none"/>
          <w:u w:val="single" w:color="auto"/>
        </w:rPr>
        <w:t xml:space="preserve">        </w:t>
      </w:r>
    </w:p>
    <w:p w14:paraId="0332CABC">
      <w:pPr>
        <w:spacing w:line="239" w:lineRule="exact"/>
        <w:rPr>
          <w:color w:val="auto"/>
          <w:sz w:val="20"/>
          <w:szCs w:val="20"/>
          <w:highlight w:val="none"/>
        </w:rPr>
      </w:pPr>
    </w:p>
    <w:tbl>
      <w:tblPr>
        <w:tblStyle w:val="19"/>
        <w:tblW w:w="8810" w:type="dxa"/>
        <w:tblInd w:w="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3629"/>
        <w:gridCol w:w="3208"/>
        <w:gridCol w:w="1278"/>
      </w:tblGrid>
      <w:tr w14:paraId="31989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695" w:type="dxa"/>
            <w:textDirection w:val="tbRlV"/>
            <w:vAlign w:val="top"/>
          </w:tcPr>
          <w:p w14:paraId="1588C4B8">
            <w:pPr>
              <w:pStyle w:val="20"/>
              <w:spacing w:before="225" w:line="205" w:lineRule="auto"/>
              <w:ind w:left="71"/>
              <w:rPr>
                <w:color w:val="auto"/>
                <w:sz w:val="20"/>
                <w:szCs w:val="20"/>
                <w:highlight w:val="none"/>
              </w:rPr>
            </w:pPr>
            <w:r>
              <w:rPr>
                <w:color w:val="auto"/>
                <w:sz w:val="20"/>
                <w:szCs w:val="20"/>
                <w:highlight w:val="none"/>
              </w:rPr>
              <w:t>项</w:t>
            </w:r>
            <w:r>
              <w:rPr>
                <w:color w:val="auto"/>
                <w:spacing w:val="-20"/>
                <w:sz w:val="20"/>
                <w:szCs w:val="20"/>
                <w:highlight w:val="none"/>
              </w:rPr>
              <w:t xml:space="preserve"> </w:t>
            </w:r>
            <w:r>
              <w:rPr>
                <w:color w:val="auto"/>
                <w:sz w:val="20"/>
                <w:szCs w:val="20"/>
                <w:highlight w:val="none"/>
              </w:rPr>
              <w:t>号</w:t>
            </w:r>
          </w:p>
        </w:tc>
        <w:tc>
          <w:tcPr>
            <w:tcW w:w="3629" w:type="dxa"/>
            <w:vAlign w:val="top"/>
          </w:tcPr>
          <w:p w14:paraId="6BD11469">
            <w:pPr>
              <w:pStyle w:val="20"/>
              <w:spacing w:before="242" w:line="219" w:lineRule="auto"/>
              <w:ind w:left="501"/>
              <w:rPr>
                <w:color w:val="auto"/>
                <w:sz w:val="20"/>
                <w:szCs w:val="20"/>
                <w:highlight w:val="none"/>
              </w:rPr>
            </w:pPr>
            <w:r>
              <w:rPr>
                <w:color w:val="auto"/>
                <w:spacing w:val="-2"/>
                <w:sz w:val="20"/>
                <w:szCs w:val="20"/>
                <w:highlight w:val="none"/>
              </w:rPr>
              <w:t>竞争性磋商文件采购需求</w:t>
            </w:r>
          </w:p>
        </w:tc>
        <w:tc>
          <w:tcPr>
            <w:tcW w:w="3208" w:type="dxa"/>
            <w:vAlign w:val="top"/>
          </w:tcPr>
          <w:p w14:paraId="2F0A98CB">
            <w:pPr>
              <w:pStyle w:val="20"/>
              <w:spacing w:before="242" w:line="219" w:lineRule="auto"/>
              <w:ind w:left="424"/>
              <w:rPr>
                <w:color w:val="auto"/>
                <w:sz w:val="20"/>
                <w:szCs w:val="20"/>
                <w:highlight w:val="none"/>
              </w:rPr>
            </w:pPr>
            <w:r>
              <w:rPr>
                <w:color w:val="auto"/>
                <w:spacing w:val="-3"/>
                <w:sz w:val="20"/>
                <w:szCs w:val="20"/>
                <w:highlight w:val="none"/>
              </w:rPr>
              <w:t>响应文件采购需求承诺</w:t>
            </w:r>
          </w:p>
        </w:tc>
        <w:tc>
          <w:tcPr>
            <w:tcW w:w="1278" w:type="dxa"/>
            <w:vAlign w:val="top"/>
          </w:tcPr>
          <w:p w14:paraId="26CF8C31">
            <w:pPr>
              <w:pStyle w:val="20"/>
              <w:spacing w:before="241" w:line="220" w:lineRule="auto"/>
              <w:ind w:left="165"/>
              <w:rPr>
                <w:color w:val="auto"/>
                <w:sz w:val="20"/>
                <w:szCs w:val="20"/>
                <w:highlight w:val="none"/>
              </w:rPr>
            </w:pPr>
            <w:r>
              <w:rPr>
                <w:color w:val="auto"/>
                <w:spacing w:val="-3"/>
                <w:sz w:val="20"/>
                <w:szCs w:val="20"/>
                <w:highlight w:val="none"/>
              </w:rPr>
              <w:t>偏离说明</w:t>
            </w:r>
          </w:p>
        </w:tc>
      </w:tr>
      <w:tr w14:paraId="6178C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 w:hRule="atLeast"/>
        </w:trPr>
        <w:tc>
          <w:tcPr>
            <w:tcW w:w="695" w:type="dxa"/>
            <w:vAlign w:val="top"/>
          </w:tcPr>
          <w:p w14:paraId="30FAB459">
            <w:pPr>
              <w:rPr>
                <w:rFonts w:ascii="Arial"/>
                <w:color w:val="auto"/>
                <w:sz w:val="20"/>
                <w:szCs w:val="20"/>
                <w:highlight w:val="none"/>
              </w:rPr>
            </w:pPr>
          </w:p>
        </w:tc>
        <w:tc>
          <w:tcPr>
            <w:tcW w:w="3629" w:type="dxa"/>
            <w:vAlign w:val="top"/>
          </w:tcPr>
          <w:p w14:paraId="5A91B50B">
            <w:pPr>
              <w:rPr>
                <w:rFonts w:ascii="Arial"/>
                <w:color w:val="auto"/>
                <w:sz w:val="20"/>
                <w:szCs w:val="20"/>
                <w:highlight w:val="none"/>
              </w:rPr>
            </w:pPr>
          </w:p>
        </w:tc>
        <w:tc>
          <w:tcPr>
            <w:tcW w:w="3208" w:type="dxa"/>
            <w:vAlign w:val="top"/>
          </w:tcPr>
          <w:p w14:paraId="6638813A">
            <w:pPr>
              <w:rPr>
                <w:rFonts w:ascii="Arial"/>
                <w:color w:val="auto"/>
                <w:sz w:val="20"/>
                <w:szCs w:val="20"/>
                <w:highlight w:val="none"/>
              </w:rPr>
            </w:pPr>
          </w:p>
        </w:tc>
        <w:tc>
          <w:tcPr>
            <w:tcW w:w="1278" w:type="dxa"/>
            <w:vAlign w:val="top"/>
          </w:tcPr>
          <w:p w14:paraId="00287E85">
            <w:pPr>
              <w:rPr>
                <w:rFonts w:ascii="Arial"/>
                <w:color w:val="auto"/>
                <w:sz w:val="20"/>
                <w:szCs w:val="20"/>
                <w:highlight w:val="none"/>
              </w:rPr>
            </w:pPr>
          </w:p>
        </w:tc>
      </w:tr>
      <w:tr w14:paraId="50405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695" w:type="dxa"/>
            <w:vAlign w:val="top"/>
          </w:tcPr>
          <w:p w14:paraId="7B7E15DD">
            <w:pPr>
              <w:rPr>
                <w:rFonts w:ascii="Arial"/>
                <w:color w:val="auto"/>
                <w:sz w:val="20"/>
                <w:szCs w:val="20"/>
                <w:highlight w:val="none"/>
              </w:rPr>
            </w:pPr>
          </w:p>
        </w:tc>
        <w:tc>
          <w:tcPr>
            <w:tcW w:w="3629" w:type="dxa"/>
            <w:vAlign w:val="top"/>
          </w:tcPr>
          <w:p w14:paraId="266C9D20">
            <w:pPr>
              <w:rPr>
                <w:rFonts w:ascii="Arial"/>
                <w:color w:val="auto"/>
                <w:sz w:val="20"/>
                <w:szCs w:val="20"/>
                <w:highlight w:val="none"/>
              </w:rPr>
            </w:pPr>
          </w:p>
        </w:tc>
        <w:tc>
          <w:tcPr>
            <w:tcW w:w="3208" w:type="dxa"/>
            <w:vAlign w:val="top"/>
          </w:tcPr>
          <w:p w14:paraId="7E78830F">
            <w:pPr>
              <w:rPr>
                <w:rFonts w:ascii="Arial"/>
                <w:color w:val="auto"/>
                <w:sz w:val="20"/>
                <w:szCs w:val="20"/>
                <w:highlight w:val="none"/>
              </w:rPr>
            </w:pPr>
          </w:p>
        </w:tc>
        <w:tc>
          <w:tcPr>
            <w:tcW w:w="1278" w:type="dxa"/>
            <w:vAlign w:val="top"/>
          </w:tcPr>
          <w:p w14:paraId="0E3C1F8C">
            <w:pPr>
              <w:rPr>
                <w:rFonts w:ascii="Arial"/>
                <w:color w:val="auto"/>
                <w:sz w:val="20"/>
                <w:szCs w:val="20"/>
                <w:highlight w:val="none"/>
              </w:rPr>
            </w:pPr>
          </w:p>
        </w:tc>
      </w:tr>
      <w:tr w14:paraId="08412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7" w:hRule="atLeast"/>
        </w:trPr>
        <w:tc>
          <w:tcPr>
            <w:tcW w:w="695" w:type="dxa"/>
            <w:vAlign w:val="top"/>
          </w:tcPr>
          <w:p w14:paraId="5B05B78A">
            <w:pPr>
              <w:rPr>
                <w:rFonts w:ascii="Arial"/>
                <w:color w:val="auto"/>
                <w:sz w:val="20"/>
                <w:szCs w:val="20"/>
                <w:highlight w:val="none"/>
              </w:rPr>
            </w:pPr>
          </w:p>
        </w:tc>
        <w:tc>
          <w:tcPr>
            <w:tcW w:w="3629" w:type="dxa"/>
            <w:vAlign w:val="top"/>
          </w:tcPr>
          <w:p w14:paraId="04EF2F97">
            <w:pPr>
              <w:rPr>
                <w:rFonts w:ascii="Arial"/>
                <w:color w:val="auto"/>
                <w:sz w:val="20"/>
                <w:szCs w:val="20"/>
                <w:highlight w:val="none"/>
              </w:rPr>
            </w:pPr>
          </w:p>
        </w:tc>
        <w:tc>
          <w:tcPr>
            <w:tcW w:w="3208" w:type="dxa"/>
            <w:vAlign w:val="top"/>
          </w:tcPr>
          <w:p w14:paraId="4DF0ED59">
            <w:pPr>
              <w:rPr>
                <w:rFonts w:ascii="Arial"/>
                <w:color w:val="auto"/>
                <w:sz w:val="20"/>
                <w:szCs w:val="20"/>
                <w:highlight w:val="none"/>
              </w:rPr>
            </w:pPr>
          </w:p>
        </w:tc>
        <w:tc>
          <w:tcPr>
            <w:tcW w:w="1278" w:type="dxa"/>
            <w:vAlign w:val="top"/>
          </w:tcPr>
          <w:p w14:paraId="60ECC836">
            <w:pPr>
              <w:rPr>
                <w:rFonts w:ascii="Arial"/>
                <w:color w:val="auto"/>
                <w:sz w:val="20"/>
                <w:szCs w:val="20"/>
                <w:highlight w:val="none"/>
              </w:rPr>
            </w:pPr>
          </w:p>
        </w:tc>
      </w:tr>
    </w:tbl>
    <w:p w14:paraId="6B939F33">
      <w:pPr>
        <w:spacing w:before="109" w:line="231" w:lineRule="auto"/>
        <w:ind w:left="419"/>
        <w:rPr>
          <w:rFonts w:ascii="宋体" w:hAnsi="宋体" w:eastAsia="宋体" w:cs="宋体"/>
          <w:color w:val="auto"/>
          <w:sz w:val="20"/>
          <w:szCs w:val="20"/>
          <w:highlight w:val="none"/>
        </w:rPr>
      </w:pPr>
      <w:r>
        <w:rPr>
          <w:rFonts w:ascii="宋体" w:hAnsi="宋体" w:eastAsia="宋体" w:cs="宋体"/>
          <w:color w:val="auto"/>
          <w:sz w:val="20"/>
          <w:szCs w:val="20"/>
          <w:highlight w:val="none"/>
        </w:rPr>
        <w:t>注：</w:t>
      </w:r>
    </w:p>
    <w:p w14:paraId="1F559153">
      <w:pPr>
        <w:spacing w:before="110" w:line="280" w:lineRule="auto"/>
        <w:ind w:firstLine="434"/>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1.说明：应对照磋商文件“第二章</w:t>
      </w:r>
      <w:r>
        <w:rPr>
          <w:rFonts w:ascii="宋体" w:hAnsi="宋体" w:eastAsia="宋体" w:cs="宋体"/>
          <w:color w:val="auto"/>
          <w:spacing w:val="-73"/>
          <w:sz w:val="20"/>
          <w:szCs w:val="20"/>
          <w:highlight w:val="none"/>
        </w:rPr>
        <w:t xml:space="preserve"> </w:t>
      </w:r>
      <w:r>
        <w:rPr>
          <w:rFonts w:ascii="宋体" w:hAnsi="宋体" w:eastAsia="宋体" w:cs="宋体"/>
          <w:color w:val="auto"/>
          <w:spacing w:val="7"/>
          <w:sz w:val="20"/>
          <w:szCs w:val="20"/>
          <w:highlight w:val="none"/>
        </w:rPr>
        <w:t>”中“采购需求</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”的技术需求</w:t>
      </w:r>
      <w:r>
        <w:rPr>
          <w:rFonts w:ascii="宋体" w:hAnsi="宋体" w:eastAsia="宋体" w:cs="宋体"/>
          <w:b/>
          <w:bCs/>
          <w:color w:val="auto"/>
          <w:spacing w:val="7"/>
          <w:sz w:val="20"/>
          <w:szCs w:val="20"/>
          <w:highlight w:val="none"/>
        </w:rPr>
        <w:t>（工程量清单</w:t>
      </w:r>
      <w:r>
        <w:rPr>
          <w:rFonts w:ascii="宋体" w:hAnsi="宋体" w:eastAsia="宋体" w:cs="宋体"/>
          <w:b/>
          <w:bCs/>
          <w:color w:val="auto"/>
          <w:spacing w:val="6"/>
          <w:sz w:val="20"/>
          <w:szCs w:val="20"/>
          <w:highlight w:val="none"/>
        </w:rPr>
        <w:t>的内容可以另册</w:t>
      </w:r>
      <w:r>
        <w:rPr>
          <w:rFonts w:ascii="宋体" w:hAnsi="宋体" w:eastAsia="宋体" w:cs="宋体"/>
          <w:color w:val="auto"/>
          <w:sz w:val="20"/>
          <w:szCs w:val="20"/>
          <w:highlight w:val="none"/>
        </w:rPr>
        <w:t xml:space="preserve"> </w:t>
      </w:r>
      <w:r>
        <w:rPr>
          <w:rFonts w:ascii="宋体" w:hAnsi="宋体" w:eastAsia="宋体" w:cs="宋体"/>
          <w:b/>
          <w:bCs/>
          <w:color w:val="auto"/>
          <w:spacing w:val="8"/>
          <w:sz w:val="20"/>
          <w:szCs w:val="20"/>
          <w:highlight w:val="none"/>
        </w:rPr>
        <w:t>提供）</w:t>
      </w:r>
      <w:r>
        <w:rPr>
          <w:rFonts w:ascii="宋体" w:hAnsi="宋体" w:eastAsia="宋体" w:cs="宋体"/>
          <w:color w:val="auto"/>
          <w:spacing w:val="8"/>
          <w:sz w:val="20"/>
          <w:szCs w:val="20"/>
          <w:highlight w:val="none"/>
        </w:rPr>
        <w:t>逐条作出明确响应，并作出偏离说明。</w:t>
      </w:r>
    </w:p>
    <w:p w14:paraId="7F48ECE0">
      <w:pPr>
        <w:spacing w:before="115" w:line="296" w:lineRule="auto"/>
        <w:ind w:left="3" w:firstLine="419"/>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2.供应商应根据自身的承诺，对照磋商文件要求，在“偏离说明</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”中注明</w:t>
      </w:r>
      <w:r>
        <w:rPr>
          <w:rFonts w:ascii="宋体" w:hAnsi="宋体" w:eastAsia="宋体" w:cs="宋体"/>
          <w:color w:val="auto"/>
          <w:spacing w:val="7"/>
          <w:sz w:val="20"/>
          <w:szCs w:val="20"/>
          <w:highlight w:val="none"/>
        </w:rPr>
        <w:t>“正偏离</w:t>
      </w:r>
      <w:r>
        <w:rPr>
          <w:rFonts w:ascii="宋体" w:hAnsi="宋体" w:eastAsia="宋体" w:cs="宋体"/>
          <w:color w:val="auto"/>
          <w:spacing w:val="-72"/>
          <w:sz w:val="20"/>
          <w:szCs w:val="20"/>
          <w:highlight w:val="none"/>
        </w:rPr>
        <w:t xml:space="preserve"> </w:t>
      </w:r>
      <w:r>
        <w:rPr>
          <w:rFonts w:ascii="宋体" w:hAnsi="宋体" w:eastAsia="宋体" w:cs="宋体"/>
          <w:color w:val="auto"/>
          <w:spacing w:val="7"/>
          <w:sz w:val="20"/>
          <w:szCs w:val="20"/>
          <w:highlight w:val="none"/>
        </w:rPr>
        <w:t>”、“负偏</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rPr>
        <w:t>离</w:t>
      </w:r>
      <w:r>
        <w:rPr>
          <w:rFonts w:ascii="宋体" w:hAnsi="宋体" w:eastAsia="宋体" w:cs="宋体"/>
          <w:color w:val="auto"/>
          <w:spacing w:val="-55"/>
          <w:sz w:val="20"/>
          <w:szCs w:val="20"/>
          <w:highlight w:val="none"/>
        </w:rPr>
        <w:t xml:space="preserve"> </w:t>
      </w:r>
      <w:r>
        <w:rPr>
          <w:rFonts w:ascii="宋体" w:hAnsi="宋体" w:eastAsia="宋体" w:cs="宋体"/>
          <w:color w:val="auto"/>
          <w:spacing w:val="7"/>
          <w:sz w:val="20"/>
          <w:szCs w:val="20"/>
          <w:highlight w:val="none"/>
        </w:rPr>
        <w:t>”或者“无偏离</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”。既不属于“正偏离</w:t>
      </w:r>
      <w:r>
        <w:rPr>
          <w:rFonts w:ascii="宋体" w:hAnsi="宋体" w:eastAsia="宋体" w:cs="宋体"/>
          <w:color w:val="auto"/>
          <w:spacing w:val="-67"/>
          <w:sz w:val="20"/>
          <w:szCs w:val="20"/>
          <w:highlight w:val="none"/>
        </w:rPr>
        <w:t xml:space="preserve"> </w:t>
      </w:r>
      <w:r>
        <w:rPr>
          <w:rFonts w:ascii="宋体" w:hAnsi="宋体" w:eastAsia="宋体" w:cs="宋体"/>
          <w:color w:val="auto"/>
          <w:spacing w:val="7"/>
          <w:sz w:val="20"/>
          <w:szCs w:val="20"/>
          <w:highlight w:val="none"/>
        </w:rPr>
        <w:t>”也不属于“负偏离</w:t>
      </w:r>
      <w:r>
        <w:rPr>
          <w:rFonts w:ascii="宋体" w:hAnsi="宋体" w:eastAsia="宋体" w:cs="宋体"/>
          <w:color w:val="auto"/>
          <w:spacing w:val="-68"/>
          <w:sz w:val="20"/>
          <w:szCs w:val="20"/>
          <w:highlight w:val="none"/>
        </w:rPr>
        <w:t xml:space="preserve"> </w:t>
      </w:r>
      <w:r>
        <w:rPr>
          <w:rFonts w:ascii="宋体" w:hAnsi="宋体" w:eastAsia="宋体" w:cs="宋体"/>
          <w:color w:val="auto"/>
          <w:spacing w:val="7"/>
          <w:sz w:val="20"/>
          <w:szCs w:val="20"/>
          <w:highlight w:val="none"/>
        </w:rPr>
        <w:t>”即为“无偏离</w:t>
      </w:r>
      <w:r>
        <w:rPr>
          <w:rFonts w:ascii="宋体" w:hAnsi="宋体" w:eastAsia="宋体" w:cs="宋体"/>
          <w:color w:val="auto"/>
          <w:spacing w:val="-67"/>
          <w:sz w:val="20"/>
          <w:szCs w:val="20"/>
          <w:highlight w:val="none"/>
        </w:rPr>
        <w:t xml:space="preserve"> </w:t>
      </w:r>
      <w:r>
        <w:rPr>
          <w:rFonts w:ascii="宋体" w:hAnsi="宋体" w:eastAsia="宋体" w:cs="宋体"/>
          <w:color w:val="auto"/>
          <w:spacing w:val="7"/>
          <w:sz w:val="20"/>
          <w:szCs w:val="20"/>
          <w:highlight w:val="none"/>
        </w:rPr>
        <w:t>”。</w:t>
      </w:r>
      <w:r>
        <w:rPr>
          <w:rFonts w:ascii="宋体" w:hAnsi="宋体" w:eastAsia="宋体" w:cs="宋体"/>
          <w:color w:val="auto"/>
          <w:spacing w:val="37"/>
          <w:sz w:val="20"/>
          <w:szCs w:val="20"/>
          <w:highlight w:val="none"/>
        </w:rPr>
        <w:t xml:space="preserve"> </w:t>
      </w:r>
      <w:r>
        <w:rPr>
          <w:rFonts w:ascii="宋体" w:hAnsi="宋体" w:eastAsia="宋体" w:cs="宋体"/>
          <w:color w:val="auto"/>
          <w:spacing w:val="7"/>
          <w:sz w:val="20"/>
          <w:szCs w:val="20"/>
          <w:highlight w:val="none"/>
        </w:rPr>
        <w:t>当响应文件的</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rPr>
        <w:t>商务内容低于竞争性磋商文件要求时，竞标人应当如实写明“负偏离</w:t>
      </w:r>
      <w:r>
        <w:rPr>
          <w:rFonts w:ascii="宋体" w:hAnsi="宋体" w:eastAsia="宋体" w:cs="宋体"/>
          <w:color w:val="auto"/>
          <w:spacing w:val="-73"/>
          <w:sz w:val="20"/>
          <w:szCs w:val="20"/>
          <w:highlight w:val="none"/>
        </w:rPr>
        <w:t xml:space="preserve"> </w:t>
      </w:r>
      <w:r>
        <w:rPr>
          <w:rFonts w:ascii="宋体" w:hAnsi="宋体" w:eastAsia="宋体" w:cs="宋体"/>
          <w:color w:val="auto"/>
          <w:spacing w:val="9"/>
          <w:sz w:val="20"/>
          <w:szCs w:val="20"/>
          <w:highlight w:val="none"/>
        </w:rPr>
        <w:t>”，否则视为虚假应标</w:t>
      </w:r>
    </w:p>
    <w:p w14:paraId="0784C899">
      <w:pPr>
        <w:spacing w:before="116" w:line="226" w:lineRule="auto"/>
        <w:ind w:left="423"/>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3.表格内容均需按要求填写并盖章，不得留空，否则按竞标无效处</w:t>
      </w:r>
      <w:r>
        <w:rPr>
          <w:rFonts w:ascii="宋体" w:hAnsi="宋体" w:eastAsia="宋体" w:cs="宋体"/>
          <w:color w:val="auto"/>
          <w:spacing w:val="8"/>
          <w:sz w:val="20"/>
          <w:szCs w:val="20"/>
          <w:highlight w:val="none"/>
        </w:rPr>
        <w:t>理。</w:t>
      </w:r>
    </w:p>
    <w:p w14:paraId="5E3EE287">
      <w:pPr>
        <w:spacing w:before="115" w:line="228" w:lineRule="auto"/>
        <w:ind w:left="418"/>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4.如技术偏离表中的竞标响应与佐证材料不一致的，</w:t>
      </w:r>
      <w:r>
        <w:rPr>
          <w:rFonts w:ascii="宋体" w:hAnsi="宋体" w:eastAsia="宋体" w:cs="宋体"/>
          <w:color w:val="auto"/>
          <w:spacing w:val="-60"/>
          <w:sz w:val="20"/>
          <w:szCs w:val="20"/>
          <w:highlight w:val="none"/>
        </w:rPr>
        <w:t xml:space="preserve"> </w:t>
      </w:r>
      <w:r>
        <w:rPr>
          <w:rFonts w:ascii="宋体" w:hAnsi="宋体" w:eastAsia="宋体" w:cs="宋体"/>
          <w:color w:val="auto"/>
          <w:spacing w:val="8"/>
          <w:sz w:val="20"/>
          <w:szCs w:val="20"/>
          <w:highlight w:val="none"/>
        </w:rPr>
        <w:t>以佐证</w:t>
      </w:r>
      <w:r>
        <w:rPr>
          <w:rFonts w:ascii="宋体" w:hAnsi="宋体" w:eastAsia="宋体" w:cs="宋体"/>
          <w:color w:val="auto"/>
          <w:spacing w:val="7"/>
          <w:sz w:val="20"/>
          <w:szCs w:val="20"/>
          <w:highlight w:val="none"/>
        </w:rPr>
        <w:t>材料为准。</w:t>
      </w:r>
    </w:p>
    <w:p w14:paraId="0C8E7E73">
      <w:pPr>
        <w:pStyle w:val="6"/>
        <w:spacing w:line="426" w:lineRule="auto"/>
        <w:rPr>
          <w:color w:val="auto"/>
          <w:highlight w:val="none"/>
        </w:rPr>
      </w:pPr>
    </w:p>
    <w:p w14:paraId="0801A5D5">
      <w:pPr>
        <w:spacing w:before="79" w:line="219" w:lineRule="auto"/>
        <w:ind w:left="4095"/>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358F4C13">
      <w:pPr>
        <w:spacing w:before="183" w:line="220" w:lineRule="auto"/>
        <w:ind w:left="6378"/>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日期：</w:t>
      </w:r>
      <w:r>
        <w:rPr>
          <w:rFonts w:ascii="宋体" w:hAnsi="宋体" w:eastAsia="宋体" w:cs="宋体"/>
          <w:color w:val="auto"/>
          <w:spacing w:val="5"/>
          <w:sz w:val="20"/>
          <w:szCs w:val="20"/>
          <w:highlight w:val="none"/>
        </w:rPr>
        <w:t xml:space="preserve">  </w:t>
      </w:r>
      <w:r>
        <w:rPr>
          <w:rFonts w:ascii="宋体" w:hAnsi="宋体" w:eastAsia="宋体" w:cs="宋体"/>
          <w:color w:val="auto"/>
          <w:spacing w:val="-13"/>
          <w:sz w:val="20"/>
          <w:szCs w:val="20"/>
          <w:highlight w:val="none"/>
        </w:rPr>
        <w:t>年</w:t>
      </w:r>
      <w:r>
        <w:rPr>
          <w:rFonts w:ascii="宋体" w:hAnsi="宋体" w:eastAsia="宋体" w:cs="宋体"/>
          <w:color w:val="auto"/>
          <w:spacing w:val="8"/>
          <w:sz w:val="20"/>
          <w:szCs w:val="20"/>
          <w:highlight w:val="none"/>
        </w:rPr>
        <w:t xml:space="preserve">  </w:t>
      </w:r>
      <w:r>
        <w:rPr>
          <w:rFonts w:ascii="宋体" w:hAnsi="宋体" w:eastAsia="宋体" w:cs="宋体"/>
          <w:color w:val="auto"/>
          <w:spacing w:val="-13"/>
          <w:sz w:val="20"/>
          <w:szCs w:val="20"/>
          <w:highlight w:val="none"/>
        </w:rPr>
        <w:t>月</w:t>
      </w:r>
      <w:r>
        <w:rPr>
          <w:rFonts w:ascii="宋体" w:hAnsi="宋体" w:eastAsia="宋体" w:cs="宋体"/>
          <w:color w:val="auto"/>
          <w:spacing w:val="25"/>
          <w:sz w:val="20"/>
          <w:szCs w:val="20"/>
          <w:highlight w:val="none"/>
        </w:rPr>
        <w:t xml:space="preserve">  </w:t>
      </w:r>
      <w:r>
        <w:rPr>
          <w:rFonts w:ascii="宋体" w:hAnsi="宋体" w:eastAsia="宋体" w:cs="宋体"/>
          <w:color w:val="auto"/>
          <w:spacing w:val="-13"/>
          <w:sz w:val="20"/>
          <w:szCs w:val="20"/>
          <w:highlight w:val="none"/>
        </w:rPr>
        <w:t>日</w:t>
      </w:r>
    </w:p>
    <w:p w14:paraId="515BEFDC">
      <w:pPr>
        <w:spacing w:line="220" w:lineRule="auto"/>
        <w:rPr>
          <w:rFonts w:ascii="宋体" w:hAnsi="宋体" w:eastAsia="宋体" w:cs="宋体"/>
          <w:color w:val="auto"/>
          <w:sz w:val="20"/>
          <w:szCs w:val="20"/>
          <w:highlight w:val="none"/>
        </w:rPr>
        <w:sectPr>
          <w:footerReference r:id="rId59" w:type="default"/>
          <w:pgSz w:w="11910" w:h="16840"/>
          <w:pgMar w:top="400" w:right="1419" w:bottom="1079" w:left="1481" w:header="0" w:footer="843" w:gutter="0"/>
          <w:pgNumType w:fmt="decimal"/>
          <w:cols w:space="720" w:num="1"/>
        </w:sectPr>
      </w:pPr>
    </w:p>
    <w:p w14:paraId="2C7A8770">
      <w:pPr>
        <w:pStyle w:val="6"/>
        <w:spacing w:line="338" w:lineRule="auto"/>
        <w:rPr>
          <w:color w:val="auto"/>
          <w:highlight w:val="none"/>
        </w:rPr>
      </w:pPr>
    </w:p>
    <w:p w14:paraId="14C414B7">
      <w:pPr>
        <w:pStyle w:val="6"/>
        <w:spacing w:line="338" w:lineRule="auto"/>
        <w:rPr>
          <w:color w:val="auto"/>
          <w:highlight w:val="none"/>
        </w:rPr>
      </w:pPr>
    </w:p>
    <w:p w14:paraId="382470CA">
      <w:pPr>
        <w:spacing w:before="97" w:line="221" w:lineRule="auto"/>
        <w:ind w:left="8"/>
        <w:rPr>
          <w:rFonts w:ascii="宋体" w:hAnsi="宋体" w:eastAsia="宋体" w:cs="宋体"/>
          <w:color w:val="auto"/>
          <w:sz w:val="30"/>
          <w:szCs w:val="30"/>
          <w:highlight w:val="none"/>
        </w:rPr>
      </w:pPr>
      <w:r>
        <w:rPr>
          <w:rFonts w:ascii="宋体" w:hAnsi="宋体" w:eastAsia="宋体" w:cs="宋体"/>
          <w:b/>
          <w:bCs/>
          <w:color w:val="auto"/>
          <w:spacing w:val="-5"/>
          <w:sz w:val="30"/>
          <w:szCs w:val="30"/>
          <w:highlight w:val="none"/>
        </w:rPr>
        <w:t>八、施工组织设计</w:t>
      </w:r>
    </w:p>
    <w:p w14:paraId="7D07E988">
      <w:pPr>
        <w:spacing w:before="211" w:line="377" w:lineRule="auto"/>
        <w:ind w:firstLine="435"/>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1.投标人编制施工组织设计时，应采用文字并结合图表形式说明工程的施工组织、施</w:t>
      </w:r>
      <w:r>
        <w:rPr>
          <w:rFonts w:ascii="宋体" w:hAnsi="宋体" w:eastAsia="宋体" w:cs="宋体"/>
          <w:color w:val="auto"/>
          <w:spacing w:val="8"/>
          <w:sz w:val="20"/>
          <w:szCs w:val="20"/>
          <w:highlight w:val="none"/>
        </w:rPr>
        <w:t>工方法、</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技术组织措施，同时应对关键工序、复杂环节重点提</w:t>
      </w:r>
      <w:r>
        <w:rPr>
          <w:rFonts w:ascii="宋体" w:hAnsi="宋体" w:eastAsia="宋体" w:cs="宋体"/>
          <w:color w:val="auto"/>
          <w:spacing w:val="9"/>
          <w:sz w:val="20"/>
          <w:szCs w:val="20"/>
          <w:highlight w:val="none"/>
        </w:rPr>
        <w:t>出相应技术措施，如冬雨季施工技术、减少噪</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音、降低环境污染、地下管线及其它地上地下</w:t>
      </w:r>
      <w:r>
        <w:rPr>
          <w:rFonts w:ascii="宋体" w:hAnsi="宋体" w:eastAsia="宋体" w:cs="宋体"/>
          <w:color w:val="auto"/>
          <w:spacing w:val="9"/>
          <w:sz w:val="20"/>
          <w:szCs w:val="20"/>
          <w:highlight w:val="none"/>
        </w:rPr>
        <w:t>设施的保护加固措施等。施工组织设计还应结合工程</w:t>
      </w:r>
      <w:r>
        <w:rPr>
          <w:rFonts w:ascii="宋体" w:hAnsi="宋体" w:eastAsia="宋体" w:cs="宋体"/>
          <w:color w:val="auto"/>
          <w:sz w:val="20"/>
          <w:szCs w:val="20"/>
          <w:highlight w:val="none"/>
        </w:rPr>
        <w:t xml:space="preserve"> </w:t>
      </w:r>
      <w:r>
        <w:rPr>
          <w:rFonts w:ascii="宋体" w:hAnsi="宋体" w:eastAsia="宋体" w:cs="宋体"/>
          <w:color w:val="auto"/>
          <w:spacing w:val="10"/>
          <w:sz w:val="20"/>
          <w:szCs w:val="20"/>
          <w:highlight w:val="none"/>
        </w:rPr>
        <w:t>特点提出切实可行的工程质量、工程进度、安</w:t>
      </w:r>
      <w:r>
        <w:rPr>
          <w:rFonts w:ascii="宋体" w:hAnsi="宋体" w:eastAsia="宋体" w:cs="宋体"/>
          <w:color w:val="auto"/>
          <w:spacing w:val="9"/>
          <w:sz w:val="20"/>
          <w:szCs w:val="20"/>
          <w:highlight w:val="none"/>
        </w:rPr>
        <w:t>全生产、防汛度汛、文明施工、水土保持、环境保护</w:t>
      </w:r>
      <w:r>
        <w:rPr>
          <w:rFonts w:ascii="宋体" w:hAnsi="宋体" w:eastAsia="宋体" w:cs="宋体"/>
          <w:color w:val="auto"/>
          <w:sz w:val="20"/>
          <w:szCs w:val="20"/>
          <w:highlight w:val="none"/>
        </w:rPr>
        <w:t xml:space="preserve"> </w:t>
      </w:r>
      <w:r>
        <w:rPr>
          <w:rFonts w:ascii="宋体" w:hAnsi="宋体" w:eastAsia="宋体" w:cs="宋体"/>
          <w:color w:val="auto"/>
          <w:spacing w:val="5"/>
          <w:sz w:val="20"/>
          <w:szCs w:val="20"/>
          <w:highlight w:val="none"/>
        </w:rPr>
        <w:t>管理方案。</w:t>
      </w:r>
    </w:p>
    <w:p w14:paraId="0D3ED948">
      <w:pPr>
        <w:spacing w:line="227" w:lineRule="auto"/>
        <w:ind w:left="419"/>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施工组织设计应附的文字说明如下(包括但不限于以下内容，否则响应文件无效)：</w:t>
      </w:r>
    </w:p>
    <w:p w14:paraId="36E2326E">
      <w:pPr>
        <w:spacing w:before="161" w:line="230" w:lineRule="auto"/>
        <w:ind w:left="430"/>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（1）主要施工方法</w:t>
      </w:r>
    </w:p>
    <w:p w14:paraId="7BC1FBF1">
      <w:pPr>
        <w:spacing w:before="161" w:line="228" w:lineRule="auto"/>
        <w:ind w:left="43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（2）拟投入的主要物资计划</w:t>
      </w:r>
    </w:p>
    <w:p w14:paraId="511C6B40">
      <w:pPr>
        <w:spacing w:before="161" w:line="228" w:lineRule="auto"/>
        <w:ind w:left="43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（3）拟投入的主要施工机械、设备计划</w:t>
      </w:r>
    </w:p>
    <w:p w14:paraId="11FA9A23">
      <w:pPr>
        <w:spacing w:before="162" w:line="228" w:lineRule="auto"/>
        <w:ind w:left="430"/>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（4）劳动力安排计划</w:t>
      </w:r>
    </w:p>
    <w:p w14:paraId="7E38A269">
      <w:pPr>
        <w:spacing w:before="161" w:line="228" w:lineRule="auto"/>
        <w:ind w:left="43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（5）确保工程质量的技术组织措施</w:t>
      </w:r>
    </w:p>
    <w:p w14:paraId="469DB111">
      <w:pPr>
        <w:spacing w:before="161" w:line="228" w:lineRule="auto"/>
        <w:ind w:left="43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（6）确保安全生产的技术组织措施</w:t>
      </w:r>
    </w:p>
    <w:p w14:paraId="23C8AFC4">
      <w:pPr>
        <w:spacing w:before="161" w:line="228" w:lineRule="auto"/>
        <w:ind w:left="43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（7）确保工期的技术组织措施</w:t>
      </w:r>
    </w:p>
    <w:p w14:paraId="3ED0BAEE">
      <w:pPr>
        <w:spacing w:before="163" w:line="229" w:lineRule="auto"/>
        <w:ind w:left="43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（8）工程施工的重点和难点及保证措施</w:t>
      </w:r>
    </w:p>
    <w:p w14:paraId="31D686EF">
      <w:pPr>
        <w:pStyle w:val="6"/>
        <w:spacing w:line="247" w:lineRule="auto"/>
        <w:rPr>
          <w:color w:val="auto"/>
          <w:highlight w:val="none"/>
        </w:rPr>
      </w:pPr>
    </w:p>
    <w:p w14:paraId="07F808F2">
      <w:pPr>
        <w:spacing w:before="65" w:line="84" w:lineRule="exact"/>
        <w:ind w:left="425"/>
        <w:rPr>
          <w:rFonts w:ascii="宋体" w:hAnsi="宋体" w:eastAsia="宋体" w:cs="宋体"/>
          <w:color w:val="auto"/>
          <w:sz w:val="20"/>
          <w:szCs w:val="20"/>
          <w:highlight w:val="none"/>
        </w:rPr>
      </w:pPr>
      <w:r>
        <w:rPr>
          <w:rFonts w:ascii="宋体" w:hAnsi="宋体" w:eastAsia="宋体" w:cs="宋体"/>
          <w:color w:val="auto"/>
          <w:spacing w:val="4"/>
          <w:position w:val="1"/>
          <w:sz w:val="20"/>
          <w:szCs w:val="20"/>
          <w:highlight w:val="none"/>
        </w:rPr>
        <w:t>......</w:t>
      </w:r>
    </w:p>
    <w:p w14:paraId="409BEF98">
      <w:pPr>
        <w:pStyle w:val="6"/>
        <w:spacing w:line="254" w:lineRule="auto"/>
        <w:rPr>
          <w:color w:val="auto"/>
          <w:highlight w:val="none"/>
        </w:rPr>
      </w:pPr>
    </w:p>
    <w:p w14:paraId="3CA23FE3">
      <w:pPr>
        <w:pStyle w:val="6"/>
        <w:spacing w:line="255" w:lineRule="auto"/>
        <w:rPr>
          <w:color w:val="auto"/>
          <w:highlight w:val="none"/>
        </w:rPr>
      </w:pPr>
    </w:p>
    <w:p w14:paraId="67CE4880">
      <w:pPr>
        <w:spacing w:before="66" w:line="228" w:lineRule="auto"/>
        <w:ind w:left="422"/>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2.施工组织设计除采用文字表述外应附下列图表，图表及格式要求附后。</w:t>
      </w:r>
    </w:p>
    <w:p w14:paraId="3883C251">
      <w:pPr>
        <w:spacing w:before="163" w:line="228" w:lineRule="auto"/>
        <w:ind w:left="436"/>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附件一：拟投入本合同工程的主要施工设备表</w:t>
      </w:r>
    </w:p>
    <w:p w14:paraId="3C7E286F">
      <w:pPr>
        <w:spacing w:before="161" w:line="228" w:lineRule="auto"/>
        <w:ind w:left="436"/>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附件二：拟投入本合同工程的试验和检测仪</w:t>
      </w:r>
      <w:r>
        <w:rPr>
          <w:rFonts w:ascii="宋体" w:hAnsi="宋体" w:eastAsia="宋体" w:cs="宋体"/>
          <w:color w:val="auto"/>
          <w:spacing w:val="8"/>
          <w:sz w:val="20"/>
          <w:szCs w:val="20"/>
          <w:highlight w:val="none"/>
        </w:rPr>
        <w:t>器设备表</w:t>
      </w:r>
    </w:p>
    <w:p w14:paraId="2B1BEB26">
      <w:pPr>
        <w:spacing w:before="161" w:line="228" w:lineRule="auto"/>
        <w:ind w:left="436"/>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附件三：拟投入本合同工程的劳动力计划表</w:t>
      </w:r>
    </w:p>
    <w:p w14:paraId="42344E2B">
      <w:pPr>
        <w:spacing w:before="161" w:line="228" w:lineRule="auto"/>
        <w:ind w:left="436"/>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附件</w:t>
      </w:r>
      <w:r>
        <w:rPr>
          <w:rFonts w:ascii="宋体" w:hAnsi="宋体" w:eastAsia="宋体" w:cs="宋体"/>
          <w:color w:val="auto"/>
          <w:spacing w:val="8"/>
          <w:sz w:val="20"/>
          <w:szCs w:val="20"/>
          <w:highlight w:val="none"/>
        </w:rPr>
        <w:t>四</w:t>
      </w:r>
      <w:r>
        <w:rPr>
          <w:rFonts w:ascii="宋体" w:hAnsi="宋体" w:eastAsia="宋体" w:cs="宋体"/>
          <w:color w:val="auto"/>
          <w:spacing w:val="9"/>
          <w:sz w:val="20"/>
          <w:szCs w:val="20"/>
          <w:highlight w:val="none"/>
        </w:rPr>
        <w:t>：计划开工日期、完工日期和施工进度网</w:t>
      </w:r>
      <w:r>
        <w:rPr>
          <w:rFonts w:ascii="宋体" w:hAnsi="宋体" w:eastAsia="宋体" w:cs="宋体"/>
          <w:color w:val="auto"/>
          <w:spacing w:val="8"/>
          <w:sz w:val="20"/>
          <w:szCs w:val="20"/>
          <w:highlight w:val="none"/>
        </w:rPr>
        <w:t>络图(或横递图)</w:t>
      </w:r>
    </w:p>
    <w:p w14:paraId="52C89422">
      <w:pPr>
        <w:spacing w:before="161" w:line="228" w:lineRule="auto"/>
        <w:ind w:left="436"/>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附件</w:t>
      </w:r>
      <w:r>
        <w:rPr>
          <w:rFonts w:ascii="宋体" w:hAnsi="宋体" w:eastAsia="宋体" w:cs="宋体"/>
          <w:color w:val="auto"/>
          <w:spacing w:val="9"/>
          <w:sz w:val="20"/>
          <w:szCs w:val="20"/>
          <w:highlight w:val="none"/>
        </w:rPr>
        <w:t>五</w:t>
      </w:r>
      <w:r>
        <w:rPr>
          <w:rFonts w:ascii="宋体" w:hAnsi="宋体" w:eastAsia="宋体" w:cs="宋体"/>
          <w:color w:val="auto"/>
          <w:spacing w:val="7"/>
          <w:sz w:val="20"/>
          <w:szCs w:val="20"/>
          <w:highlight w:val="none"/>
        </w:rPr>
        <w:t>：施工总平面图</w:t>
      </w:r>
    </w:p>
    <w:p w14:paraId="69C76B45">
      <w:pPr>
        <w:spacing w:before="164" w:line="228" w:lineRule="auto"/>
        <w:ind w:left="436"/>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附件六：临时用地表</w:t>
      </w:r>
    </w:p>
    <w:p w14:paraId="03C1D734">
      <w:pPr>
        <w:spacing w:line="228" w:lineRule="auto"/>
        <w:rPr>
          <w:rFonts w:ascii="宋体" w:hAnsi="宋体" w:eastAsia="宋体" w:cs="宋体"/>
          <w:color w:val="auto"/>
          <w:sz w:val="20"/>
          <w:szCs w:val="20"/>
          <w:highlight w:val="none"/>
        </w:rPr>
        <w:sectPr>
          <w:footerReference r:id="rId60" w:type="default"/>
          <w:pgSz w:w="11910" w:h="16840"/>
          <w:pgMar w:top="400" w:right="1417" w:bottom="1079" w:left="1481" w:header="0" w:footer="843" w:gutter="0"/>
          <w:pgNumType w:fmt="decimal"/>
          <w:cols w:space="720" w:num="1"/>
        </w:sectPr>
      </w:pPr>
    </w:p>
    <w:p w14:paraId="56A572D1">
      <w:pPr>
        <w:pStyle w:val="6"/>
        <w:spacing w:line="347" w:lineRule="auto"/>
        <w:rPr>
          <w:color w:val="auto"/>
          <w:highlight w:val="none"/>
        </w:rPr>
      </w:pPr>
    </w:p>
    <w:p w14:paraId="302939E8">
      <w:pPr>
        <w:pStyle w:val="6"/>
        <w:spacing w:line="348" w:lineRule="auto"/>
        <w:rPr>
          <w:color w:val="auto"/>
          <w:highlight w:val="none"/>
        </w:rPr>
      </w:pPr>
    </w:p>
    <w:p w14:paraId="02C58D1D">
      <w:pPr>
        <w:spacing w:before="65" w:line="228" w:lineRule="auto"/>
        <w:ind w:left="194"/>
        <w:rPr>
          <w:rFonts w:ascii="宋体" w:hAnsi="宋体" w:eastAsia="宋体" w:cs="宋体"/>
          <w:color w:val="auto"/>
          <w:sz w:val="20"/>
          <w:szCs w:val="20"/>
          <w:highlight w:val="none"/>
        </w:rPr>
      </w:pPr>
      <w:r>
        <w:rPr>
          <w:rFonts w:ascii="宋体" w:hAnsi="宋体" w:eastAsia="宋体" w:cs="宋体"/>
          <w:b/>
          <w:bCs/>
          <w:color w:val="auto"/>
          <w:spacing w:val="7"/>
          <w:sz w:val="20"/>
          <w:szCs w:val="20"/>
          <w:highlight w:val="none"/>
        </w:rPr>
        <w:t>附件一：拟投入本标段的主要施工设备表</w:t>
      </w:r>
    </w:p>
    <w:p w14:paraId="2BF6C02F">
      <w:pPr>
        <w:spacing w:before="297" w:line="228" w:lineRule="auto"/>
        <w:ind w:left="3212"/>
        <w:rPr>
          <w:rFonts w:ascii="宋体" w:hAnsi="宋体" w:eastAsia="宋体" w:cs="宋体"/>
          <w:color w:val="auto"/>
          <w:sz w:val="20"/>
          <w:szCs w:val="20"/>
          <w:highlight w:val="none"/>
        </w:rPr>
      </w:pPr>
      <w:r>
        <w:rPr>
          <w:rFonts w:ascii="宋体" w:hAnsi="宋体" w:eastAsia="宋体" w:cs="宋体"/>
          <w:b/>
          <w:bCs/>
          <w:color w:val="auto"/>
          <w:spacing w:val="8"/>
          <w:sz w:val="20"/>
          <w:szCs w:val="20"/>
          <w:highlight w:val="none"/>
        </w:rPr>
        <w:t>拟投入本标段的主要施工设备表</w:t>
      </w:r>
    </w:p>
    <w:p w14:paraId="061CB903">
      <w:pPr>
        <w:spacing w:before="24"/>
        <w:rPr>
          <w:color w:val="auto"/>
          <w:highlight w:val="none"/>
        </w:rPr>
      </w:pPr>
    </w:p>
    <w:tbl>
      <w:tblPr>
        <w:tblStyle w:val="19"/>
        <w:tblW w:w="93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2"/>
        <w:gridCol w:w="1132"/>
        <w:gridCol w:w="864"/>
        <w:gridCol w:w="868"/>
        <w:gridCol w:w="863"/>
        <w:gridCol w:w="863"/>
        <w:gridCol w:w="864"/>
        <w:gridCol w:w="863"/>
        <w:gridCol w:w="864"/>
        <w:gridCol w:w="864"/>
        <w:gridCol w:w="878"/>
      </w:tblGrid>
      <w:tr w14:paraId="5C55B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432" w:type="dxa"/>
            <w:textDirection w:val="tbRlV"/>
            <w:vAlign w:val="top"/>
          </w:tcPr>
          <w:p w14:paraId="4E636950">
            <w:pPr>
              <w:pStyle w:val="20"/>
              <w:spacing w:before="109" w:line="218" w:lineRule="auto"/>
              <w:ind w:left="183"/>
              <w:rPr>
                <w:color w:val="auto"/>
                <w:highlight w:val="none"/>
              </w:rPr>
            </w:pPr>
            <w:r>
              <w:rPr>
                <w:color w:val="auto"/>
                <w:spacing w:val="9"/>
                <w:highlight w:val="none"/>
              </w:rPr>
              <w:t>序</w:t>
            </w:r>
            <w:r>
              <w:rPr>
                <w:color w:val="auto"/>
                <w:spacing w:val="-46"/>
                <w:highlight w:val="none"/>
              </w:rPr>
              <w:t xml:space="preserve"> </w:t>
            </w:r>
            <w:r>
              <w:rPr>
                <w:color w:val="auto"/>
                <w:spacing w:val="9"/>
                <w:highlight w:val="none"/>
              </w:rPr>
              <w:t>号</w:t>
            </w:r>
          </w:p>
        </w:tc>
        <w:tc>
          <w:tcPr>
            <w:tcW w:w="1132" w:type="dxa"/>
            <w:vAlign w:val="top"/>
          </w:tcPr>
          <w:p w14:paraId="4C190559">
            <w:pPr>
              <w:pStyle w:val="20"/>
              <w:spacing w:before="182" w:line="228" w:lineRule="auto"/>
              <w:ind w:left="43"/>
              <w:rPr>
                <w:color w:val="auto"/>
                <w:highlight w:val="none"/>
              </w:rPr>
            </w:pPr>
            <w:r>
              <w:rPr>
                <w:color w:val="auto"/>
                <w:spacing w:val="8"/>
                <w:highlight w:val="none"/>
              </w:rPr>
              <w:t>施工机械名</w:t>
            </w:r>
          </w:p>
          <w:p w14:paraId="04623F3B">
            <w:pPr>
              <w:pStyle w:val="20"/>
              <w:spacing w:before="21" w:line="231" w:lineRule="auto"/>
              <w:ind w:left="463"/>
              <w:rPr>
                <w:color w:val="auto"/>
                <w:highlight w:val="none"/>
              </w:rPr>
            </w:pPr>
            <w:r>
              <w:rPr>
                <w:color w:val="auto"/>
                <w:spacing w:val="1"/>
                <w:highlight w:val="none"/>
              </w:rPr>
              <w:t>称</w:t>
            </w:r>
          </w:p>
        </w:tc>
        <w:tc>
          <w:tcPr>
            <w:tcW w:w="864" w:type="dxa"/>
            <w:vAlign w:val="top"/>
          </w:tcPr>
          <w:p w14:paraId="02EBC95A">
            <w:pPr>
              <w:pStyle w:val="20"/>
              <w:spacing w:before="144" w:line="230" w:lineRule="auto"/>
              <w:ind w:left="22"/>
              <w:rPr>
                <w:color w:val="auto"/>
                <w:highlight w:val="none"/>
              </w:rPr>
            </w:pPr>
            <w:r>
              <w:rPr>
                <w:color w:val="auto"/>
                <w:spacing w:val="5"/>
                <w:highlight w:val="none"/>
              </w:rPr>
              <w:t>型号、规</w:t>
            </w:r>
          </w:p>
          <w:p w14:paraId="53348890">
            <w:pPr>
              <w:pStyle w:val="20"/>
              <w:spacing w:before="22" w:line="228" w:lineRule="auto"/>
              <w:ind w:left="330"/>
              <w:rPr>
                <w:color w:val="auto"/>
                <w:highlight w:val="none"/>
              </w:rPr>
            </w:pPr>
            <w:r>
              <w:rPr>
                <w:color w:val="auto"/>
                <w:highlight w:val="none"/>
              </w:rPr>
              <w:t>格</w:t>
            </w:r>
          </w:p>
        </w:tc>
        <w:tc>
          <w:tcPr>
            <w:tcW w:w="868" w:type="dxa"/>
            <w:vAlign w:val="top"/>
          </w:tcPr>
          <w:p w14:paraId="247F4C62">
            <w:pPr>
              <w:spacing w:line="244" w:lineRule="auto"/>
              <w:rPr>
                <w:rFonts w:ascii="Arial"/>
                <w:color w:val="auto"/>
                <w:sz w:val="21"/>
                <w:highlight w:val="none"/>
              </w:rPr>
            </w:pPr>
          </w:p>
          <w:p w14:paraId="4E3B3753">
            <w:pPr>
              <w:pStyle w:val="20"/>
              <w:spacing w:before="65" w:line="228" w:lineRule="auto"/>
              <w:ind w:left="228"/>
              <w:rPr>
                <w:color w:val="auto"/>
                <w:highlight w:val="none"/>
              </w:rPr>
            </w:pPr>
            <w:r>
              <w:rPr>
                <w:color w:val="auto"/>
                <w:spacing w:val="3"/>
                <w:highlight w:val="none"/>
              </w:rPr>
              <w:t>数量</w:t>
            </w:r>
          </w:p>
        </w:tc>
        <w:tc>
          <w:tcPr>
            <w:tcW w:w="863" w:type="dxa"/>
            <w:vAlign w:val="top"/>
          </w:tcPr>
          <w:p w14:paraId="7376FCFA">
            <w:pPr>
              <w:spacing w:line="248" w:lineRule="auto"/>
              <w:rPr>
                <w:rFonts w:ascii="Arial"/>
                <w:color w:val="auto"/>
                <w:sz w:val="21"/>
                <w:highlight w:val="none"/>
              </w:rPr>
            </w:pPr>
          </w:p>
          <w:p w14:paraId="25BD457D">
            <w:pPr>
              <w:pStyle w:val="20"/>
              <w:spacing w:before="65" w:line="228" w:lineRule="auto"/>
              <w:ind w:left="17"/>
              <w:rPr>
                <w:color w:val="auto"/>
                <w:highlight w:val="none"/>
              </w:rPr>
            </w:pPr>
            <w:r>
              <w:rPr>
                <w:color w:val="auto"/>
                <w:spacing w:val="7"/>
                <w:highlight w:val="none"/>
              </w:rPr>
              <w:t>制造年份</w:t>
            </w:r>
          </w:p>
        </w:tc>
        <w:tc>
          <w:tcPr>
            <w:tcW w:w="863" w:type="dxa"/>
            <w:vAlign w:val="top"/>
          </w:tcPr>
          <w:p w14:paraId="00C63E4B">
            <w:pPr>
              <w:pStyle w:val="20"/>
              <w:spacing w:before="183" w:line="253" w:lineRule="auto"/>
              <w:ind w:left="25" w:right="8" w:hanging="10"/>
              <w:rPr>
                <w:color w:val="auto"/>
                <w:highlight w:val="none"/>
              </w:rPr>
            </w:pPr>
            <w:r>
              <w:rPr>
                <w:color w:val="auto"/>
                <w:spacing w:val="8"/>
                <w:highlight w:val="none"/>
              </w:rPr>
              <w:t>额定功率</w:t>
            </w:r>
            <w:r>
              <w:rPr>
                <w:color w:val="auto"/>
                <w:spacing w:val="1"/>
                <w:highlight w:val="none"/>
              </w:rPr>
              <w:t xml:space="preserve"> （</w:t>
            </w:r>
            <w:r>
              <w:rPr>
                <w:color w:val="auto"/>
                <w:highlight w:val="none"/>
              </w:rPr>
              <w:t>KW</w:t>
            </w:r>
            <w:r>
              <w:rPr>
                <w:color w:val="auto"/>
                <w:spacing w:val="1"/>
                <w:highlight w:val="none"/>
              </w:rPr>
              <w:t>）</w:t>
            </w:r>
          </w:p>
        </w:tc>
        <w:tc>
          <w:tcPr>
            <w:tcW w:w="864" w:type="dxa"/>
            <w:vAlign w:val="top"/>
          </w:tcPr>
          <w:p w14:paraId="7749EEC4">
            <w:pPr>
              <w:pStyle w:val="20"/>
              <w:spacing w:before="173" w:line="228" w:lineRule="auto"/>
              <w:ind w:left="39"/>
              <w:rPr>
                <w:color w:val="auto"/>
                <w:highlight w:val="none"/>
              </w:rPr>
            </w:pPr>
            <w:r>
              <w:rPr>
                <w:color w:val="auto"/>
                <w:spacing w:val="2"/>
                <w:highlight w:val="none"/>
              </w:rPr>
              <w:t>国别、产</w:t>
            </w:r>
          </w:p>
          <w:p w14:paraId="22C007C1">
            <w:pPr>
              <w:pStyle w:val="20"/>
              <w:spacing w:before="25" w:line="238" w:lineRule="auto"/>
              <w:ind w:left="333"/>
              <w:rPr>
                <w:color w:val="auto"/>
                <w:highlight w:val="none"/>
              </w:rPr>
            </w:pPr>
            <w:r>
              <w:rPr>
                <w:color w:val="auto"/>
                <w:highlight w:val="none"/>
              </w:rPr>
              <w:t>地</w:t>
            </w:r>
          </w:p>
        </w:tc>
        <w:tc>
          <w:tcPr>
            <w:tcW w:w="863" w:type="dxa"/>
            <w:vAlign w:val="top"/>
          </w:tcPr>
          <w:p w14:paraId="688D53F0">
            <w:pPr>
              <w:spacing w:line="244" w:lineRule="auto"/>
              <w:rPr>
                <w:rFonts w:ascii="Arial"/>
                <w:color w:val="auto"/>
                <w:sz w:val="21"/>
                <w:highlight w:val="none"/>
              </w:rPr>
            </w:pPr>
          </w:p>
          <w:p w14:paraId="3E5AD7B8">
            <w:pPr>
              <w:pStyle w:val="20"/>
              <w:spacing w:before="65" w:line="228" w:lineRule="auto"/>
              <w:ind w:left="20"/>
              <w:rPr>
                <w:color w:val="auto"/>
                <w:highlight w:val="none"/>
              </w:rPr>
            </w:pPr>
            <w:r>
              <w:rPr>
                <w:color w:val="auto"/>
                <w:spacing w:val="6"/>
                <w:highlight w:val="none"/>
              </w:rPr>
              <w:t>生产能力</w:t>
            </w:r>
          </w:p>
        </w:tc>
        <w:tc>
          <w:tcPr>
            <w:tcW w:w="864" w:type="dxa"/>
            <w:vAlign w:val="top"/>
          </w:tcPr>
          <w:p w14:paraId="2A3CF8E1">
            <w:pPr>
              <w:spacing w:line="243" w:lineRule="auto"/>
              <w:rPr>
                <w:rFonts w:ascii="Arial"/>
                <w:color w:val="auto"/>
                <w:sz w:val="21"/>
                <w:highlight w:val="none"/>
              </w:rPr>
            </w:pPr>
          </w:p>
          <w:p w14:paraId="1F7F35F6">
            <w:pPr>
              <w:pStyle w:val="20"/>
              <w:spacing w:before="65" w:line="229" w:lineRule="auto"/>
              <w:ind w:left="20"/>
              <w:rPr>
                <w:color w:val="auto"/>
                <w:highlight w:val="none"/>
              </w:rPr>
            </w:pPr>
            <w:r>
              <w:rPr>
                <w:color w:val="auto"/>
                <w:spacing w:val="7"/>
                <w:highlight w:val="none"/>
              </w:rPr>
              <w:t>进场时间</w:t>
            </w:r>
          </w:p>
        </w:tc>
        <w:tc>
          <w:tcPr>
            <w:tcW w:w="864" w:type="dxa"/>
            <w:vAlign w:val="top"/>
          </w:tcPr>
          <w:p w14:paraId="7D892AA5">
            <w:pPr>
              <w:spacing w:line="243" w:lineRule="auto"/>
              <w:rPr>
                <w:rFonts w:ascii="Arial"/>
                <w:color w:val="auto"/>
                <w:sz w:val="21"/>
                <w:highlight w:val="none"/>
              </w:rPr>
            </w:pPr>
          </w:p>
          <w:p w14:paraId="05D56987">
            <w:pPr>
              <w:pStyle w:val="20"/>
              <w:spacing w:before="65" w:line="229" w:lineRule="auto"/>
              <w:ind w:left="22"/>
              <w:rPr>
                <w:color w:val="auto"/>
                <w:highlight w:val="none"/>
              </w:rPr>
            </w:pPr>
            <w:r>
              <w:rPr>
                <w:color w:val="auto"/>
                <w:spacing w:val="7"/>
                <w:highlight w:val="none"/>
              </w:rPr>
              <w:t>退场时间</w:t>
            </w:r>
          </w:p>
        </w:tc>
        <w:tc>
          <w:tcPr>
            <w:tcW w:w="878" w:type="dxa"/>
            <w:vAlign w:val="top"/>
          </w:tcPr>
          <w:p w14:paraId="1F97B393">
            <w:pPr>
              <w:pStyle w:val="20"/>
              <w:spacing w:before="185" w:line="230" w:lineRule="auto"/>
              <w:ind w:left="26"/>
              <w:rPr>
                <w:color w:val="auto"/>
                <w:highlight w:val="none"/>
              </w:rPr>
            </w:pPr>
            <w:r>
              <w:rPr>
                <w:color w:val="auto"/>
                <w:spacing w:val="6"/>
                <w:highlight w:val="none"/>
              </w:rPr>
              <w:t>用于施工</w:t>
            </w:r>
          </w:p>
          <w:p w14:paraId="3F1B9805">
            <w:pPr>
              <w:pStyle w:val="20"/>
              <w:spacing w:before="8" w:line="228" w:lineRule="auto"/>
              <w:ind w:left="238"/>
              <w:rPr>
                <w:color w:val="auto"/>
                <w:highlight w:val="none"/>
              </w:rPr>
            </w:pPr>
            <w:r>
              <w:rPr>
                <w:color w:val="auto"/>
                <w:spacing w:val="3"/>
                <w:highlight w:val="none"/>
              </w:rPr>
              <w:t>部位</w:t>
            </w:r>
          </w:p>
        </w:tc>
      </w:tr>
      <w:tr w14:paraId="27C5A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432" w:type="dxa"/>
            <w:vAlign w:val="top"/>
          </w:tcPr>
          <w:p w14:paraId="26721F4F">
            <w:pPr>
              <w:rPr>
                <w:rFonts w:ascii="Arial"/>
                <w:color w:val="auto"/>
                <w:sz w:val="21"/>
                <w:highlight w:val="none"/>
              </w:rPr>
            </w:pPr>
          </w:p>
        </w:tc>
        <w:tc>
          <w:tcPr>
            <w:tcW w:w="1132" w:type="dxa"/>
            <w:vAlign w:val="top"/>
          </w:tcPr>
          <w:p w14:paraId="1EC14169">
            <w:pPr>
              <w:rPr>
                <w:rFonts w:ascii="Arial"/>
                <w:color w:val="auto"/>
                <w:sz w:val="21"/>
                <w:highlight w:val="none"/>
              </w:rPr>
            </w:pPr>
          </w:p>
        </w:tc>
        <w:tc>
          <w:tcPr>
            <w:tcW w:w="864" w:type="dxa"/>
            <w:vAlign w:val="top"/>
          </w:tcPr>
          <w:p w14:paraId="4A22BB84">
            <w:pPr>
              <w:rPr>
                <w:rFonts w:ascii="Arial"/>
                <w:color w:val="auto"/>
                <w:sz w:val="21"/>
                <w:highlight w:val="none"/>
              </w:rPr>
            </w:pPr>
          </w:p>
        </w:tc>
        <w:tc>
          <w:tcPr>
            <w:tcW w:w="868" w:type="dxa"/>
            <w:vAlign w:val="top"/>
          </w:tcPr>
          <w:p w14:paraId="3639BA38">
            <w:pPr>
              <w:rPr>
                <w:rFonts w:ascii="Arial"/>
                <w:color w:val="auto"/>
                <w:sz w:val="21"/>
                <w:highlight w:val="none"/>
              </w:rPr>
            </w:pPr>
          </w:p>
        </w:tc>
        <w:tc>
          <w:tcPr>
            <w:tcW w:w="863" w:type="dxa"/>
            <w:vAlign w:val="top"/>
          </w:tcPr>
          <w:p w14:paraId="6D6D7B76">
            <w:pPr>
              <w:rPr>
                <w:rFonts w:ascii="Arial"/>
                <w:color w:val="auto"/>
                <w:sz w:val="21"/>
                <w:highlight w:val="none"/>
              </w:rPr>
            </w:pPr>
          </w:p>
        </w:tc>
        <w:tc>
          <w:tcPr>
            <w:tcW w:w="863" w:type="dxa"/>
            <w:vAlign w:val="top"/>
          </w:tcPr>
          <w:p w14:paraId="50ADF8FD">
            <w:pPr>
              <w:rPr>
                <w:rFonts w:ascii="Arial"/>
                <w:color w:val="auto"/>
                <w:sz w:val="21"/>
                <w:highlight w:val="none"/>
              </w:rPr>
            </w:pPr>
          </w:p>
        </w:tc>
        <w:tc>
          <w:tcPr>
            <w:tcW w:w="864" w:type="dxa"/>
            <w:vAlign w:val="top"/>
          </w:tcPr>
          <w:p w14:paraId="171976EA">
            <w:pPr>
              <w:rPr>
                <w:rFonts w:ascii="Arial"/>
                <w:color w:val="auto"/>
                <w:sz w:val="21"/>
                <w:highlight w:val="none"/>
              </w:rPr>
            </w:pPr>
          </w:p>
        </w:tc>
        <w:tc>
          <w:tcPr>
            <w:tcW w:w="863" w:type="dxa"/>
            <w:vAlign w:val="top"/>
          </w:tcPr>
          <w:p w14:paraId="3221A422">
            <w:pPr>
              <w:rPr>
                <w:rFonts w:ascii="Arial"/>
                <w:color w:val="auto"/>
                <w:sz w:val="21"/>
                <w:highlight w:val="none"/>
              </w:rPr>
            </w:pPr>
          </w:p>
        </w:tc>
        <w:tc>
          <w:tcPr>
            <w:tcW w:w="864" w:type="dxa"/>
            <w:vAlign w:val="top"/>
          </w:tcPr>
          <w:p w14:paraId="4095E510">
            <w:pPr>
              <w:rPr>
                <w:rFonts w:ascii="Arial"/>
                <w:color w:val="auto"/>
                <w:sz w:val="21"/>
                <w:highlight w:val="none"/>
              </w:rPr>
            </w:pPr>
          </w:p>
        </w:tc>
        <w:tc>
          <w:tcPr>
            <w:tcW w:w="864" w:type="dxa"/>
            <w:vAlign w:val="top"/>
          </w:tcPr>
          <w:p w14:paraId="122C2662">
            <w:pPr>
              <w:rPr>
                <w:rFonts w:ascii="Arial"/>
                <w:color w:val="auto"/>
                <w:sz w:val="21"/>
                <w:highlight w:val="none"/>
              </w:rPr>
            </w:pPr>
          </w:p>
        </w:tc>
        <w:tc>
          <w:tcPr>
            <w:tcW w:w="878" w:type="dxa"/>
            <w:vAlign w:val="top"/>
          </w:tcPr>
          <w:p w14:paraId="52E05D58">
            <w:pPr>
              <w:rPr>
                <w:rFonts w:ascii="Arial"/>
                <w:color w:val="auto"/>
                <w:sz w:val="21"/>
                <w:highlight w:val="none"/>
              </w:rPr>
            </w:pPr>
          </w:p>
        </w:tc>
      </w:tr>
      <w:tr w14:paraId="7A206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432" w:type="dxa"/>
            <w:vAlign w:val="top"/>
          </w:tcPr>
          <w:p w14:paraId="47F246E9">
            <w:pPr>
              <w:rPr>
                <w:rFonts w:ascii="Arial"/>
                <w:color w:val="auto"/>
                <w:sz w:val="21"/>
                <w:highlight w:val="none"/>
              </w:rPr>
            </w:pPr>
          </w:p>
        </w:tc>
        <w:tc>
          <w:tcPr>
            <w:tcW w:w="1132" w:type="dxa"/>
            <w:vAlign w:val="top"/>
          </w:tcPr>
          <w:p w14:paraId="696E7B64">
            <w:pPr>
              <w:rPr>
                <w:rFonts w:ascii="Arial"/>
                <w:color w:val="auto"/>
                <w:sz w:val="21"/>
                <w:highlight w:val="none"/>
              </w:rPr>
            </w:pPr>
          </w:p>
        </w:tc>
        <w:tc>
          <w:tcPr>
            <w:tcW w:w="864" w:type="dxa"/>
            <w:vAlign w:val="top"/>
          </w:tcPr>
          <w:p w14:paraId="2459C796">
            <w:pPr>
              <w:rPr>
                <w:rFonts w:ascii="Arial"/>
                <w:color w:val="auto"/>
                <w:sz w:val="21"/>
                <w:highlight w:val="none"/>
              </w:rPr>
            </w:pPr>
          </w:p>
        </w:tc>
        <w:tc>
          <w:tcPr>
            <w:tcW w:w="868" w:type="dxa"/>
            <w:vAlign w:val="top"/>
          </w:tcPr>
          <w:p w14:paraId="40F5D472">
            <w:pPr>
              <w:rPr>
                <w:rFonts w:ascii="Arial"/>
                <w:color w:val="auto"/>
                <w:sz w:val="21"/>
                <w:highlight w:val="none"/>
              </w:rPr>
            </w:pPr>
          </w:p>
        </w:tc>
        <w:tc>
          <w:tcPr>
            <w:tcW w:w="863" w:type="dxa"/>
            <w:vAlign w:val="top"/>
          </w:tcPr>
          <w:p w14:paraId="182070D0">
            <w:pPr>
              <w:rPr>
                <w:rFonts w:ascii="Arial"/>
                <w:color w:val="auto"/>
                <w:sz w:val="21"/>
                <w:highlight w:val="none"/>
              </w:rPr>
            </w:pPr>
          </w:p>
        </w:tc>
        <w:tc>
          <w:tcPr>
            <w:tcW w:w="863" w:type="dxa"/>
            <w:vAlign w:val="top"/>
          </w:tcPr>
          <w:p w14:paraId="7C82EF64">
            <w:pPr>
              <w:rPr>
                <w:rFonts w:ascii="Arial"/>
                <w:color w:val="auto"/>
                <w:sz w:val="21"/>
                <w:highlight w:val="none"/>
              </w:rPr>
            </w:pPr>
          </w:p>
        </w:tc>
        <w:tc>
          <w:tcPr>
            <w:tcW w:w="864" w:type="dxa"/>
            <w:vAlign w:val="top"/>
          </w:tcPr>
          <w:p w14:paraId="744FD65B">
            <w:pPr>
              <w:rPr>
                <w:rFonts w:ascii="Arial"/>
                <w:color w:val="auto"/>
                <w:sz w:val="21"/>
                <w:highlight w:val="none"/>
              </w:rPr>
            </w:pPr>
          </w:p>
        </w:tc>
        <w:tc>
          <w:tcPr>
            <w:tcW w:w="863" w:type="dxa"/>
            <w:vAlign w:val="top"/>
          </w:tcPr>
          <w:p w14:paraId="42E6AEB8">
            <w:pPr>
              <w:rPr>
                <w:rFonts w:ascii="Arial"/>
                <w:color w:val="auto"/>
                <w:sz w:val="21"/>
                <w:highlight w:val="none"/>
              </w:rPr>
            </w:pPr>
          </w:p>
        </w:tc>
        <w:tc>
          <w:tcPr>
            <w:tcW w:w="864" w:type="dxa"/>
            <w:vAlign w:val="top"/>
          </w:tcPr>
          <w:p w14:paraId="667A2EE2">
            <w:pPr>
              <w:rPr>
                <w:rFonts w:ascii="Arial"/>
                <w:color w:val="auto"/>
                <w:sz w:val="21"/>
                <w:highlight w:val="none"/>
              </w:rPr>
            </w:pPr>
          </w:p>
        </w:tc>
        <w:tc>
          <w:tcPr>
            <w:tcW w:w="864" w:type="dxa"/>
            <w:vAlign w:val="top"/>
          </w:tcPr>
          <w:p w14:paraId="4132EA60">
            <w:pPr>
              <w:rPr>
                <w:rFonts w:ascii="Arial"/>
                <w:color w:val="auto"/>
                <w:sz w:val="21"/>
                <w:highlight w:val="none"/>
              </w:rPr>
            </w:pPr>
          </w:p>
        </w:tc>
        <w:tc>
          <w:tcPr>
            <w:tcW w:w="878" w:type="dxa"/>
            <w:vAlign w:val="top"/>
          </w:tcPr>
          <w:p w14:paraId="575A19CA">
            <w:pPr>
              <w:rPr>
                <w:rFonts w:ascii="Arial"/>
                <w:color w:val="auto"/>
                <w:sz w:val="21"/>
                <w:highlight w:val="none"/>
              </w:rPr>
            </w:pPr>
          </w:p>
        </w:tc>
      </w:tr>
      <w:tr w14:paraId="28C78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432" w:type="dxa"/>
            <w:vAlign w:val="top"/>
          </w:tcPr>
          <w:p w14:paraId="30C1FF2F">
            <w:pPr>
              <w:rPr>
                <w:rFonts w:ascii="Arial"/>
                <w:color w:val="auto"/>
                <w:sz w:val="21"/>
                <w:highlight w:val="none"/>
              </w:rPr>
            </w:pPr>
          </w:p>
        </w:tc>
        <w:tc>
          <w:tcPr>
            <w:tcW w:w="1132" w:type="dxa"/>
            <w:vAlign w:val="top"/>
          </w:tcPr>
          <w:p w14:paraId="6FD08FC3">
            <w:pPr>
              <w:rPr>
                <w:rFonts w:ascii="Arial"/>
                <w:color w:val="auto"/>
                <w:sz w:val="21"/>
                <w:highlight w:val="none"/>
              </w:rPr>
            </w:pPr>
          </w:p>
        </w:tc>
        <w:tc>
          <w:tcPr>
            <w:tcW w:w="864" w:type="dxa"/>
            <w:vAlign w:val="top"/>
          </w:tcPr>
          <w:p w14:paraId="6D4EC295">
            <w:pPr>
              <w:rPr>
                <w:rFonts w:ascii="Arial"/>
                <w:color w:val="auto"/>
                <w:sz w:val="21"/>
                <w:highlight w:val="none"/>
              </w:rPr>
            </w:pPr>
          </w:p>
        </w:tc>
        <w:tc>
          <w:tcPr>
            <w:tcW w:w="868" w:type="dxa"/>
            <w:vAlign w:val="top"/>
          </w:tcPr>
          <w:p w14:paraId="7E28CCD3">
            <w:pPr>
              <w:rPr>
                <w:rFonts w:ascii="Arial"/>
                <w:color w:val="auto"/>
                <w:sz w:val="21"/>
                <w:highlight w:val="none"/>
              </w:rPr>
            </w:pPr>
          </w:p>
        </w:tc>
        <w:tc>
          <w:tcPr>
            <w:tcW w:w="863" w:type="dxa"/>
            <w:vAlign w:val="top"/>
          </w:tcPr>
          <w:p w14:paraId="1DB5581F">
            <w:pPr>
              <w:rPr>
                <w:rFonts w:ascii="Arial"/>
                <w:color w:val="auto"/>
                <w:sz w:val="21"/>
                <w:highlight w:val="none"/>
              </w:rPr>
            </w:pPr>
          </w:p>
        </w:tc>
        <w:tc>
          <w:tcPr>
            <w:tcW w:w="863" w:type="dxa"/>
            <w:vAlign w:val="top"/>
          </w:tcPr>
          <w:p w14:paraId="45C91CC1">
            <w:pPr>
              <w:rPr>
                <w:rFonts w:ascii="Arial"/>
                <w:color w:val="auto"/>
                <w:sz w:val="21"/>
                <w:highlight w:val="none"/>
              </w:rPr>
            </w:pPr>
          </w:p>
        </w:tc>
        <w:tc>
          <w:tcPr>
            <w:tcW w:w="864" w:type="dxa"/>
            <w:vAlign w:val="top"/>
          </w:tcPr>
          <w:p w14:paraId="7FEB0FC0">
            <w:pPr>
              <w:rPr>
                <w:rFonts w:ascii="Arial"/>
                <w:color w:val="auto"/>
                <w:sz w:val="21"/>
                <w:highlight w:val="none"/>
              </w:rPr>
            </w:pPr>
          </w:p>
        </w:tc>
        <w:tc>
          <w:tcPr>
            <w:tcW w:w="863" w:type="dxa"/>
            <w:vAlign w:val="top"/>
          </w:tcPr>
          <w:p w14:paraId="1BFA09A0">
            <w:pPr>
              <w:rPr>
                <w:rFonts w:ascii="Arial"/>
                <w:color w:val="auto"/>
                <w:sz w:val="21"/>
                <w:highlight w:val="none"/>
              </w:rPr>
            </w:pPr>
          </w:p>
        </w:tc>
        <w:tc>
          <w:tcPr>
            <w:tcW w:w="864" w:type="dxa"/>
            <w:vAlign w:val="top"/>
          </w:tcPr>
          <w:p w14:paraId="4EDE6152">
            <w:pPr>
              <w:rPr>
                <w:rFonts w:ascii="Arial"/>
                <w:color w:val="auto"/>
                <w:sz w:val="21"/>
                <w:highlight w:val="none"/>
              </w:rPr>
            </w:pPr>
          </w:p>
        </w:tc>
        <w:tc>
          <w:tcPr>
            <w:tcW w:w="864" w:type="dxa"/>
            <w:vAlign w:val="top"/>
          </w:tcPr>
          <w:p w14:paraId="4CAB29FE">
            <w:pPr>
              <w:rPr>
                <w:rFonts w:ascii="Arial"/>
                <w:color w:val="auto"/>
                <w:sz w:val="21"/>
                <w:highlight w:val="none"/>
              </w:rPr>
            </w:pPr>
          </w:p>
        </w:tc>
        <w:tc>
          <w:tcPr>
            <w:tcW w:w="878" w:type="dxa"/>
            <w:vAlign w:val="top"/>
          </w:tcPr>
          <w:p w14:paraId="1ED0E98E">
            <w:pPr>
              <w:rPr>
                <w:rFonts w:ascii="Arial"/>
                <w:color w:val="auto"/>
                <w:sz w:val="21"/>
                <w:highlight w:val="none"/>
              </w:rPr>
            </w:pPr>
          </w:p>
        </w:tc>
      </w:tr>
      <w:tr w14:paraId="43744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432" w:type="dxa"/>
            <w:vAlign w:val="top"/>
          </w:tcPr>
          <w:p w14:paraId="38D29C86">
            <w:pPr>
              <w:rPr>
                <w:rFonts w:ascii="Arial"/>
                <w:color w:val="auto"/>
                <w:sz w:val="21"/>
                <w:highlight w:val="none"/>
              </w:rPr>
            </w:pPr>
          </w:p>
        </w:tc>
        <w:tc>
          <w:tcPr>
            <w:tcW w:w="1132" w:type="dxa"/>
            <w:vAlign w:val="top"/>
          </w:tcPr>
          <w:p w14:paraId="50BDC43B">
            <w:pPr>
              <w:rPr>
                <w:rFonts w:ascii="Arial"/>
                <w:color w:val="auto"/>
                <w:sz w:val="21"/>
                <w:highlight w:val="none"/>
              </w:rPr>
            </w:pPr>
          </w:p>
        </w:tc>
        <w:tc>
          <w:tcPr>
            <w:tcW w:w="864" w:type="dxa"/>
            <w:vAlign w:val="top"/>
          </w:tcPr>
          <w:p w14:paraId="4E2B059B">
            <w:pPr>
              <w:rPr>
                <w:rFonts w:ascii="Arial"/>
                <w:color w:val="auto"/>
                <w:sz w:val="21"/>
                <w:highlight w:val="none"/>
              </w:rPr>
            </w:pPr>
          </w:p>
        </w:tc>
        <w:tc>
          <w:tcPr>
            <w:tcW w:w="868" w:type="dxa"/>
            <w:vAlign w:val="top"/>
          </w:tcPr>
          <w:p w14:paraId="61D2E855">
            <w:pPr>
              <w:rPr>
                <w:rFonts w:ascii="Arial"/>
                <w:color w:val="auto"/>
                <w:sz w:val="21"/>
                <w:highlight w:val="none"/>
              </w:rPr>
            </w:pPr>
          </w:p>
        </w:tc>
        <w:tc>
          <w:tcPr>
            <w:tcW w:w="863" w:type="dxa"/>
            <w:vAlign w:val="top"/>
          </w:tcPr>
          <w:p w14:paraId="4AE9D131">
            <w:pPr>
              <w:rPr>
                <w:rFonts w:ascii="Arial"/>
                <w:color w:val="auto"/>
                <w:sz w:val="21"/>
                <w:highlight w:val="none"/>
              </w:rPr>
            </w:pPr>
          </w:p>
        </w:tc>
        <w:tc>
          <w:tcPr>
            <w:tcW w:w="863" w:type="dxa"/>
            <w:vAlign w:val="top"/>
          </w:tcPr>
          <w:p w14:paraId="4DAC5A92">
            <w:pPr>
              <w:rPr>
                <w:rFonts w:ascii="Arial"/>
                <w:color w:val="auto"/>
                <w:sz w:val="21"/>
                <w:highlight w:val="none"/>
              </w:rPr>
            </w:pPr>
          </w:p>
        </w:tc>
        <w:tc>
          <w:tcPr>
            <w:tcW w:w="864" w:type="dxa"/>
            <w:vAlign w:val="top"/>
          </w:tcPr>
          <w:p w14:paraId="0ED4E36D">
            <w:pPr>
              <w:rPr>
                <w:rFonts w:ascii="Arial"/>
                <w:color w:val="auto"/>
                <w:sz w:val="21"/>
                <w:highlight w:val="none"/>
              </w:rPr>
            </w:pPr>
          </w:p>
        </w:tc>
        <w:tc>
          <w:tcPr>
            <w:tcW w:w="863" w:type="dxa"/>
            <w:vAlign w:val="top"/>
          </w:tcPr>
          <w:p w14:paraId="54B1F0ED">
            <w:pPr>
              <w:rPr>
                <w:rFonts w:ascii="Arial"/>
                <w:color w:val="auto"/>
                <w:sz w:val="21"/>
                <w:highlight w:val="none"/>
              </w:rPr>
            </w:pPr>
          </w:p>
        </w:tc>
        <w:tc>
          <w:tcPr>
            <w:tcW w:w="864" w:type="dxa"/>
            <w:vAlign w:val="top"/>
          </w:tcPr>
          <w:p w14:paraId="089E9481">
            <w:pPr>
              <w:rPr>
                <w:rFonts w:ascii="Arial"/>
                <w:color w:val="auto"/>
                <w:sz w:val="21"/>
                <w:highlight w:val="none"/>
              </w:rPr>
            </w:pPr>
          </w:p>
        </w:tc>
        <w:tc>
          <w:tcPr>
            <w:tcW w:w="864" w:type="dxa"/>
            <w:vAlign w:val="top"/>
          </w:tcPr>
          <w:p w14:paraId="2D39CD9F">
            <w:pPr>
              <w:rPr>
                <w:rFonts w:ascii="Arial"/>
                <w:color w:val="auto"/>
                <w:sz w:val="21"/>
                <w:highlight w:val="none"/>
              </w:rPr>
            </w:pPr>
          </w:p>
        </w:tc>
        <w:tc>
          <w:tcPr>
            <w:tcW w:w="878" w:type="dxa"/>
            <w:vAlign w:val="top"/>
          </w:tcPr>
          <w:p w14:paraId="22516B76">
            <w:pPr>
              <w:rPr>
                <w:rFonts w:ascii="Arial"/>
                <w:color w:val="auto"/>
                <w:sz w:val="21"/>
                <w:highlight w:val="none"/>
              </w:rPr>
            </w:pPr>
          </w:p>
        </w:tc>
      </w:tr>
      <w:tr w14:paraId="5238F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32" w:type="dxa"/>
            <w:vAlign w:val="top"/>
          </w:tcPr>
          <w:p w14:paraId="47E9FF21">
            <w:pPr>
              <w:rPr>
                <w:rFonts w:ascii="Arial"/>
                <w:color w:val="auto"/>
                <w:sz w:val="21"/>
                <w:highlight w:val="none"/>
              </w:rPr>
            </w:pPr>
          </w:p>
        </w:tc>
        <w:tc>
          <w:tcPr>
            <w:tcW w:w="1132" w:type="dxa"/>
            <w:vAlign w:val="top"/>
          </w:tcPr>
          <w:p w14:paraId="2746FB02">
            <w:pPr>
              <w:rPr>
                <w:rFonts w:ascii="Arial"/>
                <w:color w:val="auto"/>
                <w:sz w:val="21"/>
                <w:highlight w:val="none"/>
              </w:rPr>
            </w:pPr>
          </w:p>
        </w:tc>
        <w:tc>
          <w:tcPr>
            <w:tcW w:w="864" w:type="dxa"/>
            <w:vAlign w:val="top"/>
          </w:tcPr>
          <w:p w14:paraId="6C839DF3">
            <w:pPr>
              <w:rPr>
                <w:rFonts w:ascii="Arial"/>
                <w:color w:val="auto"/>
                <w:sz w:val="21"/>
                <w:highlight w:val="none"/>
              </w:rPr>
            </w:pPr>
          </w:p>
        </w:tc>
        <w:tc>
          <w:tcPr>
            <w:tcW w:w="868" w:type="dxa"/>
            <w:vAlign w:val="top"/>
          </w:tcPr>
          <w:p w14:paraId="25B05A8C">
            <w:pPr>
              <w:rPr>
                <w:rFonts w:ascii="Arial"/>
                <w:color w:val="auto"/>
                <w:sz w:val="21"/>
                <w:highlight w:val="none"/>
              </w:rPr>
            </w:pPr>
          </w:p>
        </w:tc>
        <w:tc>
          <w:tcPr>
            <w:tcW w:w="863" w:type="dxa"/>
            <w:vAlign w:val="top"/>
          </w:tcPr>
          <w:p w14:paraId="4CBCC598">
            <w:pPr>
              <w:rPr>
                <w:rFonts w:ascii="Arial"/>
                <w:color w:val="auto"/>
                <w:sz w:val="21"/>
                <w:highlight w:val="none"/>
              </w:rPr>
            </w:pPr>
          </w:p>
        </w:tc>
        <w:tc>
          <w:tcPr>
            <w:tcW w:w="863" w:type="dxa"/>
            <w:vAlign w:val="top"/>
          </w:tcPr>
          <w:p w14:paraId="1E5924C3">
            <w:pPr>
              <w:rPr>
                <w:rFonts w:ascii="Arial"/>
                <w:color w:val="auto"/>
                <w:sz w:val="21"/>
                <w:highlight w:val="none"/>
              </w:rPr>
            </w:pPr>
          </w:p>
        </w:tc>
        <w:tc>
          <w:tcPr>
            <w:tcW w:w="864" w:type="dxa"/>
            <w:vAlign w:val="top"/>
          </w:tcPr>
          <w:p w14:paraId="6271BA76">
            <w:pPr>
              <w:rPr>
                <w:rFonts w:ascii="Arial"/>
                <w:color w:val="auto"/>
                <w:sz w:val="21"/>
                <w:highlight w:val="none"/>
              </w:rPr>
            </w:pPr>
          </w:p>
        </w:tc>
        <w:tc>
          <w:tcPr>
            <w:tcW w:w="863" w:type="dxa"/>
            <w:vAlign w:val="top"/>
          </w:tcPr>
          <w:p w14:paraId="40DC28E7">
            <w:pPr>
              <w:rPr>
                <w:rFonts w:ascii="Arial"/>
                <w:color w:val="auto"/>
                <w:sz w:val="21"/>
                <w:highlight w:val="none"/>
              </w:rPr>
            </w:pPr>
          </w:p>
        </w:tc>
        <w:tc>
          <w:tcPr>
            <w:tcW w:w="864" w:type="dxa"/>
            <w:vAlign w:val="top"/>
          </w:tcPr>
          <w:p w14:paraId="2B5A6453">
            <w:pPr>
              <w:rPr>
                <w:rFonts w:ascii="Arial"/>
                <w:color w:val="auto"/>
                <w:sz w:val="21"/>
                <w:highlight w:val="none"/>
              </w:rPr>
            </w:pPr>
          </w:p>
        </w:tc>
        <w:tc>
          <w:tcPr>
            <w:tcW w:w="864" w:type="dxa"/>
            <w:vAlign w:val="top"/>
          </w:tcPr>
          <w:p w14:paraId="1B569064">
            <w:pPr>
              <w:rPr>
                <w:rFonts w:ascii="Arial"/>
                <w:color w:val="auto"/>
                <w:sz w:val="21"/>
                <w:highlight w:val="none"/>
              </w:rPr>
            </w:pPr>
          </w:p>
        </w:tc>
        <w:tc>
          <w:tcPr>
            <w:tcW w:w="878" w:type="dxa"/>
            <w:vAlign w:val="top"/>
          </w:tcPr>
          <w:p w14:paraId="5F2CD5F2">
            <w:pPr>
              <w:rPr>
                <w:rFonts w:ascii="Arial"/>
                <w:color w:val="auto"/>
                <w:sz w:val="21"/>
                <w:highlight w:val="none"/>
              </w:rPr>
            </w:pPr>
          </w:p>
        </w:tc>
      </w:tr>
    </w:tbl>
    <w:p w14:paraId="3A5B6774">
      <w:pPr>
        <w:spacing w:before="222" w:line="228" w:lineRule="auto"/>
        <w:ind w:left="181"/>
        <w:rPr>
          <w:rFonts w:ascii="宋体" w:hAnsi="宋体" w:eastAsia="宋体" w:cs="宋体"/>
          <w:color w:val="auto"/>
          <w:sz w:val="20"/>
          <w:szCs w:val="20"/>
          <w:highlight w:val="none"/>
        </w:rPr>
      </w:pPr>
      <w:r>
        <w:rPr>
          <w:rFonts w:ascii="宋体" w:hAnsi="宋体" w:eastAsia="宋体" w:cs="宋体"/>
          <w:b/>
          <w:bCs/>
          <w:color w:val="auto"/>
          <w:spacing w:val="8"/>
          <w:sz w:val="20"/>
          <w:szCs w:val="20"/>
          <w:highlight w:val="none"/>
        </w:rPr>
        <w:t>备注：表中内容须按要求填写，并不得留空，否则按无效响应处</w:t>
      </w:r>
      <w:r>
        <w:rPr>
          <w:rFonts w:ascii="宋体" w:hAnsi="宋体" w:eastAsia="宋体" w:cs="宋体"/>
          <w:b/>
          <w:bCs/>
          <w:color w:val="auto"/>
          <w:spacing w:val="7"/>
          <w:sz w:val="20"/>
          <w:szCs w:val="20"/>
          <w:highlight w:val="none"/>
        </w:rPr>
        <w:t>理。</w:t>
      </w:r>
    </w:p>
    <w:p w14:paraId="422B7249">
      <w:pPr>
        <w:pStyle w:val="6"/>
        <w:spacing w:line="319" w:lineRule="auto"/>
        <w:rPr>
          <w:color w:val="auto"/>
          <w:highlight w:val="none"/>
        </w:rPr>
      </w:pPr>
    </w:p>
    <w:p w14:paraId="62B20507">
      <w:pPr>
        <w:pStyle w:val="6"/>
        <w:spacing w:line="319" w:lineRule="auto"/>
        <w:rPr>
          <w:color w:val="auto"/>
          <w:highlight w:val="none"/>
        </w:rPr>
      </w:pPr>
    </w:p>
    <w:p w14:paraId="0153F965">
      <w:pPr>
        <w:spacing w:before="78" w:line="219" w:lineRule="auto"/>
        <w:ind w:left="427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供应商名称（电子签章</w:t>
      </w:r>
      <w:r>
        <w:rPr>
          <w:rFonts w:ascii="宋体" w:hAnsi="宋体" w:eastAsia="宋体" w:cs="宋体"/>
          <w:color w:val="auto"/>
          <w:sz w:val="24"/>
          <w:szCs w:val="24"/>
          <w:highlight w:val="none"/>
        </w:rPr>
        <w:t>）：</w:t>
      </w:r>
    </w:p>
    <w:p w14:paraId="0AC65F0E">
      <w:pPr>
        <w:spacing w:before="180" w:line="220" w:lineRule="auto"/>
        <w:ind w:left="6521"/>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8"/>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25"/>
          <w:sz w:val="24"/>
          <w:szCs w:val="24"/>
          <w:highlight w:val="none"/>
        </w:rPr>
        <w:t xml:space="preserve">  </w:t>
      </w:r>
      <w:r>
        <w:rPr>
          <w:rFonts w:ascii="宋体" w:hAnsi="宋体" w:eastAsia="宋体" w:cs="宋体"/>
          <w:color w:val="auto"/>
          <w:spacing w:val="-13"/>
          <w:sz w:val="24"/>
          <w:szCs w:val="24"/>
          <w:highlight w:val="none"/>
        </w:rPr>
        <w:t>日</w:t>
      </w:r>
    </w:p>
    <w:p w14:paraId="5D6E07E4">
      <w:pPr>
        <w:spacing w:before="177" w:line="228" w:lineRule="auto"/>
        <w:ind w:left="194"/>
        <w:rPr>
          <w:rFonts w:ascii="宋体" w:hAnsi="宋体" w:eastAsia="宋体" w:cs="宋体"/>
          <w:color w:val="auto"/>
          <w:sz w:val="20"/>
          <w:szCs w:val="20"/>
          <w:highlight w:val="none"/>
        </w:rPr>
      </w:pPr>
      <w:r>
        <w:rPr>
          <w:rFonts w:ascii="宋体" w:hAnsi="宋体" w:eastAsia="宋体" w:cs="宋体"/>
          <w:b/>
          <w:bCs/>
          <w:color w:val="auto"/>
          <w:spacing w:val="7"/>
          <w:sz w:val="20"/>
          <w:szCs w:val="20"/>
          <w:highlight w:val="none"/>
        </w:rPr>
        <w:t>附件二：拟投入本合同工程的试验和检测仪器设备表</w:t>
      </w:r>
    </w:p>
    <w:p w14:paraId="2B8B60EC">
      <w:pPr>
        <w:spacing w:before="298" w:line="228" w:lineRule="auto"/>
        <w:ind w:left="2684"/>
        <w:rPr>
          <w:rFonts w:ascii="宋体" w:hAnsi="宋体" w:eastAsia="宋体" w:cs="宋体"/>
          <w:color w:val="auto"/>
          <w:sz w:val="20"/>
          <w:szCs w:val="20"/>
          <w:highlight w:val="none"/>
        </w:rPr>
      </w:pPr>
      <w:r>
        <w:rPr>
          <w:rFonts w:ascii="宋体" w:hAnsi="宋体" w:eastAsia="宋体" w:cs="宋体"/>
          <w:b/>
          <w:bCs/>
          <w:color w:val="auto"/>
          <w:spacing w:val="8"/>
          <w:sz w:val="20"/>
          <w:szCs w:val="20"/>
          <w:highlight w:val="none"/>
        </w:rPr>
        <w:t>拟投入本合同工程的试验和检测仪器设备表</w:t>
      </w:r>
    </w:p>
    <w:p w14:paraId="29D481EF">
      <w:pPr>
        <w:spacing w:before="25"/>
        <w:rPr>
          <w:color w:val="auto"/>
          <w:highlight w:val="none"/>
        </w:rPr>
      </w:pPr>
    </w:p>
    <w:tbl>
      <w:tblPr>
        <w:tblStyle w:val="19"/>
        <w:tblW w:w="8595" w:type="dxa"/>
        <w:tblInd w:w="3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655"/>
        <w:gridCol w:w="906"/>
        <w:gridCol w:w="907"/>
        <w:gridCol w:w="906"/>
        <w:gridCol w:w="911"/>
        <w:gridCol w:w="902"/>
        <w:gridCol w:w="907"/>
        <w:gridCol w:w="921"/>
      </w:tblGrid>
      <w:tr w14:paraId="618D7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580" w:type="dxa"/>
            <w:vAlign w:val="top"/>
          </w:tcPr>
          <w:p w14:paraId="024CE9B3">
            <w:pPr>
              <w:spacing w:line="257" w:lineRule="auto"/>
              <w:rPr>
                <w:rFonts w:ascii="Arial"/>
                <w:color w:val="auto"/>
                <w:sz w:val="21"/>
                <w:highlight w:val="none"/>
              </w:rPr>
            </w:pPr>
          </w:p>
          <w:p w14:paraId="5829A452">
            <w:pPr>
              <w:pStyle w:val="20"/>
              <w:spacing w:before="65" w:line="230" w:lineRule="auto"/>
              <w:ind w:left="85"/>
              <w:rPr>
                <w:color w:val="auto"/>
                <w:highlight w:val="none"/>
              </w:rPr>
            </w:pPr>
            <w:r>
              <w:rPr>
                <w:color w:val="auto"/>
                <w:spacing w:val="5"/>
                <w:highlight w:val="none"/>
              </w:rPr>
              <w:t>序号</w:t>
            </w:r>
          </w:p>
        </w:tc>
        <w:tc>
          <w:tcPr>
            <w:tcW w:w="1655" w:type="dxa"/>
            <w:vAlign w:val="top"/>
          </w:tcPr>
          <w:p w14:paraId="2F56F079">
            <w:pPr>
              <w:spacing w:line="258" w:lineRule="auto"/>
              <w:rPr>
                <w:rFonts w:ascii="Arial"/>
                <w:color w:val="auto"/>
                <w:sz w:val="21"/>
                <w:highlight w:val="none"/>
              </w:rPr>
            </w:pPr>
          </w:p>
          <w:p w14:paraId="0B0D9099">
            <w:pPr>
              <w:pStyle w:val="20"/>
              <w:spacing w:before="65" w:line="228" w:lineRule="auto"/>
              <w:ind w:left="203"/>
              <w:rPr>
                <w:color w:val="auto"/>
                <w:highlight w:val="none"/>
              </w:rPr>
            </w:pPr>
            <w:r>
              <w:rPr>
                <w:color w:val="auto"/>
                <w:spacing w:val="8"/>
                <w:highlight w:val="none"/>
              </w:rPr>
              <w:t>仪器设备名称</w:t>
            </w:r>
          </w:p>
        </w:tc>
        <w:tc>
          <w:tcPr>
            <w:tcW w:w="906" w:type="dxa"/>
            <w:vAlign w:val="top"/>
          </w:tcPr>
          <w:p w14:paraId="15B5E5F9">
            <w:pPr>
              <w:pStyle w:val="20"/>
              <w:spacing w:before="187" w:line="230" w:lineRule="auto"/>
              <w:ind w:left="44"/>
              <w:rPr>
                <w:color w:val="auto"/>
                <w:highlight w:val="none"/>
              </w:rPr>
            </w:pPr>
            <w:r>
              <w:rPr>
                <w:color w:val="auto"/>
                <w:spacing w:val="6"/>
                <w:highlight w:val="none"/>
              </w:rPr>
              <w:t>型号、规</w:t>
            </w:r>
          </w:p>
          <w:p w14:paraId="2624AFAF">
            <w:pPr>
              <w:pStyle w:val="20"/>
              <w:spacing w:before="25" w:line="228" w:lineRule="auto"/>
              <w:ind w:left="352"/>
              <w:rPr>
                <w:color w:val="auto"/>
                <w:highlight w:val="none"/>
              </w:rPr>
            </w:pPr>
            <w:r>
              <w:rPr>
                <w:color w:val="auto"/>
                <w:highlight w:val="none"/>
              </w:rPr>
              <w:t>格</w:t>
            </w:r>
          </w:p>
        </w:tc>
        <w:tc>
          <w:tcPr>
            <w:tcW w:w="907" w:type="dxa"/>
            <w:vAlign w:val="top"/>
          </w:tcPr>
          <w:p w14:paraId="1570A0D1">
            <w:pPr>
              <w:spacing w:line="258" w:lineRule="auto"/>
              <w:rPr>
                <w:rFonts w:ascii="Arial"/>
                <w:color w:val="auto"/>
                <w:sz w:val="21"/>
                <w:highlight w:val="none"/>
              </w:rPr>
            </w:pPr>
          </w:p>
          <w:p w14:paraId="57436D72">
            <w:pPr>
              <w:pStyle w:val="20"/>
              <w:spacing w:before="65" w:line="228" w:lineRule="auto"/>
              <w:ind w:left="249"/>
              <w:rPr>
                <w:color w:val="auto"/>
                <w:highlight w:val="none"/>
              </w:rPr>
            </w:pPr>
            <w:r>
              <w:rPr>
                <w:color w:val="auto"/>
                <w:spacing w:val="3"/>
                <w:highlight w:val="none"/>
              </w:rPr>
              <w:t>数量</w:t>
            </w:r>
          </w:p>
        </w:tc>
        <w:tc>
          <w:tcPr>
            <w:tcW w:w="906" w:type="dxa"/>
            <w:vAlign w:val="top"/>
          </w:tcPr>
          <w:p w14:paraId="52C2979C">
            <w:pPr>
              <w:pStyle w:val="20"/>
              <w:spacing w:before="188" w:line="228" w:lineRule="auto"/>
              <w:ind w:left="59"/>
              <w:rPr>
                <w:color w:val="auto"/>
                <w:highlight w:val="none"/>
              </w:rPr>
            </w:pPr>
            <w:r>
              <w:rPr>
                <w:color w:val="auto"/>
                <w:spacing w:val="2"/>
                <w:highlight w:val="none"/>
              </w:rPr>
              <w:t>国别、产</w:t>
            </w:r>
          </w:p>
          <w:p w14:paraId="4BFA8865">
            <w:pPr>
              <w:pStyle w:val="20"/>
              <w:spacing w:before="25" w:line="238" w:lineRule="auto"/>
              <w:ind w:left="353"/>
              <w:rPr>
                <w:color w:val="auto"/>
                <w:highlight w:val="none"/>
              </w:rPr>
            </w:pPr>
            <w:r>
              <w:rPr>
                <w:color w:val="auto"/>
                <w:highlight w:val="none"/>
              </w:rPr>
              <w:t>地</w:t>
            </w:r>
          </w:p>
        </w:tc>
        <w:tc>
          <w:tcPr>
            <w:tcW w:w="911" w:type="dxa"/>
            <w:vAlign w:val="top"/>
          </w:tcPr>
          <w:p w14:paraId="0FED83AA">
            <w:pPr>
              <w:spacing w:line="258" w:lineRule="auto"/>
              <w:rPr>
                <w:rFonts w:ascii="Arial"/>
                <w:color w:val="auto"/>
                <w:sz w:val="21"/>
                <w:highlight w:val="none"/>
              </w:rPr>
            </w:pPr>
          </w:p>
          <w:p w14:paraId="5AA27D77">
            <w:pPr>
              <w:pStyle w:val="20"/>
              <w:spacing w:before="65" w:line="228" w:lineRule="auto"/>
              <w:ind w:left="43"/>
              <w:rPr>
                <w:color w:val="auto"/>
                <w:highlight w:val="none"/>
              </w:rPr>
            </w:pPr>
            <w:r>
              <w:rPr>
                <w:color w:val="auto"/>
                <w:spacing w:val="7"/>
                <w:highlight w:val="none"/>
              </w:rPr>
              <w:t>制造年份</w:t>
            </w:r>
          </w:p>
        </w:tc>
        <w:tc>
          <w:tcPr>
            <w:tcW w:w="902" w:type="dxa"/>
            <w:vAlign w:val="top"/>
          </w:tcPr>
          <w:p w14:paraId="1DDC441D">
            <w:pPr>
              <w:pStyle w:val="20"/>
              <w:spacing w:before="197" w:line="245" w:lineRule="auto"/>
              <w:ind w:left="257" w:right="28" w:hanging="197"/>
              <w:rPr>
                <w:color w:val="auto"/>
                <w:highlight w:val="none"/>
              </w:rPr>
            </w:pPr>
            <w:r>
              <w:rPr>
                <w:color w:val="auto"/>
                <w:spacing w:val="2"/>
                <w:highlight w:val="none"/>
              </w:rPr>
              <w:t>己使用台</w:t>
            </w:r>
            <w:r>
              <w:rPr>
                <w:color w:val="auto"/>
                <w:highlight w:val="none"/>
              </w:rPr>
              <w:t xml:space="preserve"> </w:t>
            </w:r>
            <w:r>
              <w:rPr>
                <w:color w:val="auto"/>
                <w:spacing w:val="-1"/>
                <w:highlight w:val="none"/>
              </w:rPr>
              <w:t>时数</w:t>
            </w:r>
          </w:p>
        </w:tc>
        <w:tc>
          <w:tcPr>
            <w:tcW w:w="907" w:type="dxa"/>
            <w:vAlign w:val="top"/>
          </w:tcPr>
          <w:p w14:paraId="244D84B5">
            <w:pPr>
              <w:spacing w:line="257" w:lineRule="auto"/>
              <w:rPr>
                <w:rFonts w:ascii="Arial"/>
                <w:color w:val="auto"/>
                <w:sz w:val="21"/>
                <w:highlight w:val="none"/>
              </w:rPr>
            </w:pPr>
          </w:p>
          <w:p w14:paraId="59B00443">
            <w:pPr>
              <w:pStyle w:val="20"/>
              <w:spacing w:before="65" w:line="230" w:lineRule="auto"/>
              <w:ind w:left="252"/>
              <w:rPr>
                <w:color w:val="auto"/>
                <w:highlight w:val="none"/>
              </w:rPr>
            </w:pPr>
            <w:r>
              <w:rPr>
                <w:color w:val="auto"/>
                <w:spacing w:val="3"/>
                <w:highlight w:val="none"/>
              </w:rPr>
              <w:t>用途</w:t>
            </w:r>
          </w:p>
        </w:tc>
        <w:tc>
          <w:tcPr>
            <w:tcW w:w="921" w:type="dxa"/>
            <w:vAlign w:val="top"/>
          </w:tcPr>
          <w:p w14:paraId="557C9A99">
            <w:pPr>
              <w:spacing w:line="257" w:lineRule="auto"/>
              <w:rPr>
                <w:rFonts w:ascii="Arial"/>
                <w:color w:val="auto"/>
                <w:sz w:val="21"/>
                <w:highlight w:val="none"/>
              </w:rPr>
            </w:pPr>
          </w:p>
          <w:p w14:paraId="7DD77889">
            <w:pPr>
              <w:pStyle w:val="20"/>
              <w:spacing w:before="65" w:line="230" w:lineRule="auto"/>
              <w:ind w:left="258"/>
              <w:rPr>
                <w:color w:val="auto"/>
                <w:highlight w:val="none"/>
              </w:rPr>
            </w:pPr>
            <w:r>
              <w:rPr>
                <w:color w:val="auto"/>
                <w:spacing w:val="3"/>
                <w:highlight w:val="none"/>
              </w:rPr>
              <w:t>备注</w:t>
            </w:r>
          </w:p>
        </w:tc>
      </w:tr>
      <w:tr w14:paraId="6A31D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580" w:type="dxa"/>
            <w:vAlign w:val="top"/>
          </w:tcPr>
          <w:p w14:paraId="16631044">
            <w:pPr>
              <w:rPr>
                <w:rFonts w:ascii="Arial"/>
                <w:color w:val="auto"/>
                <w:sz w:val="21"/>
                <w:highlight w:val="none"/>
              </w:rPr>
            </w:pPr>
          </w:p>
        </w:tc>
        <w:tc>
          <w:tcPr>
            <w:tcW w:w="1655" w:type="dxa"/>
            <w:vAlign w:val="top"/>
          </w:tcPr>
          <w:p w14:paraId="0886D66A">
            <w:pPr>
              <w:rPr>
                <w:rFonts w:ascii="Arial"/>
                <w:color w:val="auto"/>
                <w:sz w:val="21"/>
                <w:highlight w:val="none"/>
              </w:rPr>
            </w:pPr>
          </w:p>
        </w:tc>
        <w:tc>
          <w:tcPr>
            <w:tcW w:w="906" w:type="dxa"/>
            <w:vAlign w:val="top"/>
          </w:tcPr>
          <w:p w14:paraId="50A5CF9E">
            <w:pPr>
              <w:rPr>
                <w:rFonts w:ascii="Arial"/>
                <w:color w:val="auto"/>
                <w:sz w:val="21"/>
                <w:highlight w:val="none"/>
              </w:rPr>
            </w:pPr>
          </w:p>
        </w:tc>
        <w:tc>
          <w:tcPr>
            <w:tcW w:w="907" w:type="dxa"/>
            <w:vAlign w:val="top"/>
          </w:tcPr>
          <w:p w14:paraId="43C6C954">
            <w:pPr>
              <w:rPr>
                <w:rFonts w:ascii="Arial"/>
                <w:color w:val="auto"/>
                <w:sz w:val="21"/>
                <w:highlight w:val="none"/>
              </w:rPr>
            </w:pPr>
          </w:p>
        </w:tc>
        <w:tc>
          <w:tcPr>
            <w:tcW w:w="906" w:type="dxa"/>
            <w:vAlign w:val="top"/>
          </w:tcPr>
          <w:p w14:paraId="5E6F8837">
            <w:pPr>
              <w:rPr>
                <w:rFonts w:ascii="Arial"/>
                <w:color w:val="auto"/>
                <w:sz w:val="21"/>
                <w:highlight w:val="none"/>
              </w:rPr>
            </w:pPr>
          </w:p>
        </w:tc>
        <w:tc>
          <w:tcPr>
            <w:tcW w:w="911" w:type="dxa"/>
            <w:vAlign w:val="top"/>
          </w:tcPr>
          <w:p w14:paraId="33F80FDA">
            <w:pPr>
              <w:rPr>
                <w:rFonts w:ascii="Arial"/>
                <w:color w:val="auto"/>
                <w:sz w:val="21"/>
                <w:highlight w:val="none"/>
              </w:rPr>
            </w:pPr>
          </w:p>
        </w:tc>
        <w:tc>
          <w:tcPr>
            <w:tcW w:w="902" w:type="dxa"/>
            <w:vAlign w:val="top"/>
          </w:tcPr>
          <w:p w14:paraId="6899732D">
            <w:pPr>
              <w:rPr>
                <w:rFonts w:ascii="Arial"/>
                <w:color w:val="auto"/>
                <w:sz w:val="21"/>
                <w:highlight w:val="none"/>
              </w:rPr>
            </w:pPr>
          </w:p>
        </w:tc>
        <w:tc>
          <w:tcPr>
            <w:tcW w:w="907" w:type="dxa"/>
            <w:vAlign w:val="top"/>
          </w:tcPr>
          <w:p w14:paraId="7289B0D8">
            <w:pPr>
              <w:rPr>
                <w:rFonts w:ascii="Arial"/>
                <w:color w:val="auto"/>
                <w:sz w:val="21"/>
                <w:highlight w:val="none"/>
              </w:rPr>
            </w:pPr>
          </w:p>
        </w:tc>
        <w:tc>
          <w:tcPr>
            <w:tcW w:w="921" w:type="dxa"/>
            <w:vAlign w:val="top"/>
          </w:tcPr>
          <w:p w14:paraId="78381637">
            <w:pPr>
              <w:rPr>
                <w:rFonts w:ascii="Arial"/>
                <w:color w:val="auto"/>
                <w:sz w:val="21"/>
                <w:highlight w:val="none"/>
              </w:rPr>
            </w:pPr>
          </w:p>
        </w:tc>
      </w:tr>
      <w:tr w14:paraId="3EE4D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580" w:type="dxa"/>
            <w:vAlign w:val="top"/>
          </w:tcPr>
          <w:p w14:paraId="62460EE1">
            <w:pPr>
              <w:rPr>
                <w:rFonts w:ascii="Arial"/>
                <w:color w:val="auto"/>
                <w:sz w:val="21"/>
                <w:highlight w:val="none"/>
              </w:rPr>
            </w:pPr>
          </w:p>
        </w:tc>
        <w:tc>
          <w:tcPr>
            <w:tcW w:w="1655" w:type="dxa"/>
            <w:vAlign w:val="top"/>
          </w:tcPr>
          <w:p w14:paraId="676B41FD">
            <w:pPr>
              <w:rPr>
                <w:rFonts w:ascii="Arial"/>
                <w:color w:val="auto"/>
                <w:sz w:val="21"/>
                <w:highlight w:val="none"/>
              </w:rPr>
            </w:pPr>
          </w:p>
        </w:tc>
        <w:tc>
          <w:tcPr>
            <w:tcW w:w="906" w:type="dxa"/>
            <w:vAlign w:val="top"/>
          </w:tcPr>
          <w:p w14:paraId="2BEB9982">
            <w:pPr>
              <w:rPr>
                <w:rFonts w:ascii="Arial"/>
                <w:color w:val="auto"/>
                <w:sz w:val="21"/>
                <w:highlight w:val="none"/>
              </w:rPr>
            </w:pPr>
          </w:p>
        </w:tc>
        <w:tc>
          <w:tcPr>
            <w:tcW w:w="907" w:type="dxa"/>
            <w:vAlign w:val="top"/>
          </w:tcPr>
          <w:p w14:paraId="474EC1D1">
            <w:pPr>
              <w:rPr>
                <w:rFonts w:ascii="Arial"/>
                <w:color w:val="auto"/>
                <w:sz w:val="21"/>
                <w:highlight w:val="none"/>
              </w:rPr>
            </w:pPr>
          </w:p>
        </w:tc>
        <w:tc>
          <w:tcPr>
            <w:tcW w:w="906" w:type="dxa"/>
            <w:vAlign w:val="top"/>
          </w:tcPr>
          <w:p w14:paraId="5114DF99">
            <w:pPr>
              <w:rPr>
                <w:rFonts w:ascii="Arial"/>
                <w:color w:val="auto"/>
                <w:sz w:val="21"/>
                <w:highlight w:val="none"/>
              </w:rPr>
            </w:pPr>
          </w:p>
        </w:tc>
        <w:tc>
          <w:tcPr>
            <w:tcW w:w="911" w:type="dxa"/>
            <w:vAlign w:val="top"/>
          </w:tcPr>
          <w:p w14:paraId="36C4AC8F">
            <w:pPr>
              <w:rPr>
                <w:rFonts w:ascii="Arial"/>
                <w:color w:val="auto"/>
                <w:sz w:val="21"/>
                <w:highlight w:val="none"/>
              </w:rPr>
            </w:pPr>
          </w:p>
        </w:tc>
        <w:tc>
          <w:tcPr>
            <w:tcW w:w="902" w:type="dxa"/>
            <w:vAlign w:val="top"/>
          </w:tcPr>
          <w:p w14:paraId="5107FAA4">
            <w:pPr>
              <w:rPr>
                <w:rFonts w:ascii="Arial"/>
                <w:color w:val="auto"/>
                <w:sz w:val="21"/>
                <w:highlight w:val="none"/>
              </w:rPr>
            </w:pPr>
          </w:p>
        </w:tc>
        <w:tc>
          <w:tcPr>
            <w:tcW w:w="907" w:type="dxa"/>
            <w:vAlign w:val="top"/>
          </w:tcPr>
          <w:p w14:paraId="0ED8677F">
            <w:pPr>
              <w:rPr>
                <w:rFonts w:ascii="Arial"/>
                <w:color w:val="auto"/>
                <w:sz w:val="21"/>
                <w:highlight w:val="none"/>
              </w:rPr>
            </w:pPr>
          </w:p>
        </w:tc>
        <w:tc>
          <w:tcPr>
            <w:tcW w:w="921" w:type="dxa"/>
            <w:vAlign w:val="top"/>
          </w:tcPr>
          <w:p w14:paraId="19C8B28E">
            <w:pPr>
              <w:rPr>
                <w:rFonts w:ascii="Arial"/>
                <w:color w:val="auto"/>
                <w:sz w:val="21"/>
                <w:highlight w:val="none"/>
              </w:rPr>
            </w:pPr>
          </w:p>
        </w:tc>
      </w:tr>
      <w:tr w14:paraId="2E143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580" w:type="dxa"/>
            <w:vAlign w:val="top"/>
          </w:tcPr>
          <w:p w14:paraId="0A63DC75">
            <w:pPr>
              <w:rPr>
                <w:rFonts w:ascii="Arial"/>
                <w:color w:val="auto"/>
                <w:sz w:val="21"/>
                <w:highlight w:val="none"/>
              </w:rPr>
            </w:pPr>
          </w:p>
        </w:tc>
        <w:tc>
          <w:tcPr>
            <w:tcW w:w="1655" w:type="dxa"/>
            <w:vAlign w:val="top"/>
          </w:tcPr>
          <w:p w14:paraId="0F5C3721">
            <w:pPr>
              <w:rPr>
                <w:rFonts w:ascii="Arial"/>
                <w:color w:val="auto"/>
                <w:sz w:val="21"/>
                <w:highlight w:val="none"/>
              </w:rPr>
            </w:pPr>
          </w:p>
        </w:tc>
        <w:tc>
          <w:tcPr>
            <w:tcW w:w="906" w:type="dxa"/>
            <w:vAlign w:val="top"/>
          </w:tcPr>
          <w:p w14:paraId="60504862">
            <w:pPr>
              <w:rPr>
                <w:rFonts w:ascii="Arial"/>
                <w:color w:val="auto"/>
                <w:sz w:val="21"/>
                <w:highlight w:val="none"/>
              </w:rPr>
            </w:pPr>
          </w:p>
        </w:tc>
        <w:tc>
          <w:tcPr>
            <w:tcW w:w="907" w:type="dxa"/>
            <w:vAlign w:val="top"/>
          </w:tcPr>
          <w:p w14:paraId="6ABE4F59">
            <w:pPr>
              <w:rPr>
                <w:rFonts w:ascii="Arial"/>
                <w:color w:val="auto"/>
                <w:sz w:val="21"/>
                <w:highlight w:val="none"/>
              </w:rPr>
            </w:pPr>
          </w:p>
        </w:tc>
        <w:tc>
          <w:tcPr>
            <w:tcW w:w="906" w:type="dxa"/>
            <w:vAlign w:val="top"/>
          </w:tcPr>
          <w:p w14:paraId="5B59D5F7">
            <w:pPr>
              <w:rPr>
                <w:rFonts w:ascii="Arial"/>
                <w:color w:val="auto"/>
                <w:sz w:val="21"/>
                <w:highlight w:val="none"/>
              </w:rPr>
            </w:pPr>
          </w:p>
        </w:tc>
        <w:tc>
          <w:tcPr>
            <w:tcW w:w="911" w:type="dxa"/>
            <w:vAlign w:val="top"/>
          </w:tcPr>
          <w:p w14:paraId="3BC7D536">
            <w:pPr>
              <w:rPr>
                <w:rFonts w:ascii="Arial"/>
                <w:color w:val="auto"/>
                <w:sz w:val="21"/>
                <w:highlight w:val="none"/>
              </w:rPr>
            </w:pPr>
          </w:p>
        </w:tc>
        <w:tc>
          <w:tcPr>
            <w:tcW w:w="902" w:type="dxa"/>
            <w:vAlign w:val="top"/>
          </w:tcPr>
          <w:p w14:paraId="5160D769">
            <w:pPr>
              <w:rPr>
                <w:rFonts w:ascii="Arial"/>
                <w:color w:val="auto"/>
                <w:sz w:val="21"/>
                <w:highlight w:val="none"/>
              </w:rPr>
            </w:pPr>
          </w:p>
        </w:tc>
        <w:tc>
          <w:tcPr>
            <w:tcW w:w="907" w:type="dxa"/>
            <w:vAlign w:val="top"/>
          </w:tcPr>
          <w:p w14:paraId="071CD480">
            <w:pPr>
              <w:rPr>
                <w:rFonts w:ascii="Arial"/>
                <w:color w:val="auto"/>
                <w:sz w:val="21"/>
                <w:highlight w:val="none"/>
              </w:rPr>
            </w:pPr>
          </w:p>
        </w:tc>
        <w:tc>
          <w:tcPr>
            <w:tcW w:w="921" w:type="dxa"/>
            <w:vAlign w:val="top"/>
          </w:tcPr>
          <w:p w14:paraId="6EA7BB7E">
            <w:pPr>
              <w:rPr>
                <w:rFonts w:ascii="Arial"/>
                <w:color w:val="auto"/>
                <w:sz w:val="21"/>
                <w:highlight w:val="none"/>
              </w:rPr>
            </w:pPr>
          </w:p>
        </w:tc>
      </w:tr>
      <w:tr w14:paraId="79795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580" w:type="dxa"/>
            <w:vAlign w:val="top"/>
          </w:tcPr>
          <w:p w14:paraId="32E73C0D">
            <w:pPr>
              <w:rPr>
                <w:rFonts w:ascii="Arial"/>
                <w:color w:val="auto"/>
                <w:sz w:val="21"/>
                <w:highlight w:val="none"/>
              </w:rPr>
            </w:pPr>
          </w:p>
        </w:tc>
        <w:tc>
          <w:tcPr>
            <w:tcW w:w="1655" w:type="dxa"/>
            <w:vAlign w:val="top"/>
          </w:tcPr>
          <w:p w14:paraId="3325E71C">
            <w:pPr>
              <w:rPr>
                <w:rFonts w:ascii="Arial"/>
                <w:color w:val="auto"/>
                <w:sz w:val="21"/>
                <w:highlight w:val="none"/>
              </w:rPr>
            </w:pPr>
          </w:p>
        </w:tc>
        <w:tc>
          <w:tcPr>
            <w:tcW w:w="906" w:type="dxa"/>
            <w:vAlign w:val="top"/>
          </w:tcPr>
          <w:p w14:paraId="3B9D2411">
            <w:pPr>
              <w:rPr>
                <w:rFonts w:ascii="Arial"/>
                <w:color w:val="auto"/>
                <w:sz w:val="21"/>
                <w:highlight w:val="none"/>
              </w:rPr>
            </w:pPr>
          </w:p>
        </w:tc>
        <w:tc>
          <w:tcPr>
            <w:tcW w:w="907" w:type="dxa"/>
            <w:vAlign w:val="top"/>
          </w:tcPr>
          <w:p w14:paraId="1D6AFEA9">
            <w:pPr>
              <w:rPr>
                <w:rFonts w:ascii="Arial"/>
                <w:color w:val="auto"/>
                <w:sz w:val="21"/>
                <w:highlight w:val="none"/>
              </w:rPr>
            </w:pPr>
          </w:p>
        </w:tc>
        <w:tc>
          <w:tcPr>
            <w:tcW w:w="906" w:type="dxa"/>
            <w:vAlign w:val="top"/>
          </w:tcPr>
          <w:p w14:paraId="24C8F971">
            <w:pPr>
              <w:rPr>
                <w:rFonts w:ascii="Arial"/>
                <w:color w:val="auto"/>
                <w:sz w:val="21"/>
                <w:highlight w:val="none"/>
              </w:rPr>
            </w:pPr>
          </w:p>
        </w:tc>
        <w:tc>
          <w:tcPr>
            <w:tcW w:w="911" w:type="dxa"/>
            <w:vAlign w:val="top"/>
          </w:tcPr>
          <w:p w14:paraId="27BDB132">
            <w:pPr>
              <w:rPr>
                <w:rFonts w:ascii="Arial"/>
                <w:color w:val="auto"/>
                <w:sz w:val="21"/>
                <w:highlight w:val="none"/>
              </w:rPr>
            </w:pPr>
          </w:p>
        </w:tc>
        <w:tc>
          <w:tcPr>
            <w:tcW w:w="902" w:type="dxa"/>
            <w:vAlign w:val="top"/>
          </w:tcPr>
          <w:p w14:paraId="1802C108">
            <w:pPr>
              <w:rPr>
                <w:rFonts w:ascii="Arial"/>
                <w:color w:val="auto"/>
                <w:sz w:val="21"/>
                <w:highlight w:val="none"/>
              </w:rPr>
            </w:pPr>
          </w:p>
        </w:tc>
        <w:tc>
          <w:tcPr>
            <w:tcW w:w="907" w:type="dxa"/>
            <w:vAlign w:val="top"/>
          </w:tcPr>
          <w:p w14:paraId="01DD4346">
            <w:pPr>
              <w:rPr>
                <w:rFonts w:ascii="Arial"/>
                <w:color w:val="auto"/>
                <w:sz w:val="21"/>
                <w:highlight w:val="none"/>
              </w:rPr>
            </w:pPr>
          </w:p>
        </w:tc>
        <w:tc>
          <w:tcPr>
            <w:tcW w:w="921" w:type="dxa"/>
            <w:vAlign w:val="top"/>
          </w:tcPr>
          <w:p w14:paraId="3174BF98">
            <w:pPr>
              <w:rPr>
                <w:rFonts w:ascii="Arial"/>
                <w:color w:val="auto"/>
                <w:sz w:val="21"/>
                <w:highlight w:val="none"/>
              </w:rPr>
            </w:pPr>
          </w:p>
        </w:tc>
      </w:tr>
      <w:tr w14:paraId="4945B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80" w:type="dxa"/>
            <w:vAlign w:val="top"/>
          </w:tcPr>
          <w:p w14:paraId="59423CB9">
            <w:pPr>
              <w:rPr>
                <w:rFonts w:ascii="Arial"/>
                <w:color w:val="auto"/>
                <w:sz w:val="21"/>
                <w:highlight w:val="none"/>
              </w:rPr>
            </w:pPr>
          </w:p>
        </w:tc>
        <w:tc>
          <w:tcPr>
            <w:tcW w:w="1655" w:type="dxa"/>
            <w:vAlign w:val="top"/>
          </w:tcPr>
          <w:p w14:paraId="652F953B">
            <w:pPr>
              <w:rPr>
                <w:rFonts w:ascii="Arial"/>
                <w:color w:val="auto"/>
                <w:sz w:val="21"/>
                <w:highlight w:val="none"/>
              </w:rPr>
            </w:pPr>
          </w:p>
        </w:tc>
        <w:tc>
          <w:tcPr>
            <w:tcW w:w="906" w:type="dxa"/>
            <w:vAlign w:val="top"/>
          </w:tcPr>
          <w:p w14:paraId="0AA4B640">
            <w:pPr>
              <w:rPr>
                <w:rFonts w:ascii="Arial"/>
                <w:color w:val="auto"/>
                <w:sz w:val="21"/>
                <w:highlight w:val="none"/>
              </w:rPr>
            </w:pPr>
          </w:p>
        </w:tc>
        <w:tc>
          <w:tcPr>
            <w:tcW w:w="907" w:type="dxa"/>
            <w:vAlign w:val="top"/>
          </w:tcPr>
          <w:p w14:paraId="24989916">
            <w:pPr>
              <w:rPr>
                <w:rFonts w:ascii="Arial"/>
                <w:color w:val="auto"/>
                <w:sz w:val="21"/>
                <w:highlight w:val="none"/>
              </w:rPr>
            </w:pPr>
          </w:p>
        </w:tc>
        <w:tc>
          <w:tcPr>
            <w:tcW w:w="906" w:type="dxa"/>
            <w:vAlign w:val="top"/>
          </w:tcPr>
          <w:p w14:paraId="7653DB89">
            <w:pPr>
              <w:rPr>
                <w:rFonts w:ascii="Arial"/>
                <w:color w:val="auto"/>
                <w:sz w:val="21"/>
                <w:highlight w:val="none"/>
              </w:rPr>
            </w:pPr>
          </w:p>
        </w:tc>
        <w:tc>
          <w:tcPr>
            <w:tcW w:w="911" w:type="dxa"/>
            <w:vAlign w:val="top"/>
          </w:tcPr>
          <w:p w14:paraId="740C5681">
            <w:pPr>
              <w:rPr>
                <w:rFonts w:ascii="Arial"/>
                <w:color w:val="auto"/>
                <w:sz w:val="21"/>
                <w:highlight w:val="none"/>
              </w:rPr>
            </w:pPr>
          </w:p>
        </w:tc>
        <w:tc>
          <w:tcPr>
            <w:tcW w:w="902" w:type="dxa"/>
            <w:vAlign w:val="top"/>
          </w:tcPr>
          <w:p w14:paraId="4A8D923C">
            <w:pPr>
              <w:rPr>
                <w:rFonts w:ascii="Arial"/>
                <w:color w:val="auto"/>
                <w:sz w:val="21"/>
                <w:highlight w:val="none"/>
              </w:rPr>
            </w:pPr>
          </w:p>
        </w:tc>
        <w:tc>
          <w:tcPr>
            <w:tcW w:w="907" w:type="dxa"/>
            <w:vAlign w:val="top"/>
          </w:tcPr>
          <w:p w14:paraId="02F0F5A5">
            <w:pPr>
              <w:rPr>
                <w:rFonts w:ascii="Arial"/>
                <w:color w:val="auto"/>
                <w:sz w:val="21"/>
                <w:highlight w:val="none"/>
              </w:rPr>
            </w:pPr>
          </w:p>
        </w:tc>
        <w:tc>
          <w:tcPr>
            <w:tcW w:w="921" w:type="dxa"/>
            <w:vAlign w:val="top"/>
          </w:tcPr>
          <w:p w14:paraId="3D5AF440">
            <w:pPr>
              <w:rPr>
                <w:rFonts w:ascii="Arial"/>
                <w:color w:val="auto"/>
                <w:sz w:val="21"/>
                <w:highlight w:val="none"/>
              </w:rPr>
            </w:pPr>
          </w:p>
        </w:tc>
      </w:tr>
    </w:tbl>
    <w:p w14:paraId="4E6EDD6D">
      <w:pPr>
        <w:pStyle w:val="6"/>
        <w:spacing w:line="453" w:lineRule="auto"/>
        <w:rPr>
          <w:color w:val="auto"/>
          <w:highlight w:val="none"/>
        </w:rPr>
      </w:pPr>
    </w:p>
    <w:p w14:paraId="3806059D">
      <w:pPr>
        <w:spacing w:before="66" w:line="228" w:lineRule="auto"/>
        <w:ind w:left="181"/>
        <w:rPr>
          <w:rFonts w:ascii="宋体" w:hAnsi="宋体" w:eastAsia="宋体" w:cs="宋体"/>
          <w:color w:val="auto"/>
          <w:sz w:val="20"/>
          <w:szCs w:val="20"/>
          <w:highlight w:val="none"/>
        </w:rPr>
      </w:pPr>
      <w:r>
        <w:rPr>
          <w:rFonts w:ascii="宋体" w:hAnsi="宋体" w:eastAsia="宋体" w:cs="宋体"/>
          <w:b/>
          <w:bCs/>
          <w:color w:val="auto"/>
          <w:spacing w:val="8"/>
          <w:sz w:val="20"/>
          <w:szCs w:val="20"/>
          <w:highlight w:val="none"/>
        </w:rPr>
        <w:t>备注：表中内容须按要求填写，并不得留空，否则按无效响应处</w:t>
      </w:r>
      <w:r>
        <w:rPr>
          <w:rFonts w:ascii="宋体" w:hAnsi="宋体" w:eastAsia="宋体" w:cs="宋体"/>
          <w:b/>
          <w:bCs/>
          <w:color w:val="auto"/>
          <w:spacing w:val="7"/>
          <w:sz w:val="20"/>
          <w:szCs w:val="20"/>
          <w:highlight w:val="none"/>
        </w:rPr>
        <w:t>理。</w:t>
      </w:r>
    </w:p>
    <w:p w14:paraId="524AECD5">
      <w:pPr>
        <w:pStyle w:val="6"/>
        <w:spacing w:line="250" w:lineRule="auto"/>
        <w:rPr>
          <w:color w:val="auto"/>
          <w:highlight w:val="none"/>
        </w:rPr>
      </w:pPr>
    </w:p>
    <w:p w14:paraId="2874624F">
      <w:pPr>
        <w:pStyle w:val="6"/>
        <w:spacing w:line="250" w:lineRule="auto"/>
        <w:rPr>
          <w:color w:val="auto"/>
          <w:highlight w:val="none"/>
        </w:rPr>
      </w:pPr>
    </w:p>
    <w:p w14:paraId="37192AF6">
      <w:pPr>
        <w:pStyle w:val="6"/>
        <w:spacing w:line="250" w:lineRule="auto"/>
        <w:rPr>
          <w:color w:val="auto"/>
          <w:highlight w:val="none"/>
        </w:rPr>
      </w:pPr>
    </w:p>
    <w:p w14:paraId="609898CE">
      <w:pPr>
        <w:pStyle w:val="6"/>
        <w:spacing w:line="250" w:lineRule="auto"/>
        <w:rPr>
          <w:color w:val="auto"/>
          <w:highlight w:val="none"/>
        </w:rPr>
      </w:pPr>
    </w:p>
    <w:p w14:paraId="293604B8">
      <w:pPr>
        <w:spacing w:before="79" w:line="219" w:lineRule="auto"/>
        <w:ind w:left="427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供应商名称（电子签章</w:t>
      </w:r>
      <w:r>
        <w:rPr>
          <w:rFonts w:ascii="宋体" w:hAnsi="宋体" w:eastAsia="宋体" w:cs="宋体"/>
          <w:color w:val="auto"/>
          <w:sz w:val="24"/>
          <w:szCs w:val="24"/>
          <w:highlight w:val="none"/>
        </w:rPr>
        <w:t>）：</w:t>
      </w:r>
    </w:p>
    <w:p w14:paraId="6A92025F">
      <w:pPr>
        <w:spacing w:before="183" w:line="220" w:lineRule="auto"/>
        <w:ind w:left="6521"/>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8"/>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25"/>
          <w:sz w:val="24"/>
          <w:szCs w:val="24"/>
          <w:highlight w:val="none"/>
        </w:rPr>
        <w:t xml:space="preserve">  </w:t>
      </w:r>
      <w:r>
        <w:rPr>
          <w:rFonts w:ascii="宋体" w:hAnsi="宋体" w:eastAsia="宋体" w:cs="宋体"/>
          <w:color w:val="auto"/>
          <w:spacing w:val="-13"/>
          <w:sz w:val="24"/>
          <w:szCs w:val="24"/>
          <w:highlight w:val="none"/>
        </w:rPr>
        <w:t>日</w:t>
      </w:r>
    </w:p>
    <w:p w14:paraId="004FCA9E">
      <w:pPr>
        <w:spacing w:line="220" w:lineRule="auto"/>
        <w:rPr>
          <w:rFonts w:ascii="宋体" w:hAnsi="宋体" w:eastAsia="宋体" w:cs="宋体"/>
          <w:color w:val="auto"/>
          <w:sz w:val="24"/>
          <w:szCs w:val="24"/>
          <w:highlight w:val="none"/>
        </w:rPr>
        <w:sectPr>
          <w:footerReference r:id="rId61" w:type="default"/>
          <w:pgSz w:w="11910" w:h="16840"/>
          <w:pgMar w:top="400" w:right="1246" w:bottom="1079" w:left="1303" w:header="0" w:footer="843" w:gutter="0"/>
          <w:pgNumType w:fmt="decimal"/>
          <w:cols w:space="720" w:num="1"/>
        </w:sectPr>
      </w:pPr>
    </w:p>
    <w:p w14:paraId="448F52E5">
      <w:pPr>
        <w:pStyle w:val="6"/>
        <w:spacing w:line="347" w:lineRule="auto"/>
        <w:rPr>
          <w:color w:val="auto"/>
          <w:highlight w:val="none"/>
        </w:rPr>
      </w:pPr>
    </w:p>
    <w:p w14:paraId="78F01C69">
      <w:pPr>
        <w:pStyle w:val="6"/>
        <w:spacing w:line="348" w:lineRule="auto"/>
        <w:rPr>
          <w:color w:val="auto"/>
          <w:highlight w:val="none"/>
        </w:rPr>
      </w:pPr>
    </w:p>
    <w:p w14:paraId="72AEACB7">
      <w:pPr>
        <w:spacing w:before="65" w:line="228" w:lineRule="auto"/>
        <w:rPr>
          <w:rFonts w:ascii="宋体" w:hAnsi="宋体" w:eastAsia="宋体" w:cs="宋体"/>
          <w:color w:val="auto"/>
          <w:sz w:val="20"/>
          <w:szCs w:val="20"/>
          <w:highlight w:val="none"/>
        </w:rPr>
      </w:pPr>
      <w:r>
        <w:rPr>
          <w:rFonts w:ascii="宋体" w:hAnsi="宋体" w:eastAsia="宋体" w:cs="宋体"/>
          <w:b/>
          <w:bCs/>
          <w:color w:val="auto"/>
          <w:spacing w:val="7"/>
          <w:sz w:val="20"/>
          <w:szCs w:val="20"/>
          <w:highlight w:val="none"/>
        </w:rPr>
        <w:t>附件三：拟投入本合同工程的劳动力计划表</w:t>
      </w:r>
    </w:p>
    <w:p w14:paraId="4F9DD060">
      <w:pPr>
        <w:spacing w:before="297" w:line="228" w:lineRule="auto"/>
        <w:ind w:left="2911"/>
        <w:rPr>
          <w:rFonts w:ascii="宋体" w:hAnsi="宋体" w:eastAsia="宋体" w:cs="宋体"/>
          <w:color w:val="auto"/>
          <w:sz w:val="20"/>
          <w:szCs w:val="20"/>
          <w:highlight w:val="none"/>
        </w:rPr>
      </w:pPr>
      <w:r>
        <w:rPr>
          <w:rFonts w:ascii="宋体" w:hAnsi="宋体" w:eastAsia="宋体" w:cs="宋体"/>
          <w:b/>
          <w:bCs/>
          <w:color w:val="auto"/>
          <w:spacing w:val="8"/>
          <w:sz w:val="20"/>
          <w:szCs w:val="20"/>
          <w:highlight w:val="none"/>
        </w:rPr>
        <w:t>拟投入本合同工程的劳动力计划表</w:t>
      </w:r>
    </w:p>
    <w:p w14:paraId="2A6BDF52">
      <w:pPr>
        <w:spacing w:before="15"/>
        <w:rPr>
          <w:color w:val="auto"/>
          <w:sz w:val="20"/>
          <w:szCs w:val="20"/>
          <w:highlight w:val="none"/>
        </w:rPr>
      </w:pPr>
    </w:p>
    <w:tbl>
      <w:tblPr>
        <w:tblStyle w:val="19"/>
        <w:tblW w:w="8367" w:type="dxa"/>
        <w:tblInd w:w="2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1"/>
        <w:gridCol w:w="1420"/>
        <w:gridCol w:w="643"/>
        <w:gridCol w:w="647"/>
        <w:gridCol w:w="643"/>
        <w:gridCol w:w="647"/>
        <w:gridCol w:w="648"/>
        <w:gridCol w:w="1132"/>
        <w:gridCol w:w="1146"/>
      </w:tblGrid>
      <w:tr w14:paraId="16A6F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2861" w:type="dxa"/>
            <w:gridSpan w:val="2"/>
            <w:tcBorders>
              <w:bottom w:val="nil"/>
            </w:tcBorders>
            <w:vAlign w:val="top"/>
          </w:tcPr>
          <w:p w14:paraId="72D319FE">
            <w:pPr>
              <w:pStyle w:val="20"/>
              <w:spacing w:before="46" w:line="228" w:lineRule="auto"/>
              <w:ind w:left="1091" w:right="10" w:firstLine="1220"/>
              <w:rPr>
                <w:color w:val="auto"/>
                <w:sz w:val="20"/>
                <w:szCs w:val="20"/>
                <w:highlight w:val="none"/>
              </w:rPr>
            </w:pPr>
            <w:r>
              <w:rPr>
                <w:color w:val="auto"/>
                <w:sz w:val="20"/>
                <w:szCs w:val="20"/>
                <w:highlight w:val="none"/>
              </w:rPr>
              <w:drawing>
                <wp:anchor distT="0" distB="0" distL="0" distR="0" simplePos="0" relativeHeight="251740160" behindDoc="1" locked="0" layoutInCell="1" allowOverlap="1">
                  <wp:simplePos x="0" y="0"/>
                  <wp:positionH relativeFrom="column">
                    <wp:posOffset>-3175</wp:posOffset>
                  </wp:positionH>
                  <wp:positionV relativeFrom="paragraph">
                    <wp:posOffset>-1905</wp:posOffset>
                  </wp:positionV>
                  <wp:extent cx="1846580" cy="73723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3"/>
                          <a:stretch>
                            <a:fillRect/>
                          </a:stretch>
                        </pic:blipFill>
                        <pic:spPr>
                          <a:xfrm>
                            <a:off x="0" y="0"/>
                            <a:ext cx="1846275" cy="737006"/>
                          </a:xfrm>
                          <a:prstGeom prst="rect">
                            <a:avLst/>
                          </a:prstGeom>
                        </pic:spPr>
                      </pic:pic>
                    </a:graphicData>
                  </a:graphic>
                </wp:anchor>
              </w:drawing>
            </w:r>
            <w:r>
              <w:rPr>
                <w:color w:val="auto"/>
                <w:spacing w:val="-1"/>
                <w:sz w:val="20"/>
                <w:szCs w:val="20"/>
                <w:highlight w:val="none"/>
              </w:rPr>
              <w:t>工</w:t>
            </w:r>
            <w:r>
              <w:rPr>
                <w:color w:val="auto"/>
                <w:spacing w:val="35"/>
                <w:sz w:val="20"/>
                <w:szCs w:val="20"/>
                <w:highlight w:val="none"/>
              </w:rPr>
              <w:t xml:space="preserve"> </w:t>
            </w:r>
            <w:r>
              <w:rPr>
                <w:color w:val="auto"/>
                <w:spacing w:val="-1"/>
                <w:sz w:val="20"/>
                <w:szCs w:val="20"/>
                <w:highlight w:val="none"/>
              </w:rPr>
              <w:t>种</w:t>
            </w:r>
            <w:r>
              <w:rPr>
                <w:color w:val="auto"/>
                <w:sz w:val="20"/>
                <w:szCs w:val="20"/>
                <w:highlight w:val="none"/>
              </w:rPr>
              <w:t xml:space="preserve"> </w:t>
            </w:r>
            <w:r>
              <w:rPr>
                <w:color w:val="auto"/>
                <w:spacing w:val="3"/>
                <w:sz w:val="20"/>
                <w:szCs w:val="20"/>
                <w:highlight w:val="none"/>
              </w:rPr>
              <w:t>人数</w:t>
            </w:r>
          </w:p>
        </w:tc>
        <w:tc>
          <w:tcPr>
            <w:tcW w:w="643" w:type="dxa"/>
            <w:vMerge w:val="restart"/>
            <w:tcBorders>
              <w:bottom w:val="nil"/>
            </w:tcBorders>
            <w:vAlign w:val="top"/>
          </w:tcPr>
          <w:p w14:paraId="2C6BAF60">
            <w:pPr>
              <w:rPr>
                <w:rFonts w:ascii="Arial"/>
                <w:color w:val="auto"/>
                <w:sz w:val="20"/>
                <w:szCs w:val="20"/>
                <w:highlight w:val="none"/>
              </w:rPr>
            </w:pPr>
          </w:p>
        </w:tc>
        <w:tc>
          <w:tcPr>
            <w:tcW w:w="647" w:type="dxa"/>
            <w:vMerge w:val="restart"/>
            <w:tcBorders>
              <w:bottom w:val="nil"/>
            </w:tcBorders>
            <w:vAlign w:val="top"/>
          </w:tcPr>
          <w:p w14:paraId="3EA1E319">
            <w:pPr>
              <w:rPr>
                <w:rFonts w:ascii="Arial"/>
                <w:color w:val="auto"/>
                <w:sz w:val="20"/>
                <w:szCs w:val="20"/>
                <w:highlight w:val="none"/>
              </w:rPr>
            </w:pPr>
          </w:p>
        </w:tc>
        <w:tc>
          <w:tcPr>
            <w:tcW w:w="643" w:type="dxa"/>
            <w:vMerge w:val="restart"/>
            <w:tcBorders>
              <w:bottom w:val="nil"/>
            </w:tcBorders>
            <w:vAlign w:val="top"/>
          </w:tcPr>
          <w:p w14:paraId="351C6873">
            <w:pPr>
              <w:rPr>
                <w:rFonts w:ascii="Arial"/>
                <w:color w:val="auto"/>
                <w:sz w:val="20"/>
                <w:szCs w:val="20"/>
                <w:highlight w:val="none"/>
              </w:rPr>
            </w:pPr>
          </w:p>
        </w:tc>
        <w:tc>
          <w:tcPr>
            <w:tcW w:w="647" w:type="dxa"/>
            <w:vMerge w:val="restart"/>
            <w:tcBorders>
              <w:bottom w:val="nil"/>
            </w:tcBorders>
            <w:vAlign w:val="top"/>
          </w:tcPr>
          <w:p w14:paraId="2D2D732F">
            <w:pPr>
              <w:rPr>
                <w:rFonts w:ascii="Arial"/>
                <w:color w:val="auto"/>
                <w:sz w:val="20"/>
                <w:szCs w:val="20"/>
                <w:highlight w:val="none"/>
              </w:rPr>
            </w:pPr>
          </w:p>
        </w:tc>
        <w:tc>
          <w:tcPr>
            <w:tcW w:w="648" w:type="dxa"/>
            <w:vMerge w:val="restart"/>
            <w:tcBorders>
              <w:bottom w:val="nil"/>
            </w:tcBorders>
            <w:vAlign w:val="top"/>
          </w:tcPr>
          <w:p w14:paraId="26B9A8A9">
            <w:pPr>
              <w:rPr>
                <w:rFonts w:ascii="Arial"/>
                <w:color w:val="auto"/>
                <w:sz w:val="20"/>
                <w:szCs w:val="20"/>
                <w:highlight w:val="none"/>
              </w:rPr>
            </w:pPr>
          </w:p>
        </w:tc>
        <w:tc>
          <w:tcPr>
            <w:tcW w:w="2278" w:type="dxa"/>
            <w:gridSpan w:val="2"/>
            <w:vAlign w:val="top"/>
          </w:tcPr>
          <w:p w14:paraId="277AA318">
            <w:pPr>
              <w:pStyle w:val="20"/>
              <w:spacing w:before="192" w:line="230" w:lineRule="auto"/>
              <w:ind w:left="884"/>
              <w:rPr>
                <w:color w:val="auto"/>
                <w:sz w:val="20"/>
                <w:szCs w:val="20"/>
                <w:highlight w:val="none"/>
              </w:rPr>
            </w:pPr>
            <w:r>
              <w:rPr>
                <w:color w:val="auto"/>
                <w:sz w:val="20"/>
                <w:szCs w:val="20"/>
                <w:highlight w:val="none"/>
              </w:rPr>
              <w:t>合</w:t>
            </w:r>
            <w:r>
              <w:rPr>
                <w:color w:val="auto"/>
                <w:spacing w:val="13"/>
                <w:sz w:val="20"/>
                <w:szCs w:val="20"/>
                <w:highlight w:val="none"/>
              </w:rPr>
              <w:t xml:space="preserve"> </w:t>
            </w:r>
            <w:r>
              <w:rPr>
                <w:color w:val="auto"/>
                <w:sz w:val="20"/>
                <w:szCs w:val="20"/>
                <w:highlight w:val="none"/>
              </w:rPr>
              <w:t>计</w:t>
            </w:r>
          </w:p>
        </w:tc>
      </w:tr>
      <w:tr w14:paraId="595D6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2861" w:type="dxa"/>
            <w:gridSpan w:val="2"/>
            <w:tcBorders>
              <w:top w:val="nil"/>
            </w:tcBorders>
            <w:vAlign w:val="top"/>
          </w:tcPr>
          <w:p w14:paraId="4EA82D4C">
            <w:pPr>
              <w:pStyle w:val="20"/>
              <w:spacing w:before="22" w:line="231" w:lineRule="auto"/>
              <w:ind w:left="218"/>
              <w:rPr>
                <w:color w:val="auto"/>
                <w:sz w:val="20"/>
                <w:szCs w:val="20"/>
                <w:highlight w:val="none"/>
              </w:rPr>
            </w:pPr>
            <w:r>
              <w:rPr>
                <w:color w:val="auto"/>
                <w:spacing w:val="-1"/>
                <w:sz w:val="20"/>
                <w:szCs w:val="20"/>
                <w:highlight w:val="none"/>
              </w:rPr>
              <w:t>时间</w:t>
            </w:r>
          </w:p>
        </w:tc>
        <w:tc>
          <w:tcPr>
            <w:tcW w:w="643" w:type="dxa"/>
            <w:vMerge w:val="continue"/>
            <w:tcBorders>
              <w:top w:val="nil"/>
            </w:tcBorders>
            <w:vAlign w:val="top"/>
          </w:tcPr>
          <w:p w14:paraId="4F23D4D5">
            <w:pPr>
              <w:rPr>
                <w:rFonts w:ascii="Arial"/>
                <w:color w:val="auto"/>
                <w:sz w:val="20"/>
                <w:szCs w:val="20"/>
                <w:highlight w:val="none"/>
              </w:rPr>
            </w:pPr>
          </w:p>
        </w:tc>
        <w:tc>
          <w:tcPr>
            <w:tcW w:w="647" w:type="dxa"/>
            <w:vMerge w:val="continue"/>
            <w:tcBorders>
              <w:top w:val="nil"/>
            </w:tcBorders>
            <w:vAlign w:val="top"/>
          </w:tcPr>
          <w:p w14:paraId="2EEF8244">
            <w:pPr>
              <w:rPr>
                <w:rFonts w:ascii="Arial"/>
                <w:color w:val="auto"/>
                <w:sz w:val="20"/>
                <w:szCs w:val="20"/>
                <w:highlight w:val="none"/>
              </w:rPr>
            </w:pPr>
          </w:p>
        </w:tc>
        <w:tc>
          <w:tcPr>
            <w:tcW w:w="643" w:type="dxa"/>
            <w:vMerge w:val="continue"/>
            <w:tcBorders>
              <w:top w:val="nil"/>
            </w:tcBorders>
            <w:vAlign w:val="top"/>
          </w:tcPr>
          <w:p w14:paraId="0AD69786">
            <w:pPr>
              <w:rPr>
                <w:rFonts w:ascii="Arial"/>
                <w:color w:val="auto"/>
                <w:sz w:val="20"/>
                <w:szCs w:val="20"/>
                <w:highlight w:val="none"/>
              </w:rPr>
            </w:pPr>
          </w:p>
        </w:tc>
        <w:tc>
          <w:tcPr>
            <w:tcW w:w="647" w:type="dxa"/>
            <w:vMerge w:val="continue"/>
            <w:tcBorders>
              <w:top w:val="nil"/>
            </w:tcBorders>
            <w:vAlign w:val="top"/>
          </w:tcPr>
          <w:p w14:paraId="552CACD0">
            <w:pPr>
              <w:rPr>
                <w:rFonts w:ascii="Arial"/>
                <w:color w:val="auto"/>
                <w:sz w:val="20"/>
                <w:szCs w:val="20"/>
                <w:highlight w:val="none"/>
              </w:rPr>
            </w:pPr>
          </w:p>
        </w:tc>
        <w:tc>
          <w:tcPr>
            <w:tcW w:w="648" w:type="dxa"/>
            <w:vMerge w:val="continue"/>
            <w:tcBorders>
              <w:top w:val="nil"/>
            </w:tcBorders>
            <w:vAlign w:val="top"/>
          </w:tcPr>
          <w:p w14:paraId="4518AF93">
            <w:pPr>
              <w:rPr>
                <w:rFonts w:ascii="Arial"/>
                <w:color w:val="auto"/>
                <w:sz w:val="20"/>
                <w:szCs w:val="20"/>
                <w:highlight w:val="none"/>
              </w:rPr>
            </w:pPr>
          </w:p>
        </w:tc>
        <w:tc>
          <w:tcPr>
            <w:tcW w:w="1132" w:type="dxa"/>
            <w:vAlign w:val="top"/>
          </w:tcPr>
          <w:p w14:paraId="1C7382E7">
            <w:pPr>
              <w:pStyle w:val="20"/>
              <w:spacing w:before="208" w:line="228" w:lineRule="auto"/>
              <w:ind w:left="364"/>
              <w:rPr>
                <w:color w:val="auto"/>
                <w:sz w:val="20"/>
                <w:szCs w:val="20"/>
                <w:highlight w:val="none"/>
              </w:rPr>
            </w:pPr>
            <w:r>
              <w:rPr>
                <w:color w:val="auto"/>
                <w:spacing w:val="3"/>
                <w:sz w:val="20"/>
                <w:szCs w:val="20"/>
                <w:highlight w:val="none"/>
              </w:rPr>
              <w:t>人数</w:t>
            </w:r>
          </w:p>
        </w:tc>
        <w:tc>
          <w:tcPr>
            <w:tcW w:w="1146" w:type="dxa"/>
            <w:vAlign w:val="top"/>
          </w:tcPr>
          <w:p w14:paraId="42AD0214">
            <w:pPr>
              <w:pStyle w:val="20"/>
              <w:spacing w:before="208" w:line="228" w:lineRule="auto"/>
              <w:ind w:left="55"/>
              <w:rPr>
                <w:color w:val="auto"/>
                <w:sz w:val="20"/>
                <w:szCs w:val="20"/>
                <w:highlight w:val="none"/>
              </w:rPr>
            </w:pPr>
            <w:r>
              <w:rPr>
                <w:color w:val="auto"/>
                <w:spacing w:val="7"/>
                <w:sz w:val="20"/>
                <w:szCs w:val="20"/>
                <w:highlight w:val="none"/>
              </w:rPr>
              <w:t>人工工日数</w:t>
            </w:r>
          </w:p>
        </w:tc>
      </w:tr>
      <w:tr w14:paraId="10D78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441" w:type="dxa"/>
            <w:vMerge w:val="restart"/>
            <w:tcBorders>
              <w:bottom w:val="nil"/>
            </w:tcBorders>
            <w:vAlign w:val="top"/>
          </w:tcPr>
          <w:p w14:paraId="79D2E1D1">
            <w:pPr>
              <w:spacing w:line="247" w:lineRule="auto"/>
              <w:rPr>
                <w:rFonts w:ascii="Arial"/>
                <w:color w:val="auto"/>
                <w:sz w:val="20"/>
                <w:szCs w:val="20"/>
                <w:highlight w:val="none"/>
              </w:rPr>
            </w:pPr>
          </w:p>
          <w:p w14:paraId="4FBAA400">
            <w:pPr>
              <w:spacing w:line="247" w:lineRule="auto"/>
              <w:rPr>
                <w:rFonts w:ascii="Arial"/>
                <w:color w:val="auto"/>
                <w:sz w:val="20"/>
                <w:szCs w:val="20"/>
                <w:highlight w:val="none"/>
              </w:rPr>
            </w:pPr>
          </w:p>
          <w:p w14:paraId="2D099925">
            <w:pPr>
              <w:spacing w:line="247" w:lineRule="auto"/>
              <w:rPr>
                <w:rFonts w:ascii="Arial"/>
                <w:color w:val="auto"/>
                <w:sz w:val="20"/>
                <w:szCs w:val="20"/>
                <w:highlight w:val="none"/>
              </w:rPr>
            </w:pPr>
          </w:p>
          <w:p w14:paraId="231627C2">
            <w:pPr>
              <w:spacing w:line="247" w:lineRule="auto"/>
              <w:rPr>
                <w:rFonts w:ascii="Arial"/>
                <w:color w:val="auto"/>
                <w:sz w:val="20"/>
                <w:szCs w:val="20"/>
                <w:highlight w:val="none"/>
              </w:rPr>
            </w:pPr>
          </w:p>
          <w:p w14:paraId="3D768436">
            <w:pPr>
              <w:spacing w:line="247" w:lineRule="auto"/>
              <w:rPr>
                <w:rFonts w:ascii="Arial"/>
                <w:color w:val="auto"/>
                <w:sz w:val="20"/>
                <w:szCs w:val="20"/>
                <w:highlight w:val="none"/>
              </w:rPr>
            </w:pPr>
          </w:p>
          <w:p w14:paraId="4A2A6B4A">
            <w:pPr>
              <w:pStyle w:val="20"/>
              <w:spacing w:before="65" w:line="228" w:lineRule="auto"/>
              <w:ind w:left="1150"/>
              <w:rPr>
                <w:color w:val="auto"/>
                <w:sz w:val="20"/>
                <w:szCs w:val="20"/>
                <w:highlight w:val="none"/>
              </w:rPr>
            </w:pPr>
            <w:r>
              <w:rPr>
                <w:color w:val="auto"/>
                <w:sz w:val="20"/>
                <w:szCs w:val="20"/>
                <w:highlight w:val="none"/>
              </w:rPr>
              <w:t>年</w:t>
            </w:r>
          </w:p>
        </w:tc>
        <w:tc>
          <w:tcPr>
            <w:tcW w:w="1420" w:type="dxa"/>
            <w:vAlign w:val="top"/>
          </w:tcPr>
          <w:p w14:paraId="5E74CC0C">
            <w:pPr>
              <w:pStyle w:val="20"/>
              <w:spacing w:before="173" w:line="228" w:lineRule="auto"/>
              <w:ind w:left="1139"/>
              <w:rPr>
                <w:color w:val="auto"/>
                <w:sz w:val="20"/>
                <w:szCs w:val="20"/>
                <w:highlight w:val="none"/>
              </w:rPr>
            </w:pPr>
            <w:r>
              <w:rPr>
                <w:color w:val="auto"/>
                <w:sz w:val="20"/>
                <w:szCs w:val="20"/>
                <w:highlight w:val="none"/>
              </w:rPr>
              <w:t>月</w:t>
            </w:r>
          </w:p>
        </w:tc>
        <w:tc>
          <w:tcPr>
            <w:tcW w:w="643" w:type="dxa"/>
            <w:vAlign w:val="top"/>
          </w:tcPr>
          <w:p w14:paraId="5DDC7145">
            <w:pPr>
              <w:rPr>
                <w:rFonts w:ascii="Arial"/>
                <w:color w:val="auto"/>
                <w:sz w:val="20"/>
                <w:szCs w:val="20"/>
                <w:highlight w:val="none"/>
              </w:rPr>
            </w:pPr>
          </w:p>
        </w:tc>
        <w:tc>
          <w:tcPr>
            <w:tcW w:w="647" w:type="dxa"/>
            <w:vAlign w:val="top"/>
          </w:tcPr>
          <w:p w14:paraId="47397B3F">
            <w:pPr>
              <w:rPr>
                <w:rFonts w:ascii="Arial"/>
                <w:color w:val="auto"/>
                <w:sz w:val="20"/>
                <w:szCs w:val="20"/>
                <w:highlight w:val="none"/>
              </w:rPr>
            </w:pPr>
          </w:p>
        </w:tc>
        <w:tc>
          <w:tcPr>
            <w:tcW w:w="643" w:type="dxa"/>
            <w:vAlign w:val="top"/>
          </w:tcPr>
          <w:p w14:paraId="3361217F">
            <w:pPr>
              <w:rPr>
                <w:rFonts w:ascii="Arial"/>
                <w:color w:val="auto"/>
                <w:sz w:val="20"/>
                <w:szCs w:val="20"/>
                <w:highlight w:val="none"/>
              </w:rPr>
            </w:pPr>
          </w:p>
        </w:tc>
        <w:tc>
          <w:tcPr>
            <w:tcW w:w="647" w:type="dxa"/>
            <w:vAlign w:val="top"/>
          </w:tcPr>
          <w:p w14:paraId="643A3672">
            <w:pPr>
              <w:rPr>
                <w:rFonts w:ascii="Arial"/>
                <w:color w:val="auto"/>
                <w:sz w:val="20"/>
                <w:szCs w:val="20"/>
                <w:highlight w:val="none"/>
              </w:rPr>
            </w:pPr>
          </w:p>
        </w:tc>
        <w:tc>
          <w:tcPr>
            <w:tcW w:w="648" w:type="dxa"/>
            <w:vAlign w:val="top"/>
          </w:tcPr>
          <w:p w14:paraId="3F050488">
            <w:pPr>
              <w:rPr>
                <w:rFonts w:ascii="Arial"/>
                <w:color w:val="auto"/>
                <w:sz w:val="20"/>
                <w:szCs w:val="20"/>
                <w:highlight w:val="none"/>
              </w:rPr>
            </w:pPr>
          </w:p>
        </w:tc>
        <w:tc>
          <w:tcPr>
            <w:tcW w:w="1132" w:type="dxa"/>
            <w:vAlign w:val="top"/>
          </w:tcPr>
          <w:p w14:paraId="23F8A566">
            <w:pPr>
              <w:rPr>
                <w:rFonts w:ascii="Arial"/>
                <w:color w:val="auto"/>
                <w:sz w:val="20"/>
                <w:szCs w:val="20"/>
                <w:highlight w:val="none"/>
              </w:rPr>
            </w:pPr>
          </w:p>
        </w:tc>
        <w:tc>
          <w:tcPr>
            <w:tcW w:w="1146" w:type="dxa"/>
            <w:vAlign w:val="top"/>
          </w:tcPr>
          <w:p w14:paraId="3D858B05">
            <w:pPr>
              <w:rPr>
                <w:rFonts w:ascii="Arial"/>
                <w:color w:val="auto"/>
                <w:sz w:val="20"/>
                <w:szCs w:val="20"/>
                <w:highlight w:val="none"/>
              </w:rPr>
            </w:pPr>
          </w:p>
        </w:tc>
      </w:tr>
      <w:tr w14:paraId="5D426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441" w:type="dxa"/>
            <w:vMerge w:val="continue"/>
            <w:tcBorders>
              <w:top w:val="nil"/>
              <w:bottom w:val="nil"/>
            </w:tcBorders>
            <w:vAlign w:val="top"/>
          </w:tcPr>
          <w:p w14:paraId="45A3A23E">
            <w:pPr>
              <w:rPr>
                <w:rFonts w:ascii="Arial"/>
                <w:color w:val="auto"/>
                <w:sz w:val="20"/>
                <w:szCs w:val="20"/>
                <w:highlight w:val="none"/>
              </w:rPr>
            </w:pPr>
          </w:p>
        </w:tc>
        <w:tc>
          <w:tcPr>
            <w:tcW w:w="1420" w:type="dxa"/>
            <w:vAlign w:val="top"/>
          </w:tcPr>
          <w:p w14:paraId="389A1B9D">
            <w:pPr>
              <w:pStyle w:val="20"/>
              <w:spacing w:before="174" w:line="228" w:lineRule="auto"/>
              <w:ind w:left="1139"/>
              <w:rPr>
                <w:color w:val="auto"/>
                <w:sz w:val="20"/>
                <w:szCs w:val="20"/>
                <w:highlight w:val="none"/>
              </w:rPr>
            </w:pPr>
            <w:r>
              <w:rPr>
                <w:color w:val="auto"/>
                <w:sz w:val="20"/>
                <w:szCs w:val="20"/>
                <w:highlight w:val="none"/>
              </w:rPr>
              <w:t>月</w:t>
            </w:r>
          </w:p>
        </w:tc>
        <w:tc>
          <w:tcPr>
            <w:tcW w:w="643" w:type="dxa"/>
            <w:vAlign w:val="top"/>
          </w:tcPr>
          <w:p w14:paraId="152BDDBF">
            <w:pPr>
              <w:rPr>
                <w:rFonts w:ascii="Arial"/>
                <w:color w:val="auto"/>
                <w:sz w:val="20"/>
                <w:szCs w:val="20"/>
                <w:highlight w:val="none"/>
              </w:rPr>
            </w:pPr>
          </w:p>
        </w:tc>
        <w:tc>
          <w:tcPr>
            <w:tcW w:w="647" w:type="dxa"/>
            <w:vAlign w:val="top"/>
          </w:tcPr>
          <w:p w14:paraId="2275F98D">
            <w:pPr>
              <w:rPr>
                <w:rFonts w:ascii="Arial"/>
                <w:color w:val="auto"/>
                <w:sz w:val="20"/>
                <w:szCs w:val="20"/>
                <w:highlight w:val="none"/>
              </w:rPr>
            </w:pPr>
          </w:p>
        </w:tc>
        <w:tc>
          <w:tcPr>
            <w:tcW w:w="643" w:type="dxa"/>
            <w:vAlign w:val="top"/>
          </w:tcPr>
          <w:p w14:paraId="7FCE371D">
            <w:pPr>
              <w:rPr>
                <w:rFonts w:ascii="Arial"/>
                <w:color w:val="auto"/>
                <w:sz w:val="20"/>
                <w:szCs w:val="20"/>
                <w:highlight w:val="none"/>
              </w:rPr>
            </w:pPr>
          </w:p>
        </w:tc>
        <w:tc>
          <w:tcPr>
            <w:tcW w:w="647" w:type="dxa"/>
            <w:vAlign w:val="top"/>
          </w:tcPr>
          <w:p w14:paraId="60BD81B5">
            <w:pPr>
              <w:rPr>
                <w:rFonts w:ascii="Arial"/>
                <w:color w:val="auto"/>
                <w:sz w:val="20"/>
                <w:szCs w:val="20"/>
                <w:highlight w:val="none"/>
              </w:rPr>
            </w:pPr>
          </w:p>
        </w:tc>
        <w:tc>
          <w:tcPr>
            <w:tcW w:w="648" w:type="dxa"/>
            <w:vAlign w:val="top"/>
          </w:tcPr>
          <w:p w14:paraId="66DF619E">
            <w:pPr>
              <w:rPr>
                <w:rFonts w:ascii="Arial"/>
                <w:color w:val="auto"/>
                <w:sz w:val="20"/>
                <w:szCs w:val="20"/>
                <w:highlight w:val="none"/>
              </w:rPr>
            </w:pPr>
          </w:p>
        </w:tc>
        <w:tc>
          <w:tcPr>
            <w:tcW w:w="1132" w:type="dxa"/>
            <w:vAlign w:val="top"/>
          </w:tcPr>
          <w:p w14:paraId="5FA3EA24">
            <w:pPr>
              <w:rPr>
                <w:rFonts w:ascii="Arial"/>
                <w:color w:val="auto"/>
                <w:sz w:val="20"/>
                <w:szCs w:val="20"/>
                <w:highlight w:val="none"/>
              </w:rPr>
            </w:pPr>
          </w:p>
        </w:tc>
        <w:tc>
          <w:tcPr>
            <w:tcW w:w="1146" w:type="dxa"/>
            <w:vAlign w:val="top"/>
          </w:tcPr>
          <w:p w14:paraId="3CEA9F7D">
            <w:pPr>
              <w:rPr>
                <w:rFonts w:ascii="Arial"/>
                <w:color w:val="auto"/>
                <w:sz w:val="20"/>
                <w:szCs w:val="20"/>
                <w:highlight w:val="none"/>
              </w:rPr>
            </w:pPr>
          </w:p>
        </w:tc>
      </w:tr>
      <w:tr w14:paraId="20D2D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441" w:type="dxa"/>
            <w:vMerge w:val="continue"/>
            <w:tcBorders>
              <w:top w:val="nil"/>
              <w:bottom w:val="nil"/>
            </w:tcBorders>
            <w:vAlign w:val="top"/>
          </w:tcPr>
          <w:p w14:paraId="2C12D74D">
            <w:pPr>
              <w:rPr>
                <w:rFonts w:ascii="Arial"/>
                <w:color w:val="auto"/>
                <w:sz w:val="20"/>
                <w:szCs w:val="20"/>
                <w:highlight w:val="none"/>
              </w:rPr>
            </w:pPr>
          </w:p>
        </w:tc>
        <w:tc>
          <w:tcPr>
            <w:tcW w:w="1420" w:type="dxa"/>
            <w:vAlign w:val="top"/>
          </w:tcPr>
          <w:p w14:paraId="39FC1BBE">
            <w:pPr>
              <w:pStyle w:val="20"/>
              <w:spacing w:before="175" w:line="228" w:lineRule="auto"/>
              <w:ind w:left="1139"/>
              <w:rPr>
                <w:color w:val="auto"/>
                <w:sz w:val="20"/>
                <w:szCs w:val="20"/>
                <w:highlight w:val="none"/>
              </w:rPr>
            </w:pPr>
            <w:r>
              <w:rPr>
                <w:color w:val="auto"/>
                <w:sz w:val="20"/>
                <w:szCs w:val="20"/>
                <w:highlight w:val="none"/>
              </w:rPr>
              <w:t>月</w:t>
            </w:r>
          </w:p>
        </w:tc>
        <w:tc>
          <w:tcPr>
            <w:tcW w:w="643" w:type="dxa"/>
            <w:vAlign w:val="top"/>
          </w:tcPr>
          <w:p w14:paraId="60A7E919">
            <w:pPr>
              <w:rPr>
                <w:rFonts w:ascii="Arial"/>
                <w:color w:val="auto"/>
                <w:sz w:val="20"/>
                <w:szCs w:val="20"/>
                <w:highlight w:val="none"/>
              </w:rPr>
            </w:pPr>
          </w:p>
        </w:tc>
        <w:tc>
          <w:tcPr>
            <w:tcW w:w="647" w:type="dxa"/>
            <w:vAlign w:val="top"/>
          </w:tcPr>
          <w:p w14:paraId="42DB3317">
            <w:pPr>
              <w:rPr>
                <w:rFonts w:ascii="Arial"/>
                <w:color w:val="auto"/>
                <w:sz w:val="20"/>
                <w:szCs w:val="20"/>
                <w:highlight w:val="none"/>
              </w:rPr>
            </w:pPr>
          </w:p>
        </w:tc>
        <w:tc>
          <w:tcPr>
            <w:tcW w:w="643" w:type="dxa"/>
            <w:vAlign w:val="top"/>
          </w:tcPr>
          <w:p w14:paraId="1ACEA80B">
            <w:pPr>
              <w:rPr>
                <w:rFonts w:ascii="Arial"/>
                <w:color w:val="auto"/>
                <w:sz w:val="20"/>
                <w:szCs w:val="20"/>
                <w:highlight w:val="none"/>
              </w:rPr>
            </w:pPr>
          </w:p>
        </w:tc>
        <w:tc>
          <w:tcPr>
            <w:tcW w:w="647" w:type="dxa"/>
            <w:vAlign w:val="top"/>
          </w:tcPr>
          <w:p w14:paraId="683AA0BF">
            <w:pPr>
              <w:rPr>
                <w:rFonts w:ascii="Arial"/>
                <w:color w:val="auto"/>
                <w:sz w:val="20"/>
                <w:szCs w:val="20"/>
                <w:highlight w:val="none"/>
              </w:rPr>
            </w:pPr>
          </w:p>
        </w:tc>
        <w:tc>
          <w:tcPr>
            <w:tcW w:w="648" w:type="dxa"/>
            <w:vAlign w:val="top"/>
          </w:tcPr>
          <w:p w14:paraId="24E6E31E">
            <w:pPr>
              <w:rPr>
                <w:rFonts w:ascii="Arial"/>
                <w:color w:val="auto"/>
                <w:sz w:val="20"/>
                <w:szCs w:val="20"/>
                <w:highlight w:val="none"/>
              </w:rPr>
            </w:pPr>
          </w:p>
        </w:tc>
        <w:tc>
          <w:tcPr>
            <w:tcW w:w="1132" w:type="dxa"/>
            <w:vAlign w:val="top"/>
          </w:tcPr>
          <w:p w14:paraId="787E93A2">
            <w:pPr>
              <w:rPr>
                <w:rFonts w:ascii="Arial"/>
                <w:color w:val="auto"/>
                <w:sz w:val="20"/>
                <w:szCs w:val="20"/>
                <w:highlight w:val="none"/>
              </w:rPr>
            </w:pPr>
          </w:p>
        </w:tc>
        <w:tc>
          <w:tcPr>
            <w:tcW w:w="1146" w:type="dxa"/>
            <w:vAlign w:val="top"/>
          </w:tcPr>
          <w:p w14:paraId="24F801F7">
            <w:pPr>
              <w:rPr>
                <w:rFonts w:ascii="Arial"/>
                <w:color w:val="auto"/>
                <w:sz w:val="20"/>
                <w:szCs w:val="20"/>
                <w:highlight w:val="none"/>
              </w:rPr>
            </w:pPr>
          </w:p>
        </w:tc>
      </w:tr>
      <w:tr w14:paraId="688EC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441" w:type="dxa"/>
            <w:vMerge w:val="continue"/>
            <w:tcBorders>
              <w:top w:val="nil"/>
              <w:bottom w:val="nil"/>
            </w:tcBorders>
            <w:vAlign w:val="top"/>
          </w:tcPr>
          <w:p w14:paraId="3552EEE0">
            <w:pPr>
              <w:rPr>
                <w:rFonts w:ascii="Arial"/>
                <w:color w:val="auto"/>
                <w:sz w:val="20"/>
                <w:szCs w:val="20"/>
                <w:highlight w:val="none"/>
              </w:rPr>
            </w:pPr>
          </w:p>
        </w:tc>
        <w:tc>
          <w:tcPr>
            <w:tcW w:w="1420" w:type="dxa"/>
            <w:vAlign w:val="top"/>
          </w:tcPr>
          <w:p w14:paraId="426338BD">
            <w:pPr>
              <w:pStyle w:val="20"/>
              <w:spacing w:before="176" w:line="228" w:lineRule="auto"/>
              <w:ind w:left="1139"/>
              <w:rPr>
                <w:color w:val="auto"/>
                <w:sz w:val="20"/>
                <w:szCs w:val="20"/>
                <w:highlight w:val="none"/>
              </w:rPr>
            </w:pPr>
            <w:r>
              <w:rPr>
                <w:color w:val="auto"/>
                <w:sz w:val="20"/>
                <w:szCs w:val="20"/>
                <w:highlight w:val="none"/>
              </w:rPr>
              <w:t>月</w:t>
            </w:r>
          </w:p>
        </w:tc>
        <w:tc>
          <w:tcPr>
            <w:tcW w:w="643" w:type="dxa"/>
            <w:vAlign w:val="top"/>
          </w:tcPr>
          <w:p w14:paraId="6E902F2B">
            <w:pPr>
              <w:rPr>
                <w:rFonts w:ascii="Arial"/>
                <w:color w:val="auto"/>
                <w:sz w:val="20"/>
                <w:szCs w:val="20"/>
                <w:highlight w:val="none"/>
              </w:rPr>
            </w:pPr>
          </w:p>
        </w:tc>
        <w:tc>
          <w:tcPr>
            <w:tcW w:w="647" w:type="dxa"/>
            <w:vAlign w:val="top"/>
          </w:tcPr>
          <w:p w14:paraId="1E2CC5EC">
            <w:pPr>
              <w:rPr>
                <w:rFonts w:ascii="Arial"/>
                <w:color w:val="auto"/>
                <w:sz w:val="20"/>
                <w:szCs w:val="20"/>
                <w:highlight w:val="none"/>
              </w:rPr>
            </w:pPr>
          </w:p>
        </w:tc>
        <w:tc>
          <w:tcPr>
            <w:tcW w:w="643" w:type="dxa"/>
            <w:vAlign w:val="top"/>
          </w:tcPr>
          <w:p w14:paraId="489A8852">
            <w:pPr>
              <w:rPr>
                <w:rFonts w:ascii="Arial"/>
                <w:color w:val="auto"/>
                <w:sz w:val="20"/>
                <w:szCs w:val="20"/>
                <w:highlight w:val="none"/>
              </w:rPr>
            </w:pPr>
          </w:p>
        </w:tc>
        <w:tc>
          <w:tcPr>
            <w:tcW w:w="647" w:type="dxa"/>
            <w:vAlign w:val="top"/>
          </w:tcPr>
          <w:p w14:paraId="2D37B965">
            <w:pPr>
              <w:rPr>
                <w:rFonts w:ascii="Arial"/>
                <w:color w:val="auto"/>
                <w:sz w:val="20"/>
                <w:szCs w:val="20"/>
                <w:highlight w:val="none"/>
              </w:rPr>
            </w:pPr>
          </w:p>
        </w:tc>
        <w:tc>
          <w:tcPr>
            <w:tcW w:w="648" w:type="dxa"/>
            <w:vAlign w:val="top"/>
          </w:tcPr>
          <w:p w14:paraId="1B4730ED">
            <w:pPr>
              <w:rPr>
                <w:rFonts w:ascii="Arial"/>
                <w:color w:val="auto"/>
                <w:sz w:val="20"/>
                <w:szCs w:val="20"/>
                <w:highlight w:val="none"/>
              </w:rPr>
            </w:pPr>
          </w:p>
        </w:tc>
        <w:tc>
          <w:tcPr>
            <w:tcW w:w="1132" w:type="dxa"/>
            <w:vAlign w:val="top"/>
          </w:tcPr>
          <w:p w14:paraId="58302B76">
            <w:pPr>
              <w:rPr>
                <w:rFonts w:ascii="Arial"/>
                <w:color w:val="auto"/>
                <w:sz w:val="20"/>
                <w:szCs w:val="20"/>
                <w:highlight w:val="none"/>
              </w:rPr>
            </w:pPr>
          </w:p>
        </w:tc>
        <w:tc>
          <w:tcPr>
            <w:tcW w:w="1146" w:type="dxa"/>
            <w:vAlign w:val="top"/>
          </w:tcPr>
          <w:p w14:paraId="5134451D">
            <w:pPr>
              <w:rPr>
                <w:rFonts w:ascii="Arial"/>
                <w:color w:val="auto"/>
                <w:sz w:val="20"/>
                <w:szCs w:val="20"/>
                <w:highlight w:val="none"/>
              </w:rPr>
            </w:pPr>
          </w:p>
        </w:tc>
      </w:tr>
      <w:tr w14:paraId="6D250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441" w:type="dxa"/>
            <w:vMerge w:val="continue"/>
            <w:tcBorders>
              <w:top w:val="nil"/>
            </w:tcBorders>
            <w:vAlign w:val="top"/>
          </w:tcPr>
          <w:p w14:paraId="6ED79075">
            <w:pPr>
              <w:rPr>
                <w:rFonts w:ascii="Arial"/>
                <w:color w:val="auto"/>
                <w:sz w:val="20"/>
                <w:szCs w:val="20"/>
                <w:highlight w:val="none"/>
              </w:rPr>
            </w:pPr>
          </w:p>
        </w:tc>
        <w:tc>
          <w:tcPr>
            <w:tcW w:w="1420" w:type="dxa"/>
            <w:vAlign w:val="top"/>
          </w:tcPr>
          <w:p w14:paraId="1CBBD66D">
            <w:pPr>
              <w:spacing w:line="265" w:lineRule="auto"/>
              <w:rPr>
                <w:rFonts w:ascii="Arial"/>
                <w:color w:val="auto"/>
                <w:sz w:val="20"/>
                <w:szCs w:val="20"/>
                <w:highlight w:val="none"/>
              </w:rPr>
            </w:pPr>
          </w:p>
          <w:p w14:paraId="556E7AEC">
            <w:pPr>
              <w:spacing w:before="58" w:line="63" w:lineRule="exact"/>
              <w:ind w:left="1095"/>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1"/>
                <w:position w:val="1"/>
                <w:sz w:val="20"/>
                <w:szCs w:val="20"/>
                <w:highlight w:val="none"/>
              </w:rPr>
              <w:t>......</w:t>
            </w:r>
          </w:p>
        </w:tc>
        <w:tc>
          <w:tcPr>
            <w:tcW w:w="643" w:type="dxa"/>
            <w:vAlign w:val="top"/>
          </w:tcPr>
          <w:p w14:paraId="1937EFB5">
            <w:pPr>
              <w:rPr>
                <w:rFonts w:ascii="Arial"/>
                <w:color w:val="auto"/>
                <w:sz w:val="20"/>
                <w:szCs w:val="20"/>
                <w:highlight w:val="none"/>
              </w:rPr>
            </w:pPr>
          </w:p>
        </w:tc>
        <w:tc>
          <w:tcPr>
            <w:tcW w:w="647" w:type="dxa"/>
            <w:vAlign w:val="top"/>
          </w:tcPr>
          <w:p w14:paraId="5658DAC6">
            <w:pPr>
              <w:rPr>
                <w:rFonts w:ascii="Arial"/>
                <w:color w:val="auto"/>
                <w:sz w:val="20"/>
                <w:szCs w:val="20"/>
                <w:highlight w:val="none"/>
              </w:rPr>
            </w:pPr>
          </w:p>
        </w:tc>
        <w:tc>
          <w:tcPr>
            <w:tcW w:w="643" w:type="dxa"/>
            <w:vAlign w:val="top"/>
          </w:tcPr>
          <w:p w14:paraId="0C6F541C">
            <w:pPr>
              <w:rPr>
                <w:rFonts w:ascii="Arial"/>
                <w:color w:val="auto"/>
                <w:sz w:val="20"/>
                <w:szCs w:val="20"/>
                <w:highlight w:val="none"/>
              </w:rPr>
            </w:pPr>
          </w:p>
        </w:tc>
        <w:tc>
          <w:tcPr>
            <w:tcW w:w="647" w:type="dxa"/>
            <w:vAlign w:val="top"/>
          </w:tcPr>
          <w:p w14:paraId="57C1741E">
            <w:pPr>
              <w:rPr>
                <w:rFonts w:ascii="Arial"/>
                <w:color w:val="auto"/>
                <w:sz w:val="20"/>
                <w:szCs w:val="20"/>
                <w:highlight w:val="none"/>
              </w:rPr>
            </w:pPr>
          </w:p>
        </w:tc>
        <w:tc>
          <w:tcPr>
            <w:tcW w:w="648" w:type="dxa"/>
            <w:vAlign w:val="top"/>
          </w:tcPr>
          <w:p w14:paraId="1E509C61">
            <w:pPr>
              <w:rPr>
                <w:rFonts w:ascii="Arial"/>
                <w:color w:val="auto"/>
                <w:sz w:val="20"/>
                <w:szCs w:val="20"/>
                <w:highlight w:val="none"/>
              </w:rPr>
            </w:pPr>
          </w:p>
        </w:tc>
        <w:tc>
          <w:tcPr>
            <w:tcW w:w="1132" w:type="dxa"/>
            <w:vAlign w:val="top"/>
          </w:tcPr>
          <w:p w14:paraId="087BC147">
            <w:pPr>
              <w:rPr>
                <w:rFonts w:ascii="Arial"/>
                <w:color w:val="auto"/>
                <w:sz w:val="20"/>
                <w:szCs w:val="20"/>
                <w:highlight w:val="none"/>
              </w:rPr>
            </w:pPr>
          </w:p>
        </w:tc>
        <w:tc>
          <w:tcPr>
            <w:tcW w:w="1146" w:type="dxa"/>
            <w:vAlign w:val="top"/>
          </w:tcPr>
          <w:p w14:paraId="5AB188D6">
            <w:pPr>
              <w:rPr>
                <w:rFonts w:ascii="Arial"/>
                <w:color w:val="auto"/>
                <w:sz w:val="20"/>
                <w:szCs w:val="20"/>
                <w:highlight w:val="none"/>
              </w:rPr>
            </w:pPr>
          </w:p>
        </w:tc>
      </w:tr>
      <w:tr w14:paraId="5E83A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089" w:type="dxa"/>
            <w:gridSpan w:val="7"/>
            <w:vAlign w:val="top"/>
          </w:tcPr>
          <w:p w14:paraId="7DDA2291">
            <w:pPr>
              <w:pStyle w:val="20"/>
              <w:spacing w:before="183" w:line="230" w:lineRule="auto"/>
              <w:ind w:left="2798"/>
              <w:rPr>
                <w:color w:val="auto"/>
                <w:sz w:val="20"/>
                <w:szCs w:val="20"/>
                <w:highlight w:val="none"/>
              </w:rPr>
            </w:pPr>
            <w:r>
              <w:rPr>
                <w:color w:val="auto"/>
                <w:spacing w:val="-1"/>
                <w:sz w:val="20"/>
                <w:szCs w:val="20"/>
                <w:highlight w:val="none"/>
              </w:rPr>
              <w:t>总</w:t>
            </w:r>
            <w:r>
              <w:rPr>
                <w:color w:val="auto"/>
                <w:spacing w:val="13"/>
                <w:sz w:val="20"/>
                <w:szCs w:val="20"/>
                <w:highlight w:val="none"/>
              </w:rPr>
              <w:t xml:space="preserve"> </w:t>
            </w:r>
            <w:r>
              <w:rPr>
                <w:color w:val="auto"/>
                <w:spacing w:val="-1"/>
                <w:sz w:val="20"/>
                <w:szCs w:val="20"/>
                <w:highlight w:val="none"/>
              </w:rPr>
              <w:t>计</w:t>
            </w:r>
          </w:p>
        </w:tc>
        <w:tc>
          <w:tcPr>
            <w:tcW w:w="1132" w:type="dxa"/>
            <w:vAlign w:val="top"/>
          </w:tcPr>
          <w:p w14:paraId="5C6F769F">
            <w:pPr>
              <w:rPr>
                <w:rFonts w:ascii="Arial"/>
                <w:color w:val="auto"/>
                <w:sz w:val="20"/>
                <w:szCs w:val="20"/>
                <w:highlight w:val="none"/>
              </w:rPr>
            </w:pPr>
          </w:p>
        </w:tc>
        <w:tc>
          <w:tcPr>
            <w:tcW w:w="1146" w:type="dxa"/>
            <w:vAlign w:val="top"/>
          </w:tcPr>
          <w:p w14:paraId="1DFB43F6">
            <w:pPr>
              <w:rPr>
                <w:rFonts w:ascii="Arial"/>
                <w:color w:val="auto"/>
                <w:sz w:val="20"/>
                <w:szCs w:val="20"/>
                <w:highlight w:val="none"/>
              </w:rPr>
            </w:pPr>
          </w:p>
        </w:tc>
      </w:tr>
    </w:tbl>
    <w:p w14:paraId="5BE15A1B">
      <w:pPr>
        <w:pStyle w:val="6"/>
        <w:rPr>
          <w:color w:val="auto"/>
          <w:sz w:val="20"/>
          <w:szCs w:val="20"/>
          <w:highlight w:val="none"/>
        </w:rPr>
      </w:pPr>
    </w:p>
    <w:p w14:paraId="01332CAC">
      <w:pPr>
        <w:pStyle w:val="6"/>
        <w:rPr>
          <w:color w:val="auto"/>
          <w:sz w:val="20"/>
          <w:szCs w:val="20"/>
          <w:highlight w:val="none"/>
        </w:rPr>
      </w:pPr>
    </w:p>
    <w:p w14:paraId="4B1209DB">
      <w:pPr>
        <w:pStyle w:val="6"/>
        <w:rPr>
          <w:color w:val="auto"/>
          <w:sz w:val="20"/>
          <w:szCs w:val="20"/>
          <w:highlight w:val="none"/>
        </w:rPr>
      </w:pPr>
    </w:p>
    <w:p w14:paraId="0BE04BBC">
      <w:pPr>
        <w:spacing w:before="78" w:line="219" w:lineRule="auto"/>
        <w:ind w:left="4079"/>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3DBEB433">
      <w:pPr>
        <w:spacing w:before="182" w:line="220" w:lineRule="auto"/>
        <w:ind w:left="6326"/>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日期：</w:t>
      </w:r>
      <w:r>
        <w:rPr>
          <w:rFonts w:ascii="宋体" w:hAnsi="宋体" w:eastAsia="宋体" w:cs="宋体"/>
          <w:color w:val="auto"/>
          <w:spacing w:val="5"/>
          <w:sz w:val="20"/>
          <w:szCs w:val="20"/>
          <w:highlight w:val="none"/>
        </w:rPr>
        <w:t xml:space="preserve">  </w:t>
      </w:r>
      <w:r>
        <w:rPr>
          <w:rFonts w:ascii="宋体" w:hAnsi="宋体" w:eastAsia="宋体" w:cs="宋体"/>
          <w:color w:val="auto"/>
          <w:spacing w:val="-13"/>
          <w:sz w:val="20"/>
          <w:szCs w:val="20"/>
          <w:highlight w:val="none"/>
        </w:rPr>
        <w:t>年</w:t>
      </w:r>
      <w:r>
        <w:rPr>
          <w:rFonts w:ascii="宋体" w:hAnsi="宋体" w:eastAsia="宋体" w:cs="宋体"/>
          <w:color w:val="auto"/>
          <w:spacing w:val="8"/>
          <w:sz w:val="20"/>
          <w:szCs w:val="20"/>
          <w:highlight w:val="none"/>
        </w:rPr>
        <w:t xml:space="preserve">  </w:t>
      </w:r>
      <w:r>
        <w:rPr>
          <w:rFonts w:ascii="宋体" w:hAnsi="宋体" w:eastAsia="宋体" w:cs="宋体"/>
          <w:color w:val="auto"/>
          <w:spacing w:val="-13"/>
          <w:sz w:val="20"/>
          <w:szCs w:val="20"/>
          <w:highlight w:val="none"/>
        </w:rPr>
        <w:t>月</w:t>
      </w:r>
      <w:r>
        <w:rPr>
          <w:rFonts w:ascii="宋体" w:hAnsi="宋体" w:eastAsia="宋体" w:cs="宋体"/>
          <w:color w:val="auto"/>
          <w:spacing w:val="25"/>
          <w:sz w:val="20"/>
          <w:szCs w:val="20"/>
          <w:highlight w:val="none"/>
        </w:rPr>
        <w:t xml:space="preserve">  </w:t>
      </w:r>
      <w:r>
        <w:rPr>
          <w:rFonts w:ascii="宋体" w:hAnsi="宋体" w:eastAsia="宋体" w:cs="宋体"/>
          <w:color w:val="auto"/>
          <w:spacing w:val="-13"/>
          <w:sz w:val="20"/>
          <w:szCs w:val="20"/>
          <w:highlight w:val="none"/>
        </w:rPr>
        <w:t>日</w:t>
      </w:r>
    </w:p>
    <w:p w14:paraId="2E199AAC">
      <w:pPr>
        <w:pStyle w:val="6"/>
        <w:spacing w:line="347" w:lineRule="auto"/>
        <w:rPr>
          <w:color w:val="auto"/>
          <w:highlight w:val="none"/>
        </w:rPr>
      </w:pPr>
    </w:p>
    <w:p w14:paraId="5146B524">
      <w:pPr>
        <w:pStyle w:val="6"/>
        <w:spacing w:line="348" w:lineRule="auto"/>
        <w:rPr>
          <w:color w:val="auto"/>
          <w:highlight w:val="none"/>
        </w:rPr>
      </w:pPr>
    </w:p>
    <w:p w14:paraId="4ABE2C95">
      <w:pPr>
        <w:spacing w:before="65" w:line="228" w:lineRule="auto"/>
        <w:ind w:left="13"/>
        <w:rPr>
          <w:rFonts w:ascii="宋体" w:hAnsi="宋体" w:eastAsia="宋体" w:cs="宋体"/>
          <w:color w:val="auto"/>
          <w:sz w:val="20"/>
          <w:szCs w:val="20"/>
          <w:highlight w:val="none"/>
        </w:rPr>
      </w:pPr>
      <w:r>
        <w:rPr>
          <w:rFonts w:ascii="宋体" w:hAnsi="宋体" w:eastAsia="宋体" w:cs="宋体"/>
          <w:b/>
          <w:bCs/>
          <w:color w:val="auto"/>
          <w:spacing w:val="7"/>
          <w:sz w:val="20"/>
          <w:szCs w:val="20"/>
          <w:highlight w:val="none"/>
        </w:rPr>
        <w:t>附件</w:t>
      </w:r>
      <w:r>
        <w:rPr>
          <w:rFonts w:hint="eastAsia" w:ascii="宋体" w:hAnsi="宋体" w:eastAsia="宋体" w:cs="宋体"/>
          <w:b/>
          <w:bCs/>
          <w:color w:val="auto"/>
          <w:spacing w:val="7"/>
          <w:sz w:val="20"/>
          <w:szCs w:val="20"/>
          <w:highlight w:val="none"/>
          <w:lang w:val="en-US" w:eastAsia="zh-CN"/>
        </w:rPr>
        <w:t>四</w:t>
      </w:r>
      <w:r>
        <w:rPr>
          <w:rFonts w:ascii="宋体" w:hAnsi="宋体" w:eastAsia="宋体" w:cs="宋体"/>
          <w:b/>
          <w:bCs/>
          <w:color w:val="auto"/>
          <w:spacing w:val="7"/>
          <w:sz w:val="20"/>
          <w:szCs w:val="20"/>
          <w:highlight w:val="none"/>
        </w:rPr>
        <w:t>：计划开工日期、完工日期和施工进度网络图（或横道图）</w:t>
      </w:r>
    </w:p>
    <w:p w14:paraId="2D4AA315">
      <w:pPr>
        <w:spacing w:before="284" w:line="228" w:lineRule="auto"/>
        <w:ind w:left="1869"/>
        <w:rPr>
          <w:rFonts w:ascii="宋体" w:hAnsi="宋体" w:eastAsia="宋体" w:cs="宋体"/>
          <w:color w:val="auto"/>
          <w:sz w:val="20"/>
          <w:szCs w:val="20"/>
          <w:highlight w:val="none"/>
        </w:rPr>
      </w:pPr>
      <w:r>
        <w:rPr>
          <w:rFonts w:ascii="宋体" w:hAnsi="宋体" w:eastAsia="宋体" w:cs="宋体"/>
          <w:b/>
          <w:bCs/>
          <w:color w:val="auto"/>
          <w:spacing w:val="8"/>
          <w:sz w:val="20"/>
          <w:szCs w:val="20"/>
          <w:highlight w:val="none"/>
        </w:rPr>
        <w:t>计划开工日期、完工日期和施工进度网络图（</w:t>
      </w:r>
      <w:r>
        <w:rPr>
          <w:rFonts w:ascii="宋体" w:hAnsi="宋体" w:eastAsia="宋体" w:cs="宋体"/>
          <w:b/>
          <w:bCs/>
          <w:color w:val="auto"/>
          <w:spacing w:val="7"/>
          <w:sz w:val="20"/>
          <w:szCs w:val="20"/>
          <w:highlight w:val="none"/>
        </w:rPr>
        <w:t>或横道图）</w:t>
      </w:r>
    </w:p>
    <w:p w14:paraId="55DFF719">
      <w:pPr>
        <w:pStyle w:val="6"/>
        <w:spacing w:line="274" w:lineRule="auto"/>
        <w:rPr>
          <w:color w:val="auto"/>
          <w:highlight w:val="none"/>
        </w:rPr>
      </w:pPr>
    </w:p>
    <w:p w14:paraId="70C15B36">
      <w:pPr>
        <w:spacing w:before="65" w:line="281" w:lineRule="auto"/>
        <w:ind w:firstLine="432"/>
        <w:rPr>
          <w:rFonts w:ascii="宋体" w:hAnsi="宋体" w:eastAsia="宋体" w:cs="宋体"/>
          <w:color w:val="auto"/>
          <w:sz w:val="20"/>
          <w:szCs w:val="20"/>
          <w:highlight w:val="none"/>
        </w:rPr>
      </w:pPr>
      <w:r>
        <w:rPr>
          <w:rFonts w:ascii="Times New Roman" w:hAnsi="Times New Roman" w:eastAsia="Times New Roman" w:cs="Times New Roman"/>
          <w:color w:val="auto"/>
          <w:spacing w:val="11"/>
          <w:sz w:val="19"/>
          <w:szCs w:val="19"/>
          <w:highlight w:val="none"/>
        </w:rPr>
        <w:t xml:space="preserve">1.   </w:t>
      </w:r>
      <w:r>
        <w:rPr>
          <w:rFonts w:ascii="宋体" w:hAnsi="宋体" w:eastAsia="宋体" w:cs="宋体"/>
          <w:color w:val="auto"/>
          <w:spacing w:val="11"/>
          <w:sz w:val="20"/>
          <w:szCs w:val="20"/>
          <w:highlight w:val="none"/>
        </w:rPr>
        <w:t>投标人应递交施工进度网络图或施工进度表，说明按招标文件要求的计划工期进行施工的</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各个关键日期。</w:t>
      </w:r>
    </w:p>
    <w:p w14:paraId="17EAB0DB">
      <w:pPr>
        <w:spacing w:before="15" w:line="298" w:lineRule="exact"/>
        <w:ind w:left="413"/>
        <w:rPr>
          <w:rFonts w:ascii="宋体" w:hAnsi="宋体" w:eastAsia="宋体" w:cs="宋体"/>
          <w:color w:val="auto"/>
          <w:sz w:val="20"/>
          <w:szCs w:val="20"/>
          <w:highlight w:val="none"/>
        </w:rPr>
      </w:pPr>
      <w:r>
        <w:rPr>
          <w:rFonts w:ascii="Times New Roman" w:hAnsi="Times New Roman" w:eastAsia="Times New Roman" w:cs="Times New Roman"/>
          <w:color w:val="auto"/>
          <w:spacing w:val="8"/>
          <w:position w:val="2"/>
          <w:sz w:val="19"/>
          <w:szCs w:val="19"/>
          <w:highlight w:val="none"/>
        </w:rPr>
        <w:t>2.</w:t>
      </w:r>
      <w:r>
        <w:rPr>
          <w:rFonts w:ascii="Times New Roman" w:hAnsi="Times New Roman" w:eastAsia="Times New Roman" w:cs="Times New Roman"/>
          <w:color w:val="auto"/>
          <w:spacing w:val="2"/>
          <w:position w:val="2"/>
          <w:sz w:val="19"/>
          <w:szCs w:val="19"/>
          <w:highlight w:val="none"/>
        </w:rPr>
        <w:t xml:space="preserve">    </w:t>
      </w:r>
      <w:r>
        <w:rPr>
          <w:rFonts w:ascii="宋体" w:hAnsi="宋体" w:eastAsia="宋体" w:cs="宋体"/>
          <w:color w:val="auto"/>
          <w:spacing w:val="8"/>
          <w:position w:val="2"/>
          <w:sz w:val="20"/>
          <w:szCs w:val="20"/>
          <w:highlight w:val="none"/>
        </w:rPr>
        <w:t>施工进度表可采用网络图（或横道图）表示。</w:t>
      </w:r>
    </w:p>
    <w:p w14:paraId="7569F13B">
      <w:pPr>
        <w:pStyle w:val="6"/>
        <w:spacing w:line="334" w:lineRule="auto"/>
        <w:rPr>
          <w:color w:val="auto"/>
          <w:highlight w:val="none"/>
        </w:rPr>
      </w:pPr>
    </w:p>
    <w:p w14:paraId="25D844A8">
      <w:pPr>
        <w:spacing w:before="65" w:line="228" w:lineRule="auto"/>
        <w:ind w:left="13"/>
        <w:rPr>
          <w:rFonts w:ascii="宋体" w:hAnsi="宋体" w:eastAsia="宋体" w:cs="宋体"/>
          <w:color w:val="auto"/>
          <w:sz w:val="20"/>
          <w:szCs w:val="20"/>
          <w:highlight w:val="none"/>
        </w:rPr>
      </w:pPr>
      <w:r>
        <w:rPr>
          <w:rFonts w:ascii="宋体" w:hAnsi="宋体" w:eastAsia="宋体" w:cs="宋体"/>
          <w:b/>
          <w:bCs/>
          <w:color w:val="auto"/>
          <w:spacing w:val="6"/>
          <w:sz w:val="20"/>
          <w:szCs w:val="20"/>
          <w:highlight w:val="none"/>
        </w:rPr>
        <w:t>附件</w:t>
      </w:r>
      <w:r>
        <w:rPr>
          <w:rFonts w:hint="eastAsia" w:ascii="宋体" w:hAnsi="宋体" w:eastAsia="宋体" w:cs="宋体"/>
          <w:b/>
          <w:bCs/>
          <w:color w:val="auto"/>
          <w:spacing w:val="6"/>
          <w:sz w:val="20"/>
          <w:szCs w:val="20"/>
          <w:highlight w:val="none"/>
          <w:lang w:eastAsia="zh-CN"/>
        </w:rPr>
        <w:t>五</w:t>
      </w:r>
      <w:r>
        <w:rPr>
          <w:rFonts w:ascii="宋体" w:hAnsi="宋体" w:eastAsia="宋体" w:cs="宋体"/>
          <w:b/>
          <w:bCs/>
          <w:color w:val="auto"/>
          <w:spacing w:val="6"/>
          <w:sz w:val="20"/>
          <w:szCs w:val="20"/>
          <w:highlight w:val="none"/>
        </w:rPr>
        <w:t>：施工总平面图</w:t>
      </w:r>
    </w:p>
    <w:p w14:paraId="08D7A6F6">
      <w:pPr>
        <w:spacing w:before="298" w:line="230" w:lineRule="auto"/>
        <w:ind w:left="3872"/>
        <w:rPr>
          <w:rFonts w:ascii="宋体" w:hAnsi="宋体" w:eastAsia="宋体" w:cs="宋体"/>
          <w:color w:val="auto"/>
          <w:sz w:val="20"/>
          <w:szCs w:val="20"/>
          <w:highlight w:val="none"/>
        </w:rPr>
      </w:pPr>
      <w:r>
        <w:rPr>
          <w:rFonts w:ascii="宋体" w:hAnsi="宋体" w:eastAsia="宋体" w:cs="宋体"/>
          <w:b/>
          <w:bCs/>
          <w:color w:val="auto"/>
          <w:spacing w:val="7"/>
          <w:sz w:val="20"/>
          <w:szCs w:val="20"/>
          <w:highlight w:val="none"/>
        </w:rPr>
        <w:t>施工总平面图</w:t>
      </w:r>
    </w:p>
    <w:p w14:paraId="276A3E2F">
      <w:pPr>
        <w:spacing w:before="228" w:line="228" w:lineRule="auto"/>
        <w:ind w:left="420"/>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投标人应递交一份施工总平面图，绘出现场临时设施布置图并附文字说明。</w:t>
      </w:r>
    </w:p>
    <w:p w14:paraId="5877D687">
      <w:pPr>
        <w:pStyle w:val="6"/>
        <w:spacing w:line="263" w:lineRule="auto"/>
        <w:rPr>
          <w:color w:val="auto"/>
          <w:highlight w:val="none"/>
        </w:rPr>
      </w:pPr>
    </w:p>
    <w:p w14:paraId="1553D91E">
      <w:pPr>
        <w:pStyle w:val="6"/>
        <w:spacing w:line="263" w:lineRule="auto"/>
        <w:rPr>
          <w:color w:val="auto"/>
          <w:highlight w:val="none"/>
        </w:rPr>
      </w:pPr>
    </w:p>
    <w:p w14:paraId="543C395E">
      <w:pPr>
        <w:pStyle w:val="6"/>
        <w:spacing w:line="263" w:lineRule="auto"/>
        <w:rPr>
          <w:color w:val="auto"/>
          <w:highlight w:val="none"/>
        </w:rPr>
      </w:pPr>
    </w:p>
    <w:p w14:paraId="7F29691C">
      <w:pPr>
        <w:spacing w:before="66" w:line="228" w:lineRule="auto"/>
        <w:ind w:left="13"/>
        <w:rPr>
          <w:rFonts w:ascii="宋体" w:hAnsi="宋体" w:eastAsia="宋体" w:cs="宋体"/>
          <w:color w:val="auto"/>
          <w:sz w:val="20"/>
          <w:szCs w:val="20"/>
          <w:highlight w:val="none"/>
        </w:rPr>
      </w:pPr>
      <w:r>
        <w:rPr>
          <w:rFonts w:ascii="宋体" w:hAnsi="宋体" w:eastAsia="宋体" w:cs="宋体"/>
          <w:b/>
          <w:bCs/>
          <w:color w:val="auto"/>
          <w:spacing w:val="5"/>
          <w:sz w:val="20"/>
          <w:szCs w:val="20"/>
          <w:highlight w:val="none"/>
        </w:rPr>
        <w:t>附件</w:t>
      </w:r>
      <w:r>
        <w:rPr>
          <w:rFonts w:hint="eastAsia" w:ascii="宋体" w:hAnsi="宋体" w:eastAsia="宋体" w:cs="宋体"/>
          <w:b/>
          <w:bCs/>
          <w:color w:val="auto"/>
          <w:spacing w:val="5"/>
          <w:sz w:val="20"/>
          <w:szCs w:val="20"/>
          <w:highlight w:val="none"/>
          <w:lang w:val="en-US" w:eastAsia="zh-CN"/>
        </w:rPr>
        <w:t>六</w:t>
      </w:r>
      <w:r>
        <w:rPr>
          <w:rFonts w:ascii="宋体" w:hAnsi="宋体" w:eastAsia="宋体" w:cs="宋体"/>
          <w:b/>
          <w:bCs/>
          <w:color w:val="auto"/>
          <w:spacing w:val="5"/>
          <w:sz w:val="20"/>
          <w:szCs w:val="20"/>
          <w:highlight w:val="none"/>
        </w:rPr>
        <w:t>：临时用地表</w:t>
      </w:r>
    </w:p>
    <w:p w14:paraId="155EE5AD">
      <w:pPr>
        <w:spacing w:before="25" w:line="228" w:lineRule="auto"/>
        <w:ind w:left="3990"/>
        <w:rPr>
          <w:rFonts w:ascii="宋体" w:hAnsi="宋体" w:eastAsia="宋体" w:cs="宋体"/>
          <w:color w:val="auto"/>
          <w:sz w:val="20"/>
          <w:szCs w:val="20"/>
          <w:highlight w:val="none"/>
        </w:rPr>
      </w:pPr>
      <w:r>
        <w:rPr>
          <w:rFonts w:ascii="宋体" w:hAnsi="宋体" w:eastAsia="宋体" w:cs="宋体"/>
          <w:b/>
          <w:bCs/>
          <w:color w:val="auto"/>
          <w:spacing w:val="4"/>
          <w:sz w:val="20"/>
          <w:szCs w:val="20"/>
          <w:highlight w:val="none"/>
        </w:rPr>
        <w:t>临时用地表</w:t>
      </w:r>
    </w:p>
    <w:p w14:paraId="7CBC8F50">
      <w:pPr>
        <w:spacing w:before="26"/>
        <w:rPr>
          <w:color w:val="auto"/>
          <w:highlight w:val="none"/>
        </w:rPr>
      </w:pPr>
    </w:p>
    <w:tbl>
      <w:tblPr>
        <w:tblStyle w:val="19"/>
        <w:tblW w:w="8356" w:type="dxa"/>
        <w:tblInd w:w="3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6"/>
        <w:gridCol w:w="2082"/>
        <w:gridCol w:w="2082"/>
        <w:gridCol w:w="2096"/>
      </w:tblGrid>
      <w:tr w14:paraId="45DC3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096" w:type="dxa"/>
            <w:vAlign w:val="top"/>
          </w:tcPr>
          <w:p w14:paraId="26309A36">
            <w:pPr>
              <w:pStyle w:val="20"/>
              <w:spacing w:before="180" w:line="230" w:lineRule="auto"/>
              <w:ind w:left="846"/>
              <w:rPr>
                <w:color w:val="auto"/>
                <w:highlight w:val="none"/>
              </w:rPr>
            </w:pPr>
            <w:r>
              <w:rPr>
                <w:color w:val="auto"/>
                <w:spacing w:val="3"/>
                <w:highlight w:val="none"/>
              </w:rPr>
              <w:t>用途</w:t>
            </w:r>
          </w:p>
        </w:tc>
        <w:tc>
          <w:tcPr>
            <w:tcW w:w="2082" w:type="dxa"/>
            <w:vAlign w:val="top"/>
          </w:tcPr>
          <w:p w14:paraId="1684D54F">
            <w:pPr>
              <w:pStyle w:val="20"/>
              <w:spacing w:before="165" w:line="263" w:lineRule="exact"/>
              <w:ind w:left="546"/>
              <w:rPr>
                <w:color w:val="auto"/>
                <w:highlight w:val="none"/>
              </w:rPr>
            </w:pPr>
            <w:r>
              <w:rPr>
                <w:color w:val="auto"/>
                <w:spacing w:val="5"/>
                <w:position w:val="1"/>
                <w:highlight w:val="none"/>
              </w:rPr>
              <w:t>面积（m</w:t>
            </w:r>
            <w:r>
              <w:rPr>
                <w:color w:val="auto"/>
                <w:spacing w:val="5"/>
                <w:position w:val="10"/>
                <w:sz w:val="10"/>
                <w:szCs w:val="10"/>
                <w:highlight w:val="none"/>
              </w:rPr>
              <w:t>2</w:t>
            </w:r>
            <w:r>
              <w:rPr>
                <w:color w:val="auto"/>
                <w:spacing w:val="5"/>
                <w:position w:val="1"/>
                <w:highlight w:val="none"/>
              </w:rPr>
              <w:t>）</w:t>
            </w:r>
          </w:p>
        </w:tc>
        <w:tc>
          <w:tcPr>
            <w:tcW w:w="2082" w:type="dxa"/>
            <w:vAlign w:val="top"/>
          </w:tcPr>
          <w:p w14:paraId="0310575E">
            <w:pPr>
              <w:pStyle w:val="20"/>
              <w:spacing w:before="180" w:line="230" w:lineRule="auto"/>
              <w:ind w:left="837"/>
              <w:rPr>
                <w:color w:val="auto"/>
                <w:highlight w:val="none"/>
              </w:rPr>
            </w:pPr>
            <w:r>
              <w:rPr>
                <w:color w:val="auto"/>
                <w:spacing w:val="4"/>
                <w:highlight w:val="none"/>
              </w:rPr>
              <w:t>位置</w:t>
            </w:r>
          </w:p>
        </w:tc>
        <w:tc>
          <w:tcPr>
            <w:tcW w:w="2096" w:type="dxa"/>
            <w:vAlign w:val="top"/>
          </w:tcPr>
          <w:p w14:paraId="0B1284A4">
            <w:pPr>
              <w:pStyle w:val="20"/>
              <w:spacing w:before="180" w:line="229" w:lineRule="auto"/>
              <w:ind w:left="642"/>
              <w:rPr>
                <w:color w:val="auto"/>
                <w:highlight w:val="none"/>
              </w:rPr>
            </w:pPr>
            <w:r>
              <w:rPr>
                <w:color w:val="auto"/>
                <w:spacing w:val="4"/>
                <w:highlight w:val="none"/>
              </w:rPr>
              <w:t>需用时间</w:t>
            </w:r>
          </w:p>
        </w:tc>
      </w:tr>
      <w:tr w14:paraId="193AE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2096" w:type="dxa"/>
            <w:vAlign w:val="top"/>
          </w:tcPr>
          <w:p w14:paraId="64F3AD3B">
            <w:pPr>
              <w:rPr>
                <w:rFonts w:ascii="Arial"/>
                <w:color w:val="auto"/>
                <w:sz w:val="21"/>
                <w:highlight w:val="none"/>
              </w:rPr>
            </w:pPr>
          </w:p>
        </w:tc>
        <w:tc>
          <w:tcPr>
            <w:tcW w:w="2082" w:type="dxa"/>
            <w:vAlign w:val="top"/>
          </w:tcPr>
          <w:p w14:paraId="331D9B8A">
            <w:pPr>
              <w:rPr>
                <w:rFonts w:ascii="Arial"/>
                <w:color w:val="auto"/>
                <w:sz w:val="21"/>
                <w:highlight w:val="none"/>
              </w:rPr>
            </w:pPr>
          </w:p>
        </w:tc>
        <w:tc>
          <w:tcPr>
            <w:tcW w:w="2082" w:type="dxa"/>
            <w:vAlign w:val="top"/>
          </w:tcPr>
          <w:p w14:paraId="5B13AE55">
            <w:pPr>
              <w:rPr>
                <w:rFonts w:ascii="Arial"/>
                <w:color w:val="auto"/>
                <w:sz w:val="21"/>
                <w:highlight w:val="none"/>
              </w:rPr>
            </w:pPr>
          </w:p>
        </w:tc>
        <w:tc>
          <w:tcPr>
            <w:tcW w:w="2096" w:type="dxa"/>
            <w:vAlign w:val="top"/>
          </w:tcPr>
          <w:p w14:paraId="1D300E33">
            <w:pPr>
              <w:rPr>
                <w:rFonts w:ascii="Arial"/>
                <w:color w:val="auto"/>
                <w:sz w:val="21"/>
                <w:highlight w:val="none"/>
              </w:rPr>
            </w:pPr>
          </w:p>
        </w:tc>
      </w:tr>
      <w:tr w14:paraId="744D5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2096" w:type="dxa"/>
            <w:vAlign w:val="top"/>
          </w:tcPr>
          <w:p w14:paraId="41FC9576">
            <w:pPr>
              <w:rPr>
                <w:rFonts w:ascii="Arial"/>
                <w:color w:val="auto"/>
                <w:sz w:val="21"/>
                <w:highlight w:val="none"/>
              </w:rPr>
            </w:pPr>
          </w:p>
        </w:tc>
        <w:tc>
          <w:tcPr>
            <w:tcW w:w="2082" w:type="dxa"/>
            <w:vAlign w:val="top"/>
          </w:tcPr>
          <w:p w14:paraId="6E0474A6">
            <w:pPr>
              <w:rPr>
                <w:rFonts w:ascii="Arial"/>
                <w:color w:val="auto"/>
                <w:sz w:val="21"/>
                <w:highlight w:val="none"/>
              </w:rPr>
            </w:pPr>
          </w:p>
        </w:tc>
        <w:tc>
          <w:tcPr>
            <w:tcW w:w="2082" w:type="dxa"/>
            <w:vAlign w:val="top"/>
          </w:tcPr>
          <w:p w14:paraId="29982AE3">
            <w:pPr>
              <w:rPr>
                <w:rFonts w:ascii="Arial"/>
                <w:color w:val="auto"/>
                <w:sz w:val="21"/>
                <w:highlight w:val="none"/>
              </w:rPr>
            </w:pPr>
          </w:p>
        </w:tc>
        <w:tc>
          <w:tcPr>
            <w:tcW w:w="2096" w:type="dxa"/>
            <w:vAlign w:val="top"/>
          </w:tcPr>
          <w:p w14:paraId="281E3C0C">
            <w:pPr>
              <w:rPr>
                <w:rFonts w:ascii="Arial"/>
                <w:color w:val="auto"/>
                <w:sz w:val="21"/>
                <w:highlight w:val="none"/>
              </w:rPr>
            </w:pPr>
          </w:p>
        </w:tc>
      </w:tr>
      <w:tr w14:paraId="7774D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096" w:type="dxa"/>
            <w:vAlign w:val="top"/>
          </w:tcPr>
          <w:p w14:paraId="45F2C7C9">
            <w:pPr>
              <w:rPr>
                <w:rFonts w:ascii="Arial"/>
                <w:color w:val="auto"/>
                <w:sz w:val="21"/>
                <w:highlight w:val="none"/>
              </w:rPr>
            </w:pPr>
          </w:p>
        </w:tc>
        <w:tc>
          <w:tcPr>
            <w:tcW w:w="2082" w:type="dxa"/>
            <w:vAlign w:val="top"/>
          </w:tcPr>
          <w:p w14:paraId="1AA7C820">
            <w:pPr>
              <w:rPr>
                <w:rFonts w:ascii="Arial"/>
                <w:color w:val="auto"/>
                <w:sz w:val="21"/>
                <w:highlight w:val="none"/>
              </w:rPr>
            </w:pPr>
          </w:p>
        </w:tc>
        <w:tc>
          <w:tcPr>
            <w:tcW w:w="2082" w:type="dxa"/>
            <w:vAlign w:val="top"/>
          </w:tcPr>
          <w:p w14:paraId="24598B80">
            <w:pPr>
              <w:rPr>
                <w:rFonts w:ascii="Arial"/>
                <w:color w:val="auto"/>
                <w:sz w:val="21"/>
                <w:highlight w:val="none"/>
              </w:rPr>
            </w:pPr>
          </w:p>
        </w:tc>
        <w:tc>
          <w:tcPr>
            <w:tcW w:w="2096" w:type="dxa"/>
            <w:vAlign w:val="top"/>
          </w:tcPr>
          <w:p w14:paraId="25458B46">
            <w:pPr>
              <w:rPr>
                <w:rFonts w:ascii="Arial"/>
                <w:color w:val="auto"/>
                <w:sz w:val="21"/>
                <w:highlight w:val="none"/>
              </w:rPr>
            </w:pPr>
          </w:p>
        </w:tc>
      </w:tr>
      <w:tr w14:paraId="0BBB4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096" w:type="dxa"/>
            <w:vAlign w:val="top"/>
          </w:tcPr>
          <w:p w14:paraId="18E7E5E1">
            <w:pPr>
              <w:rPr>
                <w:rFonts w:ascii="Arial"/>
                <w:color w:val="auto"/>
                <w:sz w:val="21"/>
                <w:highlight w:val="none"/>
              </w:rPr>
            </w:pPr>
          </w:p>
        </w:tc>
        <w:tc>
          <w:tcPr>
            <w:tcW w:w="2082" w:type="dxa"/>
            <w:vAlign w:val="top"/>
          </w:tcPr>
          <w:p w14:paraId="41DBBEF1">
            <w:pPr>
              <w:rPr>
                <w:rFonts w:ascii="Arial"/>
                <w:color w:val="auto"/>
                <w:sz w:val="21"/>
                <w:highlight w:val="none"/>
              </w:rPr>
            </w:pPr>
          </w:p>
        </w:tc>
        <w:tc>
          <w:tcPr>
            <w:tcW w:w="2082" w:type="dxa"/>
            <w:vAlign w:val="top"/>
          </w:tcPr>
          <w:p w14:paraId="3796C954">
            <w:pPr>
              <w:rPr>
                <w:rFonts w:ascii="Arial"/>
                <w:color w:val="auto"/>
                <w:sz w:val="21"/>
                <w:highlight w:val="none"/>
              </w:rPr>
            </w:pPr>
          </w:p>
        </w:tc>
        <w:tc>
          <w:tcPr>
            <w:tcW w:w="2096" w:type="dxa"/>
            <w:vAlign w:val="top"/>
          </w:tcPr>
          <w:p w14:paraId="436CC6C8">
            <w:pPr>
              <w:rPr>
                <w:rFonts w:ascii="Arial"/>
                <w:color w:val="auto"/>
                <w:sz w:val="21"/>
                <w:highlight w:val="none"/>
              </w:rPr>
            </w:pPr>
          </w:p>
        </w:tc>
      </w:tr>
      <w:tr w14:paraId="025DF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096" w:type="dxa"/>
            <w:vAlign w:val="top"/>
          </w:tcPr>
          <w:p w14:paraId="44E53A8D">
            <w:pPr>
              <w:rPr>
                <w:rFonts w:ascii="Arial"/>
                <w:color w:val="auto"/>
                <w:sz w:val="21"/>
                <w:highlight w:val="none"/>
              </w:rPr>
            </w:pPr>
          </w:p>
        </w:tc>
        <w:tc>
          <w:tcPr>
            <w:tcW w:w="2082" w:type="dxa"/>
            <w:vAlign w:val="top"/>
          </w:tcPr>
          <w:p w14:paraId="2B8EA036">
            <w:pPr>
              <w:rPr>
                <w:rFonts w:ascii="Arial"/>
                <w:color w:val="auto"/>
                <w:sz w:val="21"/>
                <w:highlight w:val="none"/>
              </w:rPr>
            </w:pPr>
          </w:p>
        </w:tc>
        <w:tc>
          <w:tcPr>
            <w:tcW w:w="2082" w:type="dxa"/>
            <w:vAlign w:val="top"/>
          </w:tcPr>
          <w:p w14:paraId="18F072AB">
            <w:pPr>
              <w:rPr>
                <w:rFonts w:ascii="Arial"/>
                <w:color w:val="auto"/>
                <w:sz w:val="21"/>
                <w:highlight w:val="none"/>
              </w:rPr>
            </w:pPr>
          </w:p>
        </w:tc>
        <w:tc>
          <w:tcPr>
            <w:tcW w:w="2096" w:type="dxa"/>
            <w:vAlign w:val="top"/>
          </w:tcPr>
          <w:p w14:paraId="097AA8E2">
            <w:pPr>
              <w:rPr>
                <w:rFonts w:ascii="Arial"/>
                <w:color w:val="auto"/>
                <w:sz w:val="21"/>
                <w:highlight w:val="none"/>
              </w:rPr>
            </w:pPr>
          </w:p>
        </w:tc>
      </w:tr>
      <w:tr w14:paraId="2D3B5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2096" w:type="dxa"/>
            <w:vAlign w:val="top"/>
          </w:tcPr>
          <w:p w14:paraId="7D7204A3">
            <w:pPr>
              <w:rPr>
                <w:rFonts w:ascii="Arial"/>
                <w:color w:val="auto"/>
                <w:sz w:val="21"/>
                <w:highlight w:val="none"/>
              </w:rPr>
            </w:pPr>
          </w:p>
        </w:tc>
        <w:tc>
          <w:tcPr>
            <w:tcW w:w="2082" w:type="dxa"/>
            <w:vAlign w:val="top"/>
          </w:tcPr>
          <w:p w14:paraId="153FDC33">
            <w:pPr>
              <w:rPr>
                <w:rFonts w:ascii="Arial"/>
                <w:color w:val="auto"/>
                <w:sz w:val="21"/>
                <w:highlight w:val="none"/>
              </w:rPr>
            </w:pPr>
          </w:p>
        </w:tc>
        <w:tc>
          <w:tcPr>
            <w:tcW w:w="2082" w:type="dxa"/>
            <w:vAlign w:val="top"/>
          </w:tcPr>
          <w:p w14:paraId="3E4BB10B">
            <w:pPr>
              <w:rPr>
                <w:rFonts w:ascii="Arial"/>
                <w:color w:val="auto"/>
                <w:sz w:val="21"/>
                <w:highlight w:val="none"/>
              </w:rPr>
            </w:pPr>
          </w:p>
        </w:tc>
        <w:tc>
          <w:tcPr>
            <w:tcW w:w="2096" w:type="dxa"/>
            <w:vAlign w:val="top"/>
          </w:tcPr>
          <w:p w14:paraId="152D19C2">
            <w:pPr>
              <w:rPr>
                <w:rFonts w:ascii="Arial"/>
                <w:color w:val="auto"/>
                <w:sz w:val="21"/>
                <w:highlight w:val="none"/>
              </w:rPr>
            </w:pPr>
          </w:p>
        </w:tc>
      </w:tr>
      <w:tr w14:paraId="48F77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096" w:type="dxa"/>
            <w:vAlign w:val="top"/>
          </w:tcPr>
          <w:p w14:paraId="41659E11">
            <w:pPr>
              <w:rPr>
                <w:rFonts w:ascii="Arial"/>
                <w:color w:val="auto"/>
                <w:sz w:val="21"/>
                <w:highlight w:val="none"/>
              </w:rPr>
            </w:pPr>
          </w:p>
        </w:tc>
        <w:tc>
          <w:tcPr>
            <w:tcW w:w="2082" w:type="dxa"/>
            <w:vAlign w:val="top"/>
          </w:tcPr>
          <w:p w14:paraId="6E214942">
            <w:pPr>
              <w:rPr>
                <w:rFonts w:ascii="Arial"/>
                <w:color w:val="auto"/>
                <w:sz w:val="21"/>
                <w:highlight w:val="none"/>
              </w:rPr>
            </w:pPr>
          </w:p>
        </w:tc>
        <w:tc>
          <w:tcPr>
            <w:tcW w:w="2082" w:type="dxa"/>
            <w:vAlign w:val="top"/>
          </w:tcPr>
          <w:p w14:paraId="3A0F9B2E">
            <w:pPr>
              <w:rPr>
                <w:rFonts w:ascii="Arial"/>
                <w:color w:val="auto"/>
                <w:sz w:val="21"/>
                <w:highlight w:val="none"/>
              </w:rPr>
            </w:pPr>
          </w:p>
        </w:tc>
        <w:tc>
          <w:tcPr>
            <w:tcW w:w="2096" w:type="dxa"/>
            <w:vAlign w:val="top"/>
          </w:tcPr>
          <w:p w14:paraId="32B8E40B">
            <w:pPr>
              <w:rPr>
                <w:rFonts w:ascii="Arial"/>
                <w:color w:val="auto"/>
                <w:sz w:val="21"/>
                <w:highlight w:val="none"/>
              </w:rPr>
            </w:pPr>
          </w:p>
        </w:tc>
      </w:tr>
      <w:tr w14:paraId="2ED92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096" w:type="dxa"/>
            <w:vAlign w:val="top"/>
          </w:tcPr>
          <w:p w14:paraId="42D0D5B4">
            <w:pPr>
              <w:rPr>
                <w:rFonts w:ascii="Arial"/>
                <w:color w:val="auto"/>
                <w:sz w:val="21"/>
                <w:highlight w:val="none"/>
              </w:rPr>
            </w:pPr>
          </w:p>
        </w:tc>
        <w:tc>
          <w:tcPr>
            <w:tcW w:w="2082" w:type="dxa"/>
            <w:vAlign w:val="top"/>
          </w:tcPr>
          <w:p w14:paraId="0C8C8265">
            <w:pPr>
              <w:rPr>
                <w:rFonts w:ascii="Arial"/>
                <w:color w:val="auto"/>
                <w:sz w:val="21"/>
                <w:highlight w:val="none"/>
              </w:rPr>
            </w:pPr>
          </w:p>
        </w:tc>
        <w:tc>
          <w:tcPr>
            <w:tcW w:w="2082" w:type="dxa"/>
            <w:vAlign w:val="top"/>
          </w:tcPr>
          <w:p w14:paraId="5D3A048F">
            <w:pPr>
              <w:rPr>
                <w:rFonts w:ascii="Arial"/>
                <w:color w:val="auto"/>
                <w:sz w:val="21"/>
                <w:highlight w:val="none"/>
              </w:rPr>
            </w:pPr>
          </w:p>
        </w:tc>
        <w:tc>
          <w:tcPr>
            <w:tcW w:w="2096" w:type="dxa"/>
            <w:vAlign w:val="top"/>
          </w:tcPr>
          <w:p w14:paraId="7DEF3F31">
            <w:pPr>
              <w:rPr>
                <w:rFonts w:ascii="Arial"/>
                <w:color w:val="auto"/>
                <w:sz w:val="21"/>
                <w:highlight w:val="none"/>
              </w:rPr>
            </w:pPr>
          </w:p>
        </w:tc>
      </w:tr>
      <w:tr w14:paraId="39C77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096" w:type="dxa"/>
            <w:vAlign w:val="top"/>
          </w:tcPr>
          <w:p w14:paraId="6B2A418B">
            <w:pPr>
              <w:rPr>
                <w:rFonts w:ascii="Arial"/>
                <w:color w:val="auto"/>
                <w:sz w:val="21"/>
                <w:highlight w:val="none"/>
              </w:rPr>
            </w:pPr>
          </w:p>
        </w:tc>
        <w:tc>
          <w:tcPr>
            <w:tcW w:w="2082" w:type="dxa"/>
            <w:vAlign w:val="top"/>
          </w:tcPr>
          <w:p w14:paraId="66658463">
            <w:pPr>
              <w:rPr>
                <w:rFonts w:ascii="Arial"/>
                <w:color w:val="auto"/>
                <w:sz w:val="21"/>
                <w:highlight w:val="none"/>
              </w:rPr>
            </w:pPr>
          </w:p>
        </w:tc>
        <w:tc>
          <w:tcPr>
            <w:tcW w:w="2082" w:type="dxa"/>
            <w:vAlign w:val="top"/>
          </w:tcPr>
          <w:p w14:paraId="608B12B6">
            <w:pPr>
              <w:rPr>
                <w:rFonts w:ascii="Arial"/>
                <w:color w:val="auto"/>
                <w:sz w:val="21"/>
                <w:highlight w:val="none"/>
              </w:rPr>
            </w:pPr>
          </w:p>
        </w:tc>
        <w:tc>
          <w:tcPr>
            <w:tcW w:w="2096" w:type="dxa"/>
            <w:vAlign w:val="top"/>
          </w:tcPr>
          <w:p w14:paraId="12C516A4">
            <w:pPr>
              <w:rPr>
                <w:rFonts w:ascii="Arial"/>
                <w:color w:val="auto"/>
                <w:sz w:val="21"/>
                <w:highlight w:val="none"/>
              </w:rPr>
            </w:pPr>
          </w:p>
        </w:tc>
      </w:tr>
    </w:tbl>
    <w:p w14:paraId="65116DF6">
      <w:pPr>
        <w:pStyle w:val="6"/>
        <w:spacing w:line="295" w:lineRule="auto"/>
        <w:rPr>
          <w:color w:val="auto"/>
          <w:highlight w:val="none"/>
        </w:rPr>
      </w:pPr>
    </w:p>
    <w:p w14:paraId="542AC87D">
      <w:pPr>
        <w:pStyle w:val="6"/>
        <w:spacing w:line="295" w:lineRule="auto"/>
        <w:rPr>
          <w:color w:val="auto"/>
          <w:highlight w:val="none"/>
        </w:rPr>
      </w:pPr>
    </w:p>
    <w:p w14:paraId="00D8F6EE">
      <w:pPr>
        <w:pStyle w:val="6"/>
        <w:spacing w:line="295" w:lineRule="auto"/>
        <w:rPr>
          <w:color w:val="auto"/>
          <w:highlight w:val="none"/>
        </w:rPr>
      </w:pPr>
    </w:p>
    <w:p w14:paraId="1198D1DF">
      <w:pPr>
        <w:spacing w:before="79" w:line="219" w:lineRule="auto"/>
        <w:ind w:left="409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供应商名称（电子签章</w:t>
      </w:r>
      <w:r>
        <w:rPr>
          <w:rFonts w:ascii="宋体" w:hAnsi="宋体" w:eastAsia="宋体" w:cs="宋体"/>
          <w:color w:val="auto"/>
          <w:sz w:val="24"/>
          <w:szCs w:val="24"/>
          <w:highlight w:val="none"/>
        </w:rPr>
        <w:t>）：</w:t>
      </w:r>
    </w:p>
    <w:p w14:paraId="66059405">
      <w:pPr>
        <w:spacing w:before="183" w:line="220" w:lineRule="auto"/>
        <w:ind w:left="6339"/>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8"/>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25"/>
          <w:sz w:val="24"/>
          <w:szCs w:val="24"/>
          <w:highlight w:val="none"/>
        </w:rPr>
        <w:t xml:space="preserve">  </w:t>
      </w:r>
      <w:r>
        <w:rPr>
          <w:rFonts w:ascii="宋体" w:hAnsi="宋体" w:eastAsia="宋体" w:cs="宋体"/>
          <w:color w:val="auto"/>
          <w:spacing w:val="-13"/>
          <w:sz w:val="24"/>
          <w:szCs w:val="24"/>
          <w:highlight w:val="none"/>
        </w:rPr>
        <w:t>日</w:t>
      </w:r>
    </w:p>
    <w:p w14:paraId="2AF4835C">
      <w:pPr>
        <w:spacing w:line="220" w:lineRule="auto"/>
        <w:rPr>
          <w:rFonts w:ascii="宋体" w:hAnsi="宋体" w:eastAsia="宋体" w:cs="宋体"/>
          <w:color w:val="auto"/>
          <w:sz w:val="24"/>
          <w:szCs w:val="24"/>
          <w:highlight w:val="none"/>
        </w:rPr>
        <w:sectPr>
          <w:footerReference r:id="rId62" w:type="default"/>
          <w:pgSz w:w="11907" w:h="16840"/>
          <w:pgMar w:top="400" w:right="1419" w:bottom="1040" w:left="1484" w:header="0" w:footer="804" w:gutter="0"/>
          <w:pgNumType w:fmt="decimal"/>
          <w:cols w:space="720" w:num="1"/>
        </w:sectPr>
      </w:pPr>
    </w:p>
    <w:p w14:paraId="2E50ECD4">
      <w:pPr>
        <w:pStyle w:val="6"/>
        <w:spacing w:line="338" w:lineRule="auto"/>
        <w:rPr>
          <w:color w:val="auto"/>
          <w:highlight w:val="none"/>
        </w:rPr>
      </w:pPr>
    </w:p>
    <w:p w14:paraId="17E9FE02">
      <w:pPr>
        <w:pStyle w:val="6"/>
        <w:spacing w:line="339" w:lineRule="auto"/>
        <w:rPr>
          <w:color w:val="auto"/>
          <w:highlight w:val="none"/>
        </w:rPr>
      </w:pPr>
    </w:p>
    <w:p w14:paraId="08EFD909">
      <w:pPr>
        <w:spacing w:before="97" w:line="219" w:lineRule="auto"/>
        <w:ind w:left="43"/>
        <w:rPr>
          <w:rFonts w:ascii="宋体" w:hAnsi="宋体" w:eastAsia="宋体" w:cs="宋体"/>
          <w:color w:val="auto"/>
          <w:sz w:val="30"/>
          <w:szCs w:val="30"/>
          <w:highlight w:val="none"/>
        </w:rPr>
      </w:pPr>
      <w:r>
        <w:rPr>
          <w:rFonts w:ascii="宋体" w:hAnsi="宋体" w:eastAsia="宋体" w:cs="宋体"/>
          <w:b/>
          <w:bCs/>
          <w:color w:val="auto"/>
          <w:spacing w:val="-5"/>
          <w:sz w:val="30"/>
          <w:szCs w:val="30"/>
          <w:highlight w:val="none"/>
        </w:rPr>
        <w:t>九、项目管理机构</w:t>
      </w:r>
    </w:p>
    <w:p w14:paraId="1291F71E">
      <w:pPr>
        <w:spacing w:before="227" w:line="219" w:lineRule="auto"/>
        <w:ind w:left="2607"/>
        <w:rPr>
          <w:rFonts w:ascii="宋体" w:hAnsi="宋体" w:eastAsia="宋体" w:cs="宋体"/>
          <w:color w:val="auto"/>
          <w:sz w:val="30"/>
          <w:szCs w:val="30"/>
          <w:highlight w:val="none"/>
        </w:rPr>
      </w:pPr>
      <w:r>
        <w:rPr>
          <w:rFonts w:ascii="宋体" w:hAnsi="宋体" w:eastAsia="宋体" w:cs="宋体"/>
          <w:b/>
          <w:bCs/>
          <w:color w:val="auto"/>
          <w:spacing w:val="-5"/>
          <w:sz w:val="30"/>
          <w:szCs w:val="30"/>
          <w:highlight w:val="none"/>
        </w:rPr>
        <w:t>1.项目经理（注册建造师）简历表</w:t>
      </w:r>
    </w:p>
    <w:p w14:paraId="201B374E">
      <w:pPr>
        <w:spacing w:before="68"/>
        <w:rPr>
          <w:color w:val="auto"/>
          <w:highlight w:val="none"/>
        </w:rPr>
      </w:pPr>
    </w:p>
    <w:p w14:paraId="15237793">
      <w:pPr>
        <w:spacing w:before="67"/>
        <w:rPr>
          <w:color w:val="auto"/>
          <w:sz w:val="20"/>
          <w:szCs w:val="20"/>
          <w:highlight w:val="none"/>
        </w:rPr>
      </w:pPr>
    </w:p>
    <w:tbl>
      <w:tblPr>
        <w:tblStyle w:val="19"/>
        <w:tblW w:w="91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1"/>
        <w:gridCol w:w="464"/>
        <w:gridCol w:w="1547"/>
        <w:gridCol w:w="328"/>
        <w:gridCol w:w="1218"/>
        <w:gridCol w:w="674"/>
        <w:gridCol w:w="873"/>
        <w:gridCol w:w="711"/>
        <w:gridCol w:w="835"/>
        <w:gridCol w:w="272"/>
        <w:gridCol w:w="1280"/>
      </w:tblGrid>
      <w:tr w14:paraId="177D8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41" w:type="dxa"/>
            <w:vAlign w:val="top"/>
          </w:tcPr>
          <w:p w14:paraId="16C6AC16">
            <w:pPr>
              <w:pStyle w:val="20"/>
              <w:spacing w:before="105" w:line="220" w:lineRule="auto"/>
              <w:ind w:left="237"/>
              <w:rPr>
                <w:color w:val="auto"/>
                <w:sz w:val="20"/>
                <w:szCs w:val="20"/>
                <w:highlight w:val="none"/>
              </w:rPr>
            </w:pPr>
            <w:r>
              <w:rPr>
                <w:color w:val="auto"/>
                <w:spacing w:val="-5"/>
                <w:sz w:val="20"/>
                <w:szCs w:val="20"/>
                <w:highlight w:val="none"/>
              </w:rPr>
              <w:t>姓名</w:t>
            </w:r>
          </w:p>
        </w:tc>
        <w:tc>
          <w:tcPr>
            <w:tcW w:w="2339" w:type="dxa"/>
            <w:gridSpan w:val="3"/>
            <w:vAlign w:val="top"/>
          </w:tcPr>
          <w:p w14:paraId="3271A854">
            <w:pPr>
              <w:rPr>
                <w:rFonts w:ascii="Arial"/>
                <w:color w:val="auto"/>
                <w:sz w:val="20"/>
                <w:szCs w:val="20"/>
                <w:highlight w:val="none"/>
              </w:rPr>
            </w:pPr>
          </w:p>
        </w:tc>
        <w:tc>
          <w:tcPr>
            <w:tcW w:w="1892" w:type="dxa"/>
            <w:gridSpan w:val="2"/>
            <w:vAlign w:val="top"/>
          </w:tcPr>
          <w:p w14:paraId="7C22B756">
            <w:pPr>
              <w:pStyle w:val="20"/>
              <w:spacing w:before="105" w:line="221" w:lineRule="auto"/>
              <w:ind w:left="711"/>
              <w:rPr>
                <w:color w:val="auto"/>
                <w:sz w:val="20"/>
                <w:szCs w:val="20"/>
                <w:highlight w:val="none"/>
              </w:rPr>
            </w:pPr>
            <w:r>
              <w:rPr>
                <w:color w:val="auto"/>
                <w:spacing w:val="-5"/>
                <w:sz w:val="20"/>
                <w:szCs w:val="20"/>
                <w:highlight w:val="none"/>
              </w:rPr>
              <w:t>性别</w:t>
            </w:r>
          </w:p>
        </w:tc>
        <w:tc>
          <w:tcPr>
            <w:tcW w:w="1584" w:type="dxa"/>
            <w:gridSpan w:val="2"/>
            <w:vAlign w:val="top"/>
          </w:tcPr>
          <w:p w14:paraId="7CE5A672">
            <w:pPr>
              <w:rPr>
                <w:rFonts w:ascii="Arial"/>
                <w:color w:val="auto"/>
                <w:sz w:val="20"/>
                <w:szCs w:val="20"/>
                <w:highlight w:val="none"/>
              </w:rPr>
            </w:pPr>
          </w:p>
        </w:tc>
        <w:tc>
          <w:tcPr>
            <w:tcW w:w="1107" w:type="dxa"/>
            <w:gridSpan w:val="2"/>
            <w:vAlign w:val="top"/>
          </w:tcPr>
          <w:p w14:paraId="725C388F">
            <w:pPr>
              <w:pStyle w:val="20"/>
              <w:spacing w:before="105" w:line="220" w:lineRule="auto"/>
              <w:ind w:left="322"/>
              <w:rPr>
                <w:color w:val="auto"/>
                <w:sz w:val="20"/>
                <w:szCs w:val="20"/>
                <w:highlight w:val="none"/>
              </w:rPr>
            </w:pPr>
            <w:r>
              <w:rPr>
                <w:color w:val="auto"/>
                <w:spacing w:val="-6"/>
                <w:sz w:val="20"/>
                <w:szCs w:val="20"/>
                <w:highlight w:val="none"/>
              </w:rPr>
              <w:t>年龄</w:t>
            </w:r>
          </w:p>
        </w:tc>
        <w:tc>
          <w:tcPr>
            <w:tcW w:w="1280" w:type="dxa"/>
            <w:vAlign w:val="top"/>
          </w:tcPr>
          <w:p w14:paraId="0A76104D">
            <w:pPr>
              <w:rPr>
                <w:rFonts w:ascii="Arial"/>
                <w:color w:val="auto"/>
                <w:sz w:val="20"/>
                <w:szCs w:val="20"/>
                <w:highlight w:val="none"/>
              </w:rPr>
            </w:pPr>
          </w:p>
        </w:tc>
      </w:tr>
      <w:tr w14:paraId="0689E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941" w:type="dxa"/>
            <w:vAlign w:val="top"/>
          </w:tcPr>
          <w:p w14:paraId="0AE2224E">
            <w:pPr>
              <w:pStyle w:val="20"/>
              <w:spacing w:before="192" w:line="220" w:lineRule="auto"/>
              <w:ind w:left="238"/>
              <w:rPr>
                <w:color w:val="auto"/>
                <w:sz w:val="20"/>
                <w:szCs w:val="20"/>
                <w:highlight w:val="none"/>
              </w:rPr>
            </w:pPr>
            <w:r>
              <w:rPr>
                <w:color w:val="auto"/>
                <w:spacing w:val="-6"/>
                <w:sz w:val="20"/>
                <w:szCs w:val="20"/>
                <w:highlight w:val="none"/>
              </w:rPr>
              <w:t>职务</w:t>
            </w:r>
          </w:p>
        </w:tc>
        <w:tc>
          <w:tcPr>
            <w:tcW w:w="2339" w:type="dxa"/>
            <w:gridSpan w:val="3"/>
            <w:vAlign w:val="top"/>
          </w:tcPr>
          <w:p w14:paraId="36323DD1">
            <w:pPr>
              <w:rPr>
                <w:rFonts w:ascii="Arial"/>
                <w:color w:val="auto"/>
                <w:sz w:val="20"/>
                <w:szCs w:val="20"/>
                <w:highlight w:val="none"/>
              </w:rPr>
            </w:pPr>
          </w:p>
        </w:tc>
        <w:tc>
          <w:tcPr>
            <w:tcW w:w="1892" w:type="dxa"/>
            <w:gridSpan w:val="2"/>
            <w:vAlign w:val="top"/>
          </w:tcPr>
          <w:p w14:paraId="52D794F1">
            <w:pPr>
              <w:pStyle w:val="20"/>
              <w:spacing w:before="192" w:line="222" w:lineRule="auto"/>
              <w:ind w:left="712"/>
              <w:rPr>
                <w:color w:val="auto"/>
                <w:sz w:val="20"/>
                <w:szCs w:val="20"/>
                <w:highlight w:val="none"/>
              </w:rPr>
            </w:pPr>
            <w:r>
              <w:rPr>
                <w:color w:val="auto"/>
                <w:spacing w:val="-6"/>
                <w:sz w:val="20"/>
                <w:szCs w:val="20"/>
                <w:highlight w:val="none"/>
              </w:rPr>
              <w:t>职称</w:t>
            </w:r>
          </w:p>
        </w:tc>
        <w:tc>
          <w:tcPr>
            <w:tcW w:w="1584" w:type="dxa"/>
            <w:gridSpan w:val="2"/>
            <w:vAlign w:val="top"/>
          </w:tcPr>
          <w:p w14:paraId="240E9D9F">
            <w:pPr>
              <w:rPr>
                <w:rFonts w:ascii="Arial"/>
                <w:color w:val="auto"/>
                <w:sz w:val="20"/>
                <w:szCs w:val="20"/>
                <w:highlight w:val="none"/>
              </w:rPr>
            </w:pPr>
          </w:p>
        </w:tc>
        <w:tc>
          <w:tcPr>
            <w:tcW w:w="1107" w:type="dxa"/>
            <w:gridSpan w:val="2"/>
            <w:vAlign w:val="top"/>
          </w:tcPr>
          <w:p w14:paraId="08F0C8BA">
            <w:pPr>
              <w:pStyle w:val="20"/>
              <w:spacing w:before="191" w:line="222" w:lineRule="auto"/>
              <w:ind w:left="326"/>
              <w:rPr>
                <w:color w:val="auto"/>
                <w:sz w:val="20"/>
                <w:szCs w:val="20"/>
                <w:highlight w:val="none"/>
              </w:rPr>
            </w:pPr>
            <w:r>
              <w:rPr>
                <w:color w:val="auto"/>
                <w:spacing w:val="-8"/>
                <w:sz w:val="20"/>
                <w:szCs w:val="20"/>
                <w:highlight w:val="none"/>
              </w:rPr>
              <w:t>学历</w:t>
            </w:r>
          </w:p>
        </w:tc>
        <w:tc>
          <w:tcPr>
            <w:tcW w:w="1280" w:type="dxa"/>
            <w:vAlign w:val="top"/>
          </w:tcPr>
          <w:p w14:paraId="3CBA97A9">
            <w:pPr>
              <w:rPr>
                <w:rFonts w:ascii="Arial"/>
                <w:color w:val="auto"/>
                <w:sz w:val="20"/>
                <w:szCs w:val="20"/>
                <w:highlight w:val="none"/>
              </w:rPr>
            </w:pPr>
          </w:p>
        </w:tc>
      </w:tr>
      <w:tr w14:paraId="0B19A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280" w:type="dxa"/>
            <w:gridSpan w:val="4"/>
            <w:vAlign w:val="top"/>
          </w:tcPr>
          <w:p w14:paraId="3C497DF4">
            <w:pPr>
              <w:pStyle w:val="20"/>
              <w:spacing w:before="181" w:line="221" w:lineRule="auto"/>
              <w:ind w:left="928"/>
              <w:rPr>
                <w:color w:val="auto"/>
                <w:sz w:val="20"/>
                <w:szCs w:val="20"/>
                <w:highlight w:val="none"/>
              </w:rPr>
            </w:pPr>
            <w:r>
              <w:rPr>
                <w:color w:val="auto"/>
                <w:spacing w:val="-2"/>
                <w:sz w:val="20"/>
                <w:szCs w:val="20"/>
                <w:highlight w:val="none"/>
              </w:rPr>
              <w:t>参加工作时间</w:t>
            </w:r>
          </w:p>
        </w:tc>
        <w:tc>
          <w:tcPr>
            <w:tcW w:w="1892" w:type="dxa"/>
            <w:gridSpan w:val="2"/>
            <w:vAlign w:val="top"/>
          </w:tcPr>
          <w:p w14:paraId="548AB782">
            <w:pPr>
              <w:rPr>
                <w:rFonts w:ascii="Arial"/>
                <w:color w:val="auto"/>
                <w:sz w:val="20"/>
                <w:szCs w:val="20"/>
                <w:highlight w:val="none"/>
              </w:rPr>
            </w:pPr>
          </w:p>
        </w:tc>
        <w:tc>
          <w:tcPr>
            <w:tcW w:w="2691" w:type="dxa"/>
            <w:gridSpan w:val="4"/>
            <w:vAlign w:val="top"/>
          </w:tcPr>
          <w:p w14:paraId="75EC18CD">
            <w:pPr>
              <w:pStyle w:val="20"/>
              <w:spacing w:before="182" w:line="220" w:lineRule="auto"/>
              <w:ind w:left="394"/>
              <w:rPr>
                <w:color w:val="auto"/>
                <w:sz w:val="20"/>
                <w:szCs w:val="20"/>
                <w:highlight w:val="none"/>
              </w:rPr>
            </w:pPr>
            <w:r>
              <w:rPr>
                <w:color w:val="auto"/>
                <w:spacing w:val="-2"/>
                <w:sz w:val="20"/>
                <w:szCs w:val="20"/>
                <w:highlight w:val="none"/>
              </w:rPr>
              <w:t>担任项目经理年限</w:t>
            </w:r>
          </w:p>
        </w:tc>
        <w:tc>
          <w:tcPr>
            <w:tcW w:w="1280" w:type="dxa"/>
            <w:vAlign w:val="top"/>
          </w:tcPr>
          <w:p w14:paraId="4EC7F4BD">
            <w:pPr>
              <w:rPr>
                <w:rFonts w:ascii="Arial"/>
                <w:color w:val="auto"/>
                <w:sz w:val="20"/>
                <w:szCs w:val="20"/>
                <w:highlight w:val="none"/>
              </w:rPr>
            </w:pPr>
          </w:p>
        </w:tc>
      </w:tr>
      <w:tr w14:paraId="6F1BC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280" w:type="dxa"/>
            <w:gridSpan w:val="4"/>
            <w:vAlign w:val="top"/>
          </w:tcPr>
          <w:p w14:paraId="1FD4AF01">
            <w:pPr>
              <w:pStyle w:val="20"/>
              <w:spacing w:before="117" w:line="220" w:lineRule="auto"/>
              <w:ind w:left="809"/>
              <w:rPr>
                <w:color w:val="auto"/>
                <w:sz w:val="20"/>
                <w:szCs w:val="20"/>
                <w:highlight w:val="none"/>
              </w:rPr>
            </w:pPr>
            <w:r>
              <w:rPr>
                <w:color w:val="auto"/>
                <w:spacing w:val="-2"/>
                <w:sz w:val="20"/>
                <w:szCs w:val="20"/>
                <w:highlight w:val="none"/>
              </w:rPr>
              <w:t>建造师注册编号</w:t>
            </w:r>
          </w:p>
        </w:tc>
        <w:tc>
          <w:tcPr>
            <w:tcW w:w="5863" w:type="dxa"/>
            <w:gridSpan w:val="7"/>
            <w:vAlign w:val="top"/>
          </w:tcPr>
          <w:p w14:paraId="3C3BD5A0">
            <w:pPr>
              <w:rPr>
                <w:rFonts w:ascii="Arial"/>
                <w:color w:val="auto"/>
                <w:sz w:val="20"/>
                <w:szCs w:val="20"/>
                <w:highlight w:val="none"/>
              </w:rPr>
            </w:pPr>
          </w:p>
        </w:tc>
      </w:tr>
      <w:tr w14:paraId="609AA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143" w:type="dxa"/>
            <w:gridSpan w:val="11"/>
            <w:vAlign w:val="top"/>
          </w:tcPr>
          <w:p w14:paraId="511313E6">
            <w:pPr>
              <w:pStyle w:val="20"/>
              <w:spacing w:before="191" w:line="220" w:lineRule="auto"/>
              <w:ind w:left="3258"/>
              <w:rPr>
                <w:color w:val="auto"/>
                <w:sz w:val="20"/>
                <w:szCs w:val="20"/>
                <w:highlight w:val="none"/>
              </w:rPr>
            </w:pPr>
            <w:r>
              <w:rPr>
                <w:color w:val="auto"/>
                <w:spacing w:val="-1"/>
                <w:sz w:val="20"/>
                <w:szCs w:val="20"/>
                <w:highlight w:val="none"/>
              </w:rPr>
              <w:t>在建和已完工程项目情况</w:t>
            </w:r>
          </w:p>
        </w:tc>
      </w:tr>
      <w:tr w14:paraId="65F83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405" w:type="dxa"/>
            <w:gridSpan w:val="2"/>
            <w:vAlign w:val="top"/>
          </w:tcPr>
          <w:p w14:paraId="3A3E0952">
            <w:pPr>
              <w:pStyle w:val="20"/>
              <w:spacing w:before="184" w:line="221" w:lineRule="auto"/>
              <w:ind w:left="230"/>
              <w:rPr>
                <w:color w:val="auto"/>
                <w:sz w:val="20"/>
                <w:szCs w:val="20"/>
                <w:highlight w:val="none"/>
              </w:rPr>
            </w:pPr>
            <w:r>
              <w:rPr>
                <w:color w:val="auto"/>
                <w:spacing w:val="-4"/>
                <w:sz w:val="20"/>
                <w:szCs w:val="20"/>
                <w:highlight w:val="none"/>
              </w:rPr>
              <w:t>建设单位</w:t>
            </w:r>
          </w:p>
        </w:tc>
        <w:tc>
          <w:tcPr>
            <w:tcW w:w="1547" w:type="dxa"/>
            <w:vAlign w:val="top"/>
          </w:tcPr>
          <w:p w14:paraId="22EE4AA7">
            <w:pPr>
              <w:pStyle w:val="20"/>
              <w:spacing w:before="184" w:line="221" w:lineRule="auto"/>
              <w:ind w:left="302"/>
              <w:rPr>
                <w:color w:val="auto"/>
                <w:sz w:val="20"/>
                <w:szCs w:val="20"/>
                <w:highlight w:val="none"/>
              </w:rPr>
            </w:pPr>
            <w:r>
              <w:rPr>
                <w:color w:val="auto"/>
                <w:spacing w:val="-4"/>
                <w:sz w:val="20"/>
                <w:szCs w:val="20"/>
                <w:highlight w:val="none"/>
              </w:rPr>
              <w:t>项目名称</w:t>
            </w:r>
          </w:p>
        </w:tc>
        <w:tc>
          <w:tcPr>
            <w:tcW w:w="1546" w:type="dxa"/>
            <w:gridSpan w:val="2"/>
            <w:vAlign w:val="top"/>
          </w:tcPr>
          <w:p w14:paraId="5C25E35E">
            <w:pPr>
              <w:pStyle w:val="20"/>
              <w:spacing w:before="184" w:line="220" w:lineRule="auto"/>
              <w:ind w:left="302"/>
              <w:rPr>
                <w:color w:val="auto"/>
                <w:sz w:val="20"/>
                <w:szCs w:val="20"/>
                <w:highlight w:val="none"/>
              </w:rPr>
            </w:pPr>
            <w:r>
              <w:rPr>
                <w:color w:val="auto"/>
                <w:spacing w:val="-4"/>
                <w:sz w:val="20"/>
                <w:szCs w:val="20"/>
                <w:highlight w:val="none"/>
              </w:rPr>
              <w:t>建设规模</w:t>
            </w:r>
          </w:p>
        </w:tc>
        <w:tc>
          <w:tcPr>
            <w:tcW w:w="1547" w:type="dxa"/>
            <w:gridSpan w:val="2"/>
            <w:vAlign w:val="top"/>
          </w:tcPr>
          <w:p w14:paraId="6F9A1870">
            <w:pPr>
              <w:pStyle w:val="20"/>
              <w:spacing w:before="184" w:line="220" w:lineRule="auto"/>
              <w:ind w:left="115"/>
              <w:rPr>
                <w:color w:val="auto"/>
                <w:sz w:val="20"/>
                <w:szCs w:val="20"/>
                <w:highlight w:val="none"/>
              </w:rPr>
            </w:pPr>
            <w:r>
              <w:rPr>
                <w:color w:val="auto"/>
                <w:spacing w:val="-20"/>
                <w:sz w:val="20"/>
                <w:szCs w:val="20"/>
                <w:highlight w:val="none"/>
              </w:rPr>
              <w:t>开、竣工日期</w:t>
            </w:r>
          </w:p>
        </w:tc>
        <w:tc>
          <w:tcPr>
            <w:tcW w:w="1546" w:type="dxa"/>
            <w:gridSpan w:val="2"/>
            <w:vAlign w:val="top"/>
          </w:tcPr>
          <w:p w14:paraId="5E7D6E1C">
            <w:pPr>
              <w:pStyle w:val="20"/>
              <w:spacing w:before="184" w:line="220" w:lineRule="auto"/>
              <w:ind w:left="179"/>
              <w:rPr>
                <w:color w:val="auto"/>
                <w:sz w:val="20"/>
                <w:szCs w:val="20"/>
                <w:highlight w:val="none"/>
              </w:rPr>
            </w:pPr>
            <w:r>
              <w:rPr>
                <w:color w:val="auto"/>
                <w:spacing w:val="-2"/>
                <w:sz w:val="20"/>
                <w:szCs w:val="20"/>
                <w:highlight w:val="none"/>
              </w:rPr>
              <w:t>在建或已完</w:t>
            </w:r>
          </w:p>
        </w:tc>
        <w:tc>
          <w:tcPr>
            <w:tcW w:w="1552" w:type="dxa"/>
            <w:gridSpan w:val="2"/>
            <w:vAlign w:val="top"/>
          </w:tcPr>
          <w:p w14:paraId="0930A71E">
            <w:pPr>
              <w:pStyle w:val="20"/>
              <w:spacing w:before="184" w:line="221" w:lineRule="auto"/>
              <w:ind w:left="305"/>
              <w:rPr>
                <w:color w:val="auto"/>
                <w:sz w:val="20"/>
                <w:szCs w:val="20"/>
                <w:highlight w:val="none"/>
              </w:rPr>
            </w:pPr>
            <w:r>
              <w:rPr>
                <w:color w:val="auto"/>
                <w:spacing w:val="-4"/>
                <w:sz w:val="20"/>
                <w:szCs w:val="20"/>
                <w:highlight w:val="none"/>
              </w:rPr>
              <w:t>工程质量</w:t>
            </w:r>
          </w:p>
        </w:tc>
      </w:tr>
      <w:tr w14:paraId="38914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405" w:type="dxa"/>
            <w:gridSpan w:val="2"/>
            <w:vAlign w:val="top"/>
          </w:tcPr>
          <w:p w14:paraId="3DA7FDEC">
            <w:pPr>
              <w:rPr>
                <w:rFonts w:ascii="Arial"/>
                <w:color w:val="auto"/>
                <w:sz w:val="20"/>
                <w:szCs w:val="20"/>
                <w:highlight w:val="none"/>
              </w:rPr>
            </w:pPr>
          </w:p>
        </w:tc>
        <w:tc>
          <w:tcPr>
            <w:tcW w:w="1547" w:type="dxa"/>
            <w:vAlign w:val="top"/>
          </w:tcPr>
          <w:p w14:paraId="76AB1774">
            <w:pPr>
              <w:rPr>
                <w:rFonts w:ascii="Arial"/>
                <w:color w:val="auto"/>
                <w:sz w:val="20"/>
                <w:szCs w:val="20"/>
                <w:highlight w:val="none"/>
              </w:rPr>
            </w:pPr>
          </w:p>
        </w:tc>
        <w:tc>
          <w:tcPr>
            <w:tcW w:w="1546" w:type="dxa"/>
            <w:gridSpan w:val="2"/>
            <w:vAlign w:val="top"/>
          </w:tcPr>
          <w:p w14:paraId="2914049D">
            <w:pPr>
              <w:rPr>
                <w:rFonts w:ascii="Arial"/>
                <w:color w:val="auto"/>
                <w:sz w:val="20"/>
                <w:szCs w:val="20"/>
                <w:highlight w:val="none"/>
              </w:rPr>
            </w:pPr>
          </w:p>
        </w:tc>
        <w:tc>
          <w:tcPr>
            <w:tcW w:w="1547" w:type="dxa"/>
            <w:gridSpan w:val="2"/>
            <w:vAlign w:val="top"/>
          </w:tcPr>
          <w:p w14:paraId="74590668">
            <w:pPr>
              <w:rPr>
                <w:rFonts w:ascii="Arial"/>
                <w:color w:val="auto"/>
                <w:sz w:val="20"/>
                <w:szCs w:val="20"/>
                <w:highlight w:val="none"/>
              </w:rPr>
            </w:pPr>
          </w:p>
        </w:tc>
        <w:tc>
          <w:tcPr>
            <w:tcW w:w="1546" w:type="dxa"/>
            <w:gridSpan w:val="2"/>
            <w:vAlign w:val="top"/>
          </w:tcPr>
          <w:p w14:paraId="5CD7CB1B">
            <w:pPr>
              <w:rPr>
                <w:rFonts w:ascii="Arial"/>
                <w:color w:val="auto"/>
                <w:sz w:val="20"/>
                <w:szCs w:val="20"/>
                <w:highlight w:val="none"/>
              </w:rPr>
            </w:pPr>
          </w:p>
        </w:tc>
        <w:tc>
          <w:tcPr>
            <w:tcW w:w="1552" w:type="dxa"/>
            <w:gridSpan w:val="2"/>
            <w:vAlign w:val="top"/>
          </w:tcPr>
          <w:p w14:paraId="0395C0FF">
            <w:pPr>
              <w:rPr>
                <w:rFonts w:ascii="Arial"/>
                <w:color w:val="auto"/>
                <w:sz w:val="20"/>
                <w:szCs w:val="20"/>
                <w:highlight w:val="none"/>
              </w:rPr>
            </w:pPr>
          </w:p>
        </w:tc>
      </w:tr>
      <w:tr w14:paraId="1F02D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405" w:type="dxa"/>
            <w:gridSpan w:val="2"/>
            <w:vAlign w:val="top"/>
          </w:tcPr>
          <w:p w14:paraId="67A88D73">
            <w:pPr>
              <w:rPr>
                <w:rFonts w:ascii="Arial"/>
                <w:color w:val="auto"/>
                <w:sz w:val="20"/>
                <w:szCs w:val="20"/>
                <w:highlight w:val="none"/>
              </w:rPr>
            </w:pPr>
          </w:p>
        </w:tc>
        <w:tc>
          <w:tcPr>
            <w:tcW w:w="1547" w:type="dxa"/>
            <w:vAlign w:val="top"/>
          </w:tcPr>
          <w:p w14:paraId="3AAFC407">
            <w:pPr>
              <w:rPr>
                <w:rFonts w:ascii="Arial"/>
                <w:color w:val="auto"/>
                <w:sz w:val="20"/>
                <w:szCs w:val="20"/>
                <w:highlight w:val="none"/>
              </w:rPr>
            </w:pPr>
          </w:p>
        </w:tc>
        <w:tc>
          <w:tcPr>
            <w:tcW w:w="1546" w:type="dxa"/>
            <w:gridSpan w:val="2"/>
            <w:vAlign w:val="top"/>
          </w:tcPr>
          <w:p w14:paraId="77011657">
            <w:pPr>
              <w:rPr>
                <w:rFonts w:ascii="Arial"/>
                <w:color w:val="auto"/>
                <w:sz w:val="20"/>
                <w:szCs w:val="20"/>
                <w:highlight w:val="none"/>
              </w:rPr>
            </w:pPr>
          </w:p>
        </w:tc>
        <w:tc>
          <w:tcPr>
            <w:tcW w:w="1547" w:type="dxa"/>
            <w:gridSpan w:val="2"/>
            <w:vAlign w:val="top"/>
          </w:tcPr>
          <w:p w14:paraId="2345ED8B">
            <w:pPr>
              <w:rPr>
                <w:rFonts w:ascii="Arial"/>
                <w:color w:val="auto"/>
                <w:sz w:val="20"/>
                <w:szCs w:val="20"/>
                <w:highlight w:val="none"/>
              </w:rPr>
            </w:pPr>
          </w:p>
        </w:tc>
        <w:tc>
          <w:tcPr>
            <w:tcW w:w="1546" w:type="dxa"/>
            <w:gridSpan w:val="2"/>
            <w:vAlign w:val="top"/>
          </w:tcPr>
          <w:p w14:paraId="10212760">
            <w:pPr>
              <w:rPr>
                <w:rFonts w:ascii="Arial"/>
                <w:color w:val="auto"/>
                <w:sz w:val="20"/>
                <w:szCs w:val="20"/>
                <w:highlight w:val="none"/>
              </w:rPr>
            </w:pPr>
          </w:p>
        </w:tc>
        <w:tc>
          <w:tcPr>
            <w:tcW w:w="1552" w:type="dxa"/>
            <w:gridSpan w:val="2"/>
            <w:vAlign w:val="top"/>
          </w:tcPr>
          <w:p w14:paraId="1FC6A9D7">
            <w:pPr>
              <w:rPr>
                <w:rFonts w:ascii="Arial"/>
                <w:color w:val="auto"/>
                <w:sz w:val="20"/>
                <w:szCs w:val="20"/>
                <w:highlight w:val="none"/>
              </w:rPr>
            </w:pPr>
          </w:p>
        </w:tc>
      </w:tr>
      <w:tr w14:paraId="2D60B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405" w:type="dxa"/>
            <w:gridSpan w:val="2"/>
            <w:vAlign w:val="top"/>
          </w:tcPr>
          <w:p w14:paraId="5796ED86">
            <w:pPr>
              <w:rPr>
                <w:rFonts w:ascii="Arial"/>
                <w:color w:val="auto"/>
                <w:sz w:val="20"/>
                <w:szCs w:val="20"/>
                <w:highlight w:val="none"/>
              </w:rPr>
            </w:pPr>
          </w:p>
        </w:tc>
        <w:tc>
          <w:tcPr>
            <w:tcW w:w="1547" w:type="dxa"/>
            <w:vAlign w:val="top"/>
          </w:tcPr>
          <w:p w14:paraId="37A1C0B9">
            <w:pPr>
              <w:rPr>
                <w:rFonts w:ascii="Arial"/>
                <w:color w:val="auto"/>
                <w:sz w:val="20"/>
                <w:szCs w:val="20"/>
                <w:highlight w:val="none"/>
              </w:rPr>
            </w:pPr>
          </w:p>
        </w:tc>
        <w:tc>
          <w:tcPr>
            <w:tcW w:w="1546" w:type="dxa"/>
            <w:gridSpan w:val="2"/>
            <w:vAlign w:val="top"/>
          </w:tcPr>
          <w:p w14:paraId="4F564F80">
            <w:pPr>
              <w:rPr>
                <w:rFonts w:ascii="Arial"/>
                <w:color w:val="auto"/>
                <w:sz w:val="20"/>
                <w:szCs w:val="20"/>
                <w:highlight w:val="none"/>
              </w:rPr>
            </w:pPr>
          </w:p>
        </w:tc>
        <w:tc>
          <w:tcPr>
            <w:tcW w:w="1547" w:type="dxa"/>
            <w:gridSpan w:val="2"/>
            <w:vAlign w:val="top"/>
          </w:tcPr>
          <w:p w14:paraId="21DD6549">
            <w:pPr>
              <w:rPr>
                <w:rFonts w:ascii="Arial"/>
                <w:color w:val="auto"/>
                <w:sz w:val="20"/>
                <w:szCs w:val="20"/>
                <w:highlight w:val="none"/>
              </w:rPr>
            </w:pPr>
          </w:p>
        </w:tc>
        <w:tc>
          <w:tcPr>
            <w:tcW w:w="1546" w:type="dxa"/>
            <w:gridSpan w:val="2"/>
            <w:vAlign w:val="top"/>
          </w:tcPr>
          <w:p w14:paraId="4EAB8B6D">
            <w:pPr>
              <w:rPr>
                <w:rFonts w:ascii="Arial"/>
                <w:color w:val="auto"/>
                <w:sz w:val="20"/>
                <w:szCs w:val="20"/>
                <w:highlight w:val="none"/>
              </w:rPr>
            </w:pPr>
          </w:p>
        </w:tc>
        <w:tc>
          <w:tcPr>
            <w:tcW w:w="1552" w:type="dxa"/>
            <w:gridSpan w:val="2"/>
            <w:vAlign w:val="top"/>
          </w:tcPr>
          <w:p w14:paraId="685E1415">
            <w:pPr>
              <w:rPr>
                <w:rFonts w:ascii="Arial"/>
                <w:color w:val="auto"/>
                <w:sz w:val="20"/>
                <w:szCs w:val="20"/>
                <w:highlight w:val="none"/>
              </w:rPr>
            </w:pPr>
          </w:p>
        </w:tc>
      </w:tr>
      <w:tr w14:paraId="5B6A7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05" w:type="dxa"/>
            <w:gridSpan w:val="2"/>
            <w:vAlign w:val="top"/>
          </w:tcPr>
          <w:p w14:paraId="3CB5ECAF">
            <w:pPr>
              <w:rPr>
                <w:rFonts w:ascii="Arial"/>
                <w:color w:val="auto"/>
                <w:sz w:val="20"/>
                <w:szCs w:val="20"/>
                <w:highlight w:val="none"/>
              </w:rPr>
            </w:pPr>
          </w:p>
        </w:tc>
        <w:tc>
          <w:tcPr>
            <w:tcW w:w="1547" w:type="dxa"/>
            <w:vAlign w:val="top"/>
          </w:tcPr>
          <w:p w14:paraId="07D60633">
            <w:pPr>
              <w:rPr>
                <w:rFonts w:ascii="Arial"/>
                <w:color w:val="auto"/>
                <w:sz w:val="20"/>
                <w:szCs w:val="20"/>
                <w:highlight w:val="none"/>
              </w:rPr>
            </w:pPr>
          </w:p>
        </w:tc>
        <w:tc>
          <w:tcPr>
            <w:tcW w:w="1546" w:type="dxa"/>
            <w:gridSpan w:val="2"/>
            <w:vAlign w:val="top"/>
          </w:tcPr>
          <w:p w14:paraId="1FF747D2">
            <w:pPr>
              <w:rPr>
                <w:rFonts w:ascii="Arial"/>
                <w:color w:val="auto"/>
                <w:sz w:val="20"/>
                <w:szCs w:val="20"/>
                <w:highlight w:val="none"/>
              </w:rPr>
            </w:pPr>
          </w:p>
        </w:tc>
        <w:tc>
          <w:tcPr>
            <w:tcW w:w="1547" w:type="dxa"/>
            <w:gridSpan w:val="2"/>
            <w:vAlign w:val="top"/>
          </w:tcPr>
          <w:p w14:paraId="482BE9D3">
            <w:pPr>
              <w:rPr>
                <w:rFonts w:ascii="Arial"/>
                <w:color w:val="auto"/>
                <w:sz w:val="20"/>
                <w:szCs w:val="20"/>
                <w:highlight w:val="none"/>
              </w:rPr>
            </w:pPr>
          </w:p>
        </w:tc>
        <w:tc>
          <w:tcPr>
            <w:tcW w:w="1546" w:type="dxa"/>
            <w:gridSpan w:val="2"/>
            <w:vAlign w:val="top"/>
          </w:tcPr>
          <w:p w14:paraId="77AB650D">
            <w:pPr>
              <w:rPr>
                <w:rFonts w:ascii="Arial"/>
                <w:color w:val="auto"/>
                <w:sz w:val="20"/>
                <w:szCs w:val="20"/>
                <w:highlight w:val="none"/>
              </w:rPr>
            </w:pPr>
          </w:p>
        </w:tc>
        <w:tc>
          <w:tcPr>
            <w:tcW w:w="1552" w:type="dxa"/>
            <w:gridSpan w:val="2"/>
            <w:vAlign w:val="top"/>
          </w:tcPr>
          <w:p w14:paraId="0B719A59">
            <w:pPr>
              <w:rPr>
                <w:rFonts w:ascii="Arial"/>
                <w:color w:val="auto"/>
                <w:sz w:val="20"/>
                <w:szCs w:val="20"/>
                <w:highlight w:val="none"/>
              </w:rPr>
            </w:pPr>
          </w:p>
        </w:tc>
      </w:tr>
    </w:tbl>
    <w:p w14:paraId="32C7CC72">
      <w:pPr>
        <w:pStyle w:val="6"/>
        <w:spacing w:line="421" w:lineRule="auto"/>
        <w:rPr>
          <w:color w:val="auto"/>
          <w:sz w:val="20"/>
          <w:szCs w:val="20"/>
          <w:highlight w:val="none"/>
        </w:rPr>
      </w:pPr>
    </w:p>
    <w:p w14:paraId="10A55889">
      <w:pPr>
        <w:spacing w:before="78" w:line="362" w:lineRule="auto"/>
        <w:ind w:left="35" w:right="107"/>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备注：附项目经理的相关证明材料复印件</w:t>
      </w:r>
      <w:r>
        <w:rPr>
          <w:rFonts w:ascii="宋体" w:hAnsi="宋体" w:eastAsia="宋体" w:cs="宋体"/>
          <w:color w:val="auto"/>
          <w:spacing w:val="-1"/>
          <w:sz w:val="20"/>
          <w:szCs w:val="20"/>
          <w:highlight w:val="none"/>
        </w:rPr>
        <w:t>。</w:t>
      </w:r>
    </w:p>
    <w:p w14:paraId="1C64EDE3">
      <w:pPr>
        <w:pStyle w:val="6"/>
        <w:spacing w:line="269" w:lineRule="auto"/>
        <w:rPr>
          <w:color w:val="auto"/>
          <w:sz w:val="20"/>
          <w:szCs w:val="20"/>
          <w:highlight w:val="none"/>
        </w:rPr>
      </w:pPr>
    </w:p>
    <w:p w14:paraId="71F8CB27">
      <w:pPr>
        <w:pStyle w:val="6"/>
        <w:spacing w:line="269" w:lineRule="auto"/>
        <w:rPr>
          <w:color w:val="auto"/>
          <w:sz w:val="20"/>
          <w:szCs w:val="20"/>
          <w:highlight w:val="none"/>
        </w:rPr>
      </w:pPr>
    </w:p>
    <w:p w14:paraId="3B60EA49">
      <w:pPr>
        <w:pStyle w:val="6"/>
        <w:spacing w:line="270" w:lineRule="auto"/>
        <w:rPr>
          <w:color w:val="auto"/>
          <w:sz w:val="20"/>
          <w:szCs w:val="20"/>
          <w:highlight w:val="none"/>
        </w:rPr>
      </w:pPr>
    </w:p>
    <w:p w14:paraId="75BF0A85">
      <w:pPr>
        <w:spacing w:before="78" w:line="219" w:lineRule="auto"/>
        <w:ind w:left="3919"/>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4CEE9E9D">
      <w:pPr>
        <w:spacing w:before="183" w:line="220" w:lineRule="auto"/>
        <w:ind w:left="6195"/>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日期：</w:t>
      </w:r>
      <w:r>
        <w:rPr>
          <w:rFonts w:ascii="宋体" w:hAnsi="宋体" w:eastAsia="宋体" w:cs="宋体"/>
          <w:color w:val="auto"/>
          <w:spacing w:val="5"/>
          <w:sz w:val="20"/>
          <w:szCs w:val="20"/>
          <w:highlight w:val="none"/>
        </w:rPr>
        <w:t xml:space="preserve">  </w:t>
      </w:r>
      <w:r>
        <w:rPr>
          <w:rFonts w:ascii="宋体" w:hAnsi="宋体" w:eastAsia="宋体" w:cs="宋体"/>
          <w:color w:val="auto"/>
          <w:spacing w:val="-13"/>
          <w:sz w:val="20"/>
          <w:szCs w:val="20"/>
          <w:highlight w:val="none"/>
        </w:rPr>
        <w:t>年</w:t>
      </w:r>
      <w:r>
        <w:rPr>
          <w:rFonts w:ascii="宋体" w:hAnsi="宋体" w:eastAsia="宋体" w:cs="宋体"/>
          <w:color w:val="auto"/>
          <w:spacing w:val="8"/>
          <w:sz w:val="20"/>
          <w:szCs w:val="20"/>
          <w:highlight w:val="none"/>
        </w:rPr>
        <w:t xml:space="preserve">  </w:t>
      </w:r>
      <w:r>
        <w:rPr>
          <w:rFonts w:ascii="宋体" w:hAnsi="宋体" w:eastAsia="宋体" w:cs="宋体"/>
          <w:color w:val="auto"/>
          <w:spacing w:val="-13"/>
          <w:sz w:val="20"/>
          <w:szCs w:val="20"/>
          <w:highlight w:val="none"/>
        </w:rPr>
        <w:t>月</w:t>
      </w:r>
      <w:r>
        <w:rPr>
          <w:rFonts w:ascii="宋体" w:hAnsi="宋体" w:eastAsia="宋体" w:cs="宋体"/>
          <w:color w:val="auto"/>
          <w:spacing w:val="17"/>
          <w:sz w:val="20"/>
          <w:szCs w:val="20"/>
          <w:highlight w:val="none"/>
        </w:rPr>
        <w:t xml:space="preserve">   </w:t>
      </w:r>
      <w:r>
        <w:rPr>
          <w:rFonts w:ascii="宋体" w:hAnsi="宋体" w:eastAsia="宋体" w:cs="宋体"/>
          <w:color w:val="auto"/>
          <w:spacing w:val="-13"/>
          <w:sz w:val="20"/>
          <w:szCs w:val="20"/>
          <w:highlight w:val="none"/>
        </w:rPr>
        <w:t>日</w:t>
      </w:r>
    </w:p>
    <w:p w14:paraId="632519D6">
      <w:pPr>
        <w:spacing w:line="220" w:lineRule="auto"/>
        <w:rPr>
          <w:rFonts w:ascii="宋体" w:hAnsi="宋体" w:eastAsia="宋体" w:cs="宋体"/>
          <w:color w:val="auto"/>
          <w:sz w:val="24"/>
          <w:szCs w:val="24"/>
          <w:highlight w:val="none"/>
        </w:rPr>
        <w:sectPr>
          <w:footerReference r:id="rId63" w:type="default"/>
          <w:pgSz w:w="11907" w:h="16840"/>
          <w:pgMar w:top="400" w:right="1309" w:bottom="1040" w:left="1449" w:header="0" w:footer="804" w:gutter="0"/>
          <w:pgNumType w:fmt="decimal"/>
          <w:cols w:space="720" w:num="1"/>
        </w:sectPr>
      </w:pPr>
    </w:p>
    <w:p w14:paraId="630719EE">
      <w:pPr>
        <w:pStyle w:val="6"/>
        <w:spacing w:line="248" w:lineRule="auto"/>
        <w:rPr>
          <w:color w:val="auto"/>
          <w:highlight w:val="none"/>
        </w:rPr>
      </w:pPr>
    </w:p>
    <w:p w14:paraId="2C2BF131">
      <w:pPr>
        <w:pStyle w:val="6"/>
        <w:spacing w:line="248" w:lineRule="auto"/>
        <w:rPr>
          <w:color w:val="auto"/>
          <w:highlight w:val="none"/>
        </w:rPr>
      </w:pPr>
    </w:p>
    <w:p w14:paraId="6FCFEAF3">
      <w:pPr>
        <w:pStyle w:val="6"/>
        <w:spacing w:line="248" w:lineRule="auto"/>
        <w:rPr>
          <w:color w:val="auto"/>
          <w:highlight w:val="none"/>
        </w:rPr>
      </w:pPr>
    </w:p>
    <w:p w14:paraId="50652529">
      <w:pPr>
        <w:pStyle w:val="6"/>
        <w:spacing w:line="248" w:lineRule="auto"/>
        <w:rPr>
          <w:color w:val="auto"/>
          <w:highlight w:val="none"/>
        </w:rPr>
      </w:pPr>
    </w:p>
    <w:p w14:paraId="2578A00B">
      <w:pPr>
        <w:spacing w:before="97" w:line="219" w:lineRule="auto"/>
        <w:ind w:left="3112"/>
        <w:rPr>
          <w:rFonts w:ascii="宋体" w:hAnsi="宋体" w:eastAsia="宋体" w:cs="宋体"/>
          <w:color w:val="auto"/>
          <w:sz w:val="30"/>
          <w:szCs w:val="30"/>
          <w:highlight w:val="none"/>
        </w:rPr>
      </w:pPr>
      <w:r>
        <w:rPr>
          <w:rFonts w:ascii="宋体" w:hAnsi="宋体" w:eastAsia="宋体" w:cs="宋体"/>
          <w:b/>
          <w:bCs/>
          <w:color w:val="auto"/>
          <w:spacing w:val="-4"/>
          <w:sz w:val="30"/>
          <w:szCs w:val="30"/>
          <w:highlight w:val="none"/>
        </w:rPr>
        <w:t>2.项目技术负责人简历表</w:t>
      </w:r>
    </w:p>
    <w:p w14:paraId="7CCF95E2">
      <w:pPr>
        <w:spacing w:before="56"/>
        <w:rPr>
          <w:color w:val="auto"/>
          <w:highlight w:val="none"/>
        </w:rPr>
      </w:pPr>
    </w:p>
    <w:tbl>
      <w:tblPr>
        <w:tblStyle w:val="19"/>
        <w:tblW w:w="90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1"/>
        <w:gridCol w:w="457"/>
        <w:gridCol w:w="1524"/>
        <w:gridCol w:w="324"/>
        <w:gridCol w:w="1199"/>
        <w:gridCol w:w="665"/>
        <w:gridCol w:w="859"/>
        <w:gridCol w:w="702"/>
        <w:gridCol w:w="821"/>
        <w:gridCol w:w="270"/>
        <w:gridCol w:w="1130"/>
      </w:tblGrid>
      <w:tr w14:paraId="60EB0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071" w:type="dxa"/>
            <w:vAlign w:val="top"/>
          </w:tcPr>
          <w:p w14:paraId="16A50326">
            <w:pPr>
              <w:pStyle w:val="20"/>
              <w:spacing w:before="102" w:line="220" w:lineRule="auto"/>
              <w:ind w:left="300"/>
              <w:rPr>
                <w:rFonts w:hint="eastAsia" w:ascii="宋体" w:hAnsi="宋体" w:eastAsia="宋体" w:cs="宋体"/>
                <w:color w:val="auto"/>
                <w:sz w:val="20"/>
                <w:szCs w:val="20"/>
                <w:highlight w:val="none"/>
              </w:rPr>
            </w:pPr>
            <w:r>
              <w:rPr>
                <w:rFonts w:hint="eastAsia" w:ascii="宋体" w:hAnsi="宋体" w:eastAsia="宋体" w:cs="宋体"/>
                <w:color w:val="auto"/>
                <w:spacing w:val="-5"/>
                <w:sz w:val="20"/>
                <w:szCs w:val="20"/>
                <w:highlight w:val="none"/>
              </w:rPr>
              <w:t>姓名</w:t>
            </w:r>
          </w:p>
        </w:tc>
        <w:tc>
          <w:tcPr>
            <w:tcW w:w="2305" w:type="dxa"/>
            <w:gridSpan w:val="3"/>
            <w:vAlign w:val="top"/>
          </w:tcPr>
          <w:p w14:paraId="285569CD">
            <w:pPr>
              <w:rPr>
                <w:rFonts w:hint="eastAsia" w:ascii="宋体" w:hAnsi="宋体" w:eastAsia="宋体" w:cs="宋体"/>
                <w:color w:val="auto"/>
                <w:sz w:val="20"/>
                <w:szCs w:val="20"/>
                <w:highlight w:val="none"/>
              </w:rPr>
            </w:pPr>
          </w:p>
        </w:tc>
        <w:tc>
          <w:tcPr>
            <w:tcW w:w="1864" w:type="dxa"/>
            <w:gridSpan w:val="2"/>
            <w:vAlign w:val="top"/>
          </w:tcPr>
          <w:p w14:paraId="11D313C8">
            <w:pPr>
              <w:pStyle w:val="20"/>
              <w:spacing w:before="101" w:line="221" w:lineRule="auto"/>
              <w:ind w:left="697"/>
              <w:rPr>
                <w:rFonts w:hint="eastAsia" w:ascii="宋体" w:hAnsi="宋体" w:eastAsia="宋体" w:cs="宋体"/>
                <w:color w:val="auto"/>
                <w:sz w:val="20"/>
                <w:szCs w:val="20"/>
                <w:highlight w:val="none"/>
              </w:rPr>
            </w:pPr>
            <w:r>
              <w:rPr>
                <w:rFonts w:hint="eastAsia" w:ascii="宋体" w:hAnsi="宋体" w:eastAsia="宋体" w:cs="宋体"/>
                <w:color w:val="auto"/>
                <w:spacing w:val="-5"/>
                <w:sz w:val="20"/>
                <w:szCs w:val="20"/>
                <w:highlight w:val="none"/>
              </w:rPr>
              <w:t>性别</w:t>
            </w:r>
          </w:p>
        </w:tc>
        <w:tc>
          <w:tcPr>
            <w:tcW w:w="1561" w:type="dxa"/>
            <w:gridSpan w:val="2"/>
            <w:vAlign w:val="top"/>
          </w:tcPr>
          <w:p w14:paraId="6497795F">
            <w:pPr>
              <w:rPr>
                <w:rFonts w:hint="eastAsia" w:ascii="宋体" w:hAnsi="宋体" w:eastAsia="宋体" w:cs="宋体"/>
                <w:color w:val="auto"/>
                <w:sz w:val="20"/>
                <w:szCs w:val="20"/>
                <w:highlight w:val="none"/>
              </w:rPr>
            </w:pPr>
          </w:p>
        </w:tc>
        <w:tc>
          <w:tcPr>
            <w:tcW w:w="1091" w:type="dxa"/>
            <w:gridSpan w:val="2"/>
            <w:vAlign w:val="top"/>
          </w:tcPr>
          <w:p w14:paraId="0A93973A">
            <w:pPr>
              <w:pStyle w:val="20"/>
              <w:spacing w:before="102" w:line="220" w:lineRule="auto"/>
              <w:ind w:left="314"/>
              <w:rPr>
                <w:rFonts w:hint="eastAsia" w:ascii="宋体" w:hAnsi="宋体" w:eastAsia="宋体" w:cs="宋体"/>
                <w:color w:val="auto"/>
                <w:sz w:val="20"/>
                <w:szCs w:val="20"/>
                <w:highlight w:val="none"/>
              </w:rPr>
            </w:pPr>
            <w:r>
              <w:rPr>
                <w:rFonts w:hint="eastAsia" w:ascii="宋体" w:hAnsi="宋体" w:eastAsia="宋体" w:cs="宋体"/>
                <w:color w:val="auto"/>
                <w:spacing w:val="-6"/>
                <w:sz w:val="20"/>
                <w:szCs w:val="20"/>
                <w:highlight w:val="none"/>
              </w:rPr>
              <w:t>年龄</w:t>
            </w:r>
          </w:p>
        </w:tc>
        <w:tc>
          <w:tcPr>
            <w:tcW w:w="1130" w:type="dxa"/>
            <w:vAlign w:val="top"/>
          </w:tcPr>
          <w:p w14:paraId="5A48011C">
            <w:pPr>
              <w:rPr>
                <w:rFonts w:hint="eastAsia" w:ascii="宋体" w:hAnsi="宋体" w:eastAsia="宋体" w:cs="宋体"/>
                <w:color w:val="auto"/>
                <w:sz w:val="20"/>
                <w:szCs w:val="20"/>
                <w:highlight w:val="none"/>
              </w:rPr>
            </w:pPr>
          </w:p>
        </w:tc>
      </w:tr>
      <w:tr w14:paraId="12D7E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071" w:type="dxa"/>
            <w:vAlign w:val="top"/>
          </w:tcPr>
          <w:p w14:paraId="57F744A4">
            <w:pPr>
              <w:pStyle w:val="20"/>
              <w:spacing w:before="107" w:line="220" w:lineRule="auto"/>
              <w:ind w:left="301"/>
              <w:rPr>
                <w:rFonts w:hint="eastAsia" w:ascii="宋体" w:hAnsi="宋体" w:eastAsia="宋体" w:cs="宋体"/>
                <w:color w:val="auto"/>
                <w:sz w:val="20"/>
                <w:szCs w:val="20"/>
                <w:highlight w:val="none"/>
              </w:rPr>
            </w:pPr>
            <w:r>
              <w:rPr>
                <w:rFonts w:hint="eastAsia" w:ascii="宋体" w:hAnsi="宋体" w:eastAsia="宋体" w:cs="宋体"/>
                <w:color w:val="auto"/>
                <w:spacing w:val="-6"/>
                <w:sz w:val="20"/>
                <w:szCs w:val="20"/>
                <w:highlight w:val="none"/>
              </w:rPr>
              <w:t>职务</w:t>
            </w:r>
          </w:p>
        </w:tc>
        <w:tc>
          <w:tcPr>
            <w:tcW w:w="2305" w:type="dxa"/>
            <w:gridSpan w:val="3"/>
            <w:vAlign w:val="top"/>
          </w:tcPr>
          <w:p w14:paraId="074E117A">
            <w:pPr>
              <w:rPr>
                <w:rFonts w:hint="eastAsia" w:ascii="宋体" w:hAnsi="宋体" w:eastAsia="宋体" w:cs="宋体"/>
                <w:color w:val="auto"/>
                <w:sz w:val="20"/>
                <w:szCs w:val="20"/>
                <w:highlight w:val="none"/>
              </w:rPr>
            </w:pPr>
          </w:p>
        </w:tc>
        <w:tc>
          <w:tcPr>
            <w:tcW w:w="1864" w:type="dxa"/>
            <w:gridSpan w:val="2"/>
            <w:vAlign w:val="top"/>
          </w:tcPr>
          <w:p w14:paraId="7FAE9E33">
            <w:pPr>
              <w:pStyle w:val="20"/>
              <w:spacing w:before="108" w:line="222" w:lineRule="auto"/>
              <w:ind w:left="698"/>
              <w:rPr>
                <w:rFonts w:hint="eastAsia" w:ascii="宋体" w:hAnsi="宋体" w:eastAsia="宋体" w:cs="宋体"/>
                <w:color w:val="auto"/>
                <w:sz w:val="20"/>
                <w:szCs w:val="20"/>
                <w:highlight w:val="none"/>
              </w:rPr>
            </w:pPr>
            <w:r>
              <w:rPr>
                <w:rFonts w:hint="eastAsia" w:ascii="宋体" w:hAnsi="宋体" w:eastAsia="宋体" w:cs="宋体"/>
                <w:color w:val="auto"/>
                <w:spacing w:val="-6"/>
                <w:sz w:val="20"/>
                <w:szCs w:val="20"/>
                <w:highlight w:val="none"/>
              </w:rPr>
              <w:t>职称</w:t>
            </w:r>
          </w:p>
        </w:tc>
        <w:tc>
          <w:tcPr>
            <w:tcW w:w="1561" w:type="dxa"/>
            <w:gridSpan w:val="2"/>
            <w:vAlign w:val="top"/>
          </w:tcPr>
          <w:p w14:paraId="0E5D8496">
            <w:pPr>
              <w:rPr>
                <w:rFonts w:hint="eastAsia" w:ascii="宋体" w:hAnsi="宋体" w:eastAsia="宋体" w:cs="宋体"/>
                <w:color w:val="auto"/>
                <w:sz w:val="20"/>
                <w:szCs w:val="20"/>
                <w:highlight w:val="none"/>
              </w:rPr>
            </w:pPr>
          </w:p>
        </w:tc>
        <w:tc>
          <w:tcPr>
            <w:tcW w:w="1091" w:type="dxa"/>
            <w:gridSpan w:val="2"/>
            <w:vAlign w:val="top"/>
          </w:tcPr>
          <w:p w14:paraId="0A830A59">
            <w:pPr>
              <w:pStyle w:val="20"/>
              <w:spacing w:before="107" w:line="222" w:lineRule="auto"/>
              <w:ind w:left="318"/>
              <w:rPr>
                <w:rFonts w:hint="eastAsia" w:ascii="宋体" w:hAnsi="宋体" w:eastAsia="宋体" w:cs="宋体"/>
                <w:color w:val="auto"/>
                <w:sz w:val="20"/>
                <w:szCs w:val="20"/>
                <w:highlight w:val="none"/>
              </w:rPr>
            </w:pPr>
            <w:r>
              <w:rPr>
                <w:rFonts w:hint="eastAsia" w:ascii="宋体" w:hAnsi="宋体" w:eastAsia="宋体" w:cs="宋体"/>
                <w:color w:val="auto"/>
                <w:spacing w:val="-8"/>
                <w:sz w:val="20"/>
                <w:szCs w:val="20"/>
                <w:highlight w:val="none"/>
              </w:rPr>
              <w:t>学历</w:t>
            </w:r>
          </w:p>
        </w:tc>
        <w:tc>
          <w:tcPr>
            <w:tcW w:w="1130" w:type="dxa"/>
            <w:vAlign w:val="top"/>
          </w:tcPr>
          <w:p w14:paraId="32AC0812">
            <w:pPr>
              <w:rPr>
                <w:rFonts w:hint="eastAsia" w:ascii="宋体" w:hAnsi="宋体" w:eastAsia="宋体" w:cs="宋体"/>
                <w:color w:val="auto"/>
                <w:sz w:val="20"/>
                <w:szCs w:val="20"/>
                <w:highlight w:val="none"/>
              </w:rPr>
            </w:pPr>
          </w:p>
        </w:tc>
      </w:tr>
      <w:tr w14:paraId="3B910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3376" w:type="dxa"/>
            <w:gridSpan w:val="4"/>
            <w:vAlign w:val="top"/>
          </w:tcPr>
          <w:p w14:paraId="2EC82249">
            <w:pPr>
              <w:pStyle w:val="20"/>
              <w:spacing w:before="175" w:line="221" w:lineRule="auto"/>
              <w:ind w:left="977"/>
              <w:rPr>
                <w:rFonts w:hint="eastAsia" w:ascii="宋体" w:hAnsi="宋体" w:eastAsia="宋体" w:cs="宋体"/>
                <w:color w:val="auto"/>
                <w:sz w:val="20"/>
                <w:szCs w:val="20"/>
                <w:highlight w:val="none"/>
              </w:rPr>
            </w:pPr>
            <w:r>
              <w:rPr>
                <w:rFonts w:hint="eastAsia" w:ascii="宋体" w:hAnsi="宋体" w:eastAsia="宋体" w:cs="宋体"/>
                <w:color w:val="auto"/>
                <w:spacing w:val="-2"/>
                <w:sz w:val="20"/>
                <w:szCs w:val="20"/>
                <w:highlight w:val="none"/>
              </w:rPr>
              <w:t>参加工作时间</w:t>
            </w:r>
          </w:p>
        </w:tc>
        <w:tc>
          <w:tcPr>
            <w:tcW w:w="1864" w:type="dxa"/>
            <w:gridSpan w:val="2"/>
            <w:vAlign w:val="top"/>
          </w:tcPr>
          <w:p w14:paraId="107FF64E">
            <w:pPr>
              <w:rPr>
                <w:rFonts w:hint="eastAsia" w:ascii="宋体" w:hAnsi="宋体" w:eastAsia="宋体" w:cs="宋体"/>
                <w:color w:val="auto"/>
                <w:sz w:val="20"/>
                <w:szCs w:val="20"/>
                <w:highlight w:val="none"/>
              </w:rPr>
            </w:pPr>
          </w:p>
        </w:tc>
        <w:tc>
          <w:tcPr>
            <w:tcW w:w="2652" w:type="dxa"/>
            <w:gridSpan w:val="4"/>
            <w:vAlign w:val="top"/>
          </w:tcPr>
          <w:p w14:paraId="6272FCE5">
            <w:pPr>
              <w:pStyle w:val="20"/>
              <w:spacing w:before="175" w:line="220" w:lineRule="auto"/>
              <w:ind w:left="255"/>
              <w:rPr>
                <w:rFonts w:hint="eastAsia" w:ascii="宋体" w:hAnsi="宋体" w:eastAsia="宋体" w:cs="宋体"/>
                <w:color w:val="auto"/>
                <w:sz w:val="20"/>
                <w:szCs w:val="20"/>
                <w:highlight w:val="none"/>
              </w:rPr>
            </w:pPr>
            <w:r>
              <w:rPr>
                <w:rFonts w:hint="eastAsia" w:ascii="宋体" w:hAnsi="宋体" w:eastAsia="宋体" w:cs="宋体"/>
                <w:color w:val="auto"/>
                <w:spacing w:val="-2"/>
                <w:sz w:val="20"/>
                <w:szCs w:val="20"/>
                <w:highlight w:val="none"/>
              </w:rPr>
              <w:t>担任技术负责人年限</w:t>
            </w:r>
          </w:p>
        </w:tc>
        <w:tc>
          <w:tcPr>
            <w:tcW w:w="1130" w:type="dxa"/>
            <w:vAlign w:val="top"/>
          </w:tcPr>
          <w:p w14:paraId="7889565F">
            <w:pPr>
              <w:rPr>
                <w:rFonts w:hint="eastAsia" w:ascii="宋体" w:hAnsi="宋体" w:eastAsia="宋体" w:cs="宋体"/>
                <w:color w:val="auto"/>
                <w:sz w:val="20"/>
                <w:szCs w:val="20"/>
                <w:highlight w:val="none"/>
              </w:rPr>
            </w:pPr>
          </w:p>
        </w:tc>
      </w:tr>
      <w:tr w14:paraId="6202E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9022" w:type="dxa"/>
            <w:gridSpan w:val="11"/>
            <w:vAlign w:val="top"/>
          </w:tcPr>
          <w:p w14:paraId="0A2C4A83">
            <w:pPr>
              <w:pStyle w:val="20"/>
              <w:spacing w:before="186" w:line="220" w:lineRule="auto"/>
              <w:ind w:left="3196"/>
              <w:rPr>
                <w:rFonts w:hint="eastAsia" w:ascii="宋体" w:hAnsi="宋体" w:eastAsia="宋体" w:cs="宋体"/>
                <w:color w:val="auto"/>
                <w:sz w:val="20"/>
                <w:szCs w:val="20"/>
                <w:highlight w:val="none"/>
              </w:rPr>
            </w:pPr>
            <w:r>
              <w:rPr>
                <w:rFonts w:hint="eastAsia" w:ascii="宋体" w:hAnsi="宋体" w:eastAsia="宋体" w:cs="宋体"/>
                <w:color w:val="auto"/>
                <w:spacing w:val="-1"/>
                <w:sz w:val="20"/>
                <w:szCs w:val="20"/>
                <w:highlight w:val="none"/>
              </w:rPr>
              <w:t>在建和已完工程项目情况</w:t>
            </w:r>
          </w:p>
        </w:tc>
      </w:tr>
      <w:tr w14:paraId="5ED58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528" w:type="dxa"/>
            <w:gridSpan w:val="2"/>
            <w:vAlign w:val="top"/>
          </w:tcPr>
          <w:p w14:paraId="2C391D23">
            <w:pPr>
              <w:pStyle w:val="20"/>
              <w:spacing w:before="194" w:line="221" w:lineRule="auto"/>
              <w:ind w:left="294"/>
              <w:rPr>
                <w:rFonts w:hint="eastAsia" w:ascii="宋体" w:hAnsi="宋体" w:eastAsia="宋体" w:cs="宋体"/>
                <w:color w:val="auto"/>
                <w:sz w:val="20"/>
                <w:szCs w:val="20"/>
                <w:highlight w:val="none"/>
              </w:rPr>
            </w:pPr>
            <w:r>
              <w:rPr>
                <w:rFonts w:hint="eastAsia" w:ascii="宋体" w:hAnsi="宋体" w:eastAsia="宋体" w:cs="宋体"/>
                <w:color w:val="auto"/>
                <w:spacing w:val="-4"/>
                <w:sz w:val="20"/>
                <w:szCs w:val="20"/>
                <w:highlight w:val="none"/>
              </w:rPr>
              <w:t>建设单位</w:t>
            </w:r>
          </w:p>
        </w:tc>
        <w:tc>
          <w:tcPr>
            <w:tcW w:w="1524" w:type="dxa"/>
            <w:vAlign w:val="top"/>
          </w:tcPr>
          <w:p w14:paraId="19C903FB">
            <w:pPr>
              <w:pStyle w:val="20"/>
              <w:spacing w:before="194" w:line="221" w:lineRule="auto"/>
              <w:ind w:left="291"/>
              <w:rPr>
                <w:rFonts w:hint="eastAsia" w:ascii="宋体" w:hAnsi="宋体" w:eastAsia="宋体" w:cs="宋体"/>
                <w:color w:val="auto"/>
                <w:sz w:val="20"/>
                <w:szCs w:val="20"/>
                <w:highlight w:val="none"/>
              </w:rPr>
            </w:pPr>
            <w:r>
              <w:rPr>
                <w:rFonts w:hint="eastAsia" w:ascii="宋体" w:hAnsi="宋体" w:eastAsia="宋体" w:cs="宋体"/>
                <w:color w:val="auto"/>
                <w:spacing w:val="-4"/>
                <w:sz w:val="20"/>
                <w:szCs w:val="20"/>
                <w:highlight w:val="none"/>
              </w:rPr>
              <w:t>项目名称</w:t>
            </w:r>
          </w:p>
        </w:tc>
        <w:tc>
          <w:tcPr>
            <w:tcW w:w="1523" w:type="dxa"/>
            <w:gridSpan w:val="2"/>
            <w:vAlign w:val="top"/>
          </w:tcPr>
          <w:p w14:paraId="6133FD75">
            <w:pPr>
              <w:pStyle w:val="20"/>
              <w:spacing w:before="194" w:line="220" w:lineRule="auto"/>
              <w:ind w:left="290"/>
              <w:rPr>
                <w:rFonts w:hint="eastAsia" w:ascii="宋体" w:hAnsi="宋体" w:eastAsia="宋体" w:cs="宋体"/>
                <w:color w:val="auto"/>
                <w:sz w:val="20"/>
                <w:szCs w:val="20"/>
                <w:highlight w:val="none"/>
              </w:rPr>
            </w:pPr>
            <w:r>
              <w:rPr>
                <w:rFonts w:hint="eastAsia" w:ascii="宋体" w:hAnsi="宋体" w:eastAsia="宋体" w:cs="宋体"/>
                <w:color w:val="auto"/>
                <w:spacing w:val="-4"/>
                <w:sz w:val="20"/>
                <w:szCs w:val="20"/>
                <w:highlight w:val="none"/>
              </w:rPr>
              <w:t>建设规模</w:t>
            </w:r>
          </w:p>
        </w:tc>
        <w:tc>
          <w:tcPr>
            <w:tcW w:w="1524" w:type="dxa"/>
            <w:gridSpan w:val="2"/>
            <w:vAlign w:val="top"/>
          </w:tcPr>
          <w:p w14:paraId="581AEE92">
            <w:pPr>
              <w:pStyle w:val="20"/>
              <w:spacing w:before="38" w:line="220" w:lineRule="auto"/>
              <w:ind w:left="169"/>
              <w:rPr>
                <w:rFonts w:hint="eastAsia" w:ascii="宋体" w:hAnsi="宋体" w:eastAsia="宋体" w:cs="宋体"/>
                <w:color w:val="auto"/>
                <w:sz w:val="20"/>
                <w:szCs w:val="20"/>
                <w:highlight w:val="none"/>
              </w:rPr>
            </w:pPr>
            <w:r>
              <w:rPr>
                <w:rFonts w:hint="eastAsia" w:ascii="宋体" w:hAnsi="宋体" w:eastAsia="宋体" w:cs="宋体"/>
                <w:color w:val="auto"/>
                <w:spacing w:val="-3"/>
                <w:sz w:val="20"/>
                <w:szCs w:val="20"/>
                <w:highlight w:val="none"/>
              </w:rPr>
              <w:t>开、竣工日</w:t>
            </w:r>
          </w:p>
          <w:p w14:paraId="131DF592">
            <w:pPr>
              <w:pStyle w:val="20"/>
              <w:spacing w:before="25" w:line="205" w:lineRule="auto"/>
              <w:ind w:left="651"/>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期</w:t>
            </w:r>
          </w:p>
        </w:tc>
        <w:tc>
          <w:tcPr>
            <w:tcW w:w="1523" w:type="dxa"/>
            <w:gridSpan w:val="2"/>
            <w:vAlign w:val="top"/>
          </w:tcPr>
          <w:p w14:paraId="579F9CA9">
            <w:pPr>
              <w:pStyle w:val="20"/>
              <w:spacing w:before="194" w:line="220" w:lineRule="auto"/>
              <w:ind w:left="169"/>
              <w:rPr>
                <w:rFonts w:hint="eastAsia" w:ascii="宋体" w:hAnsi="宋体" w:eastAsia="宋体" w:cs="宋体"/>
                <w:color w:val="auto"/>
                <w:sz w:val="20"/>
                <w:szCs w:val="20"/>
                <w:highlight w:val="none"/>
              </w:rPr>
            </w:pPr>
            <w:r>
              <w:rPr>
                <w:rFonts w:hint="eastAsia" w:ascii="宋体" w:hAnsi="宋体" w:eastAsia="宋体" w:cs="宋体"/>
                <w:color w:val="auto"/>
                <w:spacing w:val="-2"/>
                <w:sz w:val="20"/>
                <w:szCs w:val="20"/>
                <w:highlight w:val="none"/>
              </w:rPr>
              <w:t>在建或已完</w:t>
            </w:r>
          </w:p>
        </w:tc>
        <w:tc>
          <w:tcPr>
            <w:tcW w:w="1400" w:type="dxa"/>
            <w:gridSpan w:val="2"/>
            <w:vAlign w:val="top"/>
          </w:tcPr>
          <w:p w14:paraId="37F4CCF3">
            <w:pPr>
              <w:pStyle w:val="20"/>
              <w:spacing w:before="194" w:line="221" w:lineRule="auto"/>
              <w:ind w:left="229"/>
              <w:rPr>
                <w:rFonts w:hint="eastAsia" w:ascii="宋体" w:hAnsi="宋体" w:eastAsia="宋体" w:cs="宋体"/>
                <w:color w:val="auto"/>
                <w:sz w:val="20"/>
                <w:szCs w:val="20"/>
                <w:highlight w:val="none"/>
              </w:rPr>
            </w:pPr>
            <w:r>
              <w:rPr>
                <w:rFonts w:hint="eastAsia" w:ascii="宋体" w:hAnsi="宋体" w:eastAsia="宋体" w:cs="宋体"/>
                <w:color w:val="auto"/>
                <w:spacing w:val="-4"/>
                <w:sz w:val="20"/>
                <w:szCs w:val="20"/>
                <w:highlight w:val="none"/>
              </w:rPr>
              <w:t>工程质量</w:t>
            </w:r>
          </w:p>
        </w:tc>
      </w:tr>
      <w:tr w14:paraId="043E6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528" w:type="dxa"/>
            <w:gridSpan w:val="2"/>
            <w:vAlign w:val="top"/>
          </w:tcPr>
          <w:p w14:paraId="4AE36685">
            <w:pPr>
              <w:rPr>
                <w:rFonts w:hint="eastAsia" w:ascii="宋体" w:hAnsi="宋体" w:eastAsia="宋体" w:cs="宋体"/>
                <w:color w:val="auto"/>
                <w:sz w:val="20"/>
                <w:szCs w:val="20"/>
                <w:highlight w:val="none"/>
              </w:rPr>
            </w:pPr>
          </w:p>
        </w:tc>
        <w:tc>
          <w:tcPr>
            <w:tcW w:w="1524" w:type="dxa"/>
            <w:vAlign w:val="top"/>
          </w:tcPr>
          <w:p w14:paraId="3E0D45D5">
            <w:pPr>
              <w:rPr>
                <w:rFonts w:hint="eastAsia" w:ascii="宋体" w:hAnsi="宋体" w:eastAsia="宋体" w:cs="宋体"/>
                <w:color w:val="auto"/>
                <w:sz w:val="20"/>
                <w:szCs w:val="20"/>
                <w:highlight w:val="none"/>
              </w:rPr>
            </w:pPr>
          </w:p>
        </w:tc>
        <w:tc>
          <w:tcPr>
            <w:tcW w:w="1523" w:type="dxa"/>
            <w:gridSpan w:val="2"/>
            <w:vAlign w:val="top"/>
          </w:tcPr>
          <w:p w14:paraId="18E565F8">
            <w:pPr>
              <w:rPr>
                <w:rFonts w:hint="eastAsia" w:ascii="宋体" w:hAnsi="宋体" w:eastAsia="宋体" w:cs="宋体"/>
                <w:color w:val="auto"/>
                <w:sz w:val="20"/>
                <w:szCs w:val="20"/>
                <w:highlight w:val="none"/>
              </w:rPr>
            </w:pPr>
          </w:p>
        </w:tc>
        <w:tc>
          <w:tcPr>
            <w:tcW w:w="1524" w:type="dxa"/>
            <w:gridSpan w:val="2"/>
            <w:vAlign w:val="top"/>
          </w:tcPr>
          <w:p w14:paraId="6FB99DB7">
            <w:pPr>
              <w:rPr>
                <w:rFonts w:hint="eastAsia" w:ascii="宋体" w:hAnsi="宋体" w:eastAsia="宋体" w:cs="宋体"/>
                <w:color w:val="auto"/>
                <w:sz w:val="20"/>
                <w:szCs w:val="20"/>
                <w:highlight w:val="none"/>
              </w:rPr>
            </w:pPr>
          </w:p>
        </w:tc>
        <w:tc>
          <w:tcPr>
            <w:tcW w:w="1523" w:type="dxa"/>
            <w:gridSpan w:val="2"/>
            <w:vAlign w:val="top"/>
          </w:tcPr>
          <w:p w14:paraId="33708C67">
            <w:pPr>
              <w:rPr>
                <w:rFonts w:hint="eastAsia" w:ascii="宋体" w:hAnsi="宋体" w:eastAsia="宋体" w:cs="宋体"/>
                <w:color w:val="auto"/>
                <w:sz w:val="20"/>
                <w:szCs w:val="20"/>
                <w:highlight w:val="none"/>
              </w:rPr>
            </w:pPr>
          </w:p>
        </w:tc>
        <w:tc>
          <w:tcPr>
            <w:tcW w:w="1400" w:type="dxa"/>
            <w:gridSpan w:val="2"/>
            <w:vAlign w:val="top"/>
          </w:tcPr>
          <w:p w14:paraId="6442BE85">
            <w:pPr>
              <w:rPr>
                <w:rFonts w:hint="eastAsia" w:ascii="宋体" w:hAnsi="宋体" w:eastAsia="宋体" w:cs="宋体"/>
                <w:color w:val="auto"/>
                <w:sz w:val="20"/>
                <w:szCs w:val="20"/>
                <w:highlight w:val="none"/>
              </w:rPr>
            </w:pPr>
          </w:p>
        </w:tc>
      </w:tr>
      <w:tr w14:paraId="7CFCC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528" w:type="dxa"/>
            <w:gridSpan w:val="2"/>
            <w:vAlign w:val="top"/>
          </w:tcPr>
          <w:p w14:paraId="0884FFCD">
            <w:pPr>
              <w:rPr>
                <w:rFonts w:hint="eastAsia" w:ascii="宋体" w:hAnsi="宋体" w:eastAsia="宋体" w:cs="宋体"/>
                <w:color w:val="auto"/>
                <w:sz w:val="20"/>
                <w:szCs w:val="20"/>
                <w:highlight w:val="none"/>
              </w:rPr>
            </w:pPr>
          </w:p>
        </w:tc>
        <w:tc>
          <w:tcPr>
            <w:tcW w:w="1524" w:type="dxa"/>
            <w:vAlign w:val="top"/>
          </w:tcPr>
          <w:p w14:paraId="76A38450">
            <w:pPr>
              <w:rPr>
                <w:rFonts w:hint="eastAsia" w:ascii="宋体" w:hAnsi="宋体" w:eastAsia="宋体" w:cs="宋体"/>
                <w:color w:val="auto"/>
                <w:sz w:val="20"/>
                <w:szCs w:val="20"/>
                <w:highlight w:val="none"/>
              </w:rPr>
            </w:pPr>
          </w:p>
        </w:tc>
        <w:tc>
          <w:tcPr>
            <w:tcW w:w="1523" w:type="dxa"/>
            <w:gridSpan w:val="2"/>
            <w:vAlign w:val="top"/>
          </w:tcPr>
          <w:p w14:paraId="73377EA5">
            <w:pPr>
              <w:rPr>
                <w:rFonts w:hint="eastAsia" w:ascii="宋体" w:hAnsi="宋体" w:eastAsia="宋体" w:cs="宋体"/>
                <w:color w:val="auto"/>
                <w:sz w:val="20"/>
                <w:szCs w:val="20"/>
                <w:highlight w:val="none"/>
              </w:rPr>
            </w:pPr>
          </w:p>
        </w:tc>
        <w:tc>
          <w:tcPr>
            <w:tcW w:w="1524" w:type="dxa"/>
            <w:gridSpan w:val="2"/>
            <w:vAlign w:val="top"/>
          </w:tcPr>
          <w:p w14:paraId="7F801771">
            <w:pPr>
              <w:rPr>
                <w:rFonts w:hint="eastAsia" w:ascii="宋体" w:hAnsi="宋体" w:eastAsia="宋体" w:cs="宋体"/>
                <w:color w:val="auto"/>
                <w:sz w:val="20"/>
                <w:szCs w:val="20"/>
                <w:highlight w:val="none"/>
              </w:rPr>
            </w:pPr>
          </w:p>
        </w:tc>
        <w:tc>
          <w:tcPr>
            <w:tcW w:w="1523" w:type="dxa"/>
            <w:gridSpan w:val="2"/>
            <w:vAlign w:val="top"/>
          </w:tcPr>
          <w:p w14:paraId="4F93FF04">
            <w:pPr>
              <w:rPr>
                <w:rFonts w:hint="eastAsia" w:ascii="宋体" w:hAnsi="宋体" w:eastAsia="宋体" w:cs="宋体"/>
                <w:color w:val="auto"/>
                <w:sz w:val="20"/>
                <w:szCs w:val="20"/>
                <w:highlight w:val="none"/>
              </w:rPr>
            </w:pPr>
          </w:p>
        </w:tc>
        <w:tc>
          <w:tcPr>
            <w:tcW w:w="1400" w:type="dxa"/>
            <w:gridSpan w:val="2"/>
            <w:vAlign w:val="top"/>
          </w:tcPr>
          <w:p w14:paraId="79469BD2">
            <w:pPr>
              <w:rPr>
                <w:rFonts w:hint="eastAsia" w:ascii="宋体" w:hAnsi="宋体" w:eastAsia="宋体" w:cs="宋体"/>
                <w:color w:val="auto"/>
                <w:sz w:val="20"/>
                <w:szCs w:val="20"/>
                <w:highlight w:val="none"/>
              </w:rPr>
            </w:pPr>
          </w:p>
        </w:tc>
      </w:tr>
      <w:tr w14:paraId="19EA9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528" w:type="dxa"/>
            <w:gridSpan w:val="2"/>
            <w:vAlign w:val="top"/>
          </w:tcPr>
          <w:p w14:paraId="38B604DF">
            <w:pPr>
              <w:rPr>
                <w:rFonts w:hint="eastAsia" w:ascii="宋体" w:hAnsi="宋体" w:eastAsia="宋体" w:cs="宋体"/>
                <w:color w:val="auto"/>
                <w:sz w:val="20"/>
                <w:szCs w:val="20"/>
                <w:highlight w:val="none"/>
              </w:rPr>
            </w:pPr>
          </w:p>
        </w:tc>
        <w:tc>
          <w:tcPr>
            <w:tcW w:w="1524" w:type="dxa"/>
            <w:vAlign w:val="top"/>
          </w:tcPr>
          <w:p w14:paraId="3CF01493">
            <w:pPr>
              <w:rPr>
                <w:rFonts w:hint="eastAsia" w:ascii="宋体" w:hAnsi="宋体" w:eastAsia="宋体" w:cs="宋体"/>
                <w:color w:val="auto"/>
                <w:sz w:val="20"/>
                <w:szCs w:val="20"/>
                <w:highlight w:val="none"/>
              </w:rPr>
            </w:pPr>
          </w:p>
        </w:tc>
        <w:tc>
          <w:tcPr>
            <w:tcW w:w="1523" w:type="dxa"/>
            <w:gridSpan w:val="2"/>
            <w:vAlign w:val="top"/>
          </w:tcPr>
          <w:p w14:paraId="651412AE">
            <w:pPr>
              <w:rPr>
                <w:rFonts w:hint="eastAsia" w:ascii="宋体" w:hAnsi="宋体" w:eastAsia="宋体" w:cs="宋体"/>
                <w:color w:val="auto"/>
                <w:sz w:val="20"/>
                <w:szCs w:val="20"/>
                <w:highlight w:val="none"/>
              </w:rPr>
            </w:pPr>
          </w:p>
        </w:tc>
        <w:tc>
          <w:tcPr>
            <w:tcW w:w="1524" w:type="dxa"/>
            <w:gridSpan w:val="2"/>
            <w:vAlign w:val="top"/>
          </w:tcPr>
          <w:p w14:paraId="26515F48">
            <w:pPr>
              <w:rPr>
                <w:rFonts w:hint="eastAsia" w:ascii="宋体" w:hAnsi="宋体" w:eastAsia="宋体" w:cs="宋体"/>
                <w:color w:val="auto"/>
                <w:sz w:val="20"/>
                <w:szCs w:val="20"/>
                <w:highlight w:val="none"/>
              </w:rPr>
            </w:pPr>
          </w:p>
        </w:tc>
        <w:tc>
          <w:tcPr>
            <w:tcW w:w="1523" w:type="dxa"/>
            <w:gridSpan w:val="2"/>
            <w:vAlign w:val="top"/>
          </w:tcPr>
          <w:p w14:paraId="31EA4A87">
            <w:pPr>
              <w:rPr>
                <w:rFonts w:hint="eastAsia" w:ascii="宋体" w:hAnsi="宋体" w:eastAsia="宋体" w:cs="宋体"/>
                <w:color w:val="auto"/>
                <w:sz w:val="20"/>
                <w:szCs w:val="20"/>
                <w:highlight w:val="none"/>
              </w:rPr>
            </w:pPr>
          </w:p>
        </w:tc>
        <w:tc>
          <w:tcPr>
            <w:tcW w:w="1400" w:type="dxa"/>
            <w:gridSpan w:val="2"/>
            <w:vAlign w:val="top"/>
          </w:tcPr>
          <w:p w14:paraId="79D91F92">
            <w:pPr>
              <w:rPr>
                <w:rFonts w:hint="eastAsia" w:ascii="宋体" w:hAnsi="宋体" w:eastAsia="宋体" w:cs="宋体"/>
                <w:color w:val="auto"/>
                <w:sz w:val="20"/>
                <w:szCs w:val="20"/>
                <w:highlight w:val="none"/>
              </w:rPr>
            </w:pPr>
          </w:p>
        </w:tc>
      </w:tr>
      <w:tr w14:paraId="264CE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528" w:type="dxa"/>
            <w:gridSpan w:val="2"/>
            <w:vAlign w:val="top"/>
          </w:tcPr>
          <w:p w14:paraId="288D1974">
            <w:pPr>
              <w:rPr>
                <w:rFonts w:hint="eastAsia" w:ascii="宋体" w:hAnsi="宋体" w:eastAsia="宋体" w:cs="宋体"/>
                <w:color w:val="auto"/>
                <w:sz w:val="20"/>
                <w:szCs w:val="20"/>
                <w:highlight w:val="none"/>
              </w:rPr>
            </w:pPr>
          </w:p>
        </w:tc>
        <w:tc>
          <w:tcPr>
            <w:tcW w:w="1524" w:type="dxa"/>
            <w:vAlign w:val="top"/>
          </w:tcPr>
          <w:p w14:paraId="20C5DBE3">
            <w:pPr>
              <w:rPr>
                <w:rFonts w:hint="eastAsia" w:ascii="宋体" w:hAnsi="宋体" w:eastAsia="宋体" w:cs="宋体"/>
                <w:color w:val="auto"/>
                <w:sz w:val="20"/>
                <w:szCs w:val="20"/>
                <w:highlight w:val="none"/>
              </w:rPr>
            </w:pPr>
          </w:p>
        </w:tc>
        <w:tc>
          <w:tcPr>
            <w:tcW w:w="1523" w:type="dxa"/>
            <w:gridSpan w:val="2"/>
            <w:vAlign w:val="top"/>
          </w:tcPr>
          <w:p w14:paraId="1CC1A216">
            <w:pPr>
              <w:rPr>
                <w:rFonts w:hint="eastAsia" w:ascii="宋体" w:hAnsi="宋体" w:eastAsia="宋体" w:cs="宋体"/>
                <w:color w:val="auto"/>
                <w:sz w:val="20"/>
                <w:szCs w:val="20"/>
                <w:highlight w:val="none"/>
              </w:rPr>
            </w:pPr>
          </w:p>
        </w:tc>
        <w:tc>
          <w:tcPr>
            <w:tcW w:w="1524" w:type="dxa"/>
            <w:gridSpan w:val="2"/>
            <w:vAlign w:val="top"/>
          </w:tcPr>
          <w:p w14:paraId="0B1491B0">
            <w:pPr>
              <w:rPr>
                <w:rFonts w:hint="eastAsia" w:ascii="宋体" w:hAnsi="宋体" w:eastAsia="宋体" w:cs="宋体"/>
                <w:color w:val="auto"/>
                <w:sz w:val="20"/>
                <w:szCs w:val="20"/>
                <w:highlight w:val="none"/>
              </w:rPr>
            </w:pPr>
          </w:p>
        </w:tc>
        <w:tc>
          <w:tcPr>
            <w:tcW w:w="1523" w:type="dxa"/>
            <w:gridSpan w:val="2"/>
            <w:vAlign w:val="top"/>
          </w:tcPr>
          <w:p w14:paraId="3FBC3972">
            <w:pPr>
              <w:rPr>
                <w:rFonts w:hint="eastAsia" w:ascii="宋体" w:hAnsi="宋体" w:eastAsia="宋体" w:cs="宋体"/>
                <w:color w:val="auto"/>
                <w:sz w:val="20"/>
                <w:szCs w:val="20"/>
                <w:highlight w:val="none"/>
              </w:rPr>
            </w:pPr>
          </w:p>
        </w:tc>
        <w:tc>
          <w:tcPr>
            <w:tcW w:w="1400" w:type="dxa"/>
            <w:gridSpan w:val="2"/>
            <w:vAlign w:val="top"/>
          </w:tcPr>
          <w:p w14:paraId="0FFAD724">
            <w:pPr>
              <w:rPr>
                <w:rFonts w:hint="eastAsia" w:ascii="宋体" w:hAnsi="宋体" w:eastAsia="宋体" w:cs="宋体"/>
                <w:color w:val="auto"/>
                <w:sz w:val="20"/>
                <w:szCs w:val="20"/>
                <w:highlight w:val="none"/>
              </w:rPr>
            </w:pPr>
          </w:p>
        </w:tc>
      </w:tr>
    </w:tbl>
    <w:p w14:paraId="5F9C0820">
      <w:pPr>
        <w:pStyle w:val="6"/>
        <w:spacing w:line="419" w:lineRule="auto"/>
        <w:rPr>
          <w:rFonts w:hint="eastAsia" w:ascii="宋体" w:hAnsi="宋体" w:eastAsia="宋体" w:cs="宋体"/>
          <w:color w:val="auto"/>
          <w:sz w:val="20"/>
          <w:szCs w:val="20"/>
          <w:highlight w:val="none"/>
        </w:rPr>
      </w:pPr>
    </w:p>
    <w:p w14:paraId="6CFB608F">
      <w:pPr>
        <w:spacing w:before="78" w:line="362" w:lineRule="auto"/>
        <w:ind w:left="192" w:right="184" w:firstLine="3"/>
        <w:rPr>
          <w:rFonts w:hint="eastAsia" w:ascii="宋体" w:hAnsi="宋体" w:eastAsia="宋体" w:cs="宋体"/>
          <w:color w:val="auto"/>
          <w:sz w:val="20"/>
          <w:szCs w:val="20"/>
          <w:highlight w:val="none"/>
        </w:rPr>
      </w:pPr>
      <w:r>
        <w:rPr>
          <w:rFonts w:hint="eastAsia" w:ascii="宋体" w:hAnsi="宋体" w:eastAsia="宋体" w:cs="宋体"/>
          <w:color w:val="auto"/>
          <w:spacing w:val="-2"/>
          <w:sz w:val="20"/>
          <w:szCs w:val="20"/>
          <w:highlight w:val="none"/>
        </w:rPr>
        <w:t>备注：附技术负责人相关证明材料复印件。</w:t>
      </w:r>
    </w:p>
    <w:p w14:paraId="0891974F">
      <w:pPr>
        <w:spacing w:before="148" w:line="123" w:lineRule="exact"/>
        <w:ind w:left="216"/>
        <w:rPr>
          <w:rFonts w:hint="eastAsia" w:ascii="宋体" w:hAnsi="宋体" w:eastAsia="宋体" w:cs="宋体"/>
          <w:color w:val="auto"/>
          <w:sz w:val="20"/>
          <w:szCs w:val="20"/>
          <w:highlight w:val="none"/>
        </w:rPr>
      </w:pPr>
      <w:r>
        <w:rPr>
          <w:rFonts w:hint="eastAsia" w:ascii="宋体" w:hAnsi="宋体" w:eastAsia="宋体" w:cs="宋体"/>
          <w:color w:val="auto"/>
          <w:position w:val="1"/>
          <w:sz w:val="20"/>
          <w:szCs w:val="20"/>
          <w:highlight w:val="none"/>
        </w:rPr>
        <w:t>。</w:t>
      </w:r>
    </w:p>
    <w:p w14:paraId="5DB53126">
      <w:pPr>
        <w:pStyle w:val="6"/>
        <w:spacing w:line="288" w:lineRule="auto"/>
        <w:rPr>
          <w:rFonts w:hint="eastAsia" w:ascii="宋体" w:hAnsi="宋体" w:eastAsia="宋体" w:cs="宋体"/>
          <w:color w:val="auto"/>
          <w:sz w:val="20"/>
          <w:szCs w:val="20"/>
          <w:highlight w:val="none"/>
        </w:rPr>
      </w:pPr>
    </w:p>
    <w:p w14:paraId="7BB8B3FF">
      <w:pPr>
        <w:pStyle w:val="6"/>
        <w:spacing w:line="288" w:lineRule="auto"/>
        <w:rPr>
          <w:rFonts w:hint="eastAsia" w:ascii="宋体" w:hAnsi="宋体" w:eastAsia="宋体" w:cs="宋体"/>
          <w:color w:val="auto"/>
          <w:sz w:val="20"/>
          <w:szCs w:val="20"/>
          <w:highlight w:val="none"/>
        </w:rPr>
      </w:pPr>
    </w:p>
    <w:p w14:paraId="51D7BB85">
      <w:pPr>
        <w:spacing w:before="79" w:line="219" w:lineRule="auto"/>
        <w:ind w:left="4289"/>
        <w:rPr>
          <w:rFonts w:hint="eastAsia" w:ascii="宋体" w:hAnsi="宋体" w:eastAsia="宋体" w:cs="宋体"/>
          <w:color w:val="auto"/>
          <w:sz w:val="20"/>
          <w:szCs w:val="20"/>
          <w:highlight w:val="none"/>
        </w:rPr>
      </w:pPr>
      <w:r>
        <w:rPr>
          <w:rFonts w:hint="eastAsia" w:ascii="宋体" w:hAnsi="宋体" w:eastAsia="宋体" w:cs="宋体"/>
          <w:color w:val="auto"/>
          <w:spacing w:val="-1"/>
          <w:sz w:val="20"/>
          <w:szCs w:val="20"/>
          <w:highlight w:val="none"/>
        </w:rPr>
        <w:t>供应商名称（电子签章</w:t>
      </w:r>
      <w:r>
        <w:rPr>
          <w:rFonts w:hint="eastAsia" w:ascii="宋体" w:hAnsi="宋体" w:eastAsia="宋体" w:cs="宋体"/>
          <w:color w:val="auto"/>
          <w:sz w:val="20"/>
          <w:szCs w:val="20"/>
          <w:highlight w:val="none"/>
        </w:rPr>
        <w:t>）：</w:t>
      </w:r>
    </w:p>
    <w:p w14:paraId="361AD8F9">
      <w:pPr>
        <w:spacing w:before="180" w:line="220" w:lineRule="auto"/>
        <w:ind w:left="6714"/>
        <w:rPr>
          <w:rFonts w:ascii="宋体" w:hAnsi="宋体" w:eastAsia="宋体" w:cs="宋体"/>
          <w:color w:val="auto"/>
          <w:sz w:val="24"/>
          <w:szCs w:val="24"/>
          <w:highlight w:val="none"/>
        </w:rPr>
      </w:pPr>
      <w:r>
        <w:rPr>
          <w:rFonts w:hint="eastAsia" w:ascii="宋体" w:hAnsi="宋体" w:eastAsia="宋体" w:cs="宋体"/>
          <w:color w:val="auto"/>
          <w:spacing w:val="-13"/>
          <w:sz w:val="20"/>
          <w:szCs w:val="20"/>
          <w:highlight w:val="none"/>
        </w:rPr>
        <w:t>日期：</w:t>
      </w:r>
      <w:r>
        <w:rPr>
          <w:rFonts w:hint="eastAsia" w:ascii="宋体" w:hAnsi="宋体" w:eastAsia="宋体" w:cs="宋体"/>
          <w:color w:val="auto"/>
          <w:spacing w:val="30"/>
          <w:sz w:val="20"/>
          <w:szCs w:val="20"/>
          <w:highlight w:val="none"/>
        </w:rPr>
        <w:t xml:space="preserve"> </w:t>
      </w:r>
      <w:r>
        <w:rPr>
          <w:rFonts w:hint="eastAsia" w:ascii="宋体" w:hAnsi="宋体" w:eastAsia="宋体" w:cs="宋体"/>
          <w:color w:val="auto"/>
          <w:spacing w:val="-13"/>
          <w:sz w:val="20"/>
          <w:szCs w:val="20"/>
          <w:highlight w:val="none"/>
        </w:rPr>
        <w:t>年</w:t>
      </w:r>
      <w:r>
        <w:rPr>
          <w:rFonts w:hint="eastAsia" w:ascii="宋体" w:hAnsi="宋体" w:eastAsia="宋体" w:cs="宋体"/>
          <w:color w:val="auto"/>
          <w:spacing w:val="7"/>
          <w:sz w:val="20"/>
          <w:szCs w:val="20"/>
          <w:highlight w:val="none"/>
        </w:rPr>
        <w:t xml:space="preserve">  </w:t>
      </w:r>
      <w:r>
        <w:rPr>
          <w:rFonts w:hint="eastAsia" w:ascii="宋体" w:hAnsi="宋体" w:eastAsia="宋体" w:cs="宋体"/>
          <w:color w:val="auto"/>
          <w:spacing w:val="-13"/>
          <w:sz w:val="20"/>
          <w:szCs w:val="20"/>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14:paraId="33B1DE0E">
      <w:pPr>
        <w:spacing w:line="220" w:lineRule="auto"/>
        <w:rPr>
          <w:rFonts w:ascii="宋体" w:hAnsi="宋体" w:eastAsia="宋体" w:cs="宋体"/>
          <w:color w:val="auto"/>
          <w:sz w:val="24"/>
          <w:szCs w:val="24"/>
          <w:highlight w:val="none"/>
        </w:rPr>
        <w:sectPr>
          <w:footerReference r:id="rId64" w:type="default"/>
          <w:pgSz w:w="11900" w:h="16840"/>
          <w:pgMar w:top="400" w:right="1436" w:bottom="1039" w:left="1436" w:header="0" w:footer="803" w:gutter="0"/>
          <w:pgNumType w:fmt="decimal"/>
          <w:cols w:space="720" w:num="1"/>
        </w:sectPr>
      </w:pPr>
    </w:p>
    <w:p w14:paraId="196A3E36">
      <w:pPr>
        <w:pStyle w:val="6"/>
        <w:spacing w:line="242" w:lineRule="auto"/>
        <w:rPr>
          <w:color w:val="auto"/>
          <w:highlight w:val="none"/>
        </w:rPr>
      </w:pPr>
    </w:p>
    <w:p w14:paraId="49FA370F">
      <w:pPr>
        <w:pStyle w:val="6"/>
        <w:spacing w:line="243" w:lineRule="auto"/>
        <w:rPr>
          <w:color w:val="auto"/>
          <w:highlight w:val="none"/>
        </w:rPr>
      </w:pPr>
    </w:p>
    <w:p w14:paraId="06B2332B">
      <w:pPr>
        <w:pStyle w:val="6"/>
        <w:spacing w:line="243" w:lineRule="auto"/>
        <w:rPr>
          <w:color w:val="auto"/>
          <w:highlight w:val="none"/>
        </w:rPr>
      </w:pPr>
    </w:p>
    <w:p w14:paraId="7119B576">
      <w:pPr>
        <w:spacing w:before="97" w:line="219" w:lineRule="auto"/>
        <w:ind w:left="2892"/>
        <w:rPr>
          <w:rFonts w:ascii="宋体" w:hAnsi="宋体" w:eastAsia="宋体" w:cs="宋体"/>
          <w:color w:val="auto"/>
          <w:sz w:val="30"/>
          <w:szCs w:val="30"/>
          <w:highlight w:val="none"/>
        </w:rPr>
      </w:pPr>
      <w:r>
        <w:rPr>
          <w:rFonts w:ascii="宋体" w:hAnsi="宋体" w:eastAsia="宋体" w:cs="宋体"/>
          <w:b/>
          <w:bCs/>
          <w:color w:val="auto"/>
          <w:spacing w:val="-4"/>
          <w:sz w:val="30"/>
          <w:szCs w:val="30"/>
          <w:highlight w:val="none"/>
        </w:rPr>
        <w:t>3.项目管理机构配备情况表</w:t>
      </w:r>
    </w:p>
    <w:p w14:paraId="241F3EF4">
      <w:pPr>
        <w:spacing w:before="136"/>
        <w:rPr>
          <w:color w:val="auto"/>
          <w:highlight w:val="none"/>
        </w:rPr>
      </w:pPr>
    </w:p>
    <w:tbl>
      <w:tblPr>
        <w:tblStyle w:val="19"/>
        <w:tblW w:w="93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7"/>
        <w:gridCol w:w="829"/>
        <w:gridCol w:w="816"/>
        <w:gridCol w:w="1147"/>
        <w:gridCol w:w="1147"/>
        <w:gridCol w:w="1147"/>
        <w:gridCol w:w="1147"/>
        <w:gridCol w:w="850"/>
        <w:gridCol w:w="1280"/>
      </w:tblGrid>
      <w:tr w14:paraId="7BA4E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97" w:type="dxa"/>
            <w:vMerge w:val="restart"/>
            <w:tcBorders>
              <w:bottom w:val="nil"/>
            </w:tcBorders>
            <w:vAlign w:val="top"/>
          </w:tcPr>
          <w:p w14:paraId="73424EE0">
            <w:pPr>
              <w:spacing w:line="429" w:lineRule="auto"/>
              <w:rPr>
                <w:rFonts w:ascii="Arial"/>
                <w:color w:val="auto"/>
                <w:sz w:val="20"/>
                <w:szCs w:val="20"/>
                <w:highlight w:val="none"/>
              </w:rPr>
            </w:pPr>
          </w:p>
          <w:p w14:paraId="14101B67">
            <w:pPr>
              <w:pStyle w:val="20"/>
              <w:spacing w:before="78" w:line="221" w:lineRule="auto"/>
              <w:ind w:left="292"/>
              <w:rPr>
                <w:color w:val="auto"/>
                <w:sz w:val="20"/>
                <w:szCs w:val="20"/>
                <w:highlight w:val="none"/>
              </w:rPr>
            </w:pPr>
            <w:r>
              <w:rPr>
                <w:color w:val="auto"/>
                <w:spacing w:val="-18"/>
                <w:sz w:val="20"/>
                <w:szCs w:val="20"/>
                <w:highlight w:val="none"/>
              </w:rPr>
              <w:t>岗位</w:t>
            </w:r>
          </w:p>
        </w:tc>
        <w:tc>
          <w:tcPr>
            <w:tcW w:w="829" w:type="dxa"/>
            <w:vMerge w:val="restart"/>
            <w:tcBorders>
              <w:bottom w:val="nil"/>
            </w:tcBorders>
            <w:vAlign w:val="top"/>
          </w:tcPr>
          <w:p w14:paraId="683BAA6D">
            <w:pPr>
              <w:spacing w:line="429" w:lineRule="auto"/>
              <w:rPr>
                <w:rFonts w:ascii="Arial"/>
                <w:color w:val="auto"/>
                <w:sz w:val="20"/>
                <w:szCs w:val="20"/>
                <w:highlight w:val="none"/>
              </w:rPr>
            </w:pPr>
          </w:p>
          <w:p w14:paraId="5E0E32AD">
            <w:pPr>
              <w:pStyle w:val="20"/>
              <w:spacing w:before="78" w:line="220" w:lineRule="auto"/>
              <w:ind w:left="178"/>
              <w:rPr>
                <w:color w:val="auto"/>
                <w:sz w:val="20"/>
                <w:szCs w:val="20"/>
                <w:highlight w:val="none"/>
              </w:rPr>
            </w:pPr>
            <w:r>
              <w:rPr>
                <w:color w:val="auto"/>
                <w:spacing w:val="-5"/>
                <w:sz w:val="20"/>
                <w:szCs w:val="20"/>
                <w:highlight w:val="none"/>
              </w:rPr>
              <w:t>姓名</w:t>
            </w:r>
          </w:p>
        </w:tc>
        <w:tc>
          <w:tcPr>
            <w:tcW w:w="816" w:type="dxa"/>
            <w:vMerge w:val="restart"/>
            <w:tcBorders>
              <w:bottom w:val="nil"/>
            </w:tcBorders>
            <w:vAlign w:val="top"/>
          </w:tcPr>
          <w:p w14:paraId="438C1C3F">
            <w:pPr>
              <w:spacing w:line="429" w:lineRule="auto"/>
              <w:rPr>
                <w:rFonts w:ascii="Arial"/>
                <w:color w:val="auto"/>
                <w:sz w:val="20"/>
                <w:szCs w:val="20"/>
                <w:highlight w:val="none"/>
              </w:rPr>
            </w:pPr>
          </w:p>
          <w:p w14:paraId="4940DFBD">
            <w:pPr>
              <w:pStyle w:val="20"/>
              <w:spacing w:before="78" w:line="222" w:lineRule="auto"/>
              <w:ind w:left="173"/>
              <w:rPr>
                <w:color w:val="auto"/>
                <w:sz w:val="20"/>
                <w:szCs w:val="20"/>
                <w:highlight w:val="none"/>
              </w:rPr>
            </w:pPr>
            <w:r>
              <w:rPr>
                <w:color w:val="auto"/>
                <w:spacing w:val="-6"/>
                <w:sz w:val="20"/>
                <w:szCs w:val="20"/>
                <w:highlight w:val="none"/>
              </w:rPr>
              <w:t>职称</w:t>
            </w:r>
          </w:p>
        </w:tc>
        <w:tc>
          <w:tcPr>
            <w:tcW w:w="4588" w:type="dxa"/>
            <w:gridSpan w:val="4"/>
            <w:vAlign w:val="top"/>
          </w:tcPr>
          <w:p w14:paraId="0AD7AFFC">
            <w:pPr>
              <w:pStyle w:val="20"/>
              <w:spacing w:before="195" w:line="220" w:lineRule="auto"/>
              <w:ind w:left="1221"/>
              <w:rPr>
                <w:color w:val="auto"/>
                <w:sz w:val="20"/>
                <w:szCs w:val="20"/>
                <w:highlight w:val="none"/>
              </w:rPr>
            </w:pPr>
            <w:r>
              <w:rPr>
                <w:color w:val="auto"/>
                <w:spacing w:val="-2"/>
                <w:sz w:val="20"/>
                <w:szCs w:val="20"/>
                <w:highlight w:val="none"/>
              </w:rPr>
              <w:t>执业或职业资格证明</w:t>
            </w:r>
          </w:p>
        </w:tc>
        <w:tc>
          <w:tcPr>
            <w:tcW w:w="2130" w:type="dxa"/>
            <w:gridSpan w:val="2"/>
            <w:vAlign w:val="top"/>
          </w:tcPr>
          <w:p w14:paraId="081C9074">
            <w:pPr>
              <w:pStyle w:val="20"/>
              <w:spacing w:before="39" w:line="220" w:lineRule="auto"/>
              <w:ind w:left="231"/>
              <w:rPr>
                <w:color w:val="auto"/>
                <w:sz w:val="20"/>
                <w:szCs w:val="20"/>
                <w:highlight w:val="none"/>
              </w:rPr>
            </w:pPr>
            <w:r>
              <w:rPr>
                <w:color w:val="auto"/>
                <w:spacing w:val="-2"/>
                <w:sz w:val="20"/>
                <w:szCs w:val="20"/>
                <w:highlight w:val="none"/>
              </w:rPr>
              <w:t>承担完工工程情</w:t>
            </w:r>
          </w:p>
          <w:p w14:paraId="105E30A3">
            <w:pPr>
              <w:pStyle w:val="20"/>
              <w:spacing w:before="26" w:line="207" w:lineRule="auto"/>
              <w:ind w:left="1080"/>
              <w:rPr>
                <w:color w:val="auto"/>
                <w:sz w:val="20"/>
                <w:szCs w:val="20"/>
                <w:highlight w:val="none"/>
              </w:rPr>
            </w:pPr>
            <w:r>
              <w:rPr>
                <w:color w:val="auto"/>
                <w:sz w:val="20"/>
                <w:szCs w:val="20"/>
                <w:highlight w:val="none"/>
              </w:rPr>
              <w:t>况</w:t>
            </w:r>
          </w:p>
        </w:tc>
      </w:tr>
      <w:tr w14:paraId="66EC1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97" w:type="dxa"/>
            <w:vMerge w:val="continue"/>
            <w:tcBorders>
              <w:top w:val="nil"/>
            </w:tcBorders>
            <w:vAlign w:val="top"/>
          </w:tcPr>
          <w:p w14:paraId="7969C390">
            <w:pPr>
              <w:rPr>
                <w:rFonts w:ascii="Arial"/>
                <w:color w:val="auto"/>
                <w:sz w:val="20"/>
                <w:szCs w:val="20"/>
                <w:highlight w:val="none"/>
              </w:rPr>
            </w:pPr>
          </w:p>
        </w:tc>
        <w:tc>
          <w:tcPr>
            <w:tcW w:w="829" w:type="dxa"/>
            <w:vMerge w:val="continue"/>
            <w:tcBorders>
              <w:top w:val="nil"/>
            </w:tcBorders>
            <w:vAlign w:val="top"/>
          </w:tcPr>
          <w:p w14:paraId="7A519CE2">
            <w:pPr>
              <w:rPr>
                <w:rFonts w:ascii="Arial"/>
                <w:color w:val="auto"/>
                <w:sz w:val="20"/>
                <w:szCs w:val="20"/>
                <w:highlight w:val="none"/>
              </w:rPr>
            </w:pPr>
          </w:p>
        </w:tc>
        <w:tc>
          <w:tcPr>
            <w:tcW w:w="816" w:type="dxa"/>
            <w:vMerge w:val="continue"/>
            <w:tcBorders>
              <w:top w:val="nil"/>
            </w:tcBorders>
            <w:vAlign w:val="top"/>
          </w:tcPr>
          <w:p w14:paraId="65E51272">
            <w:pPr>
              <w:rPr>
                <w:rFonts w:ascii="Arial"/>
                <w:color w:val="auto"/>
                <w:sz w:val="20"/>
                <w:szCs w:val="20"/>
                <w:highlight w:val="none"/>
              </w:rPr>
            </w:pPr>
          </w:p>
        </w:tc>
        <w:tc>
          <w:tcPr>
            <w:tcW w:w="1147" w:type="dxa"/>
            <w:vAlign w:val="top"/>
          </w:tcPr>
          <w:p w14:paraId="454709A0">
            <w:pPr>
              <w:pStyle w:val="20"/>
              <w:spacing w:before="38" w:line="223" w:lineRule="auto"/>
              <w:ind w:left="584" w:right="213" w:hanging="366"/>
              <w:rPr>
                <w:color w:val="auto"/>
                <w:sz w:val="20"/>
                <w:szCs w:val="20"/>
                <w:highlight w:val="none"/>
              </w:rPr>
            </w:pPr>
            <w:r>
              <w:rPr>
                <w:color w:val="auto"/>
                <w:spacing w:val="-4"/>
                <w:sz w:val="20"/>
                <w:szCs w:val="20"/>
                <w:highlight w:val="none"/>
              </w:rPr>
              <w:t>证书名</w:t>
            </w:r>
            <w:r>
              <w:rPr>
                <w:color w:val="auto"/>
                <w:spacing w:val="1"/>
                <w:sz w:val="20"/>
                <w:szCs w:val="20"/>
                <w:highlight w:val="none"/>
              </w:rPr>
              <w:t xml:space="preserve"> </w:t>
            </w:r>
            <w:r>
              <w:rPr>
                <w:color w:val="auto"/>
                <w:sz w:val="20"/>
                <w:szCs w:val="20"/>
                <w:highlight w:val="none"/>
              </w:rPr>
              <w:t>称</w:t>
            </w:r>
          </w:p>
        </w:tc>
        <w:tc>
          <w:tcPr>
            <w:tcW w:w="1147" w:type="dxa"/>
            <w:vAlign w:val="top"/>
          </w:tcPr>
          <w:p w14:paraId="37700C0F">
            <w:pPr>
              <w:pStyle w:val="20"/>
              <w:spacing w:before="190" w:line="221" w:lineRule="auto"/>
              <w:ind w:left="344"/>
              <w:rPr>
                <w:color w:val="auto"/>
                <w:sz w:val="20"/>
                <w:szCs w:val="20"/>
                <w:highlight w:val="none"/>
              </w:rPr>
            </w:pPr>
            <w:r>
              <w:rPr>
                <w:color w:val="auto"/>
                <w:spacing w:val="-7"/>
                <w:sz w:val="20"/>
                <w:szCs w:val="20"/>
                <w:highlight w:val="none"/>
              </w:rPr>
              <w:t>级别</w:t>
            </w:r>
          </w:p>
        </w:tc>
        <w:tc>
          <w:tcPr>
            <w:tcW w:w="1147" w:type="dxa"/>
            <w:vAlign w:val="top"/>
          </w:tcPr>
          <w:p w14:paraId="66512829">
            <w:pPr>
              <w:pStyle w:val="20"/>
              <w:spacing w:before="190" w:line="222" w:lineRule="auto"/>
              <w:ind w:left="341"/>
              <w:rPr>
                <w:color w:val="auto"/>
                <w:sz w:val="20"/>
                <w:szCs w:val="20"/>
                <w:highlight w:val="none"/>
              </w:rPr>
            </w:pPr>
            <w:r>
              <w:rPr>
                <w:color w:val="auto"/>
                <w:spacing w:val="-5"/>
                <w:sz w:val="20"/>
                <w:szCs w:val="20"/>
                <w:highlight w:val="none"/>
              </w:rPr>
              <w:t>证号</w:t>
            </w:r>
          </w:p>
        </w:tc>
        <w:tc>
          <w:tcPr>
            <w:tcW w:w="1147" w:type="dxa"/>
            <w:vAlign w:val="top"/>
          </w:tcPr>
          <w:p w14:paraId="4291669B">
            <w:pPr>
              <w:pStyle w:val="20"/>
              <w:spacing w:before="190" w:line="221" w:lineRule="auto"/>
              <w:ind w:left="342"/>
              <w:rPr>
                <w:color w:val="auto"/>
                <w:sz w:val="20"/>
                <w:szCs w:val="20"/>
                <w:highlight w:val="none"/>
              </w:rPr>
            </w:pPr>
            <w:r>
              <w:rPr>
                <w:color w:val="auto"/>
                <w:spacing w:val="-6"/>
                <w:sz w:val="20"/>
                <w:szCs w:val="20"/>
                <w:highlight w:val="none"/>
              </w:rPr>
              <w:t>专业</w:t>
            </w:r>
          </w:p>
        </w:tc>
        <w:tc>
          <w:tcPr>
            <w:tcW w:w="850" w:type="dxa"/>
            <w:vAlign w:val="top"/>
          </w:tcPr>
          <w:p w14:paraId="5C458CFE">
            <w:pPr>
              <w:pStyle w:val="20"/>
              <w:spacing w:before="38" w:line="223" w:lineRule="auto"/>
              <w:ind w:left="440" w:right="174" w:hanging="242"/>
              <w:rPr>
                <w:color w:val="auto"/>
                <w:sz w:val="20"/>
                <w:szCs w:val="20"/>
                <w:highlight w:val="none"/>
              </w:rPr>
            </w:pPr>
            <w:r>
              <w:rPr>
                <w:color w:val="auto"/>
                <w:spacing w:val="-7"/>
                <w:sz w:val="20"/>
                <w:szCs w:val="20"/>
                <w:highlight w:val="none"/>
              </w:rPr>
              <w:t>项目</w:t>
            </w:r>
            <w:r>
              <w:rPr>
                <w:color w:val="auto"/>
                <w:sz w:val="20"/>
                <w:szCs w:val="20"/>
                <w:highlight w:val="none"/>
              </w:rPr>
              <w:t xml:space="preserve"> </w:t>
            </w:r>
            <w:r>
              <w:rPr>
                <w:color w:val="auto"/>
                <w:spacing w:val="-12"/>
                <w:sz w:val="20"/>
                <w:szCs w:val="20"/>
                <w:highlight w:val="none"/>
              </w:rPr>
              <w:t>数</w:t>
            </w:r>
          </w:p>
        </w:tc>
        <w:tc>
          <w:tcPr>
            <w:tcW w:w="1280" w:type="dxa"/>
            <w:vAlign w:val="top"/>
          </w:tcPr>
          <w:p w14:paraId="342945E0">
            <w:pPr>
              <w:pStyle w:val="20"/>
              <w:spacing w:before="36" w:line="221" w:lineRule="auto"/>
              <w:ind w:left="167"/>
              <w:rPr>
                <w:color w:val="auto"/>
                <w:sz w:val="20"/>
                <w:szCs w:val="20"/>
                <w:highlight w:val="none"/>
              </w:rPr>
            </w:pPr>
            <w:r>
              <w:rPr>
                <w:color w:val="auto"/>
                <w:spacing w:val="-3"/>
                <w:sz w:val="20"/>
                <w:szCs w:val="20"/>
                <w:highlight w:val="none"/>
              </w:rPr>
              <w:t>主要项目</w:t>
            </w:r>
          </w:p>
          <w:p w14:paraId="5585BE6C">
            <w:pPr>
              <w:pStyle w:val="20"/>
              <w:spacing w:before="22" w:line="209" w:lineRule="auto"/>
              <w:ind w:left="408"/>
              <w:rPr>
                <w:color w:val="auto"/>
                <w:sz w:val="20"/>
                <w:szCs w:val="20"/>
                <w:highlight w:val="none"/>
              </w:rPr>
            </w:pPr>
            <w:r>
              <w:rPr>
                <w:color w:val="auto"/>
                <w:spacing w:val="-7"/>
                <w:sz w:val="20"/>
                <w:szCs w:val="20"/>
                <w:highlight w:val="none"/>
              </w:rPr>
              <w:t>名称</w:t>
            </w:r>
          </w:p>
        </w:tc>
      </w:tr>
      <w:tr w14:paraId="16301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7" w:type="dxa"/>
            <w:vAlign w:val="top"/>
          </w:tcPr>
          <w:p w14:paraId="0BCE9A43">
            <w:pPr>
              <w:pStyle w:val="20"/>
              <w:spacing w:before="210" w:line="222" w:lineRule="auto"/>
              <w:ind w:left="145"/>
              <w:rPr>
                <w:color w:val="auto"/>
                <w:sz w:val="20"/>
                <w:szCs w:val="20"/>
                <w:highlight w:val="none"/>
              </w:rPr>
            </w:pPr>
            <w:r>
              <w:rPr>
                <w:color w:val="auto"/>
                <w:spacing w:val="-3"/>
                <w:sz w:val="20"/>
                <w:szCs w:val="20"/>
                <w:highlight w:val="none"/>
              </w:rPr>
              <w:t>施工员</w:t>
            </w:r>
          </w:p>
        </w:tc>
        <w:tc>
          <w:tcPr>
            <w:tcW w:w="829" w:type="dxa"/>
            <w:vAlign w:val="top"/>
          </w:tcPr>
          <w:p w14:paraId="098DE36D">
            <w:pPr>
              <w:rPr>
                <w:rFonts w:ascii="Arial"/>
                <w:color w:val="auto"/>
                <w:sz w:val="20"/>
                <w:szCs w:val="20"/>
                <w:highlight w:val="none"/>
              </w:rPr>
            </w:pPr>
          </w:p>
        </w:tc>
        <w:tc>
          <w:tcPr>
            <w:tcW w:w="816" w:type="dxa"/>
            <w:vAlign w:val="top"/>
          </w:tcPr>
          <w:p w14:paraId="5D41FFD6">
            <w:pPr>
              <w:rPr>
                <w:rFonts w:ascii="Arial"/>
                <w:color w:val="auto"/>
                <w:sz w:val="20"/>
                <w:szCs w:val="20"/>
                <w:highlight w:val="none"/>
              </w:rPr>
            </w:pPr>
          </w:p>
        </w:tc>
        <w:tc>
          <w:tcPr>
            <w:tcW w:w="1147" w:type="dxa"/>
            <w:vAlign w:val="top"/>
          </w:tcPr>
          <w:p w14:paraId="3FC7418B">
            <w:pPr>
              <w:rPr>
                <w:rFonts w:ascii="Arial"/>
                <w:color w:val="auto"/>
                <w:sz w:val="20"/>
                <w:szCs w:val="20"/>
                <w:highlight w:val="none"/>
              </w:rPr>
            </w:pPr>
          </w:p>
        </w:tc>
        <w:tc>
          <w:tcPr>
            <w:tcW w:w="1147" w:type="dxa"/>
            <w:vAlign w:val="top"/>
          </w:tcPr>
          <w:p w14:paraId="46A6250C">
            <w:pPr>
              <w:rPr>
                <w:rFonts w:ascii="Arial"/>
                <w:color w:val="auto"/>
                <w:sz w:val="20"/>
                <w:szCs w:val="20"/>
                <w:highlight w:val="none"/>
              </w:rPr>
            </w:pPr>
          </w:p>
        </w:tc>
        <w:tc>
          <w:tcPr>
            <w:tcW w:w="1147" w:type="dxa"/>
            <w:vAlign w:val="top"/>
          </w:tcPr>
          <w:p w14:paraId="24781A13">
            <w:pPr>
              <w:rPr>
                <w:rFonts w:ascii="Arial"/>
                <w:color w:val="auto"/>
                <w:sz w:val="20"/>
                <w:szCs w:val="20"/>
                <w:highlight w:val="none"/>
              </w:rPr>
            </w:pPr>
          </w:p>
        </w:tc>
        <w:tc>
          <w:tcPr>
            <w:tcW w:w="1147" w:type="dxa"/>
            <w:vAlign w:val="top"/>
          </w:tcPr>
          <w:p w14:paraId="51E48F50">
            <w:pPr>
              <w:rPr>
                <w:rFonts w:ascii="Arial"/>
                <w:color w:val="auto"/>
                <w:sz w:val="20"/>
                <w:szCs w:val="20"/>
                <w:highlight w:val="none"/>
              </w:rPr>
            </w:pPr>
          </w:p>
        </w:tc>
        <w:tc>
          <w:tcPr>
            <w:tcW w:w="850" w:type="dxa"/>
            <w:vAlign w:val="top"/>
          </w:tcPr>
          <w:p w14:paraId="5F1829E1">
            <w:pPr>
              <w:rPr>
                <w:rFonts w:ascii="Arial"/>
                <w:color w:val="auto"/>
                <w:sz w:val="20"/>
                <w:szCs w:val="20"/>
                <w:highlight w:val="none"/>
              </w:rPr>
            </w:pPr>
          </w:p>
        </w:tc>
        <w:tc>
          <w:tcPr>
            <w:tcW w:w="1280" w:type="dxa"/>
            <w:vAlign w:val="top"/>
          </w:tcPr>
          <w:p w14:paraId="0D3D6BB2">
            <w:pPr>
              <w:rPr>
                <w:rFonts w:ascii="Arial"/>
                <w:color w:val="auto"/>
                <w:sz w:val="20"/>
                <w:szCs w:val="20"/>
                <w:highlight w:val="none"/>
              </w:rPr>
            </w:pPr>
          </w:p>
        </w:tc>
      </w:tr>
      <w:tr w14:paraId="0BD99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997" w:type="dxa"/>
            <w:vAlign w:val="top"/>
          </w:tcPr>
          <w:p w14:paraId="65C7826E">
            <w:pPr>
              <w:pStyle w:val="20"/>
              <w:spacing w:before="210" w:line="221" w:lineRule="auto"/>
              <w:ind w:left="146"/>
              <w:rPr>
                <w:color w:val="auto"/>
                <w:sz w:val="20"/>
                <w:szCs w:val="20"/>
                <w:highlight w:val="none"/>
              </w:rPr>
            </w:pPr>
            <w:r>
              <w:rPr>
                <w:color w:val="auto"/>
                <w:spacing w:val="-4"/>
                <w:sz w:val="20"/>
                <w:szCs w:val="20"/>
                <w:highlight w:val="none"/>
              </w:rPr>
              <w:t>质量员</w:t>
            </w:r>
          </w:p>
        </w:tc>
        <w:tc>
          <w:tcPr>
            <w:tcW w:w="829" w:type="dxa"/>
            <w:vAlign w:val="top"/>
          </w:tcPr>
          <w:p w14:paraId="4223F14E">
            <w:pPr>
              <w:rPr>
                <w:rFonts w:ascii="Arial"/>
                <w:color w:val="auto"/>
                <w:sz w:val="20"/>
                <w:szCs w:val="20"/>
                <w:highlight w:val="none"/>
              </w:rPr>
            </w:pPr>
          </w:p>
        </w:tc>
        <w:tc>
          <w:tcPr>
            <w:tcW w:w="816" w:type="dxa"/>
            <w:vAlign w:val="top"/>
          </w:tcPr>
          <w:p w14:paraId="308C23D4">
            <w:pPr>
              <w:rPr>
                <w:rFonts w:ascii="Arial"/>
                <w:color w:val="auto"/>
                <w:sz w:val="20"/>
                <w:szCs w:val="20"/>
                <w:highlight w:val="none"/>
              </w:rPr>
            </w:pPr>
          </w:p>
        </w:tc>
        <w:tc>
          <w:tcPr>
            <w:tcW w:w="1147" w:type="dxa"/>
            <w:vAlign w:val="top"/>
          </w:tcPr>
          <w:p w14:paraId="4E44FE25">
            <w:pPr>
              <w:rPr>
                <w:rFonts w:ascii="Arial"/>
                <w:color w:val="auto"/>
                <w:sz w:val="20"/>
                <w:szCs w:val="20"/>
                <w:highlight w:val="none"/>
              </w:rPr>
            </w:pPr>
          </w:p>
        </w:tc>
        <w:tc>
          <w:tcPr>
            <w:tcW w:w="1147" w:type="dxa"/>
            <w:vAlign w:val="top"/>
          </w:tcPr>
          <w:p w14:paraId="1B487207">
            <w:pPr>
              <w:rPr>
                <w:rFonts w:ascii="Arial"/>
                <w:color w:val="auto"/>
                <w:sz w:val="20"/>
                <w:szCs w:val="20"/>
                <w:highlight w:val="none"/>
              </w:rPr>
            </w:pPr>
          </w:p>
        </w:tc>
        <w:tc>
          <w:tcPr>
            <w:tcW w:w="1147" w:type="dxa"/>
            <w:vAlign w:val="top"/>
          </w:tcPr>
          <w:p w14:paraId="6889129C">
            <w:pPr>
              <w:rPr>
                <w:rFonts w:ascii="Arial"/>
                <w:color w:val="auto"/>
                <w:sz w:val="20"/>
                <w:szCs w:val="20"/>
                <w:highlight w:val="none"/>
              </w:rPr>
            </w:pPr>
          </w:p>
        </w:tc>
        <w:tc>
          <w:tcPr>
            <w:tcW w:w="1147" w:type="dxa"/>
            <w:vAlign w:val="top"/>
          </w:tcPr>
          <w:p w14:paraId="6F6FD658">
            <w:pPr>
              <w:rPr>
                <w:rFonts w:ascii="Arial"/>
                <w:color w:val="auto"/>
                <w:sz w:val="20"/>
                <w:szCs w:val="20"/>
                <w:highlight w:val="none"/>
              </w:rPr>
            </w:pPr>
          </w:p>
        </w:tc>
        <w:tc>
          <w:tcPr>
            <w:tcW w:w="850" w:type="dxa"/>
            <w:vAlign w:val="top"/>
          </w:tcPr>
          <w:p w14:paraId="36AAC236">
            <w:pPr>
              <w:rPr>
                <w:rFonts w:ascii="Arial"/>
                <w:color w:val="auto"/>
                <w:sz w:val="20"/>
                <w:szCs w:val="20"/>
                <w:highlight w:val="none"/>
              </w:rPr>
            </w:pPr>
          </w:p>
        </w:tc>
        <w:tc>
          <w:tcPr>
            <w:tcW w:w="1280" w:type="dxa"/>
            <w:vAlign w:val="top"/>
          </w:tcPr>
          <w:p w14:paraId="74A5A574">
            <w:pPr>
              <w:rPr>
                <w:rFonts w:ascii="Arial"/>
                <w:color w:val="auto"/>
                <w:sz w:val="20"/>
                <w:szCs w:val="20"/>
                <w:highlight w:val="none"/>
              </w:rPr>
            </w:pPr>
          </w:p>
        </w:tc>
      </w:tr>
      <w:tr w14:paraId="3139A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7" w:type="dxa"/>
            <w:vAlign w:val="top"/>
          </w:tcPr>
          <w:p w14:paraId="24CFFE60">
            <w:pPr>
              <w:pStyle w:val="20"/>
              <w:spacing w:before="210" w:line="222" w:lineRule="auto"/>
              <w:ind w:left="150"/>
              <w:rPr>
                <w:color w:val="auto"/>
                <w:sz w:val="20"/>
                <w:szCs w:val="20"/>
                <w:highlight w:val="none"/>
              </w:rPr>
            </w:pPr>
            <w:r>
              <w:rPr>
                <w:color w:val="auto"/>
                <w:spacing w:val="-5"/>
                <w:sz w:val="20"/>
                <w:szCs w:val="20"/>
                <w:highlight w:val="none"/>
              </w:rPr>
              <w:t>安全员</w:t>
            </w:r>
          </w:p>
        </w:tc>
        <w:tc>
          <w:tcPr>
            <w:tcW w:w="829" w:type="dxa"/>
            <w:vAlign w:val="top"/>
          </w:tcPr>
          <w:p w14:paraId="51CDD7EF">
            <w:pPr>
              <w:rPr>
                <w:rFonts w:ascii="Arial"/>
                <w:color w:val="auto"/>
                <w:sz w:val="20"/>
                <w:szCs w:val="20"/>
                <w:highlight w:val="none"/>
              </w:rPr>
            </w:pPr>
          </w:p>
        </w:tc>
        <w:tc>
          <w:tcPr>
            <w:tcW w:w="816" w:type="dxa"/>
            <w:vAlign w:val="top"/>
          </w:tcPr>
          <w:p w14:paraId="28153170">
            <w:pPr>
              <w:rPr>
                <w:rFonts w:ascii="Arial"/>
                <w:color w:val="auto"/>
                <w:sz w:val="20"/>
                <w:szCs w:val="20"/>
                <w:highlight w:val="none"/>
              </w:rPr>
            </w:pPr>
          </w:p>
        </w:tc>
        <w:tc>
          <w:tcPr>
            <w:tcW w:w="1147" w:type="dxa"/>
            <w:vAlign w:val="top"/>
          </w:tcPr>
          <w:p w14:paraId="1A8DE2AF">
            <w:pPr>
              <w:rPr>
                <w:rFonts w:ascii="Arial"/>
                <w:color w:val="auto"/>
                <w:sz w:val="20"/>
                <w:szCs w:val="20"/>
                <w:highlight w:val="none"/>
              </w:rPr>
            </w:pPr>
          </w:p>
        </w:tc>
        <w:tc>
          <w:tcPr>
            <w:tcW w:w="1147" w:type="dxa"/>
            <w:vAlign w:val="top"/>
          </w:tcPr>
          <w:p w14:paraId="2C368C0C">
            <w:pPr>
              <w:rPr>
                <w:rFonts w:ascii="Arial"/>
                <w:color w:val="auto"/>
                <w:sz w:val="20"/>
                <w:szCs w:val="20"/>
                <w:highlight w:val="none"/>
              </w:rPr>
            </w:pPr>
          </w:p>
        </w:tc>
        <w:tc>
          <w:tcPr>
            <w:tcW w:w="1147" w:type="dxa"/>
            <w:vAlign w:val="top"/>
          </w:tcPr>
          <w:p w14:paraId="02D514AD">
            <w:pPr>
              <w:rPr>
                <w:rFonts w:ascii="Arial"/>
                <w:color w:val="auto"/>
                <w:sz w:val="20"/>
                <w:szCs w:val="20"/>
                <w:highlight w:val="none"/>
              </w:rPr>
            </w:pPr>
          </w:p>
        </w:tc>
        <w:tc>
          <w:tcPr>
            <w:tcW w:w="1147" w:type="dxa"/>
            <w:vAlign w:val="top"/>
          </w:tcPr>
          <w:p w14:paraId="6E61640B">
            <w:pPr>
              <w:rPr>
                <w:rFonts w:ascii="Arial"/>
                <w:color w:val="auto"/>
                <w:sz w:val="20"/>
                <w:szCs w:val="20"/>
                <w:highlight w:val="none"/>
              </w:rPr>
            </w:pPr>
          </w:p>
        </w:tc>
        <w:tc>
          <w:tcPr>
            <w:tcW w:w="850" w:type="dxa"/>
            <w:vAlign w:val="top"/>
          </w:tcPr>
          <w:p w14:paraId="312AEBB3">
            <w:pPr>
              <w:rPr>
                <w:rFonts w:ascii="Arial"/>
                <w:color w:val="auto"/>
                <w:sz w:val="20"/>
                <w:szCs w:val="20"/>
                <w:highlight w:val="none"/>
              </w:rPr>
            </w:pPr>
          </w:p>
        </w:tc>
        <w:tc>
          <w:tcPr>
            <w:tcW w:w="1280" w:type="dxa"/>
            <w:vAlign w:val="top"/>
          </w:tcPr>
          <w:p w14:paraId="6DA4066C">
            <w:pPr>
              <w:rPr>
                <w:rFonts w:ascii="Arial"/>
                <w:color w:val="auto"/>
                <w:sz w:val="20"/>
                <w:szCs w:val="20"/>
                <w:highlight w:val="none"/>
              </w:rPr>
            </w:pPr>
          </w:p>
        </w:tc>
      </w:tr>
      <w:tr w14:paraId="675AC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7" w:type="dxa"/>
            <w:vAlign w:val="top"/>
          </w:tcPr>
          <w:p w14:paraId="35F115D1">
            <w:pPr>
              <w:pStyle w:val="20"/>
              <w:spacing w:before="211" w:line="219" w:lineRule="auto"/>
              <w:ind w:left="145"/>
              <w:rPr>
                <w:color w:val="auto"/>
                <w:sz w:val="20"/>
                <w:szCs w:val="20"/>
                <w:highlight w:val="none"/>
              </w:rPr>
            </w:pPr>
            <w:r>
              <w:rPr>
                <w:color w:val="auto"/>
                <w:spacing w:val="-4"/>
                <w:sz w:val="20"/>
                <w:szCs w:val="20"/>
                <w:highlight w:val="none"/>
              </w:rPr>
              <w:t>材料员</w:t>
            </w:r>
          </w:p>
        </w:tc>
        <w:tc>
          <w:tcPr>
            <w:tcW w:w="829" w:type="dxa"/>
            <w:vAlign w:val="top"/>
          </w:tcPr>
          <w:p w14:paraId="78533CA5">
            <w:pPr>
              <w:rPr>
                <w:rFonts w:ascii="Arial"/>
                <w:color w:val="auto"/>
                <w:sz w:val="20"/>
                <w:szCs w:val="20"/>
                <w:highlight w:val="none"/>
              </w:rPr>
            </w:pPr>
          </w:p>
        </w:tc>
        <w:tc>
          <w:tcPr>
            <w:tcW w:w="816" w:type="dxa"/>
            <w:vAlign w:val="top"/>
          </w:tcPr>
          <w:p w14:paraId="17AD2C40">
            <w:pPr>
              <w:rPr>
                <w:rFonts w:ascii="Arial"/>
                <w:color w:val="auto"/>
                <w:sz w:val="20"/>
                <w:szCs w:val="20"/>
                <w:highlight w:val="none"/>
              </w:rPr>
            </w:pPr>
          </w:p>
        </w:tc>
        <w:tc>
          <w:tcPr>
            <w:tcW w:w="1147" w:type="dxa"/>
            <w:vAlign w:val="top"/>
          </w:tcPr>
          <w:p w14:paraId="54FAB317">
            <w:pPr>
              <w:rPr>
                <w:rFonts w:ascii="Arial"/>
                <w:color w:val="auto"/>
                <w:sz w:val="20"/>
                <w:szCs w:val="20"/>
                <w:highlight w:val="none"/>
              </w:rPr>
            </w:pPr>
          </w:p>
        </w:tc>
        <w:tc>
          <w:tcPr>
            <w:tcW w:w="1147" w:type="dxa"/>
            <w:vAlign w:val="top"/>
          </w:tcPr>
          <w:p w14:paraId="5B600394">
            <w:pPr>
              <w:rPr>
                <w:rFonts w:ascii="Arial"/>
                <w:color w:val="auto"/>
                <w:sz w:val="20"/>
                <w:szCs w:val="20"/>
                <w:highlight w:val="none"/>
              </w:rPr>
            </w:pPr>
          </w:p>
        </w:tc>
        <w:tc>
          <w:tcPr>
            <w:tcW w:w="1147" w:type="dxa"/>
            <w:vAlign w:val="top"/>
          </w:tcPr>
          <w:p w14:paraId="5170E4B3">
            <w:pPr>
              <w:rPr>
                <w:rFonts w:ascii="Arial"/>
                <w:color w:val="auto"/>
                <w:sz w:val="20"/>
                <w:szCs w:val="20"/>
                <w:highlight w:val="none"/>
              </w:rPr>
            </w:pPr>
          </w:p>
        </w:tc>
        <w:tc>
          <w:tcPr>
            <w:tcW w:w="1147" w:type="dxa"/>
            <w:vAlign w:val="top"/>
          </w:tcPr>
          <w:p w14:paraId="5869416B">
            <w:pPr>
              <w:rPr>
                <w:rFonts w:ascii="Arial"/>
                <w:color w:val="auto"/>
                <w:sz w:val="20"/>
                <w:szCs w:val="20"/>
                <w:highlight w:val="none"/>
              </w:rPr>
            </w:pPr>
          </w:p>
        </w:tc>
        <w:tc>
          <w:tcPr>
            <w:tcW w:w="850" w:type="dxa"/>
            <w:vAlign w:val="top"/>
          </w:tcPr>
          <w:p w14:paraId="169BDB81">
            <w:pPr>
              <w:rPr>
                <w:rFonts w:ascii="Arial"/>
                <w:color w:val="auto"/>
                <w:sz w:val="20"/>
                <w:szCs w:val="20"/>
                <w:highlight w:val="none"/>
              </w:rPr>
            </w:pPr>
          </w:p>
        </w:tc>
        <w:tc>
          <w:tcPr>
            <w:tcW w:w="1280" w:type="dxa"/>
            <w:vAlign w:val="top"/>
          </w:tcPr>
          <w:p w14:paraId="34C0073D">
            <w:pPr>
              <w:rPr>
                <w:rFonts w:ascii="Arial"/>
                <w:color w:val="auto"/>
                <w:sz w:val="20"/>
                <w:szCs w:val="20"/>
                <w:highlight w:val="none"/>
              </w:rPr>
            </w:pPr>
          </w:p>
        </w:tc>
      </w:tr>
      <w:tr w14:paraId="60397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7" w:type="dxa"/>
            <w:vAlign w:val="top"/>
          </w:tcPr>
          <w:p w14:paraId="40014752">
            <w:pPr>
              <w:rPr>
                <w:rFonts w:ascii="Arial"/>
                <w:color w:val="auto"/>
                <w:sz w:val="20"/>
                <w:szCs w:val="20"/>
                <w:highlight w:val="none"/>
              </w:rPr>
            </w:pPr>
          </w:p>
        </w:tc>
        <w:tc>
          <w:tcPr>
            <w:tcW w:w="829" w:type="dxa"/>
            <w:vAlign w:val="top"/>
          </w:tcPr>
          <w:p w14:paraId="688F3D70">
            <w:pPr>
              <w:rPr>
                <w:rFonts w:ascii="Arial"/>
                <w:color w:val="auto"/>
                <w:sz w:val="20"/>
                <w:szCs w:val="20"/>
                <w:highlight w:val="none"/>
              </w:rPr>
            </w:pPr>
          </w:p>
        </w:tc>
        <w:tc>
          <w:tcPr>
            <w:tcW w:w="816" w:type="dxa"/>
            <w:vAlign w:val="top"/>
          </w:tcPr>
          <w:p w14:paraId="0F4C8187">
            <w:pPr>
              <w:rPr>
                <w:rFonts w:ascii="Arial"/>
                <w:color w:val="auto"/>
                <w:sz w:val="20"/>
                <w:szCs w:val="20"/>
                <w:highlight w:val="none"/>
              </w:rPr>
            </w:pPr>
          </w:p>
        </w:tc>
        <w:tc>
          <w:tcPr>
            <w:tcW w:w="1147" w:type="dxa"/>
            <w:vAlign w:val="top"/>
          </w:tcPr>
          <w:p w14:paraId="09DAF626">
            <w:pPr>
              <w:rPr>
                <w:rFonts w:ascii="Arial"/>
                <w:color w:val="auto"/>
                <w:sz w:val="20"/>
                <w:szCs w:val="20"/>
                <w:highlight w:val="none"/>
              </w:rPr>
            </w:pPr>
          </w:p>
        </w:tc>
        <w:tc>
          <w:tcPr>
            <w:tcW w:w="1147" w:type="dxa"/>
            <w:vAlign w:val="top"/>
          </w:tcPr>
          <w:p w14:paraId="6AA36BC8">
            <w:pPr>
              <w:rPr>
                <w:rFonts w:ascii="Arial"/>
                <w:color w:val="auto"/>
                <w:sz w:val="20"/>
                <w:szCs w:val="20"/>
                <w:highlight w:val="none"/>
              </w:rPr>
            </w:pPr>
          </w:p>
        </w:tc>
        <w:tc>
          <w:tcPr>
            <w:tcW w:w="1147" w:type="dxa"/>
            <w:vAlign w:val="top"/>
          </w:tcPr>
          <w:p w14:paraId="75280F89">
            <w:pPr>
              <w:rPr>
                <w:rFonts w:ascii="Arial"/>
                <w:color w:val="auto"/>
                <w:sz w:val="20"/>
                <w:szCs w:val="20"/>
                <w:highlight w:val="none"/>
              </w:rPr>
            </w:pPr>
          </w:p>
        </w:tc>
        <w:tc>
          <w:tcPr>
            <w:tcW w:w="1147" w:type="dxa"/>
            <w:vAlign w:val="top"/>
          </w:tcPr>
          <w:p w14:paraId="449046D9">
            <w:pPr>
              <w:rPr>
                <w:rFonts w:ascii="Arial"/>
                <w:color w:val="auto"/>
                <w:sz w:val="20"/>
                <w:szCs w:val="20"/>
                <w:highlight w:val="none"/>
              </w:rPr>
            </w:pPr>
          </w:p>
        </w:tc>
        <w:tc>
          <w:tcPr>
            <w:tcW w:w="850" w:type="dxa"/>
            <w:vAlign w:val="top"/>
          </w:tcPr>
          <w:p w14:paraId="77FCC15C">
            <w:pPr>
              <w:rPr>
                <w:rFonts w:ascii="Arial"/>
                <w:color w:val="auto"/>
                <w:sz w:val="20"/>
                <w:szCs w:val="20"/>
                <w:highlight w:val="none"/>
              </w:rPr>
            </w:pPr>
          </w:p>
        </w:tc>
        <w:tc>
          <w:tcPr>
            <w:tcW w:w="1280" w:type="dxa"/>
            <w:vAlign w:val="top"/>
          </w:tcPr>
          <w:p w14:paraId="12630BDE">
            <w:pPr>
              <w:rPr>
                <w:rFonts w:ascii="Arial"/>
                <w:color w:val="auto"/>
                <w:sz w:val="20"/>
                <w:szCs w:val="20"/>
                <w:highlight w:val="none"/>
              </w:rPr>
            </w:pPr>
          </w:p>
        </w:tc>
      </w:tr>
      <w:tr w14:paraId="677E9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997" w:type="dxa"/>
            <w:vAlign w:val="top"/>
          </w:tcPr>
          <w:p w14:paraId="27F7FBDB">
            <w:pPr>
              <w:pStyle w:val="20"/>
              <w:spacing w:before="212" w:line="379" w:lineRule="exact"/>
              <w:ind w:left="281"/>
              <w:rPr>
                <w:color w:val="auto"/>
                <w:sz w:val="20"/>
                <w:szCs w:val="20"/>
                <w:highlight w:val="none"/>
              </w:rPr>
            </w:pPr>
            <w:r>
              <w:rPr>
                <w:color w:val="auto"/>
                <w:spacing w:val="-13"/>
                <w:position w:val="3"/>
                <w:sz w:val="20"/>
                <w:szCs w:val="20"/>
                <w:highlight w:val="none"/>
              </w:rPr>
              <w:t>……</w:t>
            </w:r>
          </w:p>
        </w:tc>
        <w:tc>
          <w:tcPr>
            <w:tcW w:w="829" w:type="dxa"/>
            <w:vAlign w:val="top"/>
          </w:tcPr>
          <w:p w14:paraId="7CD1AFE3">
            <w:pPr>
              <w:rPr>
                <w:rFonts w:ascii="Arial"/>
                <w:color w:val="auto"/>
                <w:sz w:val="20"/>
                <w:szCs w:val="20"/>
                <w:highlight w:val="none"/>
              </w:rPr>
            </w:pPr>
          </w:p>
        </w:tc>
        <w:tc>
          <w:tcPr>
            <w:tcW w:w="816" w:type="dxa"/>
            <w:vAlign w:val="top"/>
          </w:tcPr>
          <w:p w14:paraId="01C39818">
            <w:pPr>
              <w:rPr>
                <w:rFonts w:ascii="Arial"/>
                <w:color w:val="auto"/>
                <w:sz w:val="20"/>
                <w:szCs w:val="20"/>
                <w:highlight w:val="none"/>
              </w:rPr>
            </w:pPr>
          </w:p>
        </w:tc>
        <w:tc>
          <w:tcPr>
            <w:tcW w:w="1147" w:type="dxa"/>
            <w:vAlign w:val="top"/>
          </w:tcPr>
          <w:p w14:paraId="7BA68E1B">
            <w:pPr>
              <w:rPr>
                <w:rFonts w:ascii="Arial"/>
                <w:color w:val="auto"/>
                <w:sz w:val="20"/>
                <w:szCs w:val="20"/>
                <w:highlight w:val="none"/>
              </w:rPr>
            </w:pPr>
          </w:p>
        </w:tc>
        <w:tc>
          <w:tcPr>
            <w:tcW w:w="1147" w:type="dxa"/>
            <w:vAlign w:val="top"/>
          </w:tcPr>
          <w:p w14:paraId="10D76FAE">
            <w:pPr>
              <w:rPr>
                <w:rFonts w:ascii="Arial"/>
                <w:color w:val="auto"/>
                <w:sz w:val="20"/>
                <w:szCs w:val="20"/>
                <w:highlight w:val="none"/>
              </w:rPr>
            </w:pPr>
          </w:p>
        </w:tc>
        <w:tc>
          <w:tcPr>
            <w:tcW w:w="1147" w:type="dxa"/>
            <w:vAlign w:val="top"/>
          </w:tcPr>
          <w:p w14:paraId="50B2A419">
            <w:pPr>
              <w:rPr>
                <w:rFonts w:ascii="Arial"/>
                <w:color w:val="auto"/>
                <w:sz w:val="20"/>
                <w:szCs w:val="20"/>
                <w:highlight w:val="none"/>
              </w:rPr>
            </w:pPr>
          </w:p>
        </w:tc>
        <w:tc>
          <w:tcPr>
            <w:tcW w:w="1147" w:type="dxa"/>
            <w:vAlign w:val="top"/>
          </w:tcPr>
          <w:p w14:paraId="3248B1CE">
            <w:pPr>
              <w:rPr>
                <w:rFonts w:ascii="Arial"/>
                <w:color w:val="auto"/>
                <w:sz w:val="20"/>
                <w:szCs w:val="20"/>
                <w:highlight w:val="none"/>
              </w:rPr>
            </w:pPr>
          </w:p>
        </w:tc>
        <w:tc>
          <w:tcPr>
            <w:tcW w:w="850" w:type="dxa"/>
            <w:vAlign w:val="top"/>
          </w:tcPr>
          <w:p w14:paraId="154E6F79">
            <w:pPr>
              <w:rPr>
                <w:rFonts w:ascii="Arial"/>
                <w:color w:val="auto"/>
                <w:sz w:val="20"/>
                <w:szCs w:val="20"/>
                <w:highlight w:val="none"/>
              </w:rPr>
            </w:pPr>
          </w:p>
        </w:tc>
        <w:tc>
          <w:tcPr>
            <w:tcW w:w="1280" w:type="dxa"/>
            <w:vAlign w:val="top"/>
          </w:tcPr>
          <w:p w14:paraId="3A155BF7">
            <w:pPr>
              <w:rPr>
                <w:rFonts w:ascii="Arial"/>
                <w:color w:val="auto"/>
                <w:sz w:val="20"/>
                <w:szCs w:val="20"/>
                <w:highlight w:val="none"/>
              </w:rPr>
            </w:pPr>
          </w:p>
        </w:tc>
      </w:tr>
      <w:tr w14:paraId="5F0AA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 w:hRule="atLeast"/>
        </w:trPr>
        <w:tc>
          <w:tcPr>
            <w:tcW w:w="9360" w:type="dxa"/>
            <w:gridSpan w:val="9"/>
            <w:vAlign w:val="top"/>
          </w:tcPr>
          <w:p w14:paraId="2036F54A">
            <w:pPr>
              <w:pStyle w:val="20"/>
              <w:spacing w:before="60" w:line="353" w:lineRule="auto"/>
              <w:ind w:left="115" w:right="108" w:firstLine="5"/>
              <w:rPr>
                <w:color w:val="auto"/>
                <w:sz w:val="20"/>
                <w:szCs w:val="20"/>
                <w:highlight w:val="none"/>
              </w:rPr>
            </w:pPr>
            <w:r>
              <w:rPr>
                <w:color w:val="auto"/>
                <w:sz w:val="20"/>
                <w:szCs w:val="20"/>
                <w:highlight w:val="none"/>
              </w:rPr>
              <w:t>一旦我单位成交，将实行项目经理负责制，我方保证并配备上述项目管理机构。上述填</w:t>
            </w:r>
            <w:r>
              <w:rPr>
                <w:color w:val="auto"/>
                <w:spacing w:val="4"/>
                <w:sz w:val="20"/>
                <w:szCs w:val="20"/>
                <w:highlight w:val="none"/>
              </w:rPr>
              <w:t xml:space="preserve"> </w:t>
            </w:r>
            <w:r>
              <w:rPr>
                <w:color w:val="auto"/>
                <w:spacing w:val="-1"/>
                <w:sz w:val="20"/>
                <w:szCs w:val="20"/>
                <w:highlight w:val="none"/>
              </w:rPr>
              <w:t>报内容真实，若不真实，愿按有关规定接受处理。</w:t>
            </w:r>
          </w:p>
        </w:tc>
      </w:tr>
    </w:tbl>
    <w:p w14:paraId="5852E2BC">
      <w:pPr>
        <w:pStyle w:val="6"/>
        <w:spacing w:line="260" w:lineRule="auto"/>
        <w:rPr>
          <w:color w:val="auto"/>
          <w:highlight w:val="none"/>
        </w:rPr>
      </w:pPr>
    </w:p>
    <w:p w14:paraId="6B197D50">
      <w:pPr>
        <w:pStyle w:val="6"/>
        <w:spacing w:line="260" w:lineRule="auto"/>
        <w:rPr>
          <w:color w:val="auto"/>
          <w:highlight w:val="none"/>
        </w:rPr>
      </w:pPr>
    </w:p>
    <w:p w14:paraId="4F203A3A">
      <w:pPr>
        <w:pStyle w:val="6"/>
        <w:spacing w:line="260" w:lineRule="auto"/>
        <w:rPr>
          <w:color w:val="auto"/>
          <w:highlight w:val="none"/>
        </w:rPr>
      </w:pPr>
    </w:p>
    <w:p w14:paraId="3447EAAE">
      <w:pPr>
        <w:pStyle w:val="6"/>
        <w:spacing w:line="260" w:lineRule="auto"/>
        <w:rPr>
          <w:color w:val="auto"/>
          <w:sz w:val="20"/>
          <w:szCs w:val="20"/>
          <w:highlight w:val="none"/>
        </w:rPr>
      </w:pPr>
    </w:p>
    <w:p w14:paraId="21678EB7">
      <w:pPr>
        <w:spacing w:before="78" w:line="219" w:lineRule="auto"/>
        <w:ind w:left="4247"/>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73219CA7">
      <w:pPr>
        <w:spacing w:before="182" w:line="220" w:lineRule="auto"/>
        <w:ind w:left="6523"/>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日期：</w:t>
      </w:r>
      <w:r>
        <w:rPr>
          <w:rFonts w:ascii="宋体" w:hAnsi="宋体" w:eastAsia="宋体" w:cs="宋体"/>
          <w:color w:val="auto"/>
          <w:spacing w:val="5"/>
          <w:sz w:val="20"/>
          <w:szCs w:val="20"/>
          <w:highlight w:val="none"/>
        </w:rPr>
        <w:t xml:space="preserve">  </w:t>
      </w:r>
      <w:r>
        <w:rPr>
          <w:rFonts w:ascii="宋体" w:hAnsi="宋体" w:eastAsia="宋体" w:cs="宋体"/>
          <w:color w:val="auto"/>
          <w:spacing w:val="-13"/>
          <w:sz w:val="20"/>
          <w:szCs w:val="20"/>
          <w:highlight w:val="none"/>
        </w:rPr>
        <w:t>年</w:t>
      </w:r>
      <w:r>
        <w:rPr>
          <w:rFonts w:ascii="宋体" w:hAnsi="宋体" w:eastAsia="宋体" w:cs="宋体"/>
          <w:color w:val="auto"/>
          <w:spacing w:val="8"/>
          <w:sz w:val="20"/>
          <w:szCs w:val="20"/>
          <w:highlight w:val="none"/>
        </w:rPr>
        <w:t xml:space="preserve">  </w:t>
      </w:r>
      <w:r>
        <w:rPr>
          <w:rFonts w:ascii="宋体" w:hAnsi="宋体" w:eastAsia="宋体" w:cs="宋体"/>
          <w:color w:val="auto"/>
          <w:spacing w:val="-13"/>
          <w:sz w:val="20"/>
          <w:szCs w:val="20"/>
          <w:highlight w:val="none"/>
        </w:rPr>
        <w:t>月</w:t>
      </w:r>
      <w:r>
        <w:rPr>
          <w:rFonts w:ascii="宋体" w:hAnsi="宋体" w:eastAsia="宋体" w:cs="宋体"/>
          <w:color w:val="auto"/>
          <w:spacing w:val="25"/>
          <w:sz w:val="20"/>
          <w:szCs w:val="20"/>
          <w:highlight w:val="none"/>
        </w:rPr>
        <w:t xml:space="preserve">  </w:t>
      </w:r>
      <w:r>
        <w:rPr>
          <w:rFonts w:ascii="宋体" w:hAnsi="宋体" w:eastAsia="宋体" w:cs="宋体"/>
          <w:color w:val="auto"/>
          <w:spacing w:val="-13"/>
          <w:sz w:val="20"/>
          <w:szCs w:val="20"/>
          <w:highlight w:val="none"/>
        </w:rPr>
        <w:t>日</w:t>
      </w:r>
    </w:p>
    <w:p w14:paraId="514D022B">
      <w:pPr>
        <w:pStyle w:val="6"/>
        <w:spacing w:line="283" w:lineRule="auto"/>
        <w:rPr>
          <w:color w:val="auto"/>
          <w:sz w:val="20"/>
          <w:szCs w:val="20"/>
          <w:highlight w:val="none"/>
        </w:rPr>
      </w:pPr>
    </w:p>
    <w:p w14:paraId="11E8CF0A">
      <w:pPr>
        <w:pStyle w:val="6"/>
        <w:spacing w:line="284" w:lineRule="auto"/>
        <w:rPr>
          <w:color w:val="auto"/>
          <w:sz w:val="20"/>
          <w:szCs w:val="20"/>
          <w:highlight w:val="none"/>
        </w:rPr>
      </w:pPr>
    </w:p>
    <w:p w14:paraId="6A5C9B2F">
      <w:pPr>
        <w:spacing w:before="78" w:line="360" w:lineRule="auto"/>
        <w:ind w:left="367" w:right="353" w:firstLine="395"/>
        <w:jc w:val="both"/>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注：拟投入的各岗位人员需提供相关岗位证书及[ 2025 年</w:t>
      </w:r>
      <w:r>
        <w:rPr>
          <w:rFonts w:ascii="宋体" w:hAnsi="宋体" w:eastAsia="宋体" w:cs="宋体"/>
          <w:color w:val="auto"/>
          <w:spacing w:val="53"/>
          <w:sz w:val="20"/>
          <w:szCs w:val="20"/>
          <w:highlight w:val="none"/>
        </w:rPr>
        <w:t xml:space="preserve"> </w:t>
      </w:r>
      <w:r>
        <w:rPr>
          <w:rFonts w:hint="eastAsia" w:ascii="宋体" w:hAnsi="宋体" w:eastAsia="宋体" w:cs="宋体"/>
          <w:color w:val="auto"/>
          <w:spacing w:val="1"/>
          <w:sz w:val="20"/>
          <w:szCs w:val="20"/>
          <w:highlight w:val="none"/>
          <w:lang w:val="en-US" w:eastAsia="zh-CN"/>
        </w:rPr>
        <w:t>12</w:t>
      </w:r>
      <w:r>
        <w:rPr>
          <w:rFonts w:ascii="宋体" w:hAnsi="宋体" w:eastAsia="宋体" w:cs="宋体"/>
          <w:color w:val="auto"/>
          <w:spacing w:val="-40"/>
          <w:sz w:val="20"/>
          <w:szCs w:val="20"/>
          <w:highlight w:val="none"/>
        </w:rPr>
        <w:t xml:space="preserve"> </w:t>
      </w:r>
      <w:r>
        <w:rPr>
          <w:rFonts w:ascii="宋体" w:hAnsi="宋体" w:eastAsia="宋体" w:cs="宋体"/>
          <w:color w:val="auto"/>
          <w:spacing w:val="1"/>
          <w:sz w:val="20"/>
          <w:szCs w:val="20"/>
          <w:highlight w:val="none"/>
        </w:rPr>
        <w:t>月至 202</w:t>
      </w:r>
      <w:r>
        <w:rPr>
          <w:rFonts w:hint="eastAsia" w:ascii="宋体" w:hAnsi="宋体" w:eastAsia="宋体" w:cs="宋体"/>
          <w:color w:val="auto"/>
          <w:spacing w:val="1"/>
          <w:sz w:val="20"/>
          <w:szCs w:val="20"/>
          <w:highlight w:val="none"/>
          <w:lang w:val="en-US" w:eastAsia="zh-CN"/>
        </w:rPr>
        <w:t>6</w:t>
      </w:r>
      <w:r>
        <w:rPr>
          <w:rFonts w:ascii="宋体" w:hAnsi="宋体" w:eastAsia="宋体" w:cs="宋体"/>
          <w:color w:val="auto"/>
          <w:spacing w:val="15"/>
          <w:sz w:val="20"/>
          <w:szCs w:val="20"/>
          <w:highlight w:val="none"/>
        </w:rPr>
        <w:t xml:space="preserve"> </w:t>
      </w:r>
      <w:r>
        <w:rPr>
          <w:rFonts w:ascii="宋体" w:hAnsi="宋体" w:eastAsia="宋体" w:cs="宋体"/>
          <w:color w:val="auto"/>
          <w:spacing w:val="1"/>
          <w:sz w:val="20"/>
          <w:szCs w:val="20"/>
          <w:highlight w:val="none"/>
        </w:rPr>
        <w:t>年</w:t>
      </w:r>
      <w:r>
        <w:rPr>
          <w:rFonts w:ascii="宋体" w:hAnsi="宋体" w:eastAsia="宋体" w:cs="宋体"/>
          <w:color w:val="auto"/>
          <w:spacing w:val="21"/>
          <w:sz w:val="20"/>
          <w:szCs w:val="20"/>
          <w:highlight w:val="none"/>
        </w:rPr>
        <w:t xml:space="preserve"> </w:t>
      </w:r>
      <w:r>
        <w:rPr>
          <w:rFonts w:hint="eastAsia" w:ascii="宋体" w:hAnsi="宋体" w:eastAsia="宋体" w:cs="宋体"/>
          <w:color w:val="auto"/>
          <w:spacing w:val="1"/>
          <w:sz w:val="20"/>
          <w:szCs w:val="20"/>
          <w:highlight w:val="none"/>
          <w:lang w:val="en-US" w:eastAsia="zh-CN"/>
        </w:rPr>
        <w:t>5</w:t>
      </w:r>
      <w:r>
        <w:rPr>
          <w:rFonts w:ascii="宋体" w:hAnsi="宋体" w:eastAsia="宋体" w:cs="宋体"/>
          <w:color w:val="auto"/>
          <w:sz w:val="20"/>
          <w:szCs w:val="20"/>
          <w:highlight w:val="none"/>
        </w:rPr>
        <w:t xml:space="preserve"> </w:t>
      </w:r>
      <w:r>
        <w:rPr>
          <w:rFonts w:ascii="宋体" w:hAnsi="宋体" w:eastAsia="宋体" w:cs="宋体"/>
          <w:color w:val="auto"/>
          <w:spacing w:val="-3"/>
          <w:sz w:val="20"/>
          <w:szCs w:val="20"/>
          <w:highlight w:val="none"/>
        </w:rPr>
        <w:t>月]内连续三个月供应商为其依法缴纳社保的证明材料。本表所列岗位</w:t>
      </w:r>
      <w:r>
        <w:rPr>
          <w:rFonts w:ascii="宋体" w:hAnsi="宋体" w:eastAsia="宋体" w:cs="宋体"/>
          <w:color w:val="auto"/>
          <w:spacing w:val="-4"/>
          <w:sz w:val="20"/>
          <w:szCs w:val="20"/>
          <w:highlight w:val="none"/>
        </w:rPr>
        <w:t>的所有管理人</w:t>
      </w:r>
      <w:r>
        <w:rPr>
          <w:rFonts w:ascii="宋体" w:hAnsi="宋体" w:eastAsia="宋体" w:cs="宋体"/>
          <w:color w:val="auto"/>
          <w:sz w:val="20"/>
          <w:szCs w:val="20"/>
          <w:highlight w:val="none"/>
        </w:rPr>
        <w:t xml:space="preserve"> </w:t>
      </w:r>
      <w:r>
        <w:rPr>
          <w:rFonts w:ascii="宋体" w:hAnsi="宋体" w:eastAsia="宋体" w:cs="宋体"/>
          <w:color w:val="auto"/>
          <w:spacing w:val="-1"/>
          <w:sz w:val="20"/>
          <w:szCs w:val="20"/>
          <w:highlight w:val="none"/>
        </w:rPr>
        <w:t>员的情况均应如实填写。可按以上格式扩展为多页填写。</w:t>
      </w:r>
    </w:p>
    <w:p w14:paraId="7010D836">
      <w:pPr>
        <w:spacing w:line="360" w:lineRule="auto"/>
        <w:rPr>
          <w:rFonts w:ascii="宋体" w:hAnsi="宋体" w:eastAsia="宋体" w:cs="宋体"/>
          <w:color w:val="auto"/>
          <w:sz w:val="20"/>
          <w:szCs w:val="20"/>
          <w:highlight w:val="none"/>
        </w:rPr>
        <w:sectPr>
          <w:footerReference r:id="rId65" w:type="default"/>
          <w:pgSz w:w="11900" w:h="16840"/>
          <w:pgMar w:top="400" w:right="1267" w:bottom="1039" w:left="1267" w:header="0" w:footer="803" w:gutter="0"/>
          <w:pgNumType w:fmt="decimal"/>
          <w:cols w:space="720" w:num="1"/>
        </w:sectPr>
      </w:pPr>
    </w:p>
    <w:p w14:paraId="0A3DCBBF">
      <w:pPr>
        <w:pStyle w:val="6"/>
        <w:spacing w:line="271" w:lineRule="auto"/>
        <w:rPr>
          <w:color w:val="auto"/>
          <w:highlight w:val="none"/>
        </w:rPr>
      </w:pPr>
    </w:p>
    <w:p w14:paraId="6287AC76">
      <w:pPr>
        <w:pStyle w:val="6"/>
        <w:spacing w:line="271" w:lineRule="auto"/>
        <w:rPr>
          <w:color w:val="auto"/>
          <w:highlight w:val="none"/>
        </w:rPr>
      </w:pPr>
    </w:p>
    <w:p w14:paraId="0F7157B4">
      <w:pPr>
        <w:pStyle w:val="6"/>
        <w:spacing w:line="271" w:lineRule="auto"/>
        <w:rPr>
          <w:color w:val="auto"/>
          <w:highlight w:val="none"/>
        </w:rPr>
      </w:pPr>
    </w:p>
    <w:p w14:paraId="6C47C3E3">
      <w:pPr>
        <w:spacing w:before="97" w:line="219" w:lineRule="auto"/>
        <w:ind w:left="1967"/>
        <w:rPr>
          <w:rFonts w:ascii="宋体" w:hAnsi="宋体" w:eastAsia="宋体" w:cs="宋体"/>
          <w:color w:val="auto"/>
          <w:sz w:val="30"/>
          <w:szCs w:val="30"/>
          <w:highlight w:val="none"/>
        </w:rPr>
      </w:pPr>
      <w:r>
        <w:rPr>
          <w:rFonts w:ascii="宋体" w:hAnsi="宋体" w:eastAsia="宋体" w:cs="宋体"/>
          <w:b/>
          <w:bCs/>
          <w:color w:val="auto"/>
          <w:spacing w:val="-3"/>
          <w:sz w:val="30"/>
          <w:szCs w:val="30"/>
          <w:highlight w:val="none"/>
        </w:rPr>
        <w:t>十、建设工程项目管理承诺书(格式)</w:t>
      </w:r>
    </w:p>
    <w:p w14:paraId="335426B6">
      <w:pPr>
        <w:pStyle w:val="6"/>
        <w:spacing w:line="279" w:lineRule="auto"/>
        <w:rPr>
          <w:color w:val="auto"/>
          <w:highlight w:val="none"/>
        </w:rPr>
      </w:pPr>
    </w:p>
    <w:p w14:paraId="548B57CC">
      <w:pPr>
        <w:spacing w:before="65" w:line="229" w:lineRule="auto"/>
        <w:ind w:left="434"/>
        <w:rPr>
          <w:rFonts w:hint="eastAsia" w:ascii="宋体" w:hAnsi="宋体" w:eastAsia="宋体" w:cs="宋体"/>
          <w:color w:val="auto"/>
          <w:sz w:val="20"/>
          <w:szCs w:val="20"/>
          <w:highlight w:val="none"/>
        </w:rPr>
      </w:pPr>
      <w:r>
        <w:rPr>
          <w:rFonts w:hint="eastAsia" w:ascii="宋体" w:hAnsi="宋体" w:eastAsia="宋体" w:cs="宋体"/>
          <w:color w:val="auto"/>
          <w:spacing w:val="6"/>
          <w:sz w:val="20"/>
          <w:szCs w:val="20"/>
          <w:highlight w:val="none"/>
        </w:rPr>
        <w:t>致</w:t>
      </w:r>
      <w:r>
        <w:rPr>
          <w:rFonts w:hint="eastAsia" w:ascii="宋体" w:hAnsi="宋体" w:eastAsia="宋体" w:cs="宋体"/>
          <w:color w:val="auto"/>
          <w:spacing w:val="-98"/>
          <w:sz w:val="20"/>
          <w:szCs w:val="20"/>
          <w:highlight w:val="none"/>
        </w:rPr>
        <w:t xml:space="preserve"> </w:t>
      </w:r>
      <w:r>
        <w:rPr>
          <w:rFonts w:hint="eastAsia" w:ascii="宋体" w:hAnsi="宋体" w:eastAsia="宋体" w:cs="宋体"/>
          <w:color w:val="auto"/>
          <w:spacing w:val="6"/>
          <w:sz w:val="20"/>
          <w:szCs w:val="20"/>
          <w:highlight w:val="none"/>
          <w:u w:val="single" w:color="auto"/>
        </w:rPr>
        <w:t xml:space="preserve">               </w:t>
      </w:r>
      <w:r>
        <w:rPr>
          <w:rFonts w:hint="eastAsia" w:ascii="宋体" w:hAnsi="宋体" w:eastAsia="宋体" w:cs="宋体"/>
          <w:color w:val="auto"/>
          <w:spacing w:val="6"/>
          <w:sz w:val="20"/>
          <w:szCs w:val="20"/>
          <w:highlight w:val="none"/>
        </w:rPr>
        <w:t>（采购单</w:t>
      </w:r>
      <w:r>
        <w:rPr>
          <w:rFonts w:hint="eastAsia" w:ascii="宋体" w:hAnsi="宋体" w:eastAsia="宋体" w:cs="宋体"/>
          <w:color w:val="auto"/>
          <w:spacing w:val="5"/>
          <w:sz w:val="20"/>
          <w:szCs w:val="20"/>
          <w:highlight w:val="none"/>
        </w:rPr>
        <w:t>位名称</w:t>
      </w:r>
      <w:r>
        <w:rPr>
          <w:rFonts w:hint="eastAsia" w:ascii="宋体" w:hAnsi="宋体" w:eastAsia="宋体" w:cs="宋体"/>
          <w:color w:val="auto"/>
          <w:sz w:val="20"/>
          <w:szCs w:val="20"/>
          <w:highlight w:val="none"/>
        </w:rPr>
        <w:t>）：</w:t>
      </w:r>
    </w:p>
    <w:p w14:paraId="01A67846">
      <w:pPr>
        <w:spacing w:before="250" w:line="228" w:lineRule="auto"/>
        <w:ind w:left="853"/>
        <w:rPr>
          <w:rFonts w:hint="eastAsia" w:ascii="宋体" w:hAnsi="宋体" w:eastAsia="宋体" w:cs="宋体"/>
          <w:color w:val="auto"/>
          <w:sz w:val="20"/>
          <w:szCs w:val="20"/>
          <w:highlight w:val="none"/>
        </w:rPr>
      </w:pPr>
      <w:r>
        <w:rPr>
          <w:rFonts w:hint="eastAsia" w:ascii="宋体" w:hAnsi="宋体" w:eastAsia="宋体" w:cs="宋体"/>
          <w:color w:val="auto"/>
          <w:spacing w:val="8"/>
          <w:sz w:val="20"/>
          <w:szCs w:val="20"/>
          <w:highlight w:val="none"/>
        </w:rPr>
        <w:t>如我公司在贵单位的</w:t>
      </w:r>
      <w:r>
        <w:rPr>
          <w:rFonts w:hint="eastAsia" w:ascii="宋体" w:hAnsi="宋体" w:eastAsia="宋体" w:cs="宋体"/>
          <w:color w:val="auto"/>
          <w:spacing w:val="-99"/>
          <w:sz w:val="20"/>
          <w:szCs w:val="20"/>
          <w:highlight w:val="none"/>
        </w:rPr>
        <w:t xml:space="preserve"> </w:t>
      </w:r>
      <w:r>
        <w:rPr>
          <w:rFonts w:hint="eastAsia" w:ascii="宋体" w:hAnsi="宋体" w:eastAsia="宋体" w:cs="宋体"/>
          <w:color w:val="auto"/>
          <w:spacing w:val="1"/>
          <w:sz w:val="20"/>
          <w:szCs w:val="20"/>
          <w:highlight w:val="none"/>
          <w:u w:val="single" w:color="auto"/>
        </w:rPr>
        <w:t xml:space="preserve">                   </w:t>
      </w:r>
      <w:r>
        <w:rPr>
          <w:rFonts w:hint="eastAsia" w:ascii="宋体" w:hAnsi="宋体" w:eastAsia="宋体" w:cs="宋体"/>
          <w:color w:val="auto"/>
          <w:sz w:val="20"/>
          <w:szCs w:val="20"/>
          <w:highlight w:val="none"/>
          <w:u w:val="single" w:color="auto"/>
        </w:rPr>
        <w:t xml:space="preserve">      </w:t>
      </w:r>
      <w:r>
        <w:rPr>
          <w:rFonts w:hint="eastAsia" w:ascii="宋体" w:hAnsi="宋体" w:eastAsia="宋体" w:cs="宋体"/>
          <w:color w:val="auto"/>
          <w:spacing w:val="-81"/>
          <w:sz w:val="20"/>
          <w:szCs w:val="20"/>
          <w:highlight w:val="none"/>
        </w:rPr>
        <w:t xml:space="preserve"> </w:t>
      </w:r>
      <w:r>
        <w:rPr>
          <w:rFonts w:hint="eastAsia" w:ascii="宋体" w:hAnsi="宋体" w:eastAsia="宋体" w:cs="宋体"/>
          <w:color w:val="auto"/>
          <w:spacing w:val="8"/>
          <w:sz w:val="20"/>
          <w:szCs w:val="20"/>
          <w:highlight w:val="none"/>
        </w:rPr>
        <w:t>成交，我方在此向采购人承诺：</w:t>
      </w:r>
    </w:p>
    <w:p w14:paraId="108BFF90">
      <w:pPr>
        <w:spacing w:before="252" w:line="462" w:lineRule="auto"/>
        <w:ind w:left="8" w:right="64" w:firstLine="422"/>
        <w:rPr>
          <w:rFonts w:hint="eastAsia" w:ascii="宋体" w:hAnsi="宋体" w:eastAsia="宋体" w:cs="宋体"/>
          <w:color w:val="auto"/>
          <w:sz w:val="20"/>
          <w:szCs w:val="20"/>
          <w:highlight w:val="none"/>
        </w:rPr>
      </w:pPr>
      <w:r>
        <w:rPr>
          <w:rFonts w:hint="eastAsia" w:ascii="宋体" w:hAnsi="宋体" w:eastAsia="宋体" w:cs="宋体"/>
          <w:color w:val="auto"/>
          <w:spacing w:val="10"/>
          <w:sz w:val="20"/>
          <w:szCs w:val="20"/>
          <w:highlight w:val="none"/>
        </w:rPr>
        <w:t>1、一旦成交，我方保证在施工过程中，严格执行《广西壮族自治区建筑工程安全</w:t>
      </w:r>
      <w:r>
        <w:rPr>
          <w:rFonts w:hint="eastAsia" w:ascii="宋体" w:hAnsi="宋体" w:eastAsia="宋体" w:cs="宋体"/>
          <w:color w:val="auto"/>
          <w:spacing w:val="9"/>
          <w:sz w:val="20"/>
          <w:szCs w:val="20"/>
          <w:highlight w:val="none"/>
        </w:rPr>
        <w:t>文明施工</w:t>
      </w:r>
      <w:r>
        <w:rPr>
          <w:rFonts w:hint="eastAsia" w:ascii="宋体" w:hAnsi="宋体" w:eastAsia="宋体" w:cs="宋体"/>
          <w:color w:val="auto"/>
          <w:sz w:val="20"/>
          <w:szCs w:val="20"/>
          <w:highlight w:val="none"/>
        </w:rPr>
        <w:t xml:space="preserve"> </w:t>
      </w:r>
      <w:r>
        <w:rPr>
          <w:rFonts w:hint="eastAsia" w:ascii="宋体" w:hAnsi="宋体" w:eastAsia="宋体" w:cs="宋体"/>
          <w:color w:val="auto"/>
          <w:spacing w:val="6"/>
          <w:sz w:val="20"/>
          <w:szCs w:val="20"/>
          <w:highlight w:val="none"/>
        </w:rPr>
        <w:t>费使用管理细则》</w:t>
      </w:r>
    </w:p>
    <w:p w14:paraId="72E3073A">
      <w:pPr>
        <w:spacing w:before="1" w:line="459" w:lineRule="auto"/>
        <w:ind w:left="3" w:right="67" w:firstLine="423"/>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（桂建质〔2015〕16</w:t>
      </w:r>
      <w:r>
        <w:rPr>
          <w:rFonts w:hint="eastAsia" w:ascii="宋体" w:hAnsi="宋体" w:eastAsia="宋体" w:cs="宋体"/>
          <w:color w:val="auto"/>
          <w:spacing w:val="-21"/>
          <w:sz w:val="20"/>
          <w:szCs w:val="20"/>
          <w:highlight w:val="none"/>
        </w:rPr>
        <w:t xml:space="preserve"> </w:t>
      </w:r>
      <w:r>
        <w:rPr>
          <w:rFonts w:hint="eastAsia" w:ascii="宋体" w:hAnsi="宋体" w:eastAsia="宋体" w:cs="宋体"/>
          <w:color w:val="auto"/>
          <w:spacing w:val="9"/>
          <w:sz w:val="20"/>
          <w:szCs w:val="20"/>
          <w:highlight w:val="none"/>
        </w:rPr>
        <w:t>号）</w:t>
      </w:r>
      <w:r>
        <w:rPr>
          <w:rFonts w:hint="eastAsia" w:ascii="宋体" w:hAnsi="宋体" w:eastAsia="宋体" w:cs="宋体"/>
          <w:color w:val="auto"/>
          <w:spacing w:val="-58"/>
          <w:sz w:val="20"/>
          <w:szCs w:val="20"/>
          <w:highlight w:val="none"/>
        </w:rPr>
        <w:t xml:space="preserve"> </w:t>
      </w:r>
      <w:r>
        <w:rPr>
          <w:rFonts w:hint="eastAsia" w:ascii="宋体" w:hAnsi="宋体" w:eastAsia="宋体" w:cs="宋体"/>
          <w:color w:val="auto"/>
          <w:spacing w:val="9"/>
          <w:sz w:val="20"/>
          <w:szCs w:val="20"/>
          <w:highlight w:val="none"/>
        </w:rPr>
        <w:t>的有关规定，确保建设工程各项安全防护、文明施工措施落实到</w:t>
      </w:r>
      <w:r>
        <w:rPr>
          <w:rFonts w:hint="eastAsia" w:ascii="宋体" w:hAnsi="宋体" w:eastAsia="宋体" w:cs="宋体"/>
          <w:color w:val="auto"/>
          <w:sz w:val="20"/>
          <w:szCs w:val="20"/>
          <w:highlight w:val="none"/>
        </w:rPr>
        <w:t xml:space="preserve"> </w:t>
      </w:r>
      <w:r>
        <w:rPr>
          <w:rFonts w:hint="eastAsia" w:ascii="宋体" w:hAnsi="宋体" w:eastAsia="宋体" w:cs="宋体"/>
          <w:color w:val="auto"/>
          <w:spacing w:val="7"/>
          <w:sz w:val="20"/>
          <w:szCs w:val="20"/>
          <w:highlight w:val="none"/>
        </w:rPr>
        <w:t>位。如我方在该项</w:t>
      </w:r>
    </w:p>
    <w:p w14:paraId="1839CEFF">
      <w:pPr>
        <w:spacing w:before="6" w:line="460" w:lineRule="auto"/>
        <w:ind w:left="6" w:right="67" w:firstLine="452"/>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目的承包中出现未按桂建质〔2015〕16</w:t>
      </w:r>
      <w:r>
        <w:rPr>
          <w:rFonts w:hint="eastAsia" w:ascii="宋体" w:hAnsi="宋体" w:eastAsia="宋体" w:cs="宋体"/>
          <w:color w:val="auto"/>
          <w:spacing w:val="-12"/>
          <w:sz w:val="20"/>
          <w:szCs w:val="20"/>
          <w:highlight w:val="none"/>
        </w:rPr>
        <w:t xml:space="preserve"> </w:t>
      </w:r>
      <w:r>
        <w:rPr>
          <w:rFonts w:hint="eastAsia" w:ascii="宋体" w:hAnsi="宋体" w:eastAsia="宋体" w:cs="宋体"/>
          <w:color w:val="auto"/>
          <w:spacing w:val="9"/>
          <w:sz w:val="20"/>
          <w:szCs w:val="20"/>
          <w:highlight w:val="none"/>
        </w:rPr>
        <w:t>号文附件一规定执行的情形，我方愿意按照相关规</w:t>
      </w:r>
      <w:r>
        <w:rPr>
          <w:rFonts w:hint="eastAsia" w:ascii="宋体" w:hAnsi="宋体" w:eastAsia="宋体" w:cs="宋体"/>
          <w:color w:val="auto"/>
          <w:sz w:val="20"/>
          <w:szCs w:val="20"/>
          <w:highlight w:val="none"/>
        </w:rPr>
        <w:t xml:space="preserve"> </w:t>
      </w:r>
      <w:r>
        <w:rPr>
          <w:rFonts w:hint="eastAsia" w:ascii="宋体" w:hAnsi="宋体" w:eastAsia="宋体" w:cs="宋体"/>
          <w:color w:val="auto"/>
          <w:spacing w:val="7"/>
          <w:sz w:val="20"/>
          <w:szCs w:val="20"/>
          <w:highlight w:val="none"/>
        </w:rPr>
        <w:t>定接受建设单位及</w:t>
      </w:r>
    </w:p>
    <w:p w14:paraId="5580F982">
      <w:pPr>
        <w:spacing w:before="1" w:line="230" w:lineRule="auto"/>
        <w:ind w:left="420"/>
        <w:rPr>
          <w:rFonts w:hint="eastAsia"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rPr>
        <w:t>有关主管部门的处罚。</w:t>
      </w:r>
    </w:p>
    <w:p w14:paraId="20FE53EC">
      <w:pPr>
        <w:spacing w:before="253" w:line="460" w:lineRule="auto"/>
        <w:ind w:left="10" w:right="114" w:firstLine="415"/>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2、一旦成交，我方保证在施工过程中，严格执行散装水泥和预拌混凝土</w:t>
      </w:r>
      <w:r>
        <w:rPr>
          <w:rFonts w:hint="eastAsia" w:ascii="宋体" w:hAnsi="宋体" w:eastAsia="宋体" w:cs="宋体"/>
          <w:color w:val="auto"/>
          <w:spacing w:val="8"/>
          <w:sz w:val="20"/>
          <w:szCs w:val="20"/>
          <w:highlight w:val="none"/>
        </w:rPr>
        <w:t>管理的有关规定，</w:t>
      </w:r>
      <w:r>
        <w:rPr>
          <w:rFonts w:hint="eastAsia" w:ascii="宋体" w:hAnsi="宋体" w:eastAsia="宋体" w:cs="宋体"/>
          <w:color w:val="auto"/>
          <w:sz w:val="20"/>
          <w:szCs w:val="20"/>
          <w:highlight w:val="none"/>
        </w:rPr>
        <w:t xml:space="preserve"> </w:t>
      </w:r>
      <w:r>
        <w:rPr>
          <w:rFonts w:hint="eastAsia" w:ascii="宋体" w:hAnsi="宋体" w:eastAsia="宋体" w:cs="宋体"/>
          <w:color w:val="auto"/>
          <w:spacing w:val="7"/>
          <w:sz w:val="20"/>
          <w:szCs w:val="20"/>
          <w:highlight w:val="none"/>
        </w:rPr>
        <w:t>确保建设工程按</w:t>
      </w:r>
    </w:p>
    <w:p w14:paraId="6A3CF2F1">
      <w:pPr>
        <w:spacing w:line="462" w:lineRule="auto"/>
        <w:ind w:left="12" w:right="66" w:firstLine="416"/>
        <w:rPr>
          <w:rFonts w:hint="eastAsia"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rPr>
        <w:t>规定使用散装水泥和预拌混凝土。如我方在该项目的承包中出现未按规定执行的情形，我方</w:t>
      </w:r>
      <w:r>
        <w:rPr>
          <w:rFonts w:hint="eastAsia" w:ascii="宋体" w:hAnsi="宋体" w:eastAsia="宋体" w:cs="宋体"/>
          <w:color w:val="auto"/>
          <w:spacing w:val="17"/>
          <w:sz w:val="20"/>
          <w:szCs w:val="20"/>
          <w:highlight w:val="none"/>
        </w:rPr>
        <w:t xml:space="preserve"> </w:t>
      </w:r>
      <w:r>
        <w:rPr>
          <w:rFonts w:hint="eastAsia" w:ascii="宋体" w:hAnsi="宋体" w:eastAsia="宋体" w:cs="宋体"/>
          <w:color w:val="auto"/>
          <w:spacing w:val="7"/>
          <w:sz w:val="20"/>
          <w:szCs w:val="20"/>
          <w:highlight w:val="none"/>
        </w:rPr>
        <w:t>愿意按照相关规</w:t>
      </w:r>
    </w:p>
    <w:p w14:paraId="3AEBA636">
      <w:pPr>
        <w:spacing w:before="1" w:line="229" w:lineRule="auto"/>
        <w:ind w:left="433"/>
        <w:rPr>
          <w:rFonts w:hint="eastAsia" w:ascii="宋体" w:hAnsi="宋体" w:eastAsia="宋体" w:cs="宋体"/>
          <w:color w:val="auto"/>
          <w:sz w:val="20"/>
          <w:szCs w:val="20"/>
          <w:highlight w:val="none"/>
        </w:rPr>
      </w:pPr>
      <w:r>
        <w:rPr>
          <w:rFonts w:hint="eastAsia" w:ascii="宋体" w:hAnsi="宋体" w:eastAsia="宋体" w:cs="宋体"/>
          <w:color w:val="auto"/>
          <w:spacing w:val="8"/>
          <w:sz w:val="20"/>
          <w:szCs w:val="20"/>
          <w:highlight w:val="none"/>
        </w:rPr>
        <w:t>定接受建设单位及有关主管部门的处罚。</w:t>
      </w:r>
    </w:p>
    <w:p w14:paraId="0F6F47D6">
      <w:pPr>
        <w:spacing w:before="250" w:line="462" w:lineRule="auto"/>
        <w:ind w:firstLine="420"/>
        <w:rPr>
          <w:rFonts w:hint="eastAsia" w:ascii="宋体" w:hAnsi="宋体" w:eastAsia="宋体" w:cs="宋体"/>
          <w:color w:val="auto"/>
          <w:sz w:val="20"/>
          <w:szCs w:val="20"/>
          <w:highlight w:val="none"/>
        </w:rPr>
      </w:pPr>
      <w:r>
        <w:rPr>
          <w:rFonts w:hint="eastAsia" w:ascii="宋体" w:hAnsi="宋体" w:eastAsia="宋体" w:cs="宋体"/>
          <w:color w:val="auto"/>
          <w:spacing w:val="-3"/>
          <w:sz w:val="20"/>
          <w:szCs w:val="20"/>
          <w:highlight w:val="none"/>
        </w:rPr>
        <w:t>3、一旦成交，我方保证严格执行《危险性较大的分部分项工程安全管理规定》（建办质〔2018〕</w:t>
      </w:r>
      <w:r>
        <w:rPr>
          <w:rFonts w:hint="eastAsia" w:ascii="宋体" w:hAnsi="宋体" w:eastAsia="宋体" w:cs="宋体"/>
          <w:color w:val="auto"/>
          <w:spacing w:val="7"/>
          <w:sz w:val="20"/>
          <w:szCs w:val="20"/>
          <w:highlight w:val="none"/>
        </w:rPr>
        <w:t xml:space="preserve"> </w:t>
      </w:r>
      <w:r>
        <w:rPr>
          <w:rFonts w:hint="eastAsia" w:ascii="宋体" w:hAnsi="宋体" w:eastAsia="宋体" w:cs="宋体"/>
          <w:color w:val="auto"/>
          <w:spacing w:val="5"/>
          <w:sz w:val="20"/>
          <w:szCs w:val="20"/>
          <w:highlight w:val="none"/>
        </w:rPr>
        <w:t>31</w:t>
      </w:r>
      <w:r>
        <w:rPr>
          <w:rFonts w:hint="eastAsia" w:ascii="宋体" w:hAnsi="宋体" w:eastAsia="宋体" w:cs="宋体"/>
          <w:color w:val="auto"/>
          <w:spacing w:val="-30"/>
          <w:sz w:val="20"/>
          <w:szCs w:val="20"/>
          <w:highlight w:val="none"/>
        </w:rPr>
        <w:t xml:space="preserve"> </w:t>
      </w:r>
      <w:r>
        <w:rPr>
          <w:rFonts w:hint="eastAsia" w:ascii="宋体" w:hAnsi="宋体" w:eastAsia="宋体" w:cs="宋体"/>
          <w:color w:val="auto"/>
          <w:spacing w:val="5"/>
          <w:sz w:val="20"/>
          <w:szCs w:val="20"/>
          <w:highlight w:val="none"/>
        </w:rPr>
        <w:t>号）的</w:t>
      </w:r>
    </w:p>
    <w:p w14:paraId="40A6ACBE">
      <w:pPr>
        <w:spacing w:before="2" w:line="461" w:lineRule="auto"/>
        <w:ind w:left="12" w:right="66" w:firstLine="409"/>
        <w:rPr>
          <w:rFonts w:hint="eastAsia" w:ascii="宋体" w:hAnsi="宋体" w:eastAsia="宋体" w:cs="宋体"/>
          <w:color w:val="auto"/>
          <w:sz w:val="20"/>
          <w:szCs w:val="20"/>
          <w:highlight w:val="none"/>
        </w:rPr>
      </w:pPr>
      <w:r>
        <w:rPr>
          <w:rFonts w:hint="eastAsia" w:ascii="宋体" w:hAnsi="宋体" w:eastAsia="宋体" w:cs="宋体"/>
          <w:color w:val="auto"/>
          <w:spacing w:val="8"/>
          <w:sz w:val="20"/>
          <w:szCs w:val="20"/>
          <w:highlight w:val="none"/>
        </w:rPr>
        <w:t>规定，强化对深基坑、高切坡、高大模板、人工挖孔桩</w:t>
      </w:r>
      <w:r>
        <w:rPr>
          <w:rFonts w:hint="eastAsia" w:ascii="宋体" w:hAnsi="宋体" w:eastAsia="宋体" w:cs="宋体"/>
          <w:color w:val="auto"/>
          <w:spacing w:val="7"/>
          <w:sz w:val="20"/>
          <w:szCs w:val="20"/>
          <w:highlight w:val="none"/>
        </w:rPr>
        <w:t>、起重吊装、临时活动板房等重大危</w:t>
      </w:r>
      <w:r>
        <w:rPr>
          <w:rFonts w:hint="eastAsia" w:ascii="宋体" w:hAnsi="宋体" w:eastAsia="宋体" w:cs="宋体"/>
          <w:color w:val="auto"/>
          <w:sz w:val="20"/>
          <w:szCs w:val="20"/>
          <w:highlight w:val="none"/>
        </w:rPr>
        <w:t xml:space="preserve"> </w:t>
      </w:r>
      <w:r>
        <w:rPr>
          <w:rFonts w:hint="eastAsia" w:ascii="宋体" w:hAnsi="宋体" w:eastAsia="宋体" w:cs="宋体"/>
          <w:color w:val="auto"/>
          <w:spacing w:val="6"/>
          <w:sz w:val="20"/>
          <w:szCs w:val="20"/>
          <w:highlight w:val="none"/>
        </w:rPr>
        <w:t>险源的专项施工</w:t>
      </w:r>
    </w:p>
    <w:p w14:paraId="4261B0DE">
      <w:pPr>
        <w:spacing w:before="1" w:line="228" w:lineRule="auto"/>
        <w:ind w:left="427"/>
        <w:rPr>
          <w:rFonts w:hint="eastAsia" w:ascii="宋体" w:hAnsi="宋体" w:eastAsia="宋体" w:cs="宋体"/>
          <w:color w:val="auto"/>
          <w:sz w:val="20"/>
          <w:szCs w:val="20"/>
          <w:highlight w:val="none"/>
        </w:rPr>
      </w:pPr>
      <w:r>
        <w:rPr>
          <w:rFonts w:hint="eastAsia" w:ascii="宋体" w:hAnsi="宋体" w:eastAsia="宋体" w:cs="宋体"/>
          <w:color w:val="auto"/>
          <w:spacing w:val="8"/>
          <w:sz w:val="20"/>
          <w:szCs w:val="20"/>
          <w:highlight w:val="none"/>
        </w:rPr>
        <w:t>方案的编制、论证、审批、实施、检测的风险管理。</w:t>
      </w:r>
    </w:p>
    <w:p w14:paraId="2CFF3B42">
      <w:pPr>
        <w:pStyle w:val="6"/>
        <w:rPr>
          <w:rFonts w:hint="eastAsia" w:ascii="宋体" w:hAnsi="宋体" w:eastAsia="宋体" w:cs="宋体"/>
          <w:color w:val="auto"/>
          <w:sz w:val="20"/>
          <w:szCs w:val="20"/>
          <w:highlight w:val="none"/>
        </w:rPr>
      </w:pPr>
    </w:p>
    <w:p w14:paraId="0560DB46">
      <w:pPr>
        <w:pStyle w:val="6"/>
        <w:rPr>
          <w:rFonts w:hint="eastAsia" w:ascii="宋体" w:hAnsi="宋体" w:eastAsia="宋体" w:cs="宋体"/>
          <w:color w:val="auto"/>
          <w:sz w:val="20"/>
          <w:szCs w:val="20"/>
          <w:highlight w:val="none"/>
        </w:rPr>
      </w:pPr>
    </w:p>
    <w:p w14:paraId="07CC8F14">
      <w:pPr>
        <w:pStyle w:val="6"/>
        <w:rPr>
          <w:rFonts w:hint="eastAsia" w:ascii="宋体" w:hAnsi="宋体" w:eastAsia="宋体" w:cs="宋体"/>
          <w:color w:val="auto"/>
          <w:sz w:val="20"/>
          <w:szCs w:val="20"/>
          <w:highlight w:val="none"/>
        </w:rPr>
      </w:pPr>
    </w:p>
    <w:p w14:paraId="760F40FA">
      <w:pPr>
        <w:pStyle w:val="6"/>
        <w:spacing w:line="241" w:lineRule="auto"/>
        <w:rPr>
          <w:rFonts w:hint="eastAsia" w:ascii="宋体" w:hAnsi="宋体" w:eastAsia="宋体" w:cs="宋体"/>
          <w:color w:val="auto"/>
          <w:sz w:val="20"/>
          <w:szCs w:val="20"/>
          <w:highlight w:val="none"/>
        </w:rPr>
      </w:pPr>
    </w:p>
    <w:p w14:paraId="6A6414AD">
      <w:pPr>
        <w:spacing w:before="65" w:line="229" w:lineRule="auto"/>
        <w:ind w:left="4543"/>
        <w:rPr>
          <w:rFonts w:hint="eastAsia" w:ascii="宋体" w:hAnsi="宋体" w:eastAsia="宋体" w:cs="宋体"/>
          <w:color w:val="auto"/>
          <w:sz w:val="20"/>
          <w:szCs w:val="20"/>
          <w:highlight w:val="none"/>
        </w:rPr>
      </w:pPr>
      <w:r>
        <w:rPr>
          <w:rFonts w:hint="eastAsia" w:ascii="宋体" w:hAnsi="宋体" w:eastAsia="宋体" w:cs="宋体"/>
          <w:color w:val="auto"/>
          <w:spacing w:val="11"/>
          <w:sz w:val="20"/>
          <w:szCs w:val="20"/>
          <w:highlight w:val="none"/>
        </w:rPr>
        <w:t>供应商名称</w:t>
      </w:r>
      <w:r>
        <w:rPr>
          <w:rFonts w:hint="eastAsia" w:ascii="宋体" w:hAnsi="宋体" w:eastAsia="宋体" w:cs="宋体"/>
          <w:color w:val="auto"/>
          <w:spacing w:val="-6"/>
          <w:sz w:val="20"/>
          <w:szCs w:val="20"/>
          <w:highlight w:val="none"/>
        </w:rPr>
        <w:t>：</w:t>
      </w:r>
      <w:r>
        <w:rPr>
          <w:rFonts w:hint="eastAsia" w:ascii="宋体" w:hAnsi="宋体" w:eastAsia="宋体" w:cs="宋体"/>
          <w:color w:val="auto"/>
          <w:spacing w:val="5"/>
          <w:sz w:val="20"/>
          <w:szCs w:val="20"/>
          <w:highlight w:val="none"/>
          <w:u w:val="single" w:color="auto"/>
        </w:rPr>
        <w:t xml:space="preserve">                </w:t>
      </w:r>
      <w:r>
        <w:rPr>
          <w:rFonts w:hint="eastAsia" w:ascii="宋体" w:hAnsi="宋体" w:eastAsia="宋体" w:cs="宋体"/>
          <w:color w:val="auto"/>
          <w:spacing w:val="-6"/>
          <w:sz w:val="20"/>
          <w:szCs w:val="20"/>
          <w:highlight w:val="none"/>
          <w:u w:val="single" w:color="auto"/>
        </w:rPr>
        <w:t>（</w:t>
      </w:r>
      <w:r>
        <w:rPr>
          <w:rFonts w:hint="eastAsia" w:ascii="宋体" w:hAnsi="宋体" w:eastAsia="宋体" w:cs="宋体"/>
          <w:color w:val="auto"/>
          <w:spacing w:val="11"/>
          <w:sz w:val="20"/>
          <w:szCs w:val="20"/>
          <w:highlight w:val="none"/>
          <w:u w:val="single" w:color="auto"/>
        </w:rPr>
        <w:t>盖单位章）</w:t>
      </w:r>
    </w:p>
    <w:p w14:paraId="630306DF">
      <w:pPr>
        <w:pStyle w:val="6"/>
        <w:spacing w:line="346" w:lineRule="auto"/>
        <w:rPr>
          <w:rFonts w:hint="eastAsia" w:ascii="宋体" w:hAnsi="宋体" w:eastAsia="宋体" w:cs="宋体"/>
          <w:color w:val="auto"/>
          <w:sz w:val="20"/>
          <w:szCs w:val="20"/>
          <w:highlight w:val="none"/>
        </w:rPr>
      </w:pPr>
    </w:p>
    <w:p w14:paraId="3F0B20A0">
      <w:pPr>
        <w:spacing w:before="66" w:line="231" w:lineRule="auto"/>
        <w:ind w:left="3604"/>
        <w:rPr>
          <w:rFonts w:hint="eastAsia" w:ascii="宋体" w:hAnsi="宋体" w:eastAsia="宋体" w:cs="宋体"/>
          <w:color w:val="auto"/>
          <w:sz w:val="20"/>
          <w:szCs w:val="20"/>
          <w:highlight w:val="none"/>
        </w:rPr>
      </w:pPr>
      <w:r>
        <w:rPr>
          <w:rFonts w:hint="eastAsia" w:ascii="宋体" w:hAnsi="宋体" w:eastAsia="宋体" w:cs="宋体"/>
          <w:color w:val="auto"/>
          <w:spacing w:val="10"/>
          <w:sz w:val="20"/>
          <w:szCs w:val="20"/>
          <w:highlight w:val="none"/>
        </w:rPr>
        <w:t>法定代表人或授权代理人</w:t>
      </w:r>
      <w:r>
        <w:rPr>
          <w:rFonts w:hint="eastAsia" w:ascii="宋体" w:hAnsi="宋体" w:eastAsia="宋体" w:cs="宋体"/>
          <w:color w:val="auto"/>
          <w:spacing w:val="-5"/>
          <w:sz w:val="20"/>
          <w:szCs w:val="20"/>
          <w:highlight w:val="none"/>
        </w:rPr>
        <w:t>：</w:t>
      </w:r>
      <w:r>
        <w:rPr>
          <w:rFonts w:hint="eastAsia" w:ascii="宋体" w:hAnsi="宋体" w:eastAsia="宋体" w:cs="宋体"/>
          <w:color w:val="auto"/>
          <w:spacing w:val="5"/>
          <w:sz w:val="20"/>
          <w:szCs w:val="20"/>
          <w:highlight w:val="none"/>
          <w:u w:val="single" w:color="auto"/>
        </w:rPr>
        <w:t xml:space="preserve">           </w:t>
      </w:r>
      <w:r>
        <w:rPr>
          <w:rFonts w:hint="eastAsia" w:ascii="宋体" w:hAnsi="宋体" w:eastAsia="宋体" w:cs="宋体"/>
          <w:color w:val="auto"/>
          <w:spacing w:val="-5"/>
          <w:sz w:val="20"/>
          <w:szCs w:val="20"/>
          <w:highlight w:val="none"/>
          <w:u w:val="single" w:color="auto"/>
        </w:rPr>
        <w:t>（</w:t>
      </w:r>
      <w:r>
        <w:rPr>
          <w:rFonts w:hint="eastAsia" w:ascii="宋体" w:hAnsi="宋体" w:eastAsia="宋体" w:cs="宋体"/>
          <w:color w:val="auto"/>
          <w:spacing w:val="10"/>
          <w:sz w:val="20"/>
          <w:szCs w:val="20"/>
          <w:highlight w:val="none"/>
          <w:u w:val="single" w:color="auto"/>
        </w:rPr>
        <w:t>签字或盖章）</w:t>
      </w:r>
    </w:p>
    <w:p w14:paraId="0C9BA948">
      <w:pPr>
        <w:pStyle w:val="6"/>
        <w:spacing w:line="345" w:lineRule="auto"/>
        <w:rPr>
          <w:rFonts w:hint="eastAsia" w:ascii="宋体" w:hAnsi="宋体" w:eastAsia="宋体" w:cs="宋体"/>
          <w:color w:val="auto"/>
          <w:sz w:val="20"/>
          <w:szCs w:val="20"/>
          <w:highlight w:val="none"/>
        </w:rPr>
      </w:pPr>
    </w:p>
    <w:p w14:paraId="7BFBC449">
      <w:pPr>
        <w:spacing w:before="65" w:line="231" w:lineRule="auto"/>
        <w:ind w:right="15"/>
        <w:jc w:val="right"/>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日期：</w:t>
      </w:r>
      <w:r>
        <w:rPr>
          <w:rFonts w:hint="eastAsia" w:ascii="宋体" w:hAnsi="宋体" w:eastAsia="宋体" w:cs="宋体"/>
          <w:color w:val="auto"/>
          <w:spacing w:val="5"/>
          <w:sz w:val="20"/>
          <w:szCs w:val="20"/>
          <w:highlight w:val="none"/>
          <w:u w:val="single" w:color="auto"/>
        </w:rPr>
        <w:t xml:space="preserve">      </w:t>
      </w:r>
      <w:r>
        <w:rPr>
          <w:rFonts w:hint="eastAsia" w:ascii="宋体" w:hAnsi="宋体" w:eastAsia="宋体" w:cs="宋体"/>
          <w:color w:val="auto"/>
          <w:spacing w:val="-81"/>
          <w:sz w:val="20"/>
          <w:szCs w:val="20"/>
          <w:highlight w:val="none"/>
        </w:rPr>
        <w:t xml:space="preserve"> </w:t>
      </w:r>
      <w:r>
        <w:rPr>
          <w:rFonts w:hint="eastAsia" w:ascii="宋体" w:hAnsi="宋体" w:eastAsia="宋体" w:cs="宋体"/>
          <w:color w:val="auto"/>
          <w:spacing w:val="-9"/>
          <w:sz w:val="20"/>
          <w:szCs w:val="20"/>
          <w:highlight w:val="none"/>
        </w:rPr>
        <w:t>年</w:t>
      </w:r>
      <w:r>
        <w:rPr>
          <w:rFonts w:hint="eastAsia" w:ascii="宋体" w:hAnsi="宋体" w:eastAsia="宋体" w:cs="宋体"/>
          <w:color w:val="auto"/>
          <w:spacing w:val="5"/>
          <w:sz w:val="20"/>
          <w:szCs w:val="20"/>
          <w:highlight w:val="none"/>
          <w:u w:val="single" w:color="auto"/>
        </w:rPr>
        <w:t xml:space="preserve">     </w:t>
      </w:r>
      <w:r>
        <w:rPr>
          <w:rFonts w:hint="eastAsia" w:ascii="宋体" w:hAnsi="宋体" w:eastAsia="宋体" w:cs="宋体"/>
          <w:color w:val="auto"/>
          <w:spacing w:val="-76"/>
          <w:sz w:val="20"/>
          <w:szCs w:val="20"/>
          <w:highlight w:val="none"/>
        </w:rPr>
        <w:t xml:space="preserve"> </w:t>
      </w:r>
      <w:r>
        <w:rPr>
          <w:rFonts w:hint="eastAsia" w:ascii="宋体" w:hAnsi="宋体" w:eastAsia="宋体" w:cs="宋体"/>
          <w:color w:val="auto"/>
          <w:spacing w:val="-9"/>
          <w:sz w:val="20"/>
          <w:szCs w:val="20"/>
          <w:highlight w:val="none"/>
        </w:rPr>
        <w:t>月</w:t>
      </w:r>
      <w:r>
        <w:rPr>
          <w:rFonts w:hint="eastAsia" w:ascii="宋体" w:hAnsi="宋体" w:eastAsia="宋体" w:cs="宋体"/>
          <w:color w:val="auto"/>
          <w:spacing w:val="-99"/>
          <w:sz w:val="20"/>
          <w:szCs w:val="20"/>
          <w:highlight w:val="none"/>
        </w:rPr>
        <w:t xml:space="preserve"> </w:t>
      </w:r>
      <w:r>
        <w:rPr>
          <w:rFonts w:hint="eastAsia" w:ascii="宋体" w:hAnsi="宋体" w:eastAsia="宋体" w:cs="宋体"/>
          <w:color w:val="auto"/>
          <w:spacing w:val="5"/>
          <w:sz w:val="20"/>
          <w:szCs w:val="20"/>
          <w:highlight w:val="none"/>
          <w:u w:val="single" w:color="auto"/>
        </w:rPr>
        <w:t xml:space="preserve">    </w:t>
      </w:r>
      <w:r>
        <w:rPr>
          <w:rFonts w:hint="eastAsia" w:ascii="宋体" w:hAnsi="宋体" w:eastAsia="宋体" w:cs="宋体"/>
          <w:color w:val="auto"/>
          <w:spacing w:val="-41"/>
          <w:sz w:val="20"/>
          <w:szCs w:val="20"/>
          <w:highlight w:val="none"/>
        </w:rPr>
        <w:t xml:space="preserve"> </w:t>
      </w:r>
      <w:r>
        <w:rPr>
          <w:rFonts w:hint="eastAsia" w:ascii="宋体" w:hAnsi="宋体" w:eastAsia="宋体" w:cs="宋体"/>
          <w:color w:val="auto"/>
          <w:spacing w:val="-9"/>
          <w:sz w:val="20"/>
          <w:szCs w:val="20"/>
          <w:highlight w:val="none"/>
        </w:rPr>
        <w:t>日</w:t>
      </w:r>
    </w:p>
    <w:p w14:paraId="5AD42C70">
      <w:pPr>
        <w:spacing w:line="231" w:lineRule="auto"/>
        <w:rPr>
          <w:rFonts w:ascii="仿宋" w:hAnsi="仿宋" w:eastAsia="仿宋" w:cs="仿宋"/>
          <w:color w:val="auto"/>
          <w:sz w:val="20"/>
          <w:szCs w:val="20"/>
          <w:highlight w:val="none"/>
        </w:rPr>
        <w:sectPr>
          <w:footerReference r:id="rId66" w:type="default"/>
          <w:pgSz w:w="11905" w:h="16839"/>
          <w:pgMar w:top="400" w:right="1522" w:bottom="909" w:left="1588" w:header="0" w:footer="673" w:gutter="0"/>
          <w:pgNumType w:fmt="decimal"/>
          <w:cols w:space="720" w:num="1"/>
        </w:sectPr>
      </w:pPr>
    </w:p>
    <w:p w14:paraId="466ED379">
      <w:pPr>
        <w:pStyle w:val="6"/>
        <w:spacing w:line="250" w:lineRule="auto"/>
        <w:rPr>
          <w:color w:val="auto"/>
          <w:highlight w:val="none"/>
        </w:rPr>
      </w:pPr>
    </w:p>
    <w:p w14:paraId="694F7812">
      <w:pPr>
        <w:pStyle w:val="6"/>
        <w:spacing w:line="250" w:lineRule="auto"/>
        <w:rPr>
          <w:color w:val="auto"/>
          <w:highlight w:val="none"/>
        </w:rPr>
      </w:pPr>
    </w:p>
    <w:p w14:paraId="533A3816">
      <w:pPr>
        <w:pStyle w:val="6"/>
        <w:spacing w:line="250" w:lineRule="auto"/>
        <w:rPr>
          <w:color w:val="auto"/>
          <w:highlight w:val="none"/>
        </w:rPr>
      </w:pPr>
    </w:p>
    <w:p w14:paraId="617EBDB0">
      <w:pPr>
        <w:pStyle w:val="6"/>
        <w:spacing w:line="250" w:lineRule="auto"/>
        <w:rPr>
          <w:color w:val="auto"/>
          <w:highlight w:val="none"/>
        </w:rPr>
      </w:pPr>
    </w:p>
    <w:p w14:paraId="2B386855">
      <w:pPr>
        <w:pStyle w:val="6"/>
        <w:spacing w:line="250" w:lineRule="auto"/>
        <w:rPr>
          <w:color w:val="auto"/>
          <w:highlight w:val="none"/>
        </w:rPr>
      </w:pPr>
    </w:p>
    <w:p w14:paraId="71FF6765">
      <w:pPr>
        <w:pStyle w:val="6"/>
        <w:spacing w:line="250" w:lineRule="auto"/>
        <w:rPr>
          <w:color w:val="auto"/>
          <w:highlight w:val="none"/>
        </w:rPr>
      </w:pPr>
    </w:p>
    <w:p w14:paraId="2D7C36BE">
      <w:pPr>
        <w:spacing w:before="97" w:line="219" w:lineRule="auto"/>
        <w:outlineLvl w:val="1"/>
        <w:rPr>
          <w:rFonts w:ascii="宋体" w:hAnsi="宋体" w:eastAsia="宋体" w:cs="宋体"/>
          <w:color w:val="auto"/>
          <w:sz w:val="30"/>
          <w:szCs w:val="30"/>
          <w:highlight w:val="none"/>
        </w:rPr>
      </w:pPr>
      <w:bookmarkStart w:id="22" w:name="_Toc4087"/>
      <w:r>
        <w:rPr>
          <w:rFonts w:ascii="宋体" w:hAnsi="宋体" w:eastAsia="宋体" w:cs="宋体"/>
          <w:b/>
          <w:bCs/>
          <w:color w:val="auto"/>
          <w:spacing w:val="-3"/>
          <w:sz w:val="30"/>
          <w:szCs w:val="30"/>
          <w:highlight w:val="none"/>
        </w:rPr>
        <w:t>十一、供应商认为需要提供的其他有关资料</w:t>
      </w:r>
      <w:bookmarkEnd w:id="22"/>
    </w:p>
    <w:p w14:paraId="5F46F58B">
      <w:pPr>
        <w:pStyle w:val="6"/>
        <w:spacing w:line="241" w:lineRule="auto"/>
        <w:rPr>
          <w:color w:val="auto"/>
          <w:highlight w:val="none"/>
        </w:rPr>
      </w:pPr>
    </w:p>
    <w:p w14:paraId="2B472C52">
      <w:pPr>
        <w:pStyle w:val="6"/>
        <w:spacing w:line="241" w:lineRule="auto"/>
        <w:rPr>
          <w:color w:val="auto"/>
          <w:highlight w:val="none"/>
        </w:rPr>
      </w:pPr>
    </w:p>
    <w:p w14:paraId="13B6E317">
      <w:pPr>
        <w:pStyle w:val="6"/>
        <w:spacing w:line="242" w:lineRule="auto"/>
        <w:rPr>
          <w:color w:val="auto"/>
          <w:highlight w:val="none"/>
        </w:rPr>
      </w:pPr>
    </w:p>
    <w:p w14:paraId="5DFA3710">
      <w:pPr>
        <w:spacing w:before="78" w:line="219" w:lineRule="auto"/>
        <w:ind w:left="409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供应商名称（电子签章</w:t>
      </w:r>
      <w:r>
        <w:rPr>
          <w:rFonts w:ascii="宋体" w:hAnsi="宋体" w:eastAsia="宋体" w:cs="宋体"/>
          <w:color w:val="auto"/>
          <w:sz w:val="24"/>
          <w:szCs w:val="24"/>
          <w:highlight w:val="none"/>
        </w:rPr>
        <w:t>）：</w:t>
      </w:r>
    </w:p>
    <w:p w14:paraId="3C3D1515">
      <w:pPr>
        <w:spacing w:before="130" w:line="220" w:lineRule="auto"/>
        <w:jc w:val="right"/>
        <w:rPr>
          <w:rFonts w:ascii="宋体" w:hAnsi="宋体" w:eastAsia="宋体" w:cs="宋体"/>
          <w:color w:val="auto"/>
          <w:sz w:val="24"/>
          <w:szCs w:val="24"/>
          <w:highlight w:val="none"/>
        </w:rPr>
      </w:pPr>
      <w:r>
        <w:rPr>
          <w:rFonts w:ascii="宋体" w:hAnsi="宋体" w:eastAsia="宋体" w:cs="宋体"/>
          <w:color w:val="auto"/>
          <w:spacing w:val="-22"/>
          <w:sz w:val="24"/>
          <w:szCs w:val="24"/>
          <w:highlight w:val="none"/>
        </w:rPr>
        <w:t>日期：</w:t>
      </w:r>
      <w:r>
        <w:rPr>
          <w:rFonts w:ascii="宋体" w:hAnsi="宋体" w:eastAsia="宋体" w:cs="宋体"/>
          <w:color w:val="auto"/>
          <w:spacing w:val="7"/>
          <w:sz w:val="24"/>
          <w:szCs w:val="24"/>
          <w:highlight w:val="none"/>
        </w:rPr>
        <w:t xml:space="preserve">  </w:t>
      </w:r>
      <w:r>
        <w:rPr>
          <w:rFonts w:ascii="宋体" w:hAnsi="宋体" w:eastAsia="宋体" w:cs="宋体"/>
          <w:color w:val="auto"/>
          <w:spacing w:val="-22"/>
          <w:sz w:val="24"/>
          <w:szCs w:val="24"/>
          <w:highlight w:val="none"/>
        </w:rPr>
        <w:t>年</w:t>
      </w:r>
      <w:r>
        <w:rPr>
          <w:rFonts w:ascii="宋体" w:hAnsi="宋体" w:eastAsia="宋体" w:cs="宋体"/>
          <w:color w:val="auto"/>
          <w:spacing w:val="7"/>
          <w:sz w:val="24"/>
          <w:szCs w:val="24"/>
          <w:highlight w:val="none"/>
        </w:rPr>
        <w:t xml:space="preserve">  </w:t>
      </w:r>
      <w:r>
        <w:rPr>
          <w:rFonts w:ascii="宋体" w:hAnsi="宋体" w:eastAsia="宋体" w:cs="宋体"/>
          <w:color w:val="auto"/>
          <w:spacing w:val="-22"/>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22"/>
          <w:sz w:val="24"/>
          <w:szCs w:val="24"/>
          <w:highlight w:val="none"/>
        </w:rPr>
        <w:t>日</w:t>
      </w:r>
    </w:p>
    <w:p w14:paraId="6F58EBB5">
      <w:pPr>
        <w:spacing w:line="220" w:lineRule="auto"/>
        <w:rPr>
          <w:rFonts w:ascii="宋体" w:hAnsi="宋体" w:eastAsia="宋体" w:cs="宋体"/>
          <w:color w:val="auto"/>
          <w:sz w:val="24"/>
          <w:szCs w:val="24"/>
          <w:highlight w:val="none"/>
        </w:rPr>
        <w:sectPr>
          <w:footerReference r:id="rId67" w:type="default"/>
          <w:pgSz w:w="11905" w:h="16839"/>
          <w:pgMar w:top="400" w:right="1587" w:bottom="909" w:left="1599" w:header="0" w:footer="673" w:gutter="0"/>
          <w:pgNumType w:fmt="decimal"/>
          <w:cols w:space="720" w:num="1"/>
        </w:sectPr>
      </w:pPr>
    </w:p>
    <w:p w14:paraId="09B63131">
      <w:pPr>
        <w:pStyle w:val="6"/>
        <w:spacing w:line="265" w:lineRule="auto"/>
        <w:rPr>
          <w:color w:val="auto"/>
          <w:highlight w:val="none"/>
        </w:rPr>
      </w:pPr>
    </w:p>
    <w:p w14:paraId="1A089A30">
      <w:pPr>
        <w:pStyle w:val="6"/>
        <w:spacing w:line="265" w:lineRule="auto"/>
        <w:rPr>
          <w:color w:val="auto"/>
          <w:highlight w:val="none"/>
        </w:rPr>
      </w:pPr>
    </w:p>
    <w:p w14:paraId="309A340D">
      <w:pPr>
        <w:pStyle w:val="6"/>
        <w:spacing w:line="265" w:lineRule="auto"/>
        <w:rPr>
          <w:color w:val="auto"/>
          <w:highlight w:val="none"/>
        </w:rPr>
      </w:pPr>
    </w:p>
    <w:p w14:paraId="229A9EE1">
      <w:pPr>
        <w:pStyle w:val="6"/>
        <w:spacing w:line="265" w:lineRule="auto"/>
        <w:rPr>
          <w:color w:val="auto"/>
          <w:highlight w:val="none"/>
        </w:rPr>
      </w:pPr>
    </w:p>
    <w:p w14:paraId="59D80FC7">
      <w:pPr>
        <w:spacing w:before="101" w:line="224" w:lineRule="auto"/>
        <w:ind w:left="2659"/>
        <w:rPr>
          <w:rFonts w:ascii="宋体" w:hAnsi="宋体" w:eastAsia="宋体" w:cs="宋体"/>
          <w:color w:val="auto"/>
          <w:sz w:val="31"/>
          <w:szCs w:val="31"/>
          <w:highlight w:val="none"/>
        </w:rPr>
      </w:pPr>
      <w:r>
        <w:rPr>
          <w:rFonts w:ascii="宋体" w:hAnsi="宋体" w:eastAsia="宋体" w:cs="宋体"/>
          <w:color w:val="auto"/>
          <w:spacing w:val="8"/>
          <w:sz w:val="31"/>
          <w:szCs w:val="31"/>
          <w:highlight w:val="none"/>
        </w:rPr>
        <w:t>第四节 报价文件格式</w:t>
      </w:r>
    </w:p>
    <w:p w14:paraId="76BFE921">
      <w:pPr>
        <w:pStyle w:val="6"/>
        <w:spacing w:line="335" w:lineRule="auto"/>
        <w:rPr>
          <w:color w:val="auto"/>
          <w:highlight w:val="none"/>
        </w:rPr>
      </w:pPr>
    </w:p>
    <w:p w14:paraId="0948B317">
      <w:pPr>
        <w:spacing w:before="65" w:line="228" w:lineRule="auto"/>
        <w:ind w:left="6048"/>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全流程电子文件</w:t>
      </w:r>
    </w:p>
    <w:p w14:paraId="61C6EE03">
      <w:pPr>
        <w:pStyle w:val="6"/>
        <w:spacing w:line="248" w:lineRule="auto"/>
        <w:rPr>
          <w:color w:val="auto"/>
          <w:highlight w:val="none"/>
        </w:rPr>
      </w:pPr>
    </w:p>
    <w:p w14:paraId="68F96B4C">
      <w:pPr>
        <w:pStyle w:val="6"/>
        <w:spacing w:line="248" w:lineRule="auto"/>
        <w:rPr>
          <w:color w:val="auto"/>
          <w:highlight w:val="none"/>
        </w:rPr>
      </w:pPr>
    </w:p>
    <w:p w14:paraId="2371F726">
      <w:pPr>
        <w:pStyle w:val="6"/>
        <w:spacing w:line="248" w:lineRule="auto"/>
        <w:rPr>
          <w:color w:val="auto"/>
          <w:highlight w:val="none"/>
        </w:rPr>
      </w:pPr>
    </w:p>
    <w:p w14:paraId="252578B9">
      <w:pPr>
        <w:pStyle w:val="6"/>
        <w:spacing w:line="248" w:lineRule="auto"/>
        <w:rPr>
          <w:color w:val="auto"/>
          <w:highlight w:val="none"/>
        </w:rPr>
      </w:pPr>
    </w:p>
    <w:p w14:paraId="6F34516E">
      <w:pPr>
        <w:pStyle w:val="6"/>
        <w:spacing w:line="249" w:lineRule="auto"/>
        <w:rPr>
          <w:color w:val="auto"/>
          <w:highlight w:val="none"/>
        </w:rPr>
      </w:pPr>
    </w:p>
    <w:p w14:paraId="65A81731">
      <w:pPr>
        <w:pStyle w:val="6"/>
        <w:spacing w:line="249" w:lineRule="auto"/>
        <w:rPr>
          <w:color w:val="auto"/>
          <w:highlight w:val="none"/>
        </w:rPr>
      </w:pPr>
    </w:p>
    <w:p w14:paraId="656D2EED">
      <w:pPr>
        <w:spacing w:before="169" w:line="219" w:lineRule="auto"/>
        <w:ind w:left="2094"/>
        <w:rPr>
          <w:rFonts w:ascii="宋体" w:hAnsi="宋体" w:eastAsia="宋体" w:cs="宋体"/>
          <w:color w:val="auto"/>
          <w:sz w:val="52"/>
          <w:szCs w:val="52"/>
          <w:highlight w:val="none"/>
        </w:rPr>
      </w:pPr>
      <w:r>
        <w:rPr>
          <w:rFonts w:ascii="宋体" w:hAnsi="宋体" w:eastAsia="宋体" w:cs="宋体"/>
          <w:b/>
          <w:bCs/>
          <w:color w:val="auto"/>
          <w:spacing w:val="-6"/>
          <w:sz w:val="52"/>
          <w:szCs w:val="52"/>
          <w:highlight w:val="none"/>
        </w:rPr>
        <w:t>报价文件（封面）</w:t>
      </w:r>
    </w:p>
    <w:p w14:paraId="18DACA1A">
      <w:pPr>
        <w:pStyle w:val="6"/>
        <w:spacing w:line="246" w:lineRule="auto"/>
        <w:rPr>
          <w:color w:val="auto"/>
          <w:highlight w:val="none"/>
        </w:rPr>
      </w:pPr>
    </w:p>
    <w:p w14:paraId="018D6A16">
      <w:pPr>
        <w:pStyle w:val="6"/>
        <w:spacing w:line="246" w:lineRule="auto"/>
        <w:rPr>
          <w:color w:val="auto"/>
          <w:highlight w:val="none"/>
        </w:rPr>
      </w:pPr>
    </w:p>
    <w:p w14:paraId="22EC3FA1">
      <w:pPr>
        <w:pStyle w:val="6"/>
        <w:spacing w:line="246" w:lineRule="auto"/>
        <w:rPr>
          <w:color w:val="auto"/>
          <w:highlight w:val="none"/>
        </w:rPr>
      </w:pPr>
    </w:p>
    <w:p w14:paraId="65DEA24C">
      <w:pPr>
        <w:pStyle w:val="6"/>
        <w:spacing w:line="246" w:lineRule="auto"/>
        <w:rPr>
          <w:color w:val="auto"/>
          <w:highlight w:val="none"/>
        </w:rPr>
      </w:pPr>
    </w:p>
    <w:p w14:paraId="57C6B452">
      <w:pPr>
        <w:pStyle w:val="6"/>
        <w:spacing w:line="246" w:lineRule="auto"/>
        <w:rPr>
          <w:color w:val="auto"/>
          <w:highlight w:val="none"/>
        </w:rPr>
      </w:pPr>
    </w:p>
    <w:p w14:paraId="2F36E143">
      <w:pPr>
        <w:pStyle w:val="6"/>
        <w:spacing w:line="247" w:lineRule="auto"/>
        <w:rPr>
          <w:color w:val="auto"/>
          <w:highlight w:val="none"/>
        </w:rPr>
      </w:pPr>
    </w:p>
    <w:p w14:paraId="5EDE1114">
      <w:pPr>
        <w:pStyle w:val="6"/>
        <w:spacing w:line="247" w:lineRule="auto"/>
        <w:rPr>
          <w:color w:val="auto"/>
          <w:highlight w:val="none"/>
        </w:rPr>
      </w:pPr>
    </w:p>
    <w:p w14:paraId="3636F6F0">
      <w:pPr>
        <w:pStyle w:val="6"/>
        <w:spacing w:line="247" w:lineRule="auto"/>
        <w:rPr>
          <w:color w:val="auto"/>
          <w:highlight w:val="none"/>
        </w:rPr>
      </w:pPr>
    </w:p>
    <w:p w14:paraId="39887658">
      <w:pPr>
        <w:pStyle w:val="6"/>
        <w:spacing w:line="247" w:lineRule="auto"/>
        <w:rPr>
          <w:color w:val="auto"/>
          <w:highlight w:val="none"/>
        </w:rPr>
      </w:pPr>
    </w:p>
    <w:p w14:paraId="1F21B1C9">
      <w:pPr>
        <w:pStyle w:val="6"/>
        <w:spacing w:line="247" w:lineRule="auto"/>
        <w:rPr>
          <w:color w:val="auto"/>
          <w:highlight w:val="none"/>
        </w:rPr>
      </w:pPr>
    </w:p>
    <w:p w14:paraId="6CE265E4">
      <w:pPr>
        <w:spacing w:before="100" w:line="226" w:lineRule="auto"/>
        <w:ind w:left="458"/>
        <w:rPr>
          <w:rFonts w:ascii="宋体" w:hAnsi="宋体" w:eastAsia="宋体" w:cs="宋体"/>
          <w:color w:val="auto"/>
          <w:sz w:val="31"/>
          <w:szCs w:val="31"/>
          <w:highlight w:val="none"/>
        </w:rPr>
      </w:pPr>
      <w:r>
        <w:rPr>
          <w:rFonts w:ascii="宋体" w:hAnsi="宋体" w:eastAsia="宋体" w:cs="宋体"/>
          <w:color w:val="auto"/>
          <w:spacing w:val="4"/>
          <w:sz w:val="31"/>
          <w:szCs w:val="31"/>
          <w:highlight w:val="none"/>
        </w:rPr>
        <w:t>项目名称：</w:t>
      </w:r>
    </w:p>
    <w:p w14:paraId="05A61C56">
      <w:pPr>
        <w:pStyle w:val="6"/>
        <w:spacing w:line="340" w:lineRule="auto"/>
        <w:rPr>
          <w:color w:val="auto"/>
          <w:highlight w:val="none"/>
        </w:rPr>
      </w:pPr>
    </w:p>
    <w:p w14:paraId="392F62A3">
      <w:pPr>
        <w:pStyle w:val="6"/>
        <w:spacing w:line="340" w:lineRule="auto"/>
        <w:rPr>
          <w:color w:val="auto"/>
          <w:highlight w:val="none"/>
        </w:rPr>
      </w:pPr>
    </w:p>
    <w:p w14:paraId="15950F34">
      <w:pPr>
        <w:spacing w:before="100" w:line="225" w:lineRule="auto"/>
        <w:ind w:left="458"/>
        <w:rPr>
          <w:rFonts w:ascii="宋体" w:hAnsi="宋体" w:eastAsia="宋体" w:cs="宋体"/>
          <w:color w:val="auto"/>
          <w:sz w:val="31"/>
          <w:szCs w:val="31"/>
          <w:highlight w:val="none"/>
        </w:rPr>
      </w:pPr>
      <w:r>
        <w:rPr>
          <w:rFonts w:ascii="宋体" w:hAnsi="宋体" w:eastAsia="宋体" w:cs="宋体"/>
          <w:color w:val="auto"/>
          <w:spacing w:val="4"/>
          <w:sz w:val="31"/>
          <w:szCs w:val="31"/>
          <w:highlight w:val="none"/>
        </w:rPr>
        <w:t>项目编号：</w:t>
      </w:r>
    </w:p>
    <w:p w14:paraId="0CAC1DD8">
      <w:pPr>
        <w:pStyle w:val="6"/>
        <w:spacing w:line="339" w:lineRule="auto"/>
        <w:rPr>
          <w:color w:val="auto"/>
          <w:highlight w:val="none"/>
        </w:rPr>
      </w:pPr>
    </w:p>
    <w:p w14:paraId="761B0599">
      <w:pPr>
        <w:pStyle w:val="6"/>
        <w:spacing w:line="339" w:lineRule="auto"/>
        <w:rPr>
          <w:color w:val="auto"/>
          <w:highlight w:val="none"/>
        </w:rPr>
      </w:pPr>
    </w:p>
    <w:p w14:paraId="116A2617">
      <w:pPr>
        <w:spacing w:before="102" w:line="226" w:lineRule="auto"/>
        <w:jc w:val="right"/>
        <w:rPr>
          <w:rFonts w:ascii="宋体" w:hAnsi="宋体" w:eastAsia="宋体" w:cs="宋体"/>
          <w:color w:val="auto"/>
          <w:sz w:val="31"/>
          <w:szCs w:val="31"/>
          <w:highlight w:val="none"/>
        </w:rPr>
      </w:pPr>
      <w:r>
        <w:rPr>
          <w:rFonts w:ascii="宋体" w:hAnsi="宋体" w:eastAsia="宋体" w:cs="宋体"/>
          <w:color w:val="auto"/>
          <w:spacing w:val="5"/>
          <w:sz w:val="31"/>
          <w:szCs w:val="31"/>
          <w:highlight w:val="none"/>
        </w:rPr>
        <w:t>所竞分标（如有则填写，无分标时填写“无</w:t>
      </w:r>
      <w:r>
        <w:rPr>
          <w:rFonts w:ascii="宋体" w:hAnsi="宋体" w:eastAsia="宋体" w:cs="宋体"/>
          <w:color w:val="auto"/>
          <w:spacing w:val="-110"/>
          <w:sz w:val="31"/>
          <w:szCs w:val="31"/>
          <w:highlight w:val="none"/>
        </w:rPr>
        <w:t xml:space="preserve"> </w:t>
      </w:r>
      <w:r>
        <w:rPr>
          <w:rFonts w:ascii="宋体" w:hAnsi="宋体" w:eastAsia="宋体" w:cs="宋体"/>
          <w:color w:val="auto"/>
          <w:spacing w:val="5"/>
          <w:sz w:val="31"/>
          <w:szCs w:val="31"/>
          <w:highlight w:val="none"/>
        </w:rPr>
        <w:t>”或者留空</w:t>
      </w:r>
      <w:r>
        <w:rPr>
          <w:rFonts w:ascii="宋体" w:hAnsi="宋体" w:eastAsia="宋体" w:cs="宋体"/>
          <w:color w:val="auto"/>
          <w:spacing w:val="-34"/>
          <w:sz w:val="31"/>
          <w:szCs w:val="31"/>
          <w:highlight w:val="none"/>
        </w:rPr>
        <w:t>）：</w:t>
      </w:r>
    </w:p>
    <w:p w14:paraId="23E93672">
      <w:pPr>
        <w:pStyle w:val="6"/>
        <w:spacing w:line="280" w:lineRule="auto"/>
        <w:rPr>
          <w:color w:val="auto"/>
          <w:highlight w:val="none"/>
        </w:rPr>
      </w:pPr>
    </w:p>
    <w:p w14:paraId="4FEB10B1">
      <w:pPr>
        <w:pStyle w:val="6"/>
        <w:spacing w:line="281" w:lineRule="auto"/>
        <w:rPr>
          <w:color w:val="auto"/>
          <w:highlight w:val="none"/>
        </w:rPr>
      </w:pPr>
    </w:p>
    <w:p w14:paraId="088CF79A">
      <w:pPr>
        <w:spacing w:before="101" w:line="225" w:lineRule="auto"/>
        <w:ind w:left="453"/>
        <w:rPr>
          <w:rFonts w:ascii="宋体" w:hAnsi="宋体" w:eastAsia="宋体" w:cs="宋体"/>
          <w:color w:val="auto"/>
          <w:sz w:val="31"/>
          <w:szCs w:val="31"/>
          <w:highlight w:val="none"/>
        </w:rPr>
      </w:pPr>
      <w:r>
        <w:rPr>
          <w:rFonts w:ascii="宋体" w:hAnsi="宋体" w:eastAsia="宋体" w:cs="宋体"/>
          <w:color w:val="auto"/>
          <w:spacing w:val="5"/>
          <w:sz w:val="31"/>
          <w:szCs w:val="31"/>
          <w:highlight w:val="none"/>
        </w:rPr>
        <w:t>供应商名称：</w:t>
      </w:r>
    </w:p>
    <w:p w14:paraId="5D91BE61">
      <w:pPr>
        <w:pStyle w:val="6"/>
        <w:spacing w:line="248" w:lineRule="auto"/>
        <w:rPr>
          <w:color w:val="auto"/>
          <w:highlight w:val="none"/>
        </w:rPr>
      </w:pPr>
    </w:p>
    <w:p w14:paraId="4B065E83">
      <w:pPr>
        <w:pStyle w:val="6"/>
        <w:spacing w:line="248" w:lineRule="auto"/>
        <w:rPr>
          <w:color w:val="auto"/>
          <w:highlight w:val="none"/>
        </w:rPr>
      </w:pPr>
    </w:p>
    <w:p w14:paraId="207E9873">
      <w:pPr>
        <w:pStyle w:val="6"/>
        <w:spacing w:line="248" w:lineRule="auto"/>
        <w:rPr>
          <w:color w:val="auto"/>
          <w:highlight w:val="none"/>
        </w:rPr>
      </w:pPr>
    </w:p>
    <w:p w14:paraId="4B3BCF44">
      <w:pPr>
        <w:pStyle w:val="6"/>
        <w:spacing w:line="248" w:lineRule="auto"/>
        <w:rPr>
          <w:color w:val="auto"/>
          <w:highlight w:val="none"/>
        </w:rPr>
      </w:pPr>
    </w:p>
    <w:p w14:paraId="32A576F6">
      <w:pPr>
        <w:pStyle w:val="6"/>
        <w:spacing w:line="248" w:lineRule="auto"/>
        <w:rPr>
          <w:color w:val="auto"/>
          <w:highlight w:val="none"/>
        </w:rPr>
      </w:pPr>
    </w:p>
    <w:p w14:paraId="65D96849">
      <w:pPr>
        <w:pStyle w:val="6"/>
        <w:spacing w:line="248" w:lineRule="auto"/>
        <w:rPr>
          <w:color w:val="auto"/>
          <w:highlight w:val="none"/>
        </w:rPr>
      </w:pPr>
    </w:p>
    <w:p w14:paraId="2444BDA5">
      <w:pPr>
        <w:spacing w:before="102" w:line="225" w:lineRule="auto"/>
        <w:ind w:left="3059"/>
        <w:rPr>
          <w:rFonts w:ascii="宋体" w:hAnsi="宋体" w:eastAsia="宋体" w:cs="宋体"/>
          <w:color w:val="auto"/>
          <w:sz w:val="31"/>
          <w:szCs w:val="31"/>
          <w:highlight w:val="none"/>
        </w:rPr>
      </w:pPr>
      <w:r>
        <w:rPr>
          <w:rFonts w:ascii="宋体" w:hAnsi="宋体" w:eastAsia="宋体" w:cs="宋体"/>
          <w:color w:val="auto"/>
          <w:spacing w:val="-6"/>
          <w:sz w:val="31"/>
          <w:szCs w:val="31"/>
          <w:highlight w:val="none"/>
        </w:rPr>
        <w:t>年</w:t>
      </w:r>
      <w:r>
        <w:rPr>
          <w:rFonts w:ascii="宋体" w:hAnsi="宋体" w:eastAsia="宋体" w:cs="宋体"/>
          <w:color w:val="auto"/>
          <w:spacing w:val="10"/>
          <w:sz w:val="31"/>
          <w:szCs w:val="31"/>
          <w:highlight w:val="none"/>
        </w:rPr>
        <w:t xml:space="preserve">    </w:t>
      </w:r>
      <w:r>
        <w:rPr>
          <w:rFonts w:ascii="宋体" w:hAnsi="宋体" w:eastAsia="宋体" w:cs="宋体"/>
          <w:color w:val="auto"/>
          <w:spacing w:val="-6"/>
          <w:sz w:val="31"/>
          <w:szCs w:val="31"/>
          <w:highlight w:val="none"/>
        </w:rPr>
        <w:t>月</w:t>
      </w:r>
      <w:r>
        <w:rPr>
          <w:rFonts w:ascii="宋体" w:hAnsi="宋体" w:eastAsia="宋体" w:cs="宋体"/>
          <w:color w:val="auto"/>
          <w:spacing w:val="22"/>
          <w:sz w:val="31"/>
          <w:szCs w:val="31"/>
          <w:highlight w:val="none"/>
        </w:rPr>
        <w:t xml:space="preserve">    </w:t>
      </w:r>
      <w:r>
        <w:rPr>
          <w:rFonts w:ascii="宋体" w:hAnsi="宋体" w:eastAsia="宋体" w:cs="宋体"/>
          <w:color w:val="auto"/>
          <w:spacing w:val="-6"/>
          <w:sz w:val="31"/>
          <w:szCs w:val="31"/>
          <w:highlight w:val="none"/>
        </w:rPr>
        <w:t>日</w:t>
      </w:r>
    </w:p>
    <w:p w14:paraId="200A9C2B">
      <w:pPr>
        <w:spacing w:line="225" w:lineRule="auto"/>
        <w:rPr>
          <w:rFonts w:ascii="宋体" w:hAnsi="宋体" w:eastAsia="宋体" w:cs="宋体"/>
          <w:color w:val="auto"/>
          <w:sz w:val="31"/>
          <w:szCs w:val="31"/>
          <w:highlight w:val="none"/>
        </w:rPr>
        <w:sectPr>
          <w:footerReference r:id="rId68" w:type="default"/>
          <w:pgSz w:w="11905" w:h="16839"/>
          <w:pgMar w:top="400" w:right="1507" w:bottom="909" w:left="1785" w:header="0" w:footer="673" w:gutter="0"/>
          <w:pgNumType w:fmt="decimal"/>
          <w:cols w:space="720" w:num="1"/>
        </w:sectPr>
      </w:pPr>
    </w:p>
    <w:p w14:paraId="32CD9AF7">
      <w:pPr>
        <w:pStyle w:val="6"/>
        <w:spacing w:line="280" w:lineRule="auto"/>
        <w:rPr>
          <w:color w:val="auto"/>
          <w:highlight w:val="none"/>
        </w:rPr>
      </w:pPr>
    </w:p>
    <w:p w14:paraId="47CCAD65">
      <w:pPr>
        <w:pStyle w:val="6"/>
        <w:spacing w:line="280" w:lineRule="auto"/>
        <w:rPr>
          <w:color w:val="auto"/>
          <w:highlight w:val="none"/>
        </w:rPr>
      </w:pPr>
    </w:p>
    <w:p w14:paraId="7B4C5827">
      <w:pPr>
        <w:pStyle w:val="6"/>
        <w:spacing w:line="281" w:lineRule="auto"/>
        <w:rPr>
          <w:color w:val="auto"/>
          <w:highlight w:val="none"/>
        </w:rPr>
      </w:pPr>
    </w:p>
    <w:p w14:paraId="1DA7B265">
      <w:pPr>
        <w:spacing w:before="100" w:line="224" w:lineRule="auto"/>
        <w:ind w:left="3401"/>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报价文件目录</w:t>
      </w:r>
    </w:p>
    <w:p w14:paraId="1BD83D43">
      <w:pPr>
        <w:pStyle w:val="6"/>
        <w:spacing w:line="404" w:lineRule="auto"/>
        <w:rPr>
          <w:color w:val="auto"/>
          <w:sz w:val="20"/>
          <w:szCs w:val="20"/>
          <w:highlight w:val="none"/>
        </w:rPr>
      </w:pPr>
    </w:p>
    <w:p w14:paraId="47554978">
      <w:pPr>
        <w:spacing w:before="78" w:line="222" w:lineRule="auto"/>
        <w:ind w:left="3"/>
        <w:rPr>
          <w:rFonts w:ascii="宋体" w:hAnsi="宋体" w:eastAsia="宋体" w:cs="宋体"/>
          <w:color w:val="auto"/>
          <w:sz w:val="20"/>
          <w:szCs w:val="20"/>
          <w:highlight w:val="none"/>
        </w:rPr>
      </w:pPr>
      <w:r>
        <w:rPr>
          <w:rFonts w:ascii="宋体" w:hAnsi="宋体" w:eastAsia="宋体" w:cs="宋体"/>
          <w:color w:val="auto"/>
          <w:sz w:val="20"/>
          <w:szCs w:val="20"/>
          <w:highlight w:val="none"/>
        </w:rPr>
        <w:t>一、响应函………………………………………</w:t>
      </w:r>
      <w:r>
        <w:rPr>
          <w:rFonts w:ascii="宋体" w:hAnsi="宋体" w:eastAsia="宋体" w:cs="宋体"/>
          <w:color w:val="auto"/>
          <w:spacing w:val="-1"/>
          <w:sz w:val="20"/>
          <w:szCs w:val="20"/>
          <w:highlight w:val="none"/>
        </w:rPr>
        <w:t>……………………………（页码）</w:t>
      </w:r>
    </w:p>
    <w:p w14:paraId="5E6A37C5">
      <w:pPr>
        <w:spacing w:before="208" w:line="219" w:lineRule="auto"/>
        <w:ind w:left="3"/>
        <w:rPr>
          <w:rFonts w:ascii="宋体" w:hAnsi="宋体" w:eastAsia="宋体" w:cs="宋体"/>
          <w:color w:val="auto"/>
          <w:sz w:val="20"/>
          <w:szCs w:val="20"/>
          <w:highlight w:val="none"/>
        </w:rPr>
      </w:pPr>
      <w:r>
        <w:rPr>
          <w:rFonts w:ascii="宋体" w:hAnsi="宋体" w:eastAsia="宋体" w:cs="宋体"/>
          <w:color w:val="auto"/>
          <w:sz w:val="20"/>
          <w:szCs w:val="20"/>
          <w:highlight w:val="none"/>
        </w:rPr>
        <w:t>二、响应报价表…………………………………</w:t>
      </w:r>
      <w:r>
        <w:rPr>
          <w:rFonts w:ascii="宋体" w:hAnsi="宋体" w:eastAsia="宋体" w:cs="宋体"/>
          <w:color w:val="auto"/>
          <w:spacing w:val="-1"/>
          <w:sz w:val="20"/>
          <w:szCs w:val="20"/>
          <w:highlight w:val="none"/>
        </w:rPr>
        <w:t>……………………………（页码）</w:t>
      </w:r>
    </w:p>
    <w:p w14:paraId="58F1C3CA">
      <w:pPr>
        <w:spacing w:before="212" w:line="219" w:lineRule="auto"/>
        <w:rPr>
          <w:rFonts w:ascii="宋体" w:hAnsi="宋体" w:eastAsia="宋体" w:cs="宋体"/>
          <w:color w:val="auto"/>
          <w:sz w:val="20"/>
          <w:szCs w:val="20"/>
          <w:highlight w:val="none"/>
        </w:rPr>
      </w:pPr>
      <w:r>
        <w:rPr>
          <w:rFonts w:ascii="宋体" w:hAnsi="宋体" w:eastAsia="宋体" w:cs="宋体"/>
          <w:color w:val="auto"/>
          <w:sz w:val="20"/>
          <w:szCs w:val="20"/>
          <w:highlight w:val="none"/>
        </w:rPr>
        <w:t>三、已标价工程量清单……………………………………</w:t>
      </w:r>
      <w:r>
        <w:rPr>
          <w:rFonts w:ascii="宋体" w:hAnsi="宋体" w:eastAsia="宋体" w:cs="宋体"/>
          <w:color w:val="auto"/>
          <w:spacing w:val="-1"/>
          <w:sz w:val="20"/>
          <w:szCs w:val="20"/>
          <w:highlight w:val="none"/>
        </w:rPr>
        <w:t>…………………（页码）</w:t>
      </w:r>
    </w:p>
    <w:p w14:paraId="04D30E38">
      <w:pPr>
        <w:spacing w:before="213" w:line="219" w:lineRule="auto"/>
        <w:ind w:left="22"/>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四、供应商认为需要提供的其他有关资料…………………………………（页码）</w:t>
      </w:r>
    </w:p>
    <w:p w14:paraId="69542469">
      <w:pPr>
        <w:spacing w:before="212" w:line="382" w:lineRule="auto"/>
        <w:ind w:left="3" w:hanging="3"/>
        <w:rPr>
          <w:rFonts w:ascii="宋体" w:hAnsi="宋体" w:eastAsia="宋体" w:cs="宋体"/>
          <w:color w:val="auto"/>
          <w:sz w:val="20"/>
          <w:szCs w:val="20"/>
          <w:highlight w:val="none"/>
        </w:rPr>
      </w:pPr>
      <w:r>
        <w:rPr>
          <w:rFonts w:ascii="宋体" w:hAnsi="宋体" w:eastAsia="宋体" w:cs="宋体"/>
          <w:b/>
          <w:bCs/>
          <w:color w:val="auto"/>
          <w:sz w:val="20"/>
          <w:szCs w:val="20"/>
          <w:highlight w:val="none"/>
        </w:rPr>
        <w:t>注：以上目录是编制供应商响应文件的基本格式要求，各供</w:t>
      </w:r>
      <w:r>
        <w:rPr>
          <w:rFonts w:ascii="宋体" w:hAnsi="宋体" w:eastAsia="宋体" w:cs="宋体"/>
          <w:b/>
          <w:bCs/>
          <w:color w:val="auto"/>
          <w:spacing w:val="-1"/>
          <w:sz w:val="20"/>
          <w:szCs w:val="20"/>
          <w:highlight w:val="none"/>
        </w:rPr>
        <w:t>应商可根据自身情况进</w:t>
      </w:r>
      <w:r>
        <w:rPr>
          <w:rFonts w:ascii="宋体" w:hAnsi="宋体" w:eastAsia="宋体" w:cs="宋体"/>
          <w:color w:val="auto"/>
          <w:sz w:val="20"/>
          <w:szCs w:val="20"/>
          <w:highlight w:val="none"/>
        </w:rPr>
        <w:t xml:space="preserve"> </w:t>
      </w:r>
      <w:r>
        <w:rPr>
          <w:rFonts w:ascii="宋体" w:hAnsi="宋体" w:eastAsia="宋体" w:cs="宋体"/>
          <w:b/>
          <w:bCs/>
          <w:color w:val="auto"/>
          <w:spacing w:val="-3"/>
          <w:sz w:val="20"/>
          <w:szCs w:val="20"/>
          <w:highlight w:val="none"/>
        </w:rPr>
        <w:t>一步向下增加内容或细化。</w:t>
      </w:r>
    </w:p>
    <w:p w14:paraId="6E6EE4D2">
      <w:pPr>
        <w:spacing w:line="382" w:lineRule="auto"/>
        <w:rPr>
          <w:rFonts w:ascii="宋体" w:hAnsi="宋体" w:eastAsia="宋体" w:cs="宋体"/>
          <w:color w:val="auto"/>
          <w:sz w:val="24"/>
          <w:szCs w:val="24"/>
          <w:highlight w:val="none"/>
        </w:rPr>
        <w:sectPr>
          <w:footerReference r:id="rId69" w:type="default"/>
          <w:pgSz w:w="11905" w:h="16839"/>
          <w:pgMar w:top="400" w:right="1587" w:bottom="909" w:left="1595" w:header="0" w:footer="673" w:gutter="0"/>
          <w:pgNumType w:fmt="decimal"/>
          <w:cols w:space="720" w:num="1"/>
        </w:sectPr>
      </w:pPr>
    </w:p>
    <w:p w14:paraId="7A90D672">
      <w:pPr>
        <w:pStyle w:val="6"/>
        <w:spacing w:line="281" w:lineRule="auto"/>
        <w:rPr>
          <w:color w:val="auto"/>
          <w:highlight w:val="none"/>
        </w:rPr>
      </w:pPr>
    </w:p>
    <w:p w14:paraId="6F14C3B9">
      <w:pPr>
        <w:pStyle w:val="6"/>
        <w:spacing w:line="281" w:lineRule="auto"/>
        <w:rPr>
          <w:color w:val="auto"/>
          <w:highlight w:val="none"/>
        </w:rPr>
      </w:pPr>
    </w:p>
    <w:p w14:paraId="553703F5">
      <w:pPr>
        <w:pStyle w:val="6"/>
        <w:spacing w:line="281" w:lineRule="auto"/>
        <w:rPr>
          <w:color w:val="auto"/>
          <w:highlight w:val="none"/>
        </w:rPr>
      </w:pPr>
    </w:p>
    <w:p w14:paraId="22A86C6A">
      <w:pPr>
        <w:spacing w:before="100" w:line="227" w:lineRule="auto"/>
        <w:ind w:left="10"/>
        <w:rPr>
          <w:rFonts w:ascii="宋体" w:hAnsi="宋体" w:eastAsia="宋体" w:cs="宋体"/>
          <w:color w:val="auto"/>
          <w:sz w:val="31"/>
          <w:szCs w:val="31"/>
          <w:highlight w:val="none"/>
        </w:rPr>
      </w:pPr>
      <w:r>
        <w:rPr>
          <w:rFonts w:ascii="宋体" w:hAnsi="宋体" w:eastAsia="宋体" w:cs="宋体"/>
          <w:b/>
          <w:bCs/>
          <w:color w:val="auto"/>
          <w:spacing w:val="3"/>
          <w:sz w:val="31"/>
          <w:szCs w:val="31"/>
          <w:highlight w:val="none"/>
        </w:rPr>
        <w:t>一、响应函</w:t>
      </w:r>
    </w:p>
    <w:p w14:paraId="7EBBBE8A">
      <w:pPr>
        <w:pStyle w:val="6"/>
        <w:spacing w:line="284" w:lineRule="auto"/>
        <w:rPr>
          <w:color w:val="auto"/>
          <w:highlight w:val="none"/>
        </w:rPr>
      </w:pPr>
    </w:p>
    <w:p w14:paraId="34027F0A">
      <w:pPr>
        <w:spacing w:before="97" w:line="222" w:lineRule="auto"/>
        <w:ind w:left="3933"/>
        <w:rPr>
          <w:rFonts w:ascii="宋体" w:hAnsi="宋体" w:eastAsia="宋体" w:cs="宋体"/>
          <w:color w:val="auto"/>
          <w:sz w:val="20"/>
          <w:szCs w:val="20"/>
          <w:highlight w:val="none"/>
        </w:rPr>
      </w:pPr>
      <w:r>
        <w:rPr>
          <w:rFonts w:ascii="宋体" w:hAnsi="宋体" w:eastAsia="宋体" w:cs="宋体"/>
          <w:b/>
          <w:bCs/>
          <w:color w:val="auto"/>
          <w:spacing w:val="-12"/>
          <w:sz w:val="20"/>
          <w:szCs w:val="20"/>
          <w:highlight w:val="none"/>
        </w:rPr>
        <w:t>响应函</w:t>
      </w:r>
    </w:p>
    <w:p w14:paraId="58711729">
      <w:pPr>
        <w:spacing w:before="291" w:line="219" w:lineRule="auto"/>
        <w:ind w:left="1"/>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致：</w:t>
      </w:r>
      <w:r>
        <w:rPr>
          <w:rFonts w:ascii="宋体" w:hAnsi="宋体" w:eastAsia="宋体" w:cs="宋体"/>
          <w:color w:val="auto"/>
          <w:spacing w:val="-1"/>
          <w:sz w:val="20"/>
          <w:szCs w:val="20"/>
          <w:highlight w:val="none"/>
          <w:u w:val="single" w:color="auto"/>
        </w:rPr>
        <w:t xml:space="preserve"> 广西拓正工程造价咨询有限公司</w:t>
      </w:r>
      <w:r>
        <w:rPr>
          <w:rFonts w:ascii="宋体" w:hAnsi="宋体" w:eastAsia="宋体" w:cs="宋体"/>
          <w:color w:val="auto"/>
          <w:spacing w:val="6"/>
          <w:sz w:val="20"/>
          <w:szCs w:val="20"/>
          <w:highlight w:val="none"/>
          <w:u w:val="single" w:color="auto"/>
        </w:rPr>
        <w:t xml:space="preserve"> </w:t>
      </w:r>
    </w:p>
    <w:p w14:paraId="175622C5">
      <w:pPr>
        <w:spacing w:before="213" w:line="382" w:lineRule="auto"/>
        <w:ind w:left="5" w:firstLine="478"/>
        <w:jc w:val="both"/>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我方已仔细阅读了贵方组织的</w:t>
      </w:r>
      <w:r>
        <w:rPr>
          <w:rFonts w:ascii="宋体" w:hAnsi="宋体" w:eastAsia="宋体" w:cs="宋体"/>
          <w:color w:val="auto"/>
          <w:spacing w:val="-1"/>
          <w:sz w:val="20"/>
          <w:szCs w:val="20"/>
          <w:highlight w:val="none"/>
          <w:u w:val="single" w:color="auto"/>
        </w:rPr>
        <w:t xml:space="preserve">                 </w:t>
      </w:r>
      <w:r>
        <w:rPr>
          <w:rFonts w:ascii="宋体" w:hAnsi="宋体" w:eastAsia="宋体" w:cs="宋体"/>
          <w:color w:val="auto"/>
          <w:spacing w:val="-105"/>
          <w:sz w:val="20"/>
          <w:szCs w:val="20"/>
          <w:highlight w:val="none"/>
        </w:rPr>
        <w:t xml:space="preserve"> </w:t>
      </w:r>
      <w:r>
        <w:rPr>
          <w:rFonts w:ascii="宋体" w:hAnsi="宋体" w:eastAsia="宋体" w:cs="宋体"/>
          <w:color w:val="auto"/>
          <w:spacing w:val="-1"/>
          <w:sz w:val="20"/>
          <w:szCs w:val="20"/>
          <w:highlight w:val="none"/>
        </w:rPr>
        <w:t>项目（</w:t>
      </w:r>
      <w:r>
        <w:rPr>
          <w:rFonts w:ascii="宋体" w:hAnsi="宋体" w:eastAsia="宋体" w:cs="宋体"/>
          <w:color w:val="auto"/>
          <w:spacing w:val="-2"/>
          <w:sz w:val="20"/>
          <w:szCs w:val="20"/>
          <w:highlight w:val="none"/>
        </w:rPr>
        <w:t>项目编号</w:t>
      </w:r>
      <w:r>
        <w:rPr>
          <w:rFonts w:ascii="宋体" w:hAnsi="宋体" w:eastAsia="宋体" w:cs="宋体"/>
          <w:color w:val="auto"/>
          <w:spacing w:val="-18"/>
          <w:sz w:val="20"/>
          <w:szCs w:val="20"/>
          <w:highlight w:val="none"/>
        </w:rPr>
        <w:t>：</w:t>
      </w:r>
      <w:r>
        <w:rPr>
          <w:rFonts w:ascii="宋体" w:hAnsi="宋体" w:eastAsia="宋体" w:cs="宋体"/>
          <w:color w:val="auto"/>
          <w:sz w:val="20"/>
          <w:szCs w:val="20"/>
          <w:highlight w:val="none"/>
          <w:u w:val="single" w:color="auto"/>
        </w:rPr>
        <w:t xml:space="preserve">         </w:t>
      </w:r>
      <w:r>
        <w:rPr>
          <w:rFonts w:ascii="宋体" w:hAnsi="宋体" w:eastAsia="宋体" w:cs="宋体"/>
          <w:color w:val="auto"/>
          <w:spacing w:val="-18"/>
          <w:sz w:val="20"/>
          <w:szCs w:val="20"/>
          <w:highlight w:val="none"/>
        </w:rPr>
        <w:t>）</w:t>
      </w:r>
      <w:r>
        <w:rPr>
          <w:rFonts w:ascii="宋体" w:hAnsi="宋体" w:eastAsia="宋体" w:cs="宋体"/>
          <w:color w:val="auto"/>
          <w:sz w:val="20"/>
          <w:szCs w:val="20"/>
          <w:highlight w:val="none"/>
        </w:rPr>
        <w:t xml:space="preserve"> </w:t>
      </w:r>
      <w:r>
        <w:rPr>
          <w:rFonts w:ascii="宋体" w:hAnsi="宋体" w:eastAsia="宋体" w:cs="宋体"/>
          <w:color w:val="auto"/>
          <w:spacing w:val="2"/>
          <w:sz w:val="20"/>
          <w:szCs w:val="20"/>
          <w:highlight w:val="none"/>
        </w:rPr>
        <w:t>的竞争性磋商文件的全部内容，现正式递交下述文件参加贵方组织的本次政府采购</w:t>
      </w:r>
      <w:r>
        <w:rPr>
          <w:rFonts w:ascii="宋体" w:hAnsi="宋体" w:eastAsia="宋体" w:cs="宋体"/>
          <w:color w:val="auto"/>
          <w:spacing w:val="4"/>
          <w:sz w:val="20"/>
          <w:szCs w:val="20"/>
          <w:highlight w:val="none"/>
        </w:rPr>
        <w:t xml:space="preserve"> </w:t>
      </w:r>
      <w:r>
        <w:rPr>
          <w:rFonts w:ascii="宋体" w:hAnsi="宋体" w:eastAsia="宋体" w:cs="宋体"/>
          <w:color w:val="auto"/>
          <w:spacing w:val="-5"/>
          <w:sz w:val="20"/>
          <w:szCs w:val="20"/>
          <w:highlight w:val="none"/>
        </w:rPr>
        <w:t>活动：</w:t>
      </w:r>
    </w:p>
    <w:p w14:paraId="67B7104F">
      <w:pPr>
        <w:spacing w:line="301" w:lineRule="auto"/>
        <w:ind w:right="99" w:firstLine="484"/>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一、首次报价文件电子版</w:t>
      </w:r>
      <w:r>
        <w:rPr>
          <w:rFonts w:ascii="宋体" w:hAnsi="宋体" w:eastAsia="宋体" w:cs="宋体"/>
          <w:color w:val="auto"/>
          <w:spacing w:val="-118"/>
          <w:sz w:val="20"/>
          <w:szCs w:val="20"/>
          <w:highlight w:val="none"/>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109"/>
          <w:sz w:val="20"/>
          <w:szCs w:val="20"/>
          <w:highlight w:val="none"/>
        </w:rPr>
        <w:t xml:space="preserve"> </w:t>
      </w:r>
      <w:r>
        <w:rPr>
          <w:rFonts w:ascii="宋体" w:hAnsi="宋体" w:eastAsia="宋体" w:cs="宋体"/>
          <w:color w:val="auto"/>
          <w:spacing w:val="1"/>
          <w:sz w:val="20"/>
          <w:szCs w:val="20"/>
          <w:highlight w:val="none"/>
        </w:rPr>
        <w:t>份（包含按“第三章 供应</w:t>
      </w:r>
      <w:r>
        <w:rPr>
          <w:rFonts w:ascii="宋体" w:hAnsi="宋体" w:eastAsia="宋体" w:cs="宋体"/>
          <w:color w:val="auto"/>
          <w:sz w:val="20"/>
          <w:szCs w:val="20"/>
          <w:highlight w:val="none"/>
        </w:rPr>
        <w:t>商须知</w:t>
      </w:r>
      <w:r>
        <w:rPr>
          <w:rFonts w:ascii="宋体" w:hAnsi="宋体" w:eastAsia="宋体" w:cs="宋体"/>
          <w:color w:val="auto"/>
          <w:spacing w:val="-86"/>
          <w:sz w:val="20"/>
          <w:szCs w:val="20"/>
          <w:highlight w:val="none"/>
        </w:rPr>
        <w:t xml:space="preserve"> </w:t>
      </w:r>
      <w:r>
        <w:rPr>
          <w:rFonts w:ascii="宋体" w:hAnsi="宋体" w:eastAsia="宋体" w:cs="宋体"/>
          <w:color w:val="auto"/>
          <w:sz w:val="20"/>
          <w:szCs w:val="20"/>
          <w:highlight w:val="none"/>
        </w:rPr>
        <w:t xml:space="preserve">”提交的全部文 </w:t>
      </w:r>
      <w:r>
        <w:rPr>
          <w:rFonts w:ascii="宋体" w:hAnsi="宋体" w:eastAsia="宋体" w:cs="宋体"/>
          <w:color w:val="auto"/>
          <w:spacing w:val="-9"/>
          <w:sz w:val="20"/>
          <w:szCs w:val="20"/>
          <w:highlight w:val="none"/>
        </w:rPr>
        <w:t>件</w:t>
      </w:r>
      <w:r>
        <w:rPr>
          <w:rFonts w:ascii="宋体" w:hAnsi="宋体" w:eastAsia="宋体" w:cs="宋体"/>
          <w:color w:val="auto"/>
          <w:sz w:val="20"/>
          <w:szCs w:val="20"/>
          <w:highlight w:val="none"/>
        </w:rPr>
        <w:t>）；</w:t>
      </w:r>
    </w:p>
    <w:p w14:paraId="79B4B5A9">
      <w:pPr>
        <w:spacing w:before="211" w:line="301" w:lineRule="auto"/>
        <w:ind w:right="99" w:firstLine="484"/>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二、商务技术文件电子版</w:t>
      </w:r>
      <w:r>
        <w:rPr>
          <w:rFonts w:ascii="宋体" w:hAnsi="宋体" w:eastAsia="宋体" w:cs="宋体"/>
          <w:color w:val="auto"/>
          <w:spacing w:val="-118"/>
          <w:sz w:val="20"/>
          <w:szCs w:val="20"/>
          <w:highlight w:val="none"/>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109"/>
          <w:sz w:val="20"/>
          <w:szCs w:val="20"/>
          <w:highlight w:val="none"/>
        </w:rPr>
        <w:t xml:space="preserve"> </w:t>
      </w:r>
      <w:r>
        <w:rPr>
          <w:rFonts w:ascii="宋体" w:hAnsi="宋体" w:eastAsia="宋体" w:cs="宋体"/>
          <w:color w:val="auto"/>
          <w:spacing w:val="1"/>
          <w:sz w:val="20"/>
          <w:szCs w:val="20"/>
          <w:highlight w:val="none"/>
        </w:rPr>
        <w:t>份（包含按“第三章 供应</w:t>
      </w:r>
      <w:r>
        <w:rPr>
          <w:rFonts w:ascii="宋体" w:hAnsi="宋体" w:eastAsia="宋体" w:cs="宋体"/>
          <w:color w:val="auto"/>
          <w:sz w:val="20"/>
          <w:szCs w:val="20"/>
          <w:highlight w:val="none"/>
        </w:rPr>
        <w:t>商须知</w:t>
      </w:r>
      <w:r>
        <w:rPr>
          <w:rFonts w:ascii="宋体" w:hAnsi="宋体" w:eastAsia="宋体" w:cs="宋体"/>
          <w:color w:val="auto"/>
          <w:spacing w:val="-86"/>
          <w:sz w:val="20"/>
          <w:szCs w:val="20"/>
          <w:highlight w:val="none"/>
        </w:rPr>
        <w:t xml:space="preserve"> </w:t>
      </w:r>
      <w:r>
        <w:rPr>
          <w:rFonts w:ascii="宋体" w:hAnsi="宋体" w:eastAsia="宋体" w:cs="宋体"/>
          <w:color w:val="auto"/>
          <w:sz w:val="20"/>
          <w:szCs w:val="20"/>
          <w:highlight w:val="none"/>
        </w:rPr>
        <w:t xml:space="preserve">”提交的全部文 </w:t>
      </w:r>
      <w:r>
        <w:rPr>
          <w:rFonts w:ascii="宋体" w:hAnsi="宋体" w:eastAsia="宋体" w:cs="宋体"/>
          <w:color w:val="auto"/>
          <w:spacing w:val="1"/>
          <w:sz w:val="20"/>
          <w:szCs w:val="20"/>
          <w:highlight w:val="none"/>
        </w:rPr>
        <w:t>件</w:t>
      </w:r>
      <w:r>
        <w:rPr>
          <w:rFonts w:ascii="宋体" w:hAnsi="宋体" w:eastAsia="宋体" w:cs="宋体"/>
          <w:color w:val="auto"/>
          <w:spacing w:val="-9"/>
          <w:sz w:val="20"/>
          <w:szCs w:val="20"/>
          <w:highlight w:val="none"/>
        </w:rPr>
        <w:t>）；（</w:t>
      </w:r>
      <w:r>
        <w:rPr>
          <w:rFonts w:ascii="宋体" w:hAnsi="宋体" w:eastAsia="宋体" w:cs="宋体"/>
          <w:color w:val="auto"/>
          <w:spacing w:val="1"/>
          <w:sz w:val="20"/>
          <w:szCs w:val="20"/>
          <w:highlight w:val="none"/>
        </w:rPr>
        <w:t>商务技术文件已合并装订成册）</w:t>
      </w:r>
    </w:p>
    <w:p w14:paraId="6E12736D">
      <w:pPr>
        <w:spacing w:before="208" w:line="219" w:lineRule="auto"/>
        <w:ind w:firstLine="546" w:firstLineChars="300"/>
        <w:jc w:val="both"/>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三、资格证明文件电子版</w:t>
      </w:r>
      <w:r>
        <w:rPr>
          <w:rFonts w:ascii="宋体" w:hAnsi="宋体" w:eastAsia="宋体" w:cs="宋体"/>
          <w:color w:val="auto"/>
          <w:spacing w:val="-9"/>
          <w:sz w:val="20"/>
          <w:szCs w:val="20"/>
          <w:highlight w:val="none"/>
          <w:u w:val="single" w:color="auto"/>
        </w:rPr>
        <w:t xml:space="preserve">   </w:t>
      </w:r>
      <w:r>
        <w:rPr>
          <w:rFonts w:ascii="宋体" w:hAnsi="宋体" w:eastAsia="宋体" w:cs="宋体"/>
          <w:color w:val="auto"/>
          <w:spacing w:val="-111"/>
          <w:sz w:val="20"/>
          <w:szCs w:val="20"/>
          <w:highlight w:val="none"/>
        </w:rPr>
        <w:t xml:space="preserve"> </w:t>
      </w:r>
      <w:r>
        <w:rPr>
          <w:rFonts w:ascii="宋体" w:hAnsi="宋体" w:eastAsia="宋体" w:cs="宋体"/>
          <w:color w:val="auto"/>
          <w:spacing w:val="-9"/>
          <w:sz w:val="20"/>
          <w:szCs w:val="20"/>
          <w:highlight w:val="none"/>
        </w:rPr>
        <w:t>份（包含按“第三章供应商须知</w:t>
      </w:r>
      <w:r>
        <w:rPr>
          <w:rFonts w:ascii="宋体" w:hAnsi="宋体" w:eastAsia="宋体" w:cs="宋体"/>
          <w:color w:val="auto"/>
          <w:spacing w:val="-88"/>
          <w:sz w:val="20"/>
          <w:szCs w:val="20"/>
          <w:highlight w:val="none"/>
        </w:rPr>
        <w:t xml:space="preserve"> </w:t>
      </w:r>
      <w:r>
        <w:rPr>
          <w:rFonts w:ascii="宋体" w:hAnsi="宋体" w:eastAsia="宋体" w:cs="宋体"/>
          <w:color w:val="auto"/>
          <w:spacing w:val="-9"/>
          <w:sz w:val="20"/>
          <w:szCs w:val="20"/>
          <w:highlight w:val="none"/>
        </w:rPr>
        <w:t>”提交的全部文件</w:t>
      </w:r>
      <w:r>
        <w:rPr>
          <w:rFonts w:ascii="宋体" w:hAnsi="宋体" w:eastAsia="宋体" w:cs="宋体"/>
          <w:color w:val="auto"/>
          <w:spacing w:val="-55"/>
          <w:w w:val="86"/>
          <w:sz w:val="20"/>
          <w:szCs w:val="20"/>
          <w:highlight w:val="none"/>
        </w:rPr>
        <w:t>）；</w:t>
      </w:r>
    </w:p>
    <w:p w14:paraId="07EAAE2B">
      <w:pPr>
        <w:spacing w:before="213" w:line="219" w:lineRule="auto"/>
        <w:ind w:left="48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据此函，签字人兹宣布：</w:t>
      </w:r>
    </w:p>
    <w:p w14:paraId="23807FB5">
      <w:pPr>
        <w:spacing w:before="211" w:line="328" w:lineRule="auto"/>
        <w:ind w:right="35" w:firstLine="502"/>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1.我方愿意以（大写）人民币</w:t>
      </w:r>
      <w:r>
        <w:rPr>
          <w:rFonts w:ascii="宋体" w:hAnsi="宋体" w:eastAsia="宋体" w:cs="宋体"/>
          <w:color w:val="auto"/>
          <w:spacing w:val="-3"/>
          <w:sz w:val="20"/>
          <w:szCs w:val="20"/>
          <w:highlight w:val="none"/>
          <w:u w:val="single" w:color="auto"/>
        </w:rPr>
        <w:t xml:space="preserve">              </w:t>
      </w:r>
      <w:r>
        <w:rPr>
          <w:rFonts w:ascii="宋体" w:hAnsi="宋体" w:eastAsia="宋体" w:cs="宋体"/>
          <w:color w:val="auto"/>
          <w:spacing w:val="-3"/>
          <w:sz w:val="20"/>
          <w:szCs w:val="20"/>
          <w:highlight w:val="none"/>
        </w:rPr>
        <w:t xml:space="preserve"> (¥</w:t>
      </w:r>
      <w:r>
        <w:rPr>
          <w:rFonts w:ascii="宋体" w:hAnsi="宋体" w:eastAsia="宋体" w:cs="宋体"/>
          <w:color w:val="auto"/>
          <w:spacing w:val="13"/>
          <w:sz w:val="20"/>
          <w:szCs w:val="20"/>
          <w:highlight w:val="none"/>
          <w:u w:val="single" w:color="auto"/>
        </w:rPr>
        <w:t xml:space="preserve">         </w:t>
      </w:r>
      <w:r>
        <w:rPr>
          <w:rFonts w:ascii="宋体" w:hAnsi="宋体" w:eastAsia="宋体" w:cs="宋体"/>
          <w:color w:val="auto"/>
          <w:spacing w:val="-105"/>
          <w:sz w:val="20"/>
          <w:szCs w:val="20"/>
          <w:highlight w:val="none"/>
        </w:rPr>
        <w:t xml:space="preserve"> </w:t>
      </w:r>
      <w:r>
        <w:rPr>
          <w:rFonts w:ascii="宋体" w:hAnsi="宋体" w:eastAsia="宋体" w:cs="宋体"/>
          <w:color w:val="auto"/>
          <w:spacing w:val="-3"/>
          <w:sz w:val="20"/>
          <w:szCs w:val="20"/>
          <w:highlight w:val="none"/>
        </w:rPr>
        <w:t>元</w:t>
      </w:r>
      <w:r>
        <w:rPr>
          <w:rFonts w:ascii="宋体" w:hAnsi="宋体" w:eastAsia="宋体" w:cs="宋体"/>
          <w:color w:val="auto"/>
          <w:spacing w:val="-4"/>
          <w:sz w:val="20"/>
          <w:szCs w:val="20"/>
          <w:highlight w:val="none"/>
        </w:rPr>
        <w:t>)的竞标总报价，</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rPr>
        <w:t>合同履行期限：</w:t>
      </w:r>
      <w:r>
        <w:rPr>
          <w:rFonts w:ascii="宋体" w:hAnsi="宋体" w:eastAsia="宋体" w:cs="宋体"/>
          <w:color w:val="auto"/>
          <w:spacing w:val="-6"/>
          <w:sz w:val="20"/>
          <w:szCs w:val="20"/>
          <w:highlight w:val="none"/>
          <w:u w:val="single" w:color="auto"/>
        </w:rPr>
        <w:t xml:space="preserve"> 工期</w:t>
      </w:r>
      <w:r>
        <w:rPr>
          <w:rFonts w:ascii="宋体" w:hAnsi="宋体" w:eastAsia="宋体" w:cs="宋体"/>
          <w:color w:val="auto"/>
          <w:spacing w:val="-24"/>
          <w:sz w:val="20"/>
          <w:szCs w:val="20"/>
          <w:highlight w:val="none"/>
          <w:u w:val="single" w:color="auto"/>
        </w:rPr>
        <w:t>：</w:t>
      </w:r>
      <w:r>
        <w:rPr>
          <w:rFonts w:ascii="宋体" w:hAnsi="宋体" w:eastAsia="宋体" w:cs="宋体"/>
          <w:color w:val="auto"/>
          <w:spacing w:val="3"/>
          <w:sz w:val="20"/>
          <w:szCs w:val="20"/>
          <w:highlight w:val="none"/>
          <w:u w:val="single" w:color="auto"/>
        </w:rPr>
        <w:t xml:space="preserve">                 </w:t>
      </w:r>
      <w:r>
        <w:rPr>
          <w:rFonts w:ascii="宋体" w:hAnsi="宋体" w:eastAsia="宋体" w:cs="宋体"/>
          <w:color w:val="auto"/>
          <w:spacing w:val="-24"/>
          <w:sz w:val="20"/>
          <w:szCs w:val="20"/>
          <w:highlight w:val="none"/>
        </w:rPr>
        <w:t>，</w:t>
      </w:r>
      <w:r>
        <w:rPr>
          <w:rFonts w:ascii="宋体" w:hAnsi="宋体" w:eastAsia="宋体" w:cs="宋体"/>
          <w:color w:val="auto"/>
          <w:spacing w:val="-6"/>
          <w:sz w:val="20"/>
          <w:szCs w:val="20"/>
          <w:highlight w:val="none"/>
        </w:rPr>
        <w:t>提供本项目竞争性磋商文件第二章“采</w:t>
      </w:r>
      <w:r>
        <w:rPr>
          <w:rFonts w:ascii="宋体" w:hAnsi="宋体" w:eastAsia="宋体" w:cs="宋体"/>
          <w:color w:val="auto"/>
          <w:spacing w:val="1"/>
          <w:sz w:val="20"/>
          <w:szCs w:val="20"/>
          <w:highlight w:val="none"/>
        </w:rPr>
        <w:t xml:space="preserve"> </w:t>
      </w:r>
      <w:r>
        <w:rPr>
          <w:rFonts w:ascii="宋体" w:hAnsi="宋体" w:eastAsia="宋体" w:cs="宋体"/>
          <w:color w:val="auto"/>
          <w:spacing w:val="-4"/>
          <w:sz w:val="20"/>
          <w:szCs w:val="20"/>
          <w:highlight w:val="none"/>
        </w:rPr>
        <w:t>购需求</w:t>
      </w:r>
      <w:r>
        <w:rPr>
          <w:rFonts w:ascii="宋体" w:hAnsi="宋体" w:eastAsia="宋体" w:cs="宋体"/>
          <w:color w:val="auto"/>
          <w:spacing w:val="-77"/>
          <w:sz w:val="20"/>
          <w:szCs w:val="20"/>
          <w:highlight w:val="none"/>
        </w:rPr>
        <w:t xml:space="preserve"> </w:t>
      </w:r>
      <w:r>
        <w:rPr>
          <w:rFonts w:ascii="宋体" w:hAnsi="宋体" w:eastAsia="宋体" w:cs="宋体"/>
          <w:color w:val="auto"/>
          <w:spacing w:val="-4"/>
          <w:sz w:val="20"/>
          <w:szCs w:val="20"/>
          <w:highlight w:val="none"/>
        </w:rPr>
        <w:t>”中相应的采购内容。</w:t>
      </w:r>
    </w:p>
    <w:p w14:paraId="24C7E989">
      <w:pPr>
        <w:spacing w:before="212" w:line="328" w:lineRule="auto"/>
        <w:ind w:right="99" w:firstLine="486"/>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2.我方同意自本项目竞争性磋商文件采购公告规定的递交响应文件截止时间起</w:t>
      </w:r>
      <w:r>
        <w:rPr>
          <w:rFonts w:ascii="宋体" w:hAnsi="宋体" w:eastAsia="宋体" w:cs="宋体"/>
          <w:color w:val="auto"/>
          <w:spacing w:val="5"/>
          <w:sz w:val="20"/>
          <w:szCs w:val="20"/>
          <w:highlight w:val="none"/>
        </w:rPr>
        <w:t xml:space="preserve"> </w:t>
      </w:r>
      <w:r>
        <w:rPr>
          <w:rFonts w:ascii="宋体" w:hAnsi="宋体" w:eastAsia="宋体" w:cs="宋体"/>
          <w:color w:val="auto"/>
          <w:spacing w:val="-2"/>
          <w:sz w:val="20"/>
          <w:szCs w:val="20"/>
          <w:highlight w:val="none"/>
        </w:rPr>
        <w:t>遵循本响应函，并承诺在“第三章 供应商须知</w:t>
      </w:r>
      <w:r>
        <w:rPr>
          <w:rFonts w:ascii="宋体" w:hAnsi="宋体" w:eastAsia="宋体" w:cs="宋体"/>
          <w:color w:val="auto"/>
          <w:spacing w:val="-85"/>
          <w:sz w:val="20"/>
          <w:szCs w:val="20"/>
          <w:highlight w:val="none"/>
        </w:rPr>
        <w:t xml:space="preserve"> </w:t>
      </w:r>
      <w:r>
        <w:rPr>
          <w:rFonts w:ascii="宋体" w:hAnsi="宋体" w:eastAsia="宋体" w:cs="宋体"/>
          <w:color w:val="auto"/>
          <w:spacing w:val="-2"/>
          <w:sz w:val="20"/>
          <w:szCs w:val="20"/>
          <w:highlight w:val="none"/>
        </w:rPr>
        <w:t>”规定的竞标有效期内不修改、撤销</w:t>
      </w:r>
      <w:r>
        <w:rPr>
          <w:rFonts w:ascii="宋体" w:hAnsi="宋体" w:eastAsia="宋体" w:cs="宋体"/>
          <w:color w:val="auto"/>
          <w:sz w:val="20"/>
          <w:szCs w:val="20"/>
          <w:highlight w:val="none"/>
        </w:rPr>
        <w:t xml:space="preserve"> </w:t>
      </w:r>
      <w:r>
        <w:rPr>
          <w:rFonts w:ascii="宋体" w:hAnsi="宋体" w:eastAsia="宋体" w:cs="宋体"/>
          <w:color w:val="auto"/>
          <w:spacing w:val="-2"/>
          <w:sz w:val="20"/>
          <w:szCs w:val="20"/>
          <w:highlight w:val="none"/>
        </w:rPr>
        <w:t>响应文件。</w:t>
      </w:r>
    </w:p>
    <w:p w14:paraId="361965F2">
      <w:pPr>
        <w:spacing w:before="208" w:line="220" w:lineRule="auto"/>
        <w:ind w:left="489"/>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3.我方在此声明，所递交的响应文件及有关资料内容完整、真实和准确。</w:t>
      </w:r>
    </w:p>
    <w:p w14:paraId="4D407633">
      <w:pPr>
        <w:spacing w:before="212" w:line="301" w:lineRule="auto"/>
        <w:ind w:left="2" w:right="99" w:firstLine="480"/>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4.如本项目采购内容涉及须符合国家强制规定的，我方承诺我方本次竞标均符</w:t>
      </w:r>
      <w:r>
        <w:rPr>
          <w:rFonts w:ascii="宋体" w:hAnsi="宋体" w:eastAsia="宋体" w:cs="宋体"/>
          <w:color w:val="auto"/>
          <w:spacing w:val="9"/>
          <w:sz w:val="20"/>
          <w:szCs w:val="20"/>
          <w:highlight w:val="none"/>
        </w:rPr>
        <w:t xml:space="preserve"> </w:t>
      </w:r>
      <w:r>
        <w:rPr>
          <w:rFonts w:ascii="宋体" w:hAnsi="宋体" w:eastAsia="宋体" w:cs="宋体"/>
          <w:color w:val="auto"/>
          <w:spacing w:val="-2"/>
          <w:sz w:val="20"/>
          <w:szCs w:val="20"/>
          <w:highlight w:val="none"/>
        </w:rPr>
        <w:t>合国家有关强制规定。</w:t>
      </w:r>
    </w:p>
    <w:p w14:paraId="0BB77D4B">
      <w:pPr>
        <w:spacing w:before="210" w:line="328" w:lineRule="auto"/>
        <w:ind w:left="1" w:right="99" w:firstLine="487"/>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5.如我方成交，我方承诺在收到成交通知书后，在成交通知书规定的期限内，</w:t>
      </w:r>
      <w:r>
        <w:rPr>
          <w:rFonts w:ascii="宋体" w:hAnsi="宋体" w:eastAsia="宋体" w:cs="宋体"/>
          <w:color w:val="auto"/>
          <w:spacing w:val="3"/>
          <w:sz w:val="20"/>
          <w:szCs w:val="20"/>
          <w:highlight w:val="none"/>
        </w:rPr>
        <w:t xml:space="preserve"> </w:t>
      </w:r>
      <w:r>
        <w:rPr>
          <w:rFonts w:ascii="宋体" w:hAnsi="宋体" w:eastAsia="宋体" w:cs="宋体"/>
          <w:color w:val="auto"/>
          <w:spacing w:val="2"/>
          <w:sz w:val="20"/>
          <w:szCs w:val="20"/>
          <w:highlight w:val="none"/>
        </w:rPr>
        <w:t>根据竞争性磋商文件、我方的响应文件及有关澄清承诺书的要求按第六章“合同文</w:t>
      </w:r>
      <w:r>
        <w:rPr>
          <w:rFonts w:ascii="宋体" w:hAnsi="宋体" w:eastAsia="宋体" w:cs="宋体"/>
          <w:color w:val="auto"/>
          <w:spacing w:val="8"/>
          <w:sz w:val="20"/>
          <w:szCs w:val="20"/>
          <w:highlight w:val="none"/>
        </w:rPr>
        <w:t xml:space="preserve"> </w:t>
      </w:r>
      <w:r>
        <w:rPr>
          <w:rFonts w:ascii="宋体" w:hAnsi="宋体" w:eastAsia="宋体" w:cs="宋体"/>
          <w:color w:val="auto"/>
          <w:spacing w:val="-1"/>
          <w:sz w:val="20"/>
          <w:szCs w:val="20"/>
          <w:highlight w:val="none"/>
        </w:rPr>
        <w:t>本</w:t>
      </w:r>
      <w:r>
        <w:rPr>
          <w:rFonts w:ascii="宋体" w:hAnsi="宋体" w:eastAsia="宋体" w:cs="宋体"/>
          <w:color w:val="auto"/>
          <w:spacing w:val="-88"/>
          <w:sz w:val="20"/>
          <w:szCs w:val="20"/>
          <w:highlight w:val="none"/>
        </w:rPr>
        <w:t xml:space="preserve"> </w:t>
      </w:r>
      <w:r>
        <w:rPr>
          <w:rFonts w:ascii="宋体" w:hAnsi="宋体" w:eastAsia="宋体" w:cs="宋体"/>
          <w:color w:val="auto"/>
          <w:spacing w:val="-1"/>
          <w:sz w:val="20"/>
          <w:szCs w:val="20"/>
          <w:highlight w:val="none"/>
        </w:rPr>
        <w:t>”与采购人订立书面合同，并按照合同约定承担完</w:t>
      </w:r>
      <w:r>
        <w:rPr>
          <w:rFonts w:ascii="宋体" w:hAnsi="宋体" w:eastAsia="宋体" w:cs="宋体"/>
          <w:color w:val="auto"/>
          <w:spacing w:val="-2"/>
          <w:sz w:val="20"/>
          <w:szCs w:val="20"/>
          <w:highlight w:val="none"/>
        </w:rPr>
        <w:t>成合同的责任和义务。</w:t>
      </w:r>
    </w:p>
    <w:p w14:paraId="5DADCCDB">
      <w:pPr>
        <w:spacing w:before="211" w:line="301" w:lineRule="auto"/>
        <w:ind w:left="1" w:right="99" w:firstLine="484"/>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6.我方已详细审核竞争性磋商文件，我方知道必须放弃提出含糊不清或误解问</w:t>
      </w:r>
      <w:r>
        <w:rPr>
          <w:rFonts w:ascii="宋体" w:hAnsi="宋体" w:eastAsia="宋体" w:cs="宋体"/>
          <w:color w:val="auto"/>
          <w:spacing w:val="6"/>
          <w:sz w:val="20"/>
          <w:szCs w:val="20"/>
          <w:highlight w:val="none"/>
        </w:rPr>
        <w:t xml:space="preserve"> </w:t>
      </w:r>
      <w:r>
        <w:rPr>
          <w:rFonts w:ascii="宋体" w:hAnsi="宋体" w:eastAsia="宋体" w:cs="宋体"/>
          <w:color w:val="auto"/>
          <w:spacing w:val="-2"/>
          <w:sz w:val="20"/>
          <w:szCs w:val="20"/>
          <w:highlight w:val="none"/>
        </w:rPr>
        <w:t>题的权利。</w:t>
      </w:r>
    </w:p>
    <w:p w14:paraId="7A8294C5">
      <w:pPr>
        <w:spacing w:before="209" w:line="301" w:lineRule="auto"/>
        <w:ind w:left="10" w:right="99" w:firstLine="479"/>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7.我方承诺满足竞争性磋商文件第六章“合同文本</w:t>
      </w:r>
      <w:r>
        <w:rPr>
          <w:rFonts w:ascii="宋体" w:hAnsi="宋体" w:eastAsia="宋体" w:cs="宋体"/>
          <w:color w:val="auto"/>
          <w:spacing w:val="-83"/>
          <w:sz w:val="20"/>
          <w:szCs w:val="20"/>
          <w:highlight w:val="none"/>
        </w:rPr>
        <w:t xml:space="preserve"> </w:t>
      </w:r>
      <w:r>
        <w:rPr>
          <w:rFonts w:ascii="宋体" w:hAnsi="宋体" w:eastAsia="宋体" w:cs="宋体"/>
          <w:color w:val="auto"/>
          <w:spacing w:val="1"/>
          <w:sz w:val="20"/>
          <w:szCs w:val="20"/>
          <w:highlight w:val="none"/>
        </w:rPr>
        <w:t>”的条款，承担完成合同的</w:t>
      </w:r>
      <w:r>
        <w:rPr>
          <w:rFonts w:ascii="宋体" w:hAnsi="宋体" w:eastAsia="宋体" w:cs="宋体"/>
          <w:color w:val="auto"/>
          <w:sz w:val="20"/>
          <w:szCs w:val="20"/>
          <w:highlight w:val="none"/>
        </w:rPr>
        <w:t xml:space="preserve"> </w:t>
      </w:r>
      <w:r>
        <w:rPr>
          <w:rFonts w:ascii="宋体" w:hAnsi="宋体" w:eastAsia="宋体" w:cs="宋体"/>
          <w:color w:val="auto"/>
          <w:spacing w:val="-3"/>
          <w:sz w:val="20"/>
          <w:szCs w:val="20"/>
          <w:highlight w:val="none"/>
        </w:rPr>
        <w:t>责任和义务。</w:t>
      </w:r>
    </w:p>
    <w:p w14:paraId="2EC074AC">
      <w:pPr>
        <w:spacing w:line="301" w:lineRule="auto"/>
        <w:rPr>
          <w:rFonts w:ascii="宋体" w:hAnsi="宋体" w:eastAsia="宋体" w:cs="宋体"/>
          <w:color w:val="auto"/>
          <w:sz w:val="20"/>
          <w:szCs w:val="20"/>
          <w:highlight w:val="none"/>
        </w:rPr>
        <w:sectPr>
          <w:footerReference r:id="rId70" w:type="default"/>
          <w:pgSz w:w="11905" w:h="16839"/>
          <w:pgMar w:top="400" w:right="1488" w:bottom="849" w:left="1593" w:header="0" w:footer="689" w:gutter="0"/>
          <w:pgNumType w:fmt="decimal"/>
          <w:cols w:space="720" w:num="1"/>
        </w:sectPr>
      </w:pPr>
    </w:p>
    <w:p w14:paraId="00D7EAB1">
      <w:pPr>
        <w:pStyle w:val="6"/>
        <w:spacing w:line="260" w:lineRule="auto"/>
        <w:rPr>
          <w:color w:val="auto"/>
          <w:sz w:val="20"/>
          <w:szCs w:val="20"/>
          <w:highlight w:val="none"/>
        </w:rPr>
      </w:pPr>
    </w:p>
    <w:p w14:paraId="6F80081E">
      <w:pPr>
        <w:pStyle w:val="6"/>
        <w:spacing w:line="260" w:lineRule="auto"/>
        <w:rPr>
          <w:color w:val="auto"/>
          <w:sz w:val="20"/>
          <w:szCs w:val="20"/>
          <w:highlight w:val="none"/>
        </w:rPr>
      </w:pPr>
    </w:p>
    <w:p w14:paraId="1DF45C51">
      <w:pPr>
        <w:pStyle w:val="6"/>
        <w:spacing w:line="260" w:lineRule="auto"/>
        <w:rPr>
          <w:color w:val="auto"/>
          <w:sz w:val="20"/>
          <w:szCs w:val="20"/>
          <w:highlight w:val="none"/>
        </w:rPr>
      </w:pPr>
    </w:p>
    <w:p w14:paraId="4D070975">
      <w:pPr>
        <w:spacing w:before="78" w:line="300" w:lineRule="auto"/>
        <w:ind w:firstLine="482"/>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8.我方同意应贵方要求提供与本竞标有关的任何数据或资料。若贵方需要，我</w:t>
      </w:r>
      <w:r>
        <w:rPr>
          <w:rFonts w:ascii="宋体" w:hAnsi="宋体" w:eastAsia="宋体" w:cs="宋体"/>
          <w:color w:val="auto"/>
          <w:spacing w:val="7"/>
          <w:sz w:val="20"/>
          <w:szCs w:val="20"/>
          <w:highlight w:val="none"/>
        </w:rPr>
        <w:t xml:space="preserve"> </w:t>
      </w:r>
      <w:r>
        <w:rPr>
          <w:rFonts w:ascii="宋体" w:hAnsi="宋体" w:eastAsia="宋体" w:cs="宋体"/>
          <w:color w:val="auto"/>
          <w:spacing w:val="-1"/>
          <w:sz w:val="20"/>
          <w:szCs w:val="20"/>
          <w:highlight w:val="none"/>
        </w:rPr>
        <w:t>方愿意提供我方作出的一切承诺的证明材料。</w:t>
      </w:r>
    </w:p>
    <w:p w14:paraId="0C935CC5">
      <w:pPr>
        <w:spacing w:before="211" w:line="219" w:lineRule="auto"/>
        <w:ind w:left="482"/>
        <w:rPr>
          <w:rFonts w:ascii="宋体" w:hAnsi="宋体" w:eastAsia="宋体" w:cs="宋体"/>
          <w:color w:val="auto"/>
          <w:sz w:val="20"/>
          <w:szCs w:val="20"/>
          <w:highlight w:val="none"/>
        </w:rPr>
      </w:pPr>
      <w:r>
        <w:rPr>
          <w:rFonts w:ascii="宋体" w:hAnsi="宋体" w:eastAsia="宋体" w:cs="宋体"/>
          <w:color w:val="auto"/>
          <w:sz w:val="20"/>
          <w:szCs w:val="20"/>
          <w:highlight w:val="none"/>
        </w:rPr>
        <w:t>9.我方完全理解贵方不一定接受响应报价最低的竞</w:t>
      </w:r>
      <w:r>
        <w:rPr>
          <w:rFonts w:ascii="宋体" w:hAnsi="宋体" w:eastAsia="宋体" w:cs="宋体"/>
          <w:color w:val="auto"/>
          <w:spacing w:val="-1"/>
          <w:sz w:val="20"/>
          <w:szCs w:val="20"/>
          <w:highlight w:val="none"/>
        </w:rPr>
        <w:t>标人为成交供应商的行为。</w:t>
      </w:r>
    </w:p>
    <w:p w14:paraId="3004BB2B">
      <w:pPr>
        <w:spacing w:before="210" w:line="350" w:lineRule="auto"/>
        <w:ind w:firstLine="499"/>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10.我方将严格遵守《中华人民共和国政府采购法》第七十七条的规定，即供应</w:t>
      </w:r>
      <w:r>
        <w:rPr>
          <w:rFonts w:ascii="宋体" w:hAnsi="宋体" w:eastAsia="宋体" w:cs="宋体"/>
          <w:color w:val="auto"/>
          <w:spacing w:val="12"/>
          <w:sz w:val="20"/>
          <w:szCs w:val="20"/>
          <w:highlight w:val="none"/>
        </w:rPr>
        <w:t xml:space="preserve"> </w:t>
      </w:r>
      <w:r>
        <w:rPr>
          <w:rFonts w:ascii="宋体" w:hAnsi="宋体" w:eastAsia="宋体" w:cs="宋体"/>
          <w:color w:val="auto"/>
          <w:spacing w:val="2"/>
          <w:sz w:val="20"/>
          <w:szCs w:val="20"/>
          <w:highlight w:val="none"/>
        </w:rPr>
        <w:t>商有下列情形之一的，处以采购金额千分之五以上千分之十以下的罚款，列入不良</w:t>
      </w:r>
      <w:r>
        <w:rPr>
          <w:rFonts w:ascii="宋体" w:hAnsi="宋体" w:eastAsia="宋体" w:cs="宋体"/>
          <w:color w:val="auto"/>
          <w:spacing w:val="7"/>
          <w:sz w:val="20"/>
          <w:szCs w:val="20"/>
          <w:highlight w:val="none"/>
        </w:rPr>
        <w:t xml:space="preserve"> </w:t>
      </w:r>
      <w:r>
        <w:rPr>
          <w:rFonts w:ascii="宋体" w:hAnsi="宋体" w:eastAsia="宋体" w:cs="宋体"/>
          <w:color w:val="auto"/>
          <w:spacing w:val="2"/>
          <w:sz w:val="20"/>
          <w:szCs w:val="20"/>
          <w:highlight w:val="none"/>
        </w:rPr>
        <w:t>行为记录名单，在一至三年内禁止参加政府采购活动，有违法所得的，并处没收违</w:t>
      </w:r>
      <w:r>
        <w:rPr>
          <w:rFonts w:ascii="宋体" w:hAnsi="宋体" w:eastAsia="宋体" w:cs="宋体"/>
          <w:color w:val="auto"/>
          <w:spacing w:val="7"/>
          <w:sz w:val="20"/>
          <w:szCs w:val="20"/>
          <w:highlight w:val="none"/>
        </w:rPr>
        <w:t xml:space="preserve"> </w:t>
      </w:r>
      <w:r>
        <w:rPr>
          <w:rFonts w:ascii="宋体" w:hAnsi="宋体" w:eastAsia="宋体" w:cs="宋体"/>
          <w:color w:val="auto"/>
          <w:spacing w:val="2"/>
          <w:sz w:val="20"/>
          <w:szCs w:val="20"/>
          <w:highlight w:val="none"/>
        </w:rPr>
        <w:t>法所得，情节严重的，由工商行政管理机关吊销营业执照；构成犯罪的，依法追究</w:t>
      </w:r>
      <w:r>
        <w:rPr>
          <w:rFonts w:ascii="宋体" w:hAnsi="宋体" w:eastAsia="宋体" w:cs="宋体"/>
          <w:color w:val="auto"/>
          <w:spacing w:val="7"/>
          <w:sz w:val="20"/>
          <w:szCs w:val="20"/>
          <w:highlight w:val="none"/>
        </w:rPr>
        <w:t xml:space="preserve"> </w:t>
      </w:r>
      <w:r>
        <w:rPr>
          <w:rFonts w:ascii="宋体" w:hAnsi="宋体" w:eastAsia="宋体" w:cs="宋体"/>
          <w:color w:val="auto"/>
          <w:spacing w:val="-3"/>
          <w:sz w:val="20"/>
          <w:szCs w:val="20"/>
          <w:highlight w:val="none"/>
        </w:rPr>
        <w:t>刑事责任：</w:t>
      </w:r>
    </w:p>
    <w:p w14:paraId="1BC9D00D">
      <w:pPr>
        <w:spacing w:before="211" w:line="219" w:lineRule="auto"/>
        <w:ind w:left="430"/>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（1） 提供虚假材料谋取中标、成交的；</w:t>
      </w:r>
    </w:p>
    <w:p w14:paraId="731BCDC8">
      <w:pPr>
        <w:spacing w:before="209" w:line="219" w:lineRule="auto"/>
        <w:ind w:left="43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（2） 采取不正当手段诋毁、排挤其他供应商的；</w:t>
      </w:r>
    </w:p>
    <w:p w14:paraId="588689B0">
      <w:pPr>
        <w:spacing w:before="212" w:line="219" w:lineRule="auto"/>
        <w:ind w:left="43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（3） 与采购人、其他供应商或者采购代理机构恶意串通的；</w:t>
      </w:r>
    </w:p>
    <w:p w14:paraId="5A7F5DAF">
      <w:pPr>
        <w:spacing w:before="212" w:line="219" w:lineRule="auto"/>
        <w:ind w:left="430"/>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（4）</w:t>
      </w:r>
      <w:r>
        <w:rPr>
          <w:rFonts w:ascii="宋体" w:hAnsi="宋体" w:eastAsia="宋体" w:cs="宋体"/>
          <w:color w:val="auto"/>
          <w:spacing w:val="36"/>
          <w:sz w:val="20"/>
          <w:szCs w:val="20"/>
          <w:highlight w:val="none"/>
        </w:rPr>
        <w:t xml:space="preserve"> </w:t>
      </w:r>
      <w:r>
        <w:rPr>
          <w:rFonts w:ascii="宋体" w:hAnsi="宋体" w:eastAsia="宋体" w:cs="宋体"/>
          <w:color w:val="auto"/>
          <w:spacing w:val="-2"/>
          <w:sz w:val="20"/>
          <w:szCs w:val="20"/>
          <w:highlight w:val="none"/>
        </w:rPr>
        <w:t>向采购人、采购代理机构行贿或者提供其他不正当利益的；</w:t>
      </w:r>
    </w:p>
    <w:p w14:paraId="192A943A">
      <w:pPr>
        <w:spacing w:before="212" w:line="219" w:lineRule="auto"/>
        <w:ind w:left="43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（5） 在采购过程中与采购人进行协商谈判的；</w:t>
      </w:r>
    </w:p>
    <w:p w14:paraId="3E565A9D">
      <w:pPr>
        <w:spacing w:before="212" w:line="219" w:lineRule="auto"/>
        <w:ind w:left="43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（6） 拒绝有关部门监督检查或提供虚假情况的。</w:t>
      </w:r>
    </w:p>
    <w:p w14:paraId="10DB609C">
      <w:pPr>
        <w:spacing w:before="212" w:line="219" w:lineRule="auto"/>
        <w:ind w:left="436"/>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11.与本磋商有关的一切正式往来信函请寄：</w:t>
      </w:r>
      <w:r>
        <w:rPr>
          <w:rFonts w:ascii="宋体" w:hAnsi="宋体" w:eastAsia="宋体" w:cs="宋体"/>
          <w:color w:val="auto"/>
          <w:sz w:val="20"/>
          <w:szCs w:val="20"/>
          <w:highlight w:val="none"/>
          <w:u w:val="single" w:color="auto"/>
        </w:rPr>
        <w:t xml:space="preserve">                </w:t>
      </w:r>
    </w:p>
    <w:p w14:paraId="31D3C779">
      <w:pPr>
        <w:spacing w:before="213" w:line="229" w:lineRule="auto"/>
        <w:ind w:left="419"/>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地址：</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3"/>
          <w:sz w:val="20"/>
          <w:szCs w:val="20"/>
          <w:highlight w:val="none"/>
          <w:u w:val="single" w:color="auto"/>
        </w:rPr>
        <w:t xml:space="preserve">           </w:t>
      </w:r>
    </w:p>
    <w:p w14:paraId="46621F87">
      <w:pPr>
        <w:spacing w:before="198" w:line="222" w:lineRule="auto"/>
        <w:ind w:left="447"/>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电话：</w:t>
      </w:r>
      <w:r>
        <w:rPr>
          <w:rFonts w:ascii="宋体" w:hAnsi="宋体" w:eastAsia="宋体" w:cs="宋体"/>
          <w:color w:val="auto"/>
          <w:sz w:val="20"/>
          <w:szCs w:val="20"/>
          <w:highlight w:val="none"/>
          <w:u w:val="single" w:color="auto"/>
        </w:rPr>
        <w:t xml:space="preserve">                                                        </w:t>
      </w:r>
    </w:p>
    <w:p w14:paraId="6BF53F68">
      <w:pPr>
        <w:spacing w:before="206" w:line="219" w:lineRule="auto"/>
        <w:ind w:left="417"/>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传真：</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3"/>
          <w:sz w:val="20"/>
          <w:szCs w:val="20"/>
          <w:highlight w:val="none"/>
          <w:u w:val="single" w:color="auto"/>
        </w:rPr>
        <w:t xml:space="preserve">         </w:t>
      </w:r>
    </w:p>
    <w:p w14:paraId="41E1120F">
      <w:pPr>
        <w:spacing w:before="212" w:line="220" w:lineRule="auto"/>
        <w:ind w:left="436"/>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邮政编码：</w:t>
      </w:r>
      <w:r>
        <w:rPr>
          <w:rFonts w:ascii="宋体" w:hAnsi="宋体" w:eastAsia="宋体" w:cs="宋体"/>
          <w:color w:val="auto"/>
          <w:sz w:val="20"/>
          <w:szCs w:val="20"/>
          <w:highlight w:val="none"/>
          <w:u w:val="single" w:color="auto"/>
        </w:rPr>
        <w:t xml:space="preserve">                                                    </w:t>
      </w:r>
    </w:p>
    <w:p w14:paraId="170BCF91">
      <w:pPr>
        <w:spacing w:before="210" w:line="221" w:lineRule="auto"/>
        <w:ind w:left="420"/>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开户名称：</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3"/>
          <w:sz w:val="20"/>
          <w:szCs w:val="20"/>
          <w:highlight w:val="none"/>
          <w:u w:val="single" w:color="auto"/>
        </w:rPr>
        <w:t xml:space="preserve">                </w:t>
      </w:r>
    </w:p>
    <w:p w14:paraId="5550A7F9">
      <w:pPr>
        <w:spacing w:before="210" w:line="221" w:lineRule="auto"/>
        <w:ind w:left="420"/>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开户银行：</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3"/>
          <w:sz w:val="20"/>
          <w:szCs w:val="20"/>
          <w:highlight w:val="none"/>
          <w:u w:val="single" w:color="auto"/>
        </w:rPr>
        <w:t xml:space="preserve">                </w:t>
      </w:r>
    </w:p>
    <w:p w14:paraId="31202DA2">
      <w:pPr>
        <w:spacing w:before="209" w:line="221" w:lineRule="auto"/>
        <w:ind w:left="420"/>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银行账号：</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3"/>
          <w:sz w:val="20"/>
          <w:szCs w:val="20"/>
          <w:highlight w:val="none"/>
          <w:u w:val="single" w:color="auto"/>
        </w:rPr>
        <w:t xml:space="preserve">                </w:t>
      </w:r>
    </w:p>
    <w:p w14:paraId="5BCBD772">
      <w:pPr>
        <w:spacing w:before="210" w:line="220" w:lineRule="auto"/>
        <w:ind w:left="419"/>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特此承诺。</w:t>
      </w:r>
    </w:p>
    <w:p w14:paraId="651895CC">
      <w:pPr>
        <w:pStyle w:val="6"/>
        <w:spacing w:line="313" w:lineRule="auto"/>
        <w:rPr>
          <w:color w:val="auto"/>
          <w:sz w:val="20"/>
          <w:szCs w:val="20"/>
          <w:highlight w:val="none"/>
        </w:rPr>
      </w:pPr>
    </w:p>
    <w:p w14:paraId="2345663E">
      <w:pPr>
        <w:pStyle w:val="6"/>
        <w:spacing w:line="313" w:lineRule="auto"/>
        <w:rPr>
          <w:color w:val="auto"/>
          <w:sz w:val="20"/>
          <w:szCs w:val="20"/>
          <w:highlight w:val="none"/>
        </w:rPr>
      </w:pPr>
    </w:p>
    <w:p w14:paraId="3E2CC039">
      <w:pPr>
        <w:spacing w:before="78" w:line="219" w:lineRule="auto"/>
        <w:ind w:left="4093"/>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08C6BC09">
      <w:pPr>
        <w:spacing w:before="210" w:line="220" w:lineRule="auto"/>
        <w:jc w:val="right"/>
        <w:rPr>
          <w:rFonts w:ascii="宋体" w:hAnsi="宋体" w:eastAsia="宋体" w:cs="宋体"/>
          <w:color w:val="auto"/>
          <w:sz w:val="20"/>
          <w:szCs w:val="20"/>
          <w:highlight w:val="none"/>
        </w:rPr>
      </w:pPr>
      <w:r>
        <w:rPr>
          <w:rFonts w:ascii="宋体" w:hAnsi="宋体" w:eastAsia="宋体" w:cs="宋体"/>
          <w:color w:val="auto"/>
          <w:spacing w:val="-22"/>
          <w:sz w:val="20"/>
          <w:szCs w:val="20"/>
          <w:highlight w:val="none"/>
        </w:rPr>
        <w:t>日期：</w:t>
      </w:r>
      <w:r>
        <w:rPr>
          <w:rFonts w:ascii="宋体" w:hAnsi="宋体" w:eastAsia="宋体" w:cs="宋体"/>
          <w:color w:val="auto"/>
          <w:spacing w:val="4"/>
          <w:sz w:val="20"/>
          <w:szCs w:val="20"/>
          <w:highlight w:val="none"/>
        </w:rPr>
        <w:t xml:space="preserve">  </w:t>
      </w:r>
      <w:r>
        <w:rPr>
          <w:rFonts w:ascii="宋体" w:hAnsi="宋体" w:eastAsia="宋体" w:cs="宋体"/>
          <w:color w:val="auto"/>
          <w:spacing w:val="-22"/>
          <w:sz w:val="20"/>
          <w:szCs w:val="20"/>
          <w:highlight w:val="none"/>
        </w:rPr>
        <w:t>年</w:t>
      </w:r>
      <w:r>
        <w:rPr>
          <w:rFonts w:ascii="宋体" w:hAnsi="宋体" w:eastAsia="宋体" w:cs="宋体"/>
          <w:color w:val="auto"/>
          <w:spacing w:val="5"/>
          <w:sz w:val="20"/>
          <w:szCs w:val="20"/>
          <w:highlight w:val="none"/>
        </w:rPr>
        <w:t xml:space="preserve">   </w:t>
      </w:r>
      <w:r>
        <w:rPr>
          <w:rFonts w:ascii="宋体" w:hAnsi="宋体" w:eastAsia="宋体" w:cs="宋体"/>
          <w:color w:val="auto"/>
          <w:spacing w:val="-22"/>
          <w:sz w:val="20"/>
          <w:szCs w:val="20"/>
          <w:highlight w:val="none"/>
        </w:rPr>
        <w:t>月</w:t>
      </w:r>
      <w:r>
        <w:rPr>
          <w:rFonts w:ascii="宋体" w:hAnsi="宋体" w:eastAsia="宋体" w:cs="宋体"/>
          <w:color w:val="auto"/>
          <w:spacing w:val="17"/>
          <w:sz w:val="20"/>
          <w:szCs w:val="20"/>
          <w:highlight w:val="none"/>
        </w:rPr>
        <w:t xml:space="preserve">   </w:t>
      </w:r>
      <w:r>
        <w:rPr>
          <w:rFonts w:ascii="宋体" w:hAnsi="宋体" w:eastAsia="宋体" w:cs="宋体"/>
          <w:color w:val="auto"/>
          <w:spacing w:val="-22"/>
          <w:sz w:val="20"/>
          <w:szCs w:val="20"/>
          <w:highlight w:val="none"/>
        </w:rPr>
        <w:t>日</w:t>
      </w:r>
    </w:p>
    <w:p w14:paraId="3EBC5955">
      <w:pPr>
        <w:spacing w:line="220" w:lineRule="auto"/>
        <w:rPr>
          <w:rFonts w:ascii="宋体" w:hAnsi="宋体" w:eastAsia="宋体" w:cs="宋体"/>
          <w:color w:val="auto"/>
          <w:sz w:val="20"/>
          <w:szCs w:val="20"/>
          <w:highlight w:val="none"/>
        </w:rPr>
        <w:sectPr>
          <w:footerReference r:id="rId71" w:type="default"/>
          <w:pgSz w:w="11905" w:h="16839"/>
          <w:pgMar w:top="400" w:right="1587" w:bottom="909" w:left="1596" w:header="0" w:footer="673" w:gutter="0"/>
          <w:pgNumType w:fmt="decimal"/>
          <w:cols w:space="720" w:num="1"/>
        </w:sectPr>
      </w:pPr>
    </w:p>
    <w:p w14:paraId="48F4A59A">
      <w:pPr>
        <w:pStyle w:val="6"/>
        <w:spacing w:line="256" w:lineRule="auto"/>
        <w:rPr>
          <w:color w:val="auto"/>
          <w:highlight w:val="none"/>
        </w:rPr>
      </w:pPr>
    </w:p>
    <w:p w14:paraId="09B4A253">
      <w:pPr>
        <w:pStyle w:val="6"/>
        <w:spacing w:line="257" w:lineRule="auto"/>
        <w:rPr>
          <w:color w:val="auto"/>
          <w:highlight w:val="none"/>
        </w:rPr>
      </w:pPr>
    </w:p>
    <w:p w14:paraId="460A76BA">
      <w:pPr>
        <w:pStyle w:val="6"/>
        <w:spacing w:line="257" w:lineRule="auto"/>
        <w:rPr>
          <w:color w:val="auto"/>
          <w:highlight w:val="none"/>
        </w:rPr>
      </w:pPr>
    </w:p>
    <w:p w14:paraId="25F45BC9">
      <w:pPr>
        <w:pStyle w:val="6"/>
        <w:spacing w:line="257" w:lineRule="auto"/>
        <w:rPr>
          <w:color w:val="auto"/>
          <w:highlight w:val="none"/>
        </w:rPr>
      </w:pPr>
    </w:p>
    <w:p w14:paraId="25456C5E">
      <w:pPr>
        <w:spacing w:before="114" w:line="226" w:lineRule="auto"/>
        <w:ind w:left="846"/>
        <w:rPr>
          <w:rFonts w:ascii="宋体" w:hAnsi="宋体" w:eastAsia="宋体" w:cs="宋体"/>
          <w:color w:val="auto"/>
          <w:sz w:val="31"/>
          <w:szCs w:val="31"/>
          <w:highlight w:val="none"/>
        </w:rPr>
      </w:pPr>
      <w:r>
        <w:rPr>
          <w:rFonts w:ascii="宋体" w:hAnsi="宋体" w:eastAsia="宋体" w:cs="宋体"/>
          <w:color w:val="auto"/>
          <w:spacing w:val="5"/>
          <w:sz w:val="35"/>
          <w:szCs w:val="35"/>
          <w:highlight w:val="none"/>
        </w:rPr>
        <w:t>三</w:t>
      </w:r>
      <w:r>
        <w:rPr>
          <w:rFonts w:ascii="宋体" w:hAnsi="宋体" w:eastAsia="宋体" w:cs="宋体"/>
          <w:b/>
          <w:bCs/>
          <w:color w:val="auto"/>
          <w:spacing w:val="5"/>
          <w:sz w:val="35"/>
          <w:szCs w:val="35"/>
          <w:highlight w:val="none"/>
        </w:rPr>
        <w:t>、</w:t>
      </w:r>
      <w:r>
        <w:rPr>
          <w:rFonts w:ascii="宋体" w:hAnsi="宋体" w:eastAsia="宋体" w:cs="宋体"/>
          <w:b/>
          <w:bCs/>
          <w:color w:val="auto"/>
          <w:spacing w:val="5"/>
          <w:sz w:val="31"/>
          <w:szCs w:val="31"/>
          <w:highlight w:val="none"/>
        </w:rPr>
        <w:t>响应报价表</w:t>
      </w:r>
    </w:p>
    <w:p w14:paraId="19305297">
      <w:pPr>
        <w:spacing w:before="78" w:line="219" w:lineRule="auto"/>
        <w:ind w:left="4260"/>
        <w:rPr>
          <w:rFonts w:ascii="宋体" w:hAnsi="宋体" w:eastAsia="宋体" w:cs="宋体"/>
          <w:color w:val="auto"/>
          <w:sz w:val="20"/>
          <w:szCs w:val="20"/>
          <w:highlight w:val="none"/>
        </w:rPr>
      </w:pPr>
      <w:r>
        <w:rPr>
          <w:rFonts w:ascii="宋体" w:hAnsi="宋体" w:eastAsia="宋体" w:cs="宋体"/>
          <w:b/>
          <w:bCs/>
          <w:color w:val="auto"/>
          <w:spacing w:val="-8"/>
          <w:sz w:val="20"/>
          <w:szCs w:val="20"/>
          <w:highlight w:val="none"/>
        </w:rPr>
        <w:t>响应报价表</w:t>
      </w:r>
    </w:p>
    <w:p w14:paraId="345FD868">
      <w:pPr>
        <w:spacing w:before="269" w:line="220" w:lineRule="auto"/>
        <w:ind w:left="126"/>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项目名称：</w:t>
      </w:r>
      <w:r>
        <w:rPr>
          <w:rFonts w:ascii="宋体" w:hAnsi="宋体" w:eastAsia="宋体" w:cs="宋体"/>
          <w:color w:val="auto"/>
          <w:spacing w:val="-3"/>
          <w:sz w:val="20"/>
          <w:szCs w:val="20"/>
          <w:highlight w:val="none"/>
          <w:u w:val="single" w:color="auto"/>
        </w:rPr>
        <w:t xml:space="preserve">             </w:t>
      </w:r>
      <w:r>
        <w:rPr>
          <w:rFonts w:ascii="宋体" w:hAnsi="宋体" w:eastAsia="宋体" w:cs="宋体"/>
          <w:color w:val="auto"/>
          <w:spacing w:val="-3"/>
          <w:sz w:val="20"/>
          <w:szCs w:val="20"/>
          <w:highlight w:val="none"/>
        </w:rPr>
        <w:t xml:space="preserve">   项目编号：</w:t>
      </w:r>
      <w:r>
        <w:rPr>
          <w:rFonts w:ascii="宋体" w:hAnsi="宋体" w:eastAsia="宋体" w:cs="宋体"/>
          <w:color w:val="auto"/>
          <w:spacing w:val="-3"/>
          <w:sz w:val="20"/>
          <w:szCs w:val="20"/>
          <w:highlight w:val="none"/>
          <w:u w:val="single" w:color="auto"/>
        </w:rPr>
        <w:t xml:space="preserve">              </w:t>
      </w:r>
      <w:r>
        <w:rPr>
          <w:rFonts w:ascii="宋体" w:hAnsi="宋体" w:eastAsia="宋体" w:cs="宋体"/>
          <w:color w:val="auto"/>
          <w:spacing w:val="10"/>
          <w:sz w:val="20"/>
          <w:szCs w:val="20"/>
          <w:highlight w:val="none"/>
        </w:rPr>
        <w:t xml:space="preserve">   </w:t>
      </w:r>
      <w:r>
        <w:rPr>
          <w:rFonts w:ascii="宋体" w:hAnsi="宋体" w:eastAsia="宋体" w:cs="宋体"/>
          <w:color w:val="auto"/>
          <w:spacing w:val="-3"/>
          <w:sz w:val="20"/>
          <w:szCs w:val="20"/>
          <w:highlight w:val="none"/>
        </w:rPr>
        <w:t>分标：</w:t>
      </w:r>
      <w:r>
        <w:rPr>
          <w:rFonts w:ascii="宋体" w:hAnsi="宋体" w:eastAsia="宋体" w:cs="宋体"/>
          <w:color w:val="auto"/>
          <w:spacing w:val="-3"/>
          <w:sz w:val="20"/>
          <w:szCs w:val="20"/>
          <w:highlight w:val="none"/>
          <w:u w:val="single" w:color="auto"/>
        </w:rPr>
        <w:t xml:space="preserve">            </w:t>
      </w:r>
    </w:p>
    <w:p w14:paraId="2E5C3599">
      <w:pPr>
        <w:spacing w:before="230" w:line="219" w:lineRule="auto"/>
        <w:ind w:left="122"/>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供应商名称：</w:t>
      </w:r>
      <w:r>
        <w:rPr>
          <w:rFonts w:ascii="宋体" w:hAnsi="宋体" w:eastAsia="宋体" w:cs="宋体"/>
          <w:color w:val="auto"/>
          <w:sz w:val="20"/>
          <w:szCs w:val="20"/>
          <w:highlight w:val="none"/>
          <w:u w:val="single" w:color="auto"/>
        </w:rPr>
        <w:t xml:space="preserve">                     </w:t>
      </w:r>
    </w:p>
    <w:p w14:paraId="1A7793AC">
      <w:pPr>
        <w:spacing w:line="196" w:lineRule="exact"/>
        <w:rPr>
          <w:color w:val="auto"/>
          <w:sz w:val="20"/>
          <w:szCs w:val="20"/>
          <w:highlight w:val="none"/>
        </w:rPr>
      </w:pPr>
    </w:p>
    <w:tbl>
      <w:tblPr>
        <w:tblStyle w:val="19"/>
        <w:tblW w:w="90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3"/>
        <w:gridCol w:w="3021"/>
        <w:gridCol w:w="1382"/>
        <w:gridCol w:w="2386"/>
        <w:gridCol w:w="1502"/>
      </w:tblGrid>
      <w:tr w14:paraId="4678D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723" w:type="dxa"/>
            <w:vAlign w:val="top"/>
          </w:tcPr>
          <w:p w14:paraId="0D6AA965">
            <w:pPr>
              <w:pStyle w:val="20"/>
              <w:spacing w:before="252" w:line="222" w:lineRule="auto"/>
              <w:ind w:left="128"/>
              <w:rPr>
                <w:color w:val="auto"/>
                <w:sz w:val="20"/>
                <w:szCs w:val="20"/>
                <w:highlight w:val="none"/>
              </w:rPr>
            </w:pPr>
            <w:r>
              <w:rPr>
                <w:color w:val="auto"/>
                <w:spacing w:val="-5"/>
                <w:sz w:val="20"/>
                <w:szCs w:val="20"/>
                <w:highlight w:val="none"/>
              </w:rPr>
              <w:t>序号</w:t>
            </w:r>
          </w:p>
        </w:tc>
        <w:tc>
          <w:tcPr>
            <w:tcW w:w="3021" w:type="dxa"/>
            <w:vAlign w:val="top"/>
          </w:tcPr>
          <w:p w14:paraId="54F2F0D5">
            <w:pPr>
              <w:pStyle w:val="20"/>
              <w:spacing w:before="252" w:line="221" w:lineRule="auto"/>
              <w:ind w:left="916"/>
              <w:rPr>
                <w:color w:val="auto"/>
                <w:sz w:val="20"/>
                <w:szCs w:val="20"/>
                <w:highlight w:val="none"/>
              </w:rPr>
            </w:pPr>
            <w:r>
              <w:rPr>
                <w:color w:val="auto"/>
                <w:spacing w:val="-3"/>
                <w:sz w:val="20"/>
                <w:szCs w:val="20"/>
                <w:highlight w:val="none"/>
              </w:rPr>
              <w:t>标的的名称</w:t>
            </w:r>
          </w:p>
        </w:tc>
        <w:tc>
          <w:tcPr>
            <w:tcW w:w="1382" w:type="dxa"/>
            <w:vAlign w:val="top"/>
          </w:tcPr>
          <w:p w14:paraId="0A981574">
            <w:pPr>
              <w:pStyle w:val="20"/>
              <w:spacing w:before="252" w:line="221" w:lineRule="auto"/>
              <w:ind w:firstLine="194" w:firstLineChars="100"/>
              <w:rPr>
                <w:color w:val="auto"/>
                <w:sz w:val="20"/>
                <w:szCs w:val="20"/>
                <w:highlight w:val="none"/>
              </w:rPr>
            </w:pPr>
            <w:r>
              <w:rPr>
                <w:color w:val="auto"/>
                <w:spacing w:val="-3"/>
                <w:sz w:val="20"/>
                <w:szCs w:val="20"/>
                <w:highlight w:val="none"/>
              </w:rPr>
              <w:t>数量及单位</w:t>
            </w:r>
          </w:p>
        </w:tc>
        <w:tc>
          <w:tcPr>
            <w:tcW w:w="2386" w:type="dxa"/>
            <w:vAlign w:val="top"/>
          </w:tcPr>
          <w:p w14:paraId="2AFE4D83">
            <w:pPr>
              <w:pStyle w:val="20"/>
              <w:spacing w:before="252" w:line="219" w:lineRule="auto"/>
              <w:ind w:left="709"/>
              <w:rPr>
                <w:color w:val="auto"/>
                <w:sz w:val="20"/>
                <w:szCs w:val="20"/>
                <w:highlight w:val="none"/>
              </w:rPr>
            </w:pPr>
            <w:r>
              <w:rPr>
                <w:color w:val="auto"/>
                <w:spacing w:val="-3"/>
                <w:sz w:val="20"/>
                <w:szCs w:val="20"/>
                <w:highlight w:val="none"/>
              </w:rPr>
              <w:t>总价（元）</w:t>
            </w:r>
          </w:p>
        </w:tc>
        <w:tc>
          <w:tcPr>
            <w:tcW w:w="1502" w:type="dxa"/>
            <w:vAlign w:val="top"/>
          </w:tcPr>
          <w:p w14:paraId="7804FBD9">
            <w:pPr>
              <w:pStyle w:val="20"/>
              <w:spacing w:before="252" w:line="222" w:lineRule="auto"/>
              <w:ind w:left="378"/>
              <w:rPr>
                <w:color w:val="auto"/>
                <w:sz w:val="20"/>
                <w:szCs w:val="20"/>
                <w:highlight w:val="none"/>
              </w:rPr>
            </w:pPr>
            <w:r>
              <w:rPr>
                <w:color w:val="auto"/>
                <w:spacing w:val="-7"/>
                <w:sz w:val="20"/>
                <w:szCs w:val="20"/>
                <w:highlight w:val="none"/>
              </w:rPr>
              <w:t>备注</w:t>
            </w:r>
          </w:p>
        </w:tc>
      </w:tr>
      <w:tr w14:paraId="55954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jc w:val="center"/>
        </w:trPr>
        <w:tc>
          <w:tcPr>
            <w:tcW w:w="723" w:type="dxa"/>
            <w:vAlign w:val="top"/>
          </w:tcPr>
          <w:p w14:paraId="0894F727">
            <w:pPr>
              <w:pStyle w:val="20"/>
              <w:spacing w:before="310" w:line="242" w:lineRule="auto"/>
              <w:ind w:left="326"/>
              <w:rPr>
                <w:color w:val="auto"/>
                <w:sz w:val="20"/>
                <w:szCs w:val="20"/>
                <w:highlight w:val="none"/>
              </w:rPr>
            </w:pPr>
            <w:r>
              <w:rPr>
                <w:color w:val="auto"/>
                <w:sz w:val="20"/>
                <w:szCs w:val="20"/>
                <w:highlight w:val="none"/>
              </w:rPr>
              <w:t>1</w:t>
            </w:r>
          </w:p>
        </w:tc>
        <w:tc>
          <w:tcPr>
            <w:tcW w:w="3021" w:type="dxa"/>
            <w:vAlign w:val="top"/>
          </w:tcPr>
          <w:p w14:paraId="3023EF40">
            <w:pPr>
              <w:rPr>
                <w:rFonts w:ascii="Arial"/>
                <w:color w:val="auto"/>
                <w:sz w:val="20"/>
                <w:szCs w:val="20"/>
                <w:highlight w:val="none"/>
              </w:rPr>
            </w:pPr>
          </w:p>
        </w:tc>
        <w:tc>
          <w:tcPr>
            <w:tcW w:w="1382" w:type="dxa"/>
            <w:vAlign w:val="top"/>
          </w:tcPr>
          <w:p w14:paraId="6C594793">
            <w:pPr>
              <w:pStyle w:val="20"/>
              <w:spacing w:before="310" w:line="221" w:lineRule="auto"/>
              <w:ind w:left="355"/>
              <w:rPr>
                <w:color w:val="auto"/>
                <w:sz w:val="20"/>
                <w:szCs w:val="20"/>
                <w:highlight w:val="none"/>
              </w:rPr>
            </w:pPr>
            <w:r>
              <w:rPr>
                <w:color w:val="auto"/>
                <w:spacing w:val="-14"/>
                <w:sz w:val="20"/>
                <w:szCs w:val="20"/>
                <w:highlight w:val="none"/>
              </w:rPr>
              <w:t>1</w:t>
            </w:r>
            <w:r>
              <w:rPr>
                <w:color w:val="auto"/>
                <w:spacing w:val="-47"/>
                <w:sz w:val="20"/>
                <w:szCs w:val="20"/>
                <w:highlight w:val="none"/>
              </w:rPr>
              <w:t xml:space="preserve"> </w:t>
            </w:r>
            <w:r>
              <w:rPr>
                <w:color w:val="auto"/>
                <w:spacing w:val="-14"/>
                <w:sz w:val="20"/>
                <w:szCs w:val="20"/>
                <w:highlight w:val="none"/>
              </w:rPr>
              <w:t>项</w:t>
            </w:r>
          </w:p>
        </w:tc>
        <w:tc>
          <w:tcPr>
            <w:tcW w:w="2386" w:type="dxa"/>
            <w:vAlign w:val="top"/>
          </w:tcPr>
          <w:p w14:paraId="58D995DC">
            <w:pPr>
              <w:rPr>
                <w:rFonts w:ascii="Arial"/>
                <w:color w:val="auto"/>
                <w:sz w:val="20"/>
                <w:szCs w:val="20"/>
                <w:highlight w:val="none"/>
              </w:rPr>
            </w:pPr>
          </w:p>
        </w:tc>
        <w:tc>
          <w:tcPr>
            <w:tcW w:w="1502" w:type="dxa"/>
            <w:vAlign w:val="top"/>
          </w:tcPr>
          <w:p w14:paraId="4C2D523A">
            <w:pPr>
              <w:rPr>
                <w:rFonts w:ascii="Arial"/>
                <w:color w:val="auto"/>
                <w:sz w:val="20"/>
                <w:szCs w:val="20"/>
                <w:highlight w:val="none"/>
              </w:rPr>
            </w:pPr>
          </w:p>
        </w:tc>
      </w:tr>
      <w:tr w14:paraId="39034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jc w:val="center"/>
        </w:trPr>
        <w:tc>
          <w:tcPr>
            <w:tcW w:w="9014" w:type="dxa"/>
            <w:gridSpan w:val="5"/>
            <w:vAlign w:val="top"/>
          </w:tcPr>
          <w:p w14:paraId="71C0D61E">
            <w:pPr>
              <w:pStyle w:val="20"/>
              <w:spacing w:before="187" w:line="219" w:lineRule="auto"/>
              <w:jc w:val="right"/>
              <w:rPr>
                <w:color w:val="auto"/>
                <w:sz w:val="20"/>
                <w:szCs w:val="20"/>
                <w:highlight w:val="none"/>
              </w:rPr>
            </w:pPr>
            <w:r>
              <w:rPr>
                <w:color w:val="auto"/>
                <w:spacing w:val="-4"/>
                <w:sz w:val="20"/>
                <w:szCs w:val="20"/>
                <w:highlight w:val="none"/>
              </w:rPr>
              <w:t>报价合计（包含税费等所有费用</w:t>
            </w:r>
            <w:r>
              <w:rPr>
                <w:color w:val="auto"/>
                <w:spacing w:val="-63"/>
                <w:sz w:val="20"/>
                <w:szCs w:val="20"/>
                <w:highlight w:val="none"/>
              </w:rPr>
              <w:t>）：（</w:t>
            </w:r>
            <w:r>
              <w:rPr>
                <w:color w:val="auto"/>
                <w:spacing w:val="-4"/>
                <w:sz w:val="20"/>
                <w:szCs w:val="20"/>
                <w:highlight w:val="none"/>
              </w:rPr>
              <w:t>大写）人民币              (¥        元）</w:t>
            </w:r>
          </w:p>
        </w:tc>
      </w:tr>
      <w:tr w14:paraId="08285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jc w:val="center"/>
        </w:trPr>
        <w:tc>
          <w:tcPr>
            <w:tcW w:w="9014" w:type="dxa"/>
            <w:gridSpan w:val="5"/>
            <w:vAlign w:val="top"/>
          </w:tcPr>
          <w:p w14:paraId="59865292">
            <w:pPr>
              <w:pStyle w:val="20"/>
              <w:spacing w:before="188" w:line="221" w:lineRule="auto"/>
              <w:ind w:left="120"/>
              <w:rPr>
                <w:color w:val="auto"/>
                <w:sz w:val="20"/>
                <w:szCs w:val="20"/>
                <w:highlight w:val="none"/>
              </w:rPr>
            </w:pPr>
            <w:r>
              <w:rPr>
                <w:color w:val="auto"/>
                <w:spacing w:val="-5"/>
                <w:sz w:val="20"/>
                <w:szCs w:val="20"/>
                <w:highlight w:val="none"/>
              </w:rPr>
              <w:t>工期：</w:t>
            </w:r>
          </w:p>
        </w:tc>
      </w:tr>
      <w:tr w14:paraId="38C4C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9014" w:type="dxa"/>
            <w:gridSpan w:val="5"/>
            <w:vAlign w:val="top"/>
          </w:tcPr>
          <w:p w14:paraId="6A5D3596">
            <w:pPr>
              <w:pStyle w:val="20"/>
              <w:spacing w:before="145" w:line="220" w:lineRule="auto"/>
              <w:ind w:left="116"/>
              <w:rPr>
                <w:color w:val="auto"/>
                <w:sz w:val="20"/>
                <w:szCs w:val="20"/>
                <w:highlight w:val="none"/>
              </w:rPr>
            </w:pPr>
            <w:r>
              <w:rPr>
                <w:color w:val="auto"/>
                <w:spacing w:val="-2"/>
                <w:sz w:val="20"/>
                <w:szCs w:val="20"/>
                <w:highlight w:val="none"/>
              </w:rPr>
              <w:t>验收标准、规范：</w:t>
            </w:r>
          </w:p>
        </w:tc>
      </w:tr>
    </w:tbl>
    <w:p w14:paraId="06F7FE4A">
      <w:pPr>
        <w:pStyle w:val="6"/>
        <w:spacing w:line="260" w:lineRule="auto"/>
        <w:rPr>
          <w:color w:val="auto"/>
          <w:sz w:val="20"/>
          <w:szCs w:val="20"/>
          <w:highlight w:val="none"/>
        </w:rPr>
      </w:pPr>
    </w:p>
    <w:p w14:paraId="70017004">
      <w:pPr>
        <w:pStyle w:val="6"/>
        <w:spacing w:line="261" w:lineRule="auto"/>
        <w:rPr>
          <w:color w:val="auto"/>
          <w:sz w:val="20"/>
          <w:szCs w:val="20"/>
          <w:highlight w:val="none"/>
        </w:rPr>
      </w:pPr>
    </w:p>
    <w:p w14:paraId="62545CDB">
      <w:pPr>
        <w:spacing w:before="78" w:line="224" w:lineRule="auto"/>
        <w:ind w:left="602"/>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注：</w:t>
      </w:r>
    </w:p>
    <w:p w14:paraId="748E6F95">
      <w:pPr>
        <w:spacing w:before="227" w:line="288" w:lineRule="auto"/>
        <w:ind w:left="134" w:right="59" w:firstLine="485"/>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1.供应商需按本表格式填写，不得自行更改，也不得留空, 如有多分标，按分标分别提供</w:t>
      </w:r>
      <w:r>
        <w:rPr>
          <w:rFonts w:ascii="宋体" w:hAnsi="宋体" w:eastAsia="宋体" w:cs="宋体"/>
          <w:color w:val="auto"/>
          <w:spacing w:val="1"/>
          <w:sz w:val="20"/>
          <w:szCs w:val="20"/>
          <w:highlight w:val="none"/>
        </w:rPr>
        <w:t xml:space="preserve"> </w:t>
      </w:r>
      <w:r>
        <w:rPr>
          <w:rFonts w:ascii="宋体" w:hAnsi="宋体" w:eastAsia="宋体" w:cs="宋体"/>
          <w:color w:val="auto"/>
          <w:spacing w:val="-5"/>
          <w:sz w:val="20"/>
          <w:szCs w:val="20"/>
          <w:highlight w:val="none"/>
        </w:rPr>
        <w:t>响应报价表</w:t>
      </w:r>
      <w:r>
        <w:rPr>
          <w:rFonts w:ascii="宋体" w:hAnsi="宋体" w:eastAsia="宋体" w:cs="宋体"/>
          <w:b/>
          <w:bCs/>
          <w:color w:val="auto"/>
          <w:spacing w:val="-5"/>
          <w:sz w:val="20"/>
          <w:szCs w:val="20"/>
          <w:highlight w:val="none"/>
        </w:rPr>
        <w:t>。</w:t>
      </w:r>
    </w:p>
    <w:p w14:paraId="19665ECC">
      <w:pPr>
        <w:spacing w:before="231" w:line="290" w:lineRule="auto"/>
        <w:ind w:left="125" w:right="59" w:firstLine="480"/>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2.如为联合体响应的，“供应商名称</w:t>
      </w:r>
      <w:r>
        <w:rPr>
          <w:rFonts w:ascii="宋体" w:hAnsi="宋体" w:eastAsia="宋体" w:cs="宋体"/>
          <w:color w:val="auto"/>
          <w:spacing w:val="-88"/>
          <w:sz w:val="20"/>
          <w:szCs w:val="20"/>
          <w:highlight w:val="none"/>
        </w:rPr>
        <w:t xml:space="preserve"> </w:t>
      </w:r>
      <w:r>
        <w:rPr>
          <w:rFonts w:ascii="宋体" w:hAnsi="宋体" w:eastAsia="宋体" w:cs="宋体"/>
          <w:color w:val="auto"/>
          <w:spacing w:val="-3"/>
          <w:sz w:val="20"/>
          <w:szCs w:val="20"/>
          <w:highlight w:val="none"/>
        </w:rPr>
        <w:t>”处必须</w:t>
      </w:r>
      <w:r>
        <w:rPr>
          <w:rFonts w:ascii="宋体" w:hAnsi="宋体" w:eastAsia="宋体" w:cs="宋体"/>
          <w:color w:val="auto"/>
          <w:spacing w:val="-4"/>
          <w:sz w:val="20"/>
          <w:szCs w:val="20"/>
          <w:highlight w:val="none"/>
        </w:rPr>
        <w:t>列明联合体各方名称，并标注联合体牵头人</w:t>
      </w:r>
      <w:r>
        <w:rPr>
          <w:rFonts w:ascii="宋体" w:hAnsi="宋体" w:eastAsia="宋体" w:cs="宋体"/>
          <w:color w:val="auto"/>
          <w:sz w:val="20"/>
          <w:szCs w:val="20"/>
          <w:highlight w:val="none"/>
        </w:rPr>
        <w:t xml:space="preserve"> </w:t>
      </w:r>
      <w:r>
        <w:rPr>
          <w:rFonts w:ascii="宋体" w:hAnsi="宋体" w:eastAsia="宋体" w:cs="宋体"/>
          <w:color w:val="auto"/>
          <w:spacing w:val="-1"/>
          <w:sz w:val="20"/>
          <w:szCs w:val="20"/>
          <w:highlight w:val="none"/>
        </w:rPr>
        <w:t>名称，且盖章处须加盖联合体各方公章，</w:t>
      </w:r>
      <w:r>
        <w:rPr>
          <w:rFonts w:ascii="宋体" w:hAnsi="宋体" w:eastAsia="宋体" w:cs="宋体"/>
          <w:b/>
          <w:bCs/>
          <w:color w:val="auto"/>
          <w:spacing w:val="-1"/>
          <w:sz w:val="20"/>
          <w:szCs w:val="20"/>
          <w:highlight w:val="none"/>
        </w:rPr>
        <w:t>否则其响应作无</w:t>
      </w:r>
      <w:r>
        <w:rPr>
          <w:rFonts w:ascii="宋体" w:hAnsi="宋体" w:eastAsia="宋体" w:cs="宋体"/>
          <w:b/>
          <w:bCs/>
          <w:color w:val="auto"/>
          <w:spacing w:val="-2"/>
          <w:sz w:val="20"/>
          <w:szCs w:val="20"/>
          <w:highlight w:val="none"/>
        </w:rPr>
        <w:t>效响应处理。</w:t>
      </w:r>
    </w:p>
    <w:p w14:paraId="7AAC440B">
      <w:pPr>
        <w:spacing w:before="230" w:line="290" w:lineRule="auto"/>
        <w:ind w:left="123" w:right="59" w:firstLine="483"/>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3.特别提示：采购机构将对项目名称和项目编号，成交供应商名称、地址和成交金额，主</w:t>
      </w:r>
      <w:r>
        <w:rPr>
          <w:rFonts w:ascii="宋体" w:hAnsi="宋体" w:eastAsia="宋体" w:cs="宋体"/>
          <w:color w:val="auto"/>
          <w:spacing w:val="11"/>
          <w:sz w:val="20"/>
          <w:szCs w:val="20"/>
          <w:highlight w:val="none"/>
        </w:rPr>
        <w:t xml:space="preserve"> </w:t>
      </w:r>
      <w:r>
        <w:rPr>
          <w:rFonts w:ascii="宋体" w:hAnsi="宋体" w:eastAsia="宋体" w:cs="宋体"/>
          <w:color w:val="auto"/>
          <w:sz w:val="20"/>
          <w:szCs w:val="20"/>
          <w:highlight w:val="none"/>
        </w:rPr>
        <w:t>要成交标的的名称、施工范围、施工工期、项目经理、</w:t>
      </w:r>
      <w:r>
        <w:rPr>
          <w:rFonts w:ascii="宋体" w:hAnsi="宋体" w:eastAsia="宋体" w:cs="宋体"/>
          <w:color w:val="auto"/>
          <w:spacing w:val="-1"/>
          <w:sz w:val="20"/>
          <w:szCs w:val="20"/>
          <w:highlight w:val="none"/>
        </w:rPr>
        <w:t>执业证书信息等予以公示。</w:t>
      </w:r>
    </w:p>
    <w:p w14:paraId="134BDE0B">
      <w:pPr>
        <w:spacing w:before="185" w:line="312" w:lineRule="auto"/>
        <w:ind w:left="122" w:firstLine="479"/>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4.符合采购文件中列明的可享受小微企业扶持政策的供应商，请填写小微企业声明函。注：</w:t>
      </w:r>
      <w:r>
        <w:rPr>
          <w:rFonts w:ascii="宋体" w:hAnsi="宋体" w:eastAsia="宋体" w:cs="宋体"/>
          <w:color w:val="auto"/>
          <w:spacing w:val="3"/>
          <w:sz w:val="20"/>
          <w:szCs w:val="20"/>
          <w:highlight w:val="none"/>
        </w:rPr>
        <w:t xml:space="preserve"> </w:t>
      </w:r>
      <w:r>
        <w:rPr>
          <w:rFonts w:ascii="宋体" w:hAnsi="宋体" w:eastAsia="宋体" w:cs="宋体"/>
          <w:color w:val="auto"/>
          <w:spacing w:val="-2"/>
          <w:sz w:val="20"/>
          <w:szCs w:val="20"/>
          <w:highlight w:val="none"/>
        </w:rPr>
        <w:t>供应商提供的小微企业声明函内容不实的，</w:t>
      </w:r>
      <w:r>
        <w:rPr>
          <w:rFonts w:ascii="宋体" w:hAnsi="宋体" w:eastAsia="宋体" w:cs="宋体"/>
          <w:color w:val="auto"/>
          <w:spacing w:val="-3"/>
          <w:sz w:val="20"/>
          <w:szCs w:val="20"/>
          <w:highlight w:val="none"/>
        </w:rPr>
        <w:t>属于提供虚假材料谋取中标、成交，依照《中华人</w:t>
      </w:r>
      <w:r>
        <w:rPr>
          <w:rFonts w:ascii="宋体" w:hAnsi="宋体" w:eastAsia="宋体" w:cs="宋体"/>
          <w:color w:val="auto"/>
          <w:sz w:val="20"/>
          <w:szCs w:val="20"/>
          <w:highlight w:val="none"/>
        </w:rPr>
        <w:t xml:space="preserve"> </w:t>
      </w:r>
      <w:r>
        <w:rPr>
          <w:rFonts w:ascii="宋体" w:hAnsi="宋体" w:eastAsia="宋体" w:cs="宋体"/>
          <w:color w:val="auto"/>
          <w:spacing w:val="-1"/>
          <w:sz w:val="20"/>
          <w:szCs w:val="20"/>
          <w:highlight w:val="none"/>
        </w:rPr>
        <w:t>民共和国政府采购法》等国家有关规定追究相应责任。</w:t>
      </w:r>
    </w:p>
    <w:p w14:paraId="45532906">
      <w:pPr>
        <w:pStyle w:val="6"/>
        <w:spacing w:line="344" w:lineRule="auto"/>
        <w:rPr>
          <w:color w:val="auto"/>
          <w:sz w:val="20"/>
          <w:szCs w:val="20"/>
          <w:highlight w:val="none"/>
        </w:rPr>
      </w:pPr>
    </w:p>
    <w:p w14:paraId="66C3F6E4">
      <w:pPr>
        <w:pStyle w:val="6"/>
        <w:spacing w:line="345" w:lineRule="auto"/>
        <w:rPr>
          <w:color w:val="auto"/>
          <w:sz w:val="20"/>
          <w:szCs w:val="20"/>
          <w:highlight w:val="none"/>
        </w:rPr>
      </w:pPr>
    </w:p>
    <w:p w14:paraId="75A86776">
      <w:pPr>
        <w:spacing w:before="78" w:line="219" w:lineRule="auto"/>
        <w:ind w:left="4216"/>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5A41F126">
      <w:pPr>
        <w:spacing w:before="277" w:line="220" w:lineRule="auto"/>
        <w:ind w:left="6463"/>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日期：</w:t>
      </w:r>
      <w:r>
        <w:rPr>
          <w:rFonts w:ascii="宋体" w:hAnsi="宋体" w:eastAsia="宋体" w:cs="宋体"/>
          <w:color w:val="auto"/>
          <w:spacing w:val="5"/>
          <w:sz w:val="20"/>
          <w:szCs w:val="20"/>
          <w:highlight w:val="none"/>
        </w:rPr>
        <w:t xml:space="preserve">  </w:t>
      </w:r>
      <w:r>
        <w:rPr>
          <w:rFonts w:ascii="宋体" w:hAnsi="宋体" w:eastAsia="宋体" w:cs="宋体"/>
          <w:color w:val="auto"/>
          <w:spacing w:val="-13"/>
          <w:sz w:val="20"/>
          <w:szCs w:val="20"/>
          <w:highlight w:val="none"/>
        </w:rPr>
        <w:t>年</w:t>
      </w:r>
      <w:r>
        <w:rPr>
          <w:rFonts w:ascii="宋体" w:hAnsi="宋体" w:eastAsia="宋体" w:cs="宋体"/>
          <w:color w:val="auto"/>
          <w:spacing w:val="5"/>
          <w:sz w:val="20"/>
          <w:szCs w:val="20"/>
          <w:highlight w:val="none"/>
        </w:rPr>
        <w:t xml:space="preserve">   </w:t>
      </w:r>
      <w:r>
        <w:rPr>
          <w:rFonts w:ascii="宋体" w:hAnsi="宋体" w:eastAsia="宋体" w:cs="宋体"/>
          <w:color w:val="auto"/>
          <w:spacing w:val="-13"/>
          <w:sz w:val="20"/>
          <w:szCs w:val="20"/>
          <w:highlight w:val="none"/>
        </w:rPr>
        <w:t>月</w:t>
      </w:r>
      <w:r>
        <w:rPr>
          <w:rFonts w:ascii="宋体" w:hAnsi="宋体" w:eastAsia="宋体" w:cs="宋体"/>
          <w:color w:val="auto"/>
          <w:spacing w:val="17"/>
          <w:sz w:val="20"/>
          <w:szCs w:val="20"/>
          <w:highlight w:val="none"/>
        </w:rPr>
        <w:t xml:space="preserve">   </w:t>
      </w:r>
      <w:r>
        <w:rPr>
          <w:rFonts w:ascii="宋体" w:hAnsi="宋体" w:eastAsia="宋体" w:cs="宋体"/>
          <w:color w:val="auto"/>
          <w:spacing w:val="-13"/>
          <w:sz w:val="20"/>
          <w:szCs w:val="20"/>
          <w:highlight w:val="none"/>
        </w:rPr>
        <w:t>日</w:t>
      </w:r>
    </w:p>
    <w:p w14:paraId="00A3CA9D">
      <w:pPr>
        <w:spacing w:line="220" w:lineRule="auto"/>
        <w:rPr>
          <w:rFonts w:ascii="宋体" w:hAnsi="宋体" w:eastAsia="宋体" w:cs="宋体"/>
          <w:color w:val="auto"/>
          <w:sz w:val="20"/>
          <w:szCs w:val="20"/>
          <w:highlight w:val="none"/>
        </w:rPr>
        <w:sectPr>
          <w:footerReference r:id="rId72" w:type="default"/>
          <w:pgSz w:w="11906" w:h="16839"/>
          <w:pgMar w:top="400" w:right="1019" w:bottom="849" w:left="967" w:header="0" w:footer="689" w:gutter="0"/>
          <w:pgNumType w:fmt="decimal"/>
          <w:cols w:space="720" w:num="1"/>
        </w:sectPr>
      </w:pPr>
    </w:p>
    <w:p w14:paraId="4FD3E353">
      <w:pPr>
        <w:pStyle w:val="6"/>
        <w:spacing w:line="252" w:lineRule="auto"/>
        <w:rPr>
          <w:color w:val="auto"/>
          <w:highlight w:val="none"/>
        </w:rPr>
      </w:pPr>
    </w:p>
    <w:p w14:paraId="51BDBBA5">
      <w:pPr>
        <w:pStyle w:val="6"/>
        <w:spacing w:line="252" w:lineRule="auto"/>
        <w:rPr>
          <w:color w:val="auto"/>
          <w:highlight w:val="none"/>
        </w:rPr>
      </w:pPr>
    </w:p>
    <w:p w14:paraId="7E54F8EC">
      <w:pPr>
        <w:pStyle w:val="6"/>
        <w:spacing w:line="253" w:lineRule="auto"/>
        <w:rPr>
          <w:color w:val="auto"/>
          <w:highlight w:val="none"/>
        </w:rPr>
      </w:pPr>
    </w:p>
    <w:p w14:paraId="098FAF27">
      <w:pPr>
        <w:pStyle w:val="6"/>
        <w:spacing w:line="253" w:lineRule="auto"/>
        <w:rPr>
          <w:color w:val="auto"/>
          <w:highlight w:val="none"/>
        </w:rPr>
      </w:pPr>
    </w:p>
    <w:p w14:paraId="6AFFD830">
      <w:pPr>
        <w:spacing w:before="113" w:line="224" w:lineRule="auto"/>
        <w:ind w:left="2202"/>
        <w:rPr>
          <w:rFonts w:ascii="宋体" w:hAnsi="宋体" w:eastAsia="宋体" w:cs="宋体"/>
          <w:color w:val="auto"/>
          <w:sz w:val="35"/>
          <w:szCs w:val="35"/>
          <w:highlight w:val="none"/>
        </w:rPr>
      </w:pPr>
      <w:r>
        <w:rPr>
          <w:rFonts w:ascii="宋体" w:hAnsi="宋体" w:eastAsia="宋体" w:cs="宋体"/>
          <w:color w:val="auto"/>
          <w:spacing w:val="4"/>
          <w:sz w:val="35"/>
          <w:szCs w:val="35"/>
          <w:highlight w:val="none"/>
        </w:rPr>
        <w:t>四、</w:t>
      </w:r>
      <w:r>
        <w:rPr>
          <w:rFonts w:ascii="宋体" w:hAnsi="宋体" w:eastAsia="宋体" w:cs="宋体"/>
          <w:b/>
          <w:bCs/>
          <w:color w:val="auto"/>
          <w:spacing w:val="4"/>
          <w:sz w:val="35"/>
          <w:szCs w:val="35"/>
          <w:highlight w:val="none"/>
        </w:rPr>
        <w:t>已标价的工程量清单报价文件</w:t>
      </w:r>
    </w:p>
    <w:p w14:paraId="0EFAB8E9">
      <w:pPr>
        <w:pStyle w:val="6"/>
        <w:spacing w:line="267" w:lineRule="auto"/>
        <w:rPr>
          <w:color w:val="auto"/>
          <w:highlight w:val="none"/>
        </w:rPr>
      </w:pPr>
    </w:p>
    <w:p w14:paraId="1D5E95C8">
      <w:pPr>
        <w:pStyle w:val="6"/>
        <w:spacing w:line="267" w:lineRule="auto"/>
        <w:rPr>
          <w:color w:val="auto"/>
          <w:highlight w:val="none"/>
        </w:rPr>
      </w:pPr>
    </w:p>
    <w:p w14:paraId="41C5DDB0">
      <w:pPr>
        <w:pStyle w:val="6"/>
        <w:spacing w:line="268" w:lineRule="auto"/>
        <w:rPr>
          <w:color w:val="auto"/>
          <w:highlight w:val="none"/>
        </w:rPr>
      </w:pPr>
    </w:p>
    <w:p w14:paraId="3103B6A8">
      <w:pPr>
        <w:spacing w:before="65" w:line="229" w:lineRule="auto"/>
        <w:ind w:left="2398"/>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按</w:t>
      </w:r>
      <w:r>
        <w:rPr>
          <w:rFonts w:ascii="仿宋" w:hAnsi="仿宋" w:eastAsia="仿宋" w:cs="仿宋"/>
          <w:color w:val="auto"/>
          <w:spacing w:val="5"/>
          <w:sz w:val="24"/>
          <w:szCs w:val="24"/>
          <w:highlight w:val="none"/>
        </w:rPr>
        <w:t xml:space="preserve"> </w:t>
      </w:r>
      <w:r>
        <w:rPr>
          <w:rFonts w:ascii="仿宋" w:hAnsi="仿宋" w:eastAsia="仿宋" w:cs="仿宋"/>
          <w:b/>
          <w:bCs/>
          <w:color w:val="auto"/>
          <w:spacing w:val="5"/>
          <w:sz w:val="24"/>
          <w:szCs w:val="24"/>
          <w:highlight w:val="none"/>
        </w:rPr>
        <w:t>“工程量清单</w:t>
      </w:r>
      <w:r>
        <w:rPr>
          <w:rFonts w:ascii="仿宋" w:hAnsi="仿宋" w:eastAsia="仿宋" w:cs="仿宋"/>
          <w:color w:val="auto"/>
          <w:spacing w:val="-54"/>
          <w:sz w:val="24"/>
          <w:szCs w:val="24"/>
          <w:highlight w:val="none"/>
        </w:rPr>
        <w:t xml:space="preserve"> </w:t>
      </w:r>
      <w:r>
        <w:rPr>
          <w:rFonts w:ascii="仿宋" w:hAnsi="仿宋" w:eastAsia="仿宋" w:cs="仿宋"/>
          <w:b/>
          <w:bCs/>
          <w:color w:val="auto"/>
          <w:spacing w:val="5"/>
          <w:sz w:val="24"/>
          <w:szCs w:val="24"/>
          <w:highlight w:val="none"/>
        </w:rPr>
        <w:t>”</w:t>
      </w:r>
      <w:r>
        <w:rPr>
          <w:rFonts w:ascii="仿宋" w:hAnsi="仿宋" w:eastAsia="仿宋" w:cs="仿宋"/>
          <w:color w:val="auto"/>
          <w:spacing w:val="-76"/>
          <w:sz w:val="24"/>
          <w:szCs w:val="24"/>
          <w:highlight w:val="none"/>
        </w:rPr>
        <w:t xml:space="preserve"> </w:t>
      </w:r>
      <w:r>
        <w:rPr>
          <w:rFonts w:ascii="仿宋" w:hAnsi="仿宋" w:eastAsia="仿宋" w:cs="仿宋"/>
          <w:b/>
          <w:bCs/>
          <w:color w:val="auto"/>
          <w:spacing w:val="5"/>
          <w:sz w:val="24"/>
          <w:szCs w:val="24"/>
          <w:highlight w:val="none"/>
        </w:rPr>
        <w:t>中的相关表格及投标报价说明填写</w:t>
      </w:r>
    </w:p>
    <w:p w14:paraId="45228EF0">
      <w:pPr>
        <w:pStyle w:val="6"/>
        <w:spacing w:line="309" w:lineRule="auto"/>
        <w:rPr>
          <w:color w:val="auto"/>
          <w:sz w:val="20"/>
          <w:szCs w:val="20"/>
          <w:highlight w:val="none"/>
        </w:rPr>
      </w:pPr>
    </w:p>
    <w:p w14:paraId="20FFE5FC">
      <w:pPr>
        <w:spacing w:before="78" w:line="360" w:lineRule="auto"/>
        <w:ind w:firstLine="481"/>
        <w:jc w:val="both"/>
        <w:rPr>
          <w:rFonts w:ascii="宋体" w:hAnsi="宋体" w:eastAsia="宋体" w:cs="宋体"/>
          <w:color w:val="auto"/>
          <w:sz w:val="20"/>
          <w:szCs w:val="20"/>
          <w:highlight w:val="none"/>
        </w:rPr>
      </w:pPr>
      <w:r>
        <w:rPr>
          <w:rFonts w:ascii="宋体" w:hAnsi="宋体" w:eastAsia="宋体" w:cs="宋体"/>
          <w:b/>
          <w:bCs/>
          <w:color w:val="auto"/>
          <w:spacing w:val="1"/>
          <w:sz w:val="20"/>
          <w:szCs w:val="20"/>
          <w:highlight w:val="none"/>
        </w:rPr>
        <w:t>说明：二次报价或最后报价与首次报价相比有调整的，请供应商提前准备好调</w:t>
      </w:r>
      <w:r>
        <w:rPr>
          <w:rFonts w:ascii="宋体" w:hAnsi="宋体" w:eastAsia="宋体" w:cs="宋体"/>
          <w:b/>
          <w:bCs/>
          <w:color w:val="auto"/>
          <w:sz w:val="20"/>
          <w:szCs w:val="20"/>
          <w:highlight w:val="none"/>
        </w:rPr>
        <w:t>整后的已</w:t>
      </w:r>
      <w:r>
        <w:rPr>
          <w:rFonts w:ascii="宋体" w:hAnsi="宋体" w:eastAsia="宋体" w:cs="宋体"/>
          <w:color w:val="auto"/>
          <w:sz w:val="20"/>
          <w:szCs w:val="20"/>
          <w:highlight w:val="none"/>
        </w:rPr>
        <w:t xml:space="preserve"> </w:t>
      </w:r>
      <w:r>
        <w:rPr>
          <w:rFonts w:ascii="宋体" w:hAnsi="宋体" w:eastAsia="宋体" w:cs="宋体"/>
          <w:b/>
          <w:bCs/>
          <w:color w:val="auto"/>
          <w:sz w:val="20"/>
          <w:szCs w:val="20"/>
          <w:highlight w:val="none"/>
        </w:rPr>
        <w:t>标价工程量清单（已标价工程量清单合计金额须与相对应的竞标总报价金额保持一致</w:t>
      </w:r>
      <w:r>
        <w:rPr>
          <w:rFonts w:ascii="宋体" w:hAnsi="宋体" w:eastAsia="宋体" w:cs="宋体"/>
          <w:b/>
          <w:bCs/>
          <w:color w:val="auto"/>
          <w:spacing w:val="15"/>
          <w:sz w:val="20"/>
          <w:szCs w:val="20"/>
          <w:highlight w:val="none"/>
        </w:rPr>
        <w:t>），</w:t>
      </w:r>
      <w:r>
        <w:rPr>
          <w:rFonts w:ascii="宋体" w:hAnsi="宋体" w:eastAsia="宋体" w:cs="宋体"/>
          <w:b/>
          <w:bCs/>
          <w:color w:val="auto"/>
          <w:sz w:val="20"/>
          <w:szCs w:val="20"/>
          <w:highlight w:val="none"/>
        </w:rPr>
        <w:t>如</w:t>
      </w:r>
      <w:r>
        <w:rPr>
          <w:rFonts w:ascii="宋体" w:hAnsi="宋体" w:eastAsia="宋体" w:cs="宋体"/>
          <w:color w:val="auto"/>
          <w:spacing w:val="1"/>
          <w:sz w:val="20"/>
          <w:szCs w:val="20"/>
          <w:highlight w:val="none"/>
        </w:rPr>
        <w:t xml:space="preserve"> </w:t>
      </w:r>
      <w:r>
        <w:rPr>
          <w:rFonts w:ascii="宋体" w:hAnsi="宋体" w:eastAsia="宋体" w:cs="宋体"/>
          <w:b/>
          <w:bCs/>
          <w:color w:val="auto"/>
          <w:spacing w:val="-2"/>
          <w:sz w:val="20"/>
          <w:szCs w:val="20"/>
          <w:highlight w:val="none"/>
        </w:rPr>
        <w:t>未在规定时间内提供调整后的已标价工程量清单，由此造成的后果供应商自行承担。</w:t>
      </w:r>
    </w:p>
    <w:p w14:paraId="008E8ED3">
      <w:pPr>
        <w:pStyle w:val="6"/>
        <w:spacing w:line="247" w:lineRule="auto"/>
        <w:rPr>
          <w:color w:val="auto"/>
          <w:highlight w:val="none"/>
        </w:rPr>
      </w:pPr>
    </w:p>
    <w:p w14:paraId="58B73708">
      <w:pPr>
        <w:pStyle w:val="6"/>
        <w:spacing w:line="247" w:lineRule="auto"/>
        <w:rPr>
          <w:color w:val="auto"/>
          <w:highlight w:val="none"/>
        </w:rPr>
      </w:pPr>
    </w:p>
    <w:p w14:paraId="3480849E">
      <w:pPr>
        <w:pStyle w:val="6"/>
        <w:spacing w:line="247" w:lineRule="auto"/>
        <w:rPr>
          <w:color w:val="auto"/>
          <w:highlight w:val="none"/>
        </w:rPr>
      </w:pPr>
    </w:p>
    <w:p w14:paraId="06A5AB4B">
      <w:pPr>
        <w:pStyle w:val="6"/>
        <w:spacing w:line="248" w:lineRule="auto"/>
        <w:rPr>
          <w:color w:val="auto"/>
          <w:highlight w:val="none"/>
        </w:rPr>
      </w:pPr>
    </w:p>
    <w:p w14:paraId="44A73E87">
      <w:pPr>
        <w:pStyle w:val="6"/>
        <w:spacing w:line="248" w:lineRule="auto"/>
        <w:rPr>
          <w:color w:val="auto"/>
          <w:highlight w:val="none"/>
        </w:rPr>
      </w:pPr>
    </w:p>
    <w:p w14:paraId="210C89D5">
      <w:pPr>
        <w:pStyle w:val="6"/>
        <w:spacing w:line="248" w:lineRule="auto"/>
        <w:rPr>
          <w:color w:val="auto"/>
          <w:highlight w:val="none"/>
        </w:rPr>
      </w:pPr>
    </w:p>
    <w:p w14:paraId="33D3576A">
      <w:pPr>
        <w:pStyle w:val="6"/>
        <w:spacing w:line="248" w:lineRule="auto"/>
        <w:rPr>
          <w:color w:val="auto"/>
          <w:highlight w:val="none"/>
        </w:rPr>
      </w:pPr>
    </w:p>
    <w:p w14:paraId="44AFE511">
      <w:pPr>
        <w:pStyle w:val="6"/>
        <w:spacing w:line="248" w:lineRule="auto"/>
        <w:rPr>
          <w:color w:val="auto"/>
          <w:highlight w:val="none"/>
        </w:rPr>
      </w:pPr>
    </w:p>
    <w:p w14:paraId="69344611">
      <w:pPr>
        <w:pStyle w:val="6"/>
        <w:spacing w:line="248" w:lineRule="auto"/>
        <w:rPr>
          <w:color w:val="auto"/>
          <w:highlight w:val="none"/>
        </w:rPr>
      </w:pPr>
    </w:p>
    <w:p w14:paraId="01388A7F">
      <w:pPr>
        <w:pStyle w:val="6"/>
        <w:spacing w:line="248" w:lineRule="auto"/>
        <w:rPr>
          <w:color w:val="auto"/>
          <w:highlight w:val="none"/>
        </w:rPr>
      </w:pPr>
    </w:p>
    <w:p w14:paraId="7799D93A">
      <w:pPr>
        <w:pStyle w:val="6"/>
        <w:spacing w:line="248" w:lineRule="auto"/>
        <w:rPr>
          <w:color w:val="auto"/>
          <w:highlight w:val="none"/>
        </w:rPr>
      </w:pPr>
    </w:p>
    <w:p w14:paraId="4415C0F0">
      <w:pPr>
        <w:pStyle w:val="6"/>
        <w:spacing w:line="248" w:lineRule="auto"/>
        <w:rPr>
          <w:color w:val="auto"/>
          <w:highlight w:val="none"/>
        </w:rPr>
      </w:pPr>
    </w:p>
    <w:p w14:paraId="3E777D6E">
      <w:pPr>
        <w:pStyle w:val="6"/>
        <w:spacing w:line="248" w:lineRule="auto"/>
        <w:rPr>
          <w:color w:val="auto"/>
          <w:highlight w:val="none"/>
        </w:rPr>
      </w:pPr>
    </w:p>
    <w:p w14:paraId="0B5C3C9F">
      <w:pPr>
        <w:pStyle w:val="6"/>
        <w:spacing w:line="248" w:lineRule="auto"/>
        <w:rPr>
          <w:color w:val="auto"/>
          <w:highlight w:val="none"/>
        </w:rPr>
      </w:pPr>
    </w:p>
    <w:p w14:paraId="75189B6D">
      <w:pPr>
        <w:pStyle w:val="6"/>
        <w:spacing w:line="248" w:lineRule="auto"/>
        <w:rPr>
          <w:color w:val="auto"/>
          <w:highlight w:val="none"/>
        </w:rPr>
      </w:pPr>
    </w:p>
    <w:p w14:paraId="6CD7CDCF">
      <w:pPr>
        <w:pStyle w:val="6"/>
        <w:spacing w:line="248" w:lineRule="auto"/>
        <w:rPr>
          <w:color w:val="auto"/>
          <w:highlight w:val="none"/>
        </w:rPr>
      </w:pPr>
    </w:p>
    <w:p w14:paraId="7D5982E0">
      <w:pPr>
        <w:pStyle w:val="6"/>
        <w:spacing w:line="248" w:lineRule="auto"/>
        <w:rPr>
          <w:color w:val="auto"/>
          <w:highlight w:val="none"/>
        </w:rPr>
      </w:pPr>
    </w:p>
    <w:p w14:paraId="19297C62">
      <w:pPr>
        <w:pStyle w:val="6"/>
        <w:spacing w:line="248" w:lineRule="auto"/>
        <w:rPr>
          <w:color w:val="auto"/>
          <w:highlight w:val="none"/>
        </w:rPr>
      </w:pPr>
    </w:p>
    <w:p w14:paraId="375BF1AB">
      <w:pPr>
        <w:pStyle w:val="6"/>
        <w:spacing w:line="248" w:lineRule="auto"/>
        <w:rPr>
          <w:color w:val="auto"/>
          <w:highlight w:val="none"/>
        </w:rPr>
      </w:pPr>
    </w:p>
    <w:p w14:paraId="6AD508B5">
      <w:pPr>
        <w:pStyle w:val="6"/>
        <w:spacing w:line="248" w:lineRule="auto"/>
        <w:rPr>
          <w:color w:val="auto"/>
          <w:highlight w:val="none"/>
        </w:rPr>
      </w:pPr>
    </w:p>
    <w:p w14:paraId="5451432D">
      <w:pPr>
        <w:pStyle w:val="6"/>
        <w:spacing w:line="248" w:lineRule="auto"/>
        <w:rPr>
          <w:color w:val="auto"/>
          <w:highlight w:val="none"/>
        </w:rPr>
      </w:pPr>
    </w:p>
    <w:p w14:paraId="279973DF">
      <w:pPr>
        <w:pStyle w:val="6"/>
        <w:spacing w:line="248" w:lineRule="auto"/>
        <w:rPr>
          <w:color w:val="auto"/>
          <w:highlight w:val="none"/>
        </w:rPr>
      </w:pPr>
    </w:p>
    <w:p w14:paraId="60BA32B8">
      <w:pPr>
        <w:pStyle w:val="6"/>
        <w:spacing w:line="248" w:lineRule="auto"/>
        <w:rPr>
          <w:color w:val="auto"/>
          <w:highlight w:val="none"/>
        </w:rPr>
      </w:pPr>
    </w:p>
    <w:p w14:paraId="16B1B8BB">
      <w:pPr>
        <w:pStyle w:val="6"/>
        <w:spacing w:line="248" w:lineRule="auto"/>
        <w:rPr>
          <w:color w:val="auto"/>
          <w:highlight w:val="none"/>
        </w:rPr>
      </w:pPr>
    </w:p>
    <w:p w14:paraId="615BAF0F">
      <w:pPr>
        <w:pStyle w:val="6"/>
        <w:spacing w:line="248" w:lineRule="auto"/>
        <w:rPr>
          <w:color w:val="auto"/>
          <w:highlight w:val="none"/>
        </w:rPr>
      </w:pPr>
    </w:p>
    <w:p w14:paraId="2AB5654E">
      <w:pPr>
        <w:pStyle w:val="6"/>
        <w:spacing w:line="248" w:lineRule="auto"/>
        <w:rPr>
          <w:color w:val="auto"/>
          <w:highlight w:val="none"/>
        </w:rPr>
      </w:pPr>
    </w:p>
    <w:p w14:paraId="4A5F6E97">
      <w:pPr>
        <w:spacing w:before="98" w:line="219" w:lineRule="auto"/>
        <w:ind w:left="629"/>
        <w:rPr>
          <w:rFonts w:ascii="宋体" w:hAnsi="宋体" w:eastAsia="宋体" w:cs="宋体"/>
          <w:color w:val="auto"/>
          <w:sz w:val="30"/>
          <w:szCs w:val="30"/>
          <w:highlight w:val="none"/>
        </w:rPr>
      </w:pPr>
      <w:r>
        <w:rPr>
          <w:rFonts w:ascii="宋体" w:hAnsi="宋体" w:eastAsia="宋体" w:cs="宋体"/>
          <w:b/>
          <w:bCs/>
          <w:color w:val="auto"/>
          <w:spacing w:val="-5"/>
          <w:sz w:val="30"/>
          <w:szCs w:val="30"/>
          <w:highlight w:val="none"/>
        </w:rPr>
        <w:t>四、供应商认为需要提供的其他有关资料</w:t>
      </w:r>
    </w:p>
    <w:p w14:paraId="5AFCE9D4">
      <w:pPr>
        <w:pStyle w:val="6"/>
        <w:spacing w:line="267" w:lineRule="auto"/>
        <w:rPr>
          <w:color w:val="auto"/>
          <w:highlight w:val="none"/>
        </w:rPr>
      </w:pPr>
    </w:p>
    <w:p w14:paraId="7D1EA1D8">
      <w:pPr>
        <w:pStyle w:val="6"/>
        <w:spacing w:line="268" w:lineRule="auto"/>
        <w:rPr>
          <w:color w:val="auto"/>
          <w:highlight w:val="none"/>
        </w:rPr>
      </w:pPr>
    </w:p>
    <w:p w14:paraId="441AE299">
      <w:pPr>
        <w:pStyle w:val="6"/>
        <w:spacing w:line="268" w:lineRule="auto"/>
        <w:rPr>
          <w:color w:val="auto"/>
          <w:highlight w:val="none"/>
        </w:rPr>
      </w:pPr>
    </w:p>
    <w:p w14:paraId="26C3C6EB">
      <w:pPr>
        <w:pStyle w:val="6"/>
        <w:spacing w:line="268" w:lineRule="auto"/>
        <w:rPr>
          <w:color w:val="auto"/>
          <w:highlight w:val="none"/>
        </w:rPr>
      </w:pPr>
    </w:p>
    <w:p w14:paraId="65BEB208">
      <w:pPr>
        <w:pStyle w:val="6"/>
        <w:spacing w:line="268" w:lineRule="auto"/>
        <w:rPr>
          <w:color w:val="auto"/>
          <w:highlight w:val="none"/>
        </w:rPr>
      </w:pPr>
    </w:p>
    <w:p w14:paraId="06C8703D">
      <w:pPr>
        <w:spacing w:before="78" w:line="360" w:lineRule="auto"/>
        <w:ind w:firstLine="5452" w:firstLineChars="2726"/>
        <w:jc w:val="both"/>
        <w:rPr>
          <w:rFonts w:ascii="宋体" w:hAnsi="宋体" w:eastAsia="宋体" w:cs="宋体"/>
          <w:b w:val="0"/>
          <w:bCs w:val="0"/>
          <w:color w:val="auto"/>
          <w:sz w:val="20"/>
          <w:szCs w:val="20"/>
          <w:highlight w:val="none"/>
        </w:rPr>
      </w:pPr>
      <w:r>
        <w:rPr>
          <w:rFonts w:ascii="宋体" w:hAnsi="宋体" w:eastAsia="宋体" w:cs="宋体"/>
          <w:b w:val="0"/>
          <w:bCs w:val="0"/>
          <w:color w:val="auto"/>
          <w:sz w:val="20"/>
          <w:szCs w:val="20"/>
          <w:highlight w:val="none"/>
        </w:rPr>
        <w:t>供应商名称（电子签章）：</w:t>
      </w:r>
    </w:p>
    <w:p w14:paraId="3B2972E2">
      <w:pPr>
        <w:spacing w:before="78" w:line="360" w:lineRule="auto"/>
        <w:ind w:firstLine="5452" w:firstLineChars="2726"/>
        <w:jc w:val="both"/>
        <w:rPr>
          <w:rFonts w:ascii="宋体" w:hAnsi="宋体" w:eastAsia="宋体" w:cs="宋体"/>
          <w:b w:val="0"/>
          <w:bCs w:val="0"/>
          <w:color w:val="auto"/>
          <w:sz w:val="20"/>
          <w:szCs w:val="20"/>
          <w:highlight w:val="none"/>
        </w:rPr>
      </w:pPr>
      <w:r>
        <w:rPr>
          <w:rFonts w:ascii="宋体" w:hAnsi="宋体" w:eastAsia="宋体" w:cs="宋体"/>
          <w:b w:val="0"/>
          <w:bCs w:val="0"/>
          <w:color w:val="auto"/>
          <w:sz w:val="20"/>
          <w:szCs w:val="20"/>
          <w:highlight w:val="none"/>
        </w:rPr>
        <w:t>日期：  年  月</w:t>
      </w:r>
    </w:p>
    <w:p w14:paraId="6E383DBE">
      <w:pPr>
        <w:spacing w:before="78" w:line="360" w:lineRule="auto"/>
        <w:ind w:firstLine="481"/>
        <w:jc w:val="both"/>
        <w:rPr>
          <w:rFonts w:ascii="宋体" w:hAnsi="宋体" w:eastAsia="宋体" w:cs="宋体"/>
          <w:b w:val="0"/>
          <w:bCs w:val="0"/>
          <w:color w:val="auto"/>
          <w:sz w:val="20"/>
          <w:szCs w:val="20"/>
          <w:highlight w:val="none"/>
        </w:rPr>
        <w:sectPr>
          <w:footerReference r:id="rId73" w:type="default"/>
          <w:pgSz w:w="11906" w:h="16839"/>
          <w:pgMar w:top="400" w:right="1082" w:bottom="909" w:left="1090" w:header="0" w:footer="673" w:gutter="0"/>
          <w:pgNumType w:fmt="decimal"/>
          <w:cols w:space="720" w:num="1"/>
        </w:sectPr>
      </w:pPr>
    </w:p>
    <w:p w14:paraId="186B625B">
      <w:pPr>
        <w:pStyle w:val="6"/>
        <w:spacing w:line="245" w:lineRule="auto"/>
        <w:rPr>
          <w:color w:val="auto"/>
          <w:highlight w:val="none"/>
        </w:rPr>
      </w:pPr>
    </w:p>
    <w:p w14:paraId="4C46D248">
      <w:pPr>
        <w:pStyle w:val="6"/>
        <w:spacing w:line="245" w:lineRule="auto"/>
        <w:rPr>
          <w:color w:val="auto"/>
          <w:highlight w:val="none"/>
        </w:rPr>
      </w:pPr>
    </w:p>
    <w:p w14:paraId="417B8938">
      <w:pPr>
        <w:pStyle w:val="6"/>
        <w:spacing w:line="245" w:lineRule="auto"/>
        <w:rPr>
          <w:color w:val="auto"/>
          <w:highlight w:val="none"/>
        </w:rPr>
      </w:pPr>
    </w:p>
    <w:p w14:paraId="2526F925">
      <w:pPr>
        <w:pStyle w:val="6"/>
        <w:spacing w:line="245" w:lineRule="auto"/>
        <w:rPr>
          <w:color w:val="auto"/>
          <w:highlight w:val="none"/>
        </w:rPr>
      </w:pPr>
    </w:p>
    <w:p w14:paraId="3EA5E0CA">
      <w:pPr>
        <w:pStyle w:val="6"/>
        <w:spacing w:line="245" w:lineRule="auto"/>
        <w:rPr>
          <w:color w:val="auto"/>
          <w:highlight w:val="none"/>
        </w:rPr>
      </w:pPr>
    </w:p>
    <w:p w14:paraId="70E160D9">
      <w:pPr>
        <w:pStyle w:val="6"/>
        <w:spacing w:line="245" w:lineRule="auto"/>
        <w:rPr>
          <w:color w:val="auto"/>
          <w:highlight w:val="none"/>
        </w:rPr>
      </w:pPr>
    </w:p>
    <w:p w14:paraId="3E00BE76">
      <w:pPr>
        <w:pStyle w:val="6"/>
        <w:spacing w:line="245" w:lineRule="auto"/>
        <w:rPr>
          <w:color w:val="auto"/>
          <w:highlight w:val="none"/>
        </w:rPr>
      </w:pPr>
    </w:p>
    <w:p w14:paraId="6288556B">
      <w:pPr>
        <w:spacing w:before="101" w:line="225" w:lineRule="auto"/>
        <w:ind w:left="2369"/>
        <w:outlineLvl w:val="1"/>
        <w:rPr>
          <w:rFonts w:ascii="宋体" w:hAnsi="宋体" w:eastAsia="宋体" w:cs="宋体"/>
          <w:color w:val="auto"/>
          <w:sz w:val="31"/>
          <w:szCs w:val="31"/>
          <w:highlight w:val="none"/>
        </w:rPr>
      </w:pPr>
      <w:bookmarkStart w:id="23" w:name="_Toc13736"/>
      <w:r>
        <w:rPr>
          <w:rFonts w:ascii="宋体" w:hAnsi="宋体" w:eastAsia="宋体" w:cs="宋体"/>
          <w:color w:val="auto"/>
          <w:spacing w:val="8"/>
          <w:sz w:val="31"/>
          <w:szCs w:val="31"/>
          <w:highlight w:val="none"/>
        </w:rPr>
        <w:t>第五节 其他文书、文件格式</w:t>
      </w:r>
      <w:bookmarkEnd w:id="23"/>
    </w:p>
    <w:p w14:paraId="49DE996B">
      <w:pPr>
        <w:pStyle w:val="6"/>
        <w:spacing w:line="443" w:lineRule="auto"/>
        <w:rPr>
          <w:color w:val="auto"/>
          <w:highlight w:val="none"/>
        </w:rPr>
      </w:pPr>
    </w:p>
    <w:p w14:paraId="04DEB1C1">
      <w:pPr>
        <w:spacing w:before="101" w:line="225" w:lineRule="auto"/>
        <w:ind w:left="2929"/>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知识产权合规性声明</w:t>
      </w:r>
    </w:p>
    <w:p w14:paraId="139DC237">
      <w:pPr>
        <w:pStyle w:val="6"/>
        <w:spacing w:line="371" w:lineRule="auto"/>
        <w:rPr>
          <w:color w:val="auto"/>
          <w:sz w:val="20"/>
          <w:szCs w:val="20"/>
          <w:highlight w:val="none"/>
        </w:rPr>
      </w:pPr>
    </w:p>
    <w:p w14:paraId="66F6980B">
      <w:pPr>
        <w:spacing w:before="91" w:line="437" w:lineRule="auto"/>
        <w:ind w:firstLine="563"/>
        <w:jc w:val="both"/>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本企业（单位）自愿参与政府投资政府采购的</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3"/>
          <w:sz w:val="20"/>
          <w:szCs w:val="20"/>
          <w:highlight w:val="none"/>
          <w:u w:val="single" w:color="auto"/>
        </w:rPr>
        <w:t>（项目名称</w:t>
      </w:r>
      <w:r>
        <w:rPr>
          <w:rFonts w:ascii="宋体" w:hAnsi="宋体" w:eastAsia="宋体" w:cs="宋体"/>
          <w:color w:val="auto"/>
          <w:spacing w:val="-4"/>
          <w:sz w:val="20"/>
          <w:szCs w:val="20"/>
          <w:highlight w:val="none"/>
          <w:u w:val="single" w:color="auto"/>
        </w:rPr>
        <w:t>）</w:t>
      </w:r>
      <w:r>
        <w:rPr>
          <w:rFonts w:ascii="宋体" w:hAnsi="宋体" w:eastAsia="宋体" w:cs="宋体"/>
          <w:color w:val="auto"/>
          <w:spacing w:val="-4"/>
          <w:sz w:val="20"/>
          <w:szCs w:val="20"/>
          <w:highlight w:val="none"/>
        </w:rPr>
        <w:t>项</w:t>
      </w:r>
      <w:r>
        <w:rPr>
          <w:rFonts w:ascii="宋体" w:hAnsi="宋体" w:eastAsia="宋体" w:cs="宋体"/>
          <w:color w:val="auto"/>
          <w:spacing w:val="3"/>
          <w:sz w:val="20"/>
          <w:szCs w:val="20"/>
          <w:highlight w:val="none"/>
        </w:rPr>
        <w:t xml:space="preserve"> </w:t>
      </w:r>
      <w:r>
        <w:rPr>
          <w:rFonts w:ascii="宋体" w:hAnsi="宋体" w:eastAsia="宋体" w:cs="宋体"/>
          <w:color w:val="auto"/>
          <w:spacing w:val="1"/>
          <w:sz w:val="20"/>
          <w:szCs w:val="20"/>
          <w:highlight w:val="none"/>
        </w:rPr>
        <w:t>目，</w:t>
      </w:r>
      <w:r>
        <w:rPr>
          <w:rFonts w:ascii="宋体" w:hAnsi="宋体" w:eastAsia="宋体" w:cs="宋体"/>
          <w:b/>
          <w:bCs/>
          <w:color w:val="auto"/>
          <w:spacing w:val="1"/>
          <w:sz w:val="20"/>
          <w:szCs w:val="20"/>
          <w:highlight w:val="none"/>
        </w:rPr>
        <w:t>在此郑重承诺：</w:t>
      </w:r>
      <w:r>
        <w:rPr>
          <w:rFonts w:ascii="宋体" w:hAnsi="宋体" w:eastAsia="宋体" w:cs="宋体"/>
          <w:color w:val="auto"/>
          <w:spacing w:val="1"/>
          <w:sz w:val="20"/>
          <w:szCs w:val="20"/>
          <w:highlight w:val="none"/>
        </w:rPr>
        <w:t>遵守中国知识产权法律、法规</w:t>
      </w:r>
      <w:r>
        <w:rPr>
          <w:rFonts w:ascii="宋体" w:hAnsi="宋体" w:eastAsia="宋体" w:cs="宋体"/>
          <w:color w:val="auto"/>
          <w:sz w:val="20"/>
          <w:szCs w:val="20"/>
          <w:highlight w:val="none"/>
        </w:rPr>
        <w:t xml:space="preserve">、规章、规范性文件 </w:t>
      </w:r>
      <w:r>
        <w:rPr>
          <w:rFonts w:ascii="宋体" w:hAnsi="宋体" w:eastAsia="宋体" w:cs="宋体"/>
          <w:color w:val="auto"/>
          <w:spacing w:val="1"/>
          <w:sz w:val="20"/>
          <w:szCs w:val="20"/>
          <w:highlight w:val="none"/>
        </w:rPr>
        <w:t>及在中国适用的与知识产权有关的国际公约，所参与项目的知识产权明</w:t>
      </w:r>
      <w:r>
        <w:rPr>
          <w:rFonts w:ascii="宋体" w:hAnsi="宋体" w:eastAsia="宋体" w:cs="宋体"/>
          <w:color w:val="auto"/>
          <w:spacing w:val="9"/>
          <w:sz w:val="20"/>
          <w:szCs w:val="20"/>
          <w:highlight w:val="none"/>
        </w:rPr>
        <w:t xml:space="preserve"> </w:t>
      </w:r>
      <w:r>
        <w:rPr>
          <w:rFonts w:ascii="宋体" w:hAnsi="宋体" w:eastAsia="宋体" w:cs="宋体"/>
          <w:color w:val="auto"/>
          <w:spacing w:val="1"/>
          <w:sz w:val="20"/>
          <w:szCs w:val="20"/>
          <w:highlight w:val="none"/>
        </w:rPr>
        <w:t>晰无争议，归属或技术来源正当合法。近三年在知识产权领域不存在违</w:t>
      </w:r>
      <w:r>
        <w:rPr>
          <w:rFonts w:ascii="宋体" w:hAnsi="宋体" w:eastAsia="宋体" w:cs="宋体"/>
          <w:color w:val="auto"/>
          <w:spacing w:val="9"/>
          <w:sz w:val="20"/>
          <w:szCs w:val="20"/>
          <w:highlight w:val="none"/>
        </w:rPr>
        <w:t xml:space="preserve"> </w:t>
      </w:r>
      <w:r>
        <w:rPr>
          <w:rFonts w:ascii="宋体" w:hAnsi="宋体" w:eastAsia="宋体" w:cs="宋体"/>
          <w:color w:val="auto"/>
          <w:spacing w:val="1"/>
          <w:sz w:val="20"/>
          <w:szCs w:val="20"/>
          <w:highlight w:val="none"/>
        </w:rPr>
        <w:t>反法律、法规、规章及其他规范性文件的失信行为。所参与的项目不对</w:t>
      </w:r>
      <w:r>
        <w:rPr>
          <w:rFonts w:ascii="宋体" w:hAnsi="宋体" w:eastAsia="宋体" w:cs="宋体"/>
          <w:color w:val="auto"/>
          <w:spacing w:val="9"/>
          <w:sz w:val="20"/>
          <w:szCs w:val="20"/>
          <w:highlight w:val="none"/>
        </w:rPr>
        <w:t xml:space="preserve"> </w:t>
      </w:r>
      <w:r>
        <w:rPr>
          <w:rFonts w:ascii="宋体" w:hAnsi="宋体" w:eastAsia="宋体" w:cs="宋体"/>
          <w:color w:val="auto"/>
          <w:spacing w:val="1"/>
          <w:sz w:val="20"/>
          <w:szCs w:val="20"/>
          <w:highlight w:val="none"/>
        </w:rPr>
        <w:t>其他单位及个人的知识产权构成侵权。如经核查确有违反上述承诺应遵</w:t>
      </w:r>
      <w:r>
        <w:rPr>
          <w:rFonts w:ascii="宋体" w:hAnsi="宋体" w:eastAsia="宋体" w:cs="宋体"/>
          <w:color w:val="auto"/>
          <w:spacing w:val="9"/>
          <w:sz w:val="20"/>
          <w:szCs w:val="20"/>
          <w:highlight w:val="none"/>
        </w:rPr>
        <w:t xml:space="preserve"> </w:t>
      </w:r>
      <w:r>
        <w:rPr>
          <w:rFonts w:ascii="宋体" w:hAnsi="宋体" w:eastAsia="宋体" w:cs="宋体"/>
          <w:color w:val="auto"/>
          <w:spacing w:val="-1"/>
          <w:sz w:val="20"/>
          <w:szCs w:val="20"/>
          <w:highlight w:val="none"/>
        </w:rPr>
        <w:t>守的行为，本企业（单位）将承担由此产生的全部责任。</w:t>
      </w:r>
    </w:p>
    <w:p w14:paraId="52594179">
      <w:pPr>
        <w:pStyle w:val="6"/>
        <w:spacing w:line="258" w:lineRule="auto"/>
        <w:rPr>
          <w:color w:val="auto"/>
          <w:sz w:val="20"/>
          <w:szCs w:val="20"/>
          <w:highlight w:val="none"/>
        </w:rPr>
      </w:pPr>
    </w:p>
    <w:p w14:paraId="785270E1">
      <w:pPr>
        <w:pStyle w:val="6"/>
        <w:spacing w:line="258" w:lineRule="auto"/>
        <w:rPr>
          <w:color w:val="auto"/>
          <w:sz w:val="20"/>
          <w:szCs w:val="20"/>
          <w:highlight w:val="none"/>
        </w:rPr>
      </w:pPr>
    </w:p>
    <w:p w14:paraId="31D9AC60">
      <w:pPr>
        <w:pStyle w:val="6"/>
        <w:spacing w:line="259" w:lineRule="auto"/>
        <w:rPr>
          <w:color w:val="auto"/>
          <w:sz w:val="20"/>
          <w:szCs w:val="20"/>
          <w:highlight w:val="none"/>
        </w:rPr>
      </w:pPr>
    </w:p>
    <w:p w14:paraId="749E8417">
      <w:pPr>
        <w:pStyle w:val="6"/>
        <w:spacing w:line="259" w:lineRule="auto"/>
        <w:rPr>
          <w:color w:val="auto"/>
          <w:sz w:val="20"/>
          <w:szCs w:val="20"/>
          <w:highlight w:val="none"/>
        </w:rPr>
      </w:pPr>
    </w:p>
    <w:p w14:paraId="6097EC81">
      <w:pPr>
        <w:pStyle w:val="6"/>
        <w:spacing w:line="259" w:lineRule="auto"/>
        <w:rPr>
          <w:color w:val="auto"/>
          <w:sz w:val="20"/>
          <w:szCs w:val="20"/>
          <w:highlight w:val="none"/>
        </w:rPr>
      </w:pPr>
    </w:p>
    <w:p w14:paraId="061429E7">
      <w:pPr>
        <w:pStyle w:val="6"/>
        <w:spacing w:line="259" w:lineRule="auto"/>
        <w:rPr>
          <w:color w:val="auto"/>
          <w:sz w:val="20"/>
          <w:szCs w:val="20"/>
          <w:highlight w:val="none"/>
        </w:rPr>
      </w:pPr>
    </w:p>
    <w:p w14:paraId="4745B988">
      <w:pPr>
        <w:pStyle w:val="6"/>
        <w:spacing w:line="259" w:lineRule="auto"/>
        <w:rPr>
          <w:color w:val="auto"/>
          <w:sz w:val="20"/>
          <w:szCs w:val="20"/>
          <w:highlight w:val="none"/>
        </w:rPr>
      </w:pPr>
    </w:p>
    <w:p w14:paraId="6119FBB1">
      <w:pPr>
        <w:pStyle w:val="6"/>
        <w:spacing w:line="259" w:lineRule="auto"/>
        <w:rPr>
          <w:color w:val="auto"/>
          <w:sz w:val="20"/>
          <w:szCs w:val="20"/>
          <w:highlight w:val="none"/>
        </w:rPr>
      </w:pPr>
    </w:p>
    <w:p w14:paraId="6A02682F">
      <w:pPr>
        <w:spacing w:before="91" w:line="220" w:lineRule="auto"/>
        <w:ind w:left="2739"/>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供应商名称（电子签章</w:t>
      </w:r>
      <w:r>
        <w:rPr>
          <w:rFonts w:ascii="宋体" w:hAnsi="宋体" w:eastAsia="宋体" w:cs="宋体"/>
          <w:color w:val="auto"/>
          <w:spacing w:val="4"/>
          <w:sz w:val="20"/>
          <w:szCs w:val="20"/>
          <w:highlight w:val="none"/>
        </w:rPr>
        <w:t>）：</w:t>
      </w:r>
    </w:p>
    <w:p w14:paraId="751E7169">
      <w:pPr>
        <w:spacing w:before="297" w:line="221" w:lineRule="auto"/>
        <w:ind w:left="5307"/>
        <w:rPr>
          <w:rFonts w:ascii="宋体" w:hAnsi="宋体" w:eastAsia="宋体" w:cs="宋体"/>
          <w:color w:val="auto"/>
          <w:sz w:val="20"/>
          <w:szCs w:val="20"/>
          <w:highlight w:val="none"/>
        </w:rPr>
      </w:pPr>
      <w:r>
        <w:rPr>
          <w:rFonts w:ascii="宋体" w:hAnsi="宋体" w:eastAsia="宋体" w:cs="宋体"/>
          <w:color w:val="auto"/>
          <w:spacing w:val="-15"/>
          <w:sz w:val="20"/>
          <w:szCs w:val="20"/>
          <w:highlight w:val="none"/>
        </w:rPr>
        <w:t>日期：</w:t>
      </w:r>
      <w:r>
        <w:rPr>
          <w:rFonts w:ascii="宋体" w:hAnsi="宋体" w:eastAsia="宋体" w:cs="宋体"/>
          <w:color w:val="auto"/>
          <w:spacing w:val="7"/>
          <w:sz w:val="20"/>
          <w:szCs w:val="20"/>
          <w:highlight w:val="none"/>
        </w:rPr>
        <w:t xml:space="preserve">  </w:t>
      </w:r>
      <w:r>
        <w:rPr>
          <w:rFonts w:ascii="宋体" w:hAnsi="宋体" w:eastAsia="宋体" w:cs="宋体"/>
          <w:color w:val="auto"/>
          <w:spacing w:val="-15"/>
          <w:sz w:val="20"/>
          <w:szCs w:val="20"/>
          <w:highlight w:val="none"/>
        </w:rPr>
        <w:t>年</w:t>
      </w:r>
      <w:r>
        <w:rPr>
          <w:rFonts w:ascii="宋体" w:hAnsi="宋体" w:eastAsia="宋体" w:cs="宋体"/>
          <w:color w:val="auto"/>
          <w:spacing w:val="8"/>
          <w:sz w:val="20"/>
          <w:szCs w:val="20"/>
          <w:highlight w:val="none"/>
        </w:rPr>
        <w:t xml:space="preserve">  </w:t>
      </w:r>
      <w:r>
        <w:rPr>
          <w:rFonts w:ascii="宋体" w:hAnsi="宋体" w:eastAsia="宋体" w:cs="宋体"/>
          <w:color w:val="auto"/>
          <w:spacing w:val="-15"/>
          <w:sz w:val="20"/>
          <w:szCs w:val="20"/>
          <w:highlight w:val="none"/>
        </w:rPr>
        <w:t>月</w:t>
      </w:r>
      <w:r>
        <w:rPr>
          <w:rFonts w:ascii="宋体" w:hAnsi="宋体" w:eastAsia="宋体" w:cs="宋体"/>
          <w:color w:val="auto"/>
          <w:spacing w:val="19"/>
          <w:sz w:val="20"/>
          <w:szCs w:val="20"/>
          <w:highlight w:val="none"/>
        </w:rPr>
        <w:t xml:space="preserve">   </w:t>
      </w:r>
      <w:r>
        <w:rPr>
          <w:rFonts w:ascii="宋体" w:hAnsi="宋体" w:eastAsia="宋体" w:cs="宋体"/>
          <w:color w:val="auto"/>
          <w:spacing w:val="-15"/>
          <w:sz w:val="20"/>
          <w:szCs w:val="20"/>
          <w:highlight w:val="none"/>
        </w:rPr>
        <w:t>日</w:t>
      </w:r>
    </w:p>
    <w:p w14:paraId="36466DBC">
      <w:pPr>
        <w:spacing w:line="221" w:lineRule="auto"/>
        <w:rPr>
          <w:rFonts w:ascii="宋体" w:hAnsi="宋体" w:eastAsia="宋体" w:cs="宋体"/>
          <w:color w:val="auto"/>
          <w:sz w:val="20"/>
          <w:szCs w:val="20"/>
          <w:highlight w:val="none"/>
        </w:rPr>
        <w:sectPr>
          <w:footerReference r:id="rId74" w:type="default"/>
          <w:pgSz w:w="11905" w:h="16839"/>
          <w:pgMar w:top="400" w:right="1584" w:bottom="909" w:left="1596" w:header="0" w:footer="673" w:gutter="0"/>
          <w:pgNumType w:fmt="decimal"/>
          <w:cols w:space="720" w:num="1"/>
        </w:sectPr>
      </w:pPr>
    </w:p>
    <w:p w14:paraId="44509EFF">
      <w:pPr>
        <w:pStyle w:val="6"/>
        <w:spacing w:line="270" w:lineRule="auto"/>
        <w:rPr>
          <w:color w:val="auto"/>
          <w:highlight w:val="none"/>
        </w:rPr>
      </w:pPr>
    </w:p>
    <w:p w14:paraId="3155B4DF">
      <w:pPr>
        <w:pStyle w:val="6"/>
        <w:spacing w:line="271" w:lineRule="auto"/>
        <w:rPr>
          <w:color w:val="auto"/>
          <w:highlight w:val="none"/>
        </w:rPr>
      </w:pPr>
    </w:p>
    <w:p w14:paraId="34FCBBD6">
      <w:pPr>
        <w:pStyle w:val="6"/>
        <w:spacing w:line="271" w:lineRule="auto"/>
        <w:rPr>
          <w:color w:val="auto"/>
          <w:highlight w:val="none"/>
        </w:rPr>
      </w:pPr>
    </w:p>
    <w:p w14:paraId="4D7F5790">
      <w:pPr>
        <w:spacing w:before="98" w:line="220" w:lineRule="auto"/>
        <w:ind w:left="3003"/>
        <w:rPr>
          <w:rFonts w:ascii="宋体" w:hAnsi="宋体" w:eastAsia="宋体" w:cs="宋体"/>
          <w:color w:val="auto"/>
          <w:sz w:val="30"/>
          <w:szCs w:val="30"/>
          <w:highlight w:val="none"/>
        </w:rPr>
      </w:pPr>
      <w:r>
        <w:rPr>
          <w:rFonts w:ascii="宋体" w:hAnsi="宋体" w:eastAsia="宋体" w:cs="宋体"/>
          <w:b/>
          <w:bCs/>
          <w:color w:val="auto"/>
          <w:spacing w:val="-4"/>
          <w:sz w:val="30"/>
          <w:szCs w:val="30"/>
          <w:highlight w:val="none"/>
        </w:rPr>
        <w:t>小微企业声明函（工程类）</w:t>
      </w:r>
    </w:p>
    <w:p w14:paraId="62958CC7">
      <w:pPr>
        <w:pStyle w:val="6"/>
        <w:spacing w:line="337" w:lineRule="auto"/>
        <w:rPr>
          <w:color w:val="auto"/>
          <w:highlight w:val="none"/>
        </w:rPr>
      </w:pPr>
    </w:p>
    <w:p w14:paraId="5BA72770">
      <w:pPr>
        <w:spacing w:before="78" w:line="382" w:lineRule="auto"/>
        <w:ind w:left="9" w:right="199" w:firstLine="640"/>
        <w:jc w:val="both"/>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本公司郑重声明，根据《政府采购促进中小企业发展管理办法》（财库﹝2020﹞</w:t>
      </w:r>
      <w:r>
        <w:rPr>
          <w:rFonts w:ascii="宋体" w:hAnsi="宋体" w:eastAsia="宋体" w:cs="宋体"/>
          <w:color w:val="auto"/>
          <w:spacing w:val="1"/>
          <w:sz w:val="20"/>
          <w:szCs w:val="20"/>
          <w:highlight w:val="none"/>
        </w:rPr>
        <w:t xml:space="preserve"> </w:t>
      </w:r>
      <w:r>
        <w:rPr>
          <w:rFonts w:ascii="宋体" w:hAnsi="宋体" w:eastAsia="宋体" w:cs="宋体"/>
          <w:color w:val="auto"/>
          <w:spacing w:val="-1"/>
          <w:sz w:val="20"/>
          <w:szCs w:val="20"/>
          <w:highlight w:val="none"/>
        </w:rPr>
        <w:t>46</w:t>
      </w:r>
      <w:r>
        <w:rPr>
          <w:rFonts w:ascii="宋体" w:hAnsi="宋体" w:eastAsia="宋体" w:cs="宋体"/>
          <w:color w:val="auto"/>
          <w:spacing w:val="-45"/>
          <w:sz w:val="20"/>
          <w:szCs w:val="20"/>
          <w:highlight w:val="none"/>
        </w:rPr>
        <w:t xml:space="preserve"> </w:t>
      </w:r>
      <w:r>
        <w:rPr>
          <w:rFonts w:ascii="宋体" w:hAnsi="宋体" w:eastAsia="宋体" w:cs="宋体"/>
          <w:color w:val="auto"/>
          <w:spacing w:val="-1"/>
          <w:sz w:val="20"/>
          <w:szCs w:val="20"/>
          <w:highlight w:val="none"/>
        </w:rPr>
        <w:t>号）的规定，本公司参加</w:t>
      </w:r>
      <w:r>
        <w:rPr>
          <w:rFonts w:ascii="宋体" w:hAnsi="宋体" w:eastAsia="宋体" w:cs="宋体"/>
          <w:color w:val="auto"/>
          <w:spacing w:val="-1"/>
          <w:sz w:val="20"/>
          <w:szCs w:val="20"/>
          <w:highlight w:val="none"/>
          <w:u w:val="single" w:color="auto"/>
        </w:rPr>
        <w:t>（采购单位）</w:t>
      </w:r>
      <w:r>
        <w:rPr>
          <w:rFonts w:ascii="宋体" w:hAnsi="宋体" w:eastAsia="宋体" w:cs="宋体"/>
          <w:color w:val="auto"/>
          <w:spacing w:val="-2"/>
          <w:sz w:val="20"/>
          <w:szCs w:val="20"/>
          <w:highlight w:val="none"/>
        </w:rPr>
        <w:t>的</w:t>
      </w:r>
      <w:r>
        <w:rPr>
          <w:rFonts w:ascii="宋体" w:hAnsi="宋体" w:eastAsia="宋体" w:cs="宋体"/>
          <w:color w:val="auto"/>
          <w:spacing w:val="-2"/>
          <w:sz w:val="20"/>
          <w:szCs w:val="20"/>
          <w:highlight w:val="none"/>
          <w:u w:val="single" w:color="auto"/>
        </w:rPr>
        <w:t>*************工程</w:t>
      </w:r>
      <w:r>
        <w:rPr>
          <w:rFonts w:ascii="宋体" w:hAnsi="宋体" w:eastAsia="宋体" w:cs="宋体"/>
          <w:color w:val="auto"/>
          <w:spacing w:val="-2"/>
          <w:sz w:val="20"/>
          <w:szCs w:val="20"/>
          <w:highlight w:val="none"/>
        </w:rPr>
        <w:t>采购活动，工程的施工</w:t>
      </w:r>
      <w:r>
        <w:rPr>
          <w:rFonts w:ascii="宋体" w:hAnsi="宋体" w:eastAsia="宋体" w:cs="宋体"/>
          <w:color w:val="auto"/>
          <w:sz w:val="20"/>
          <w:szCs w:val="20"/>
          <w:highlight w:val="none"/>
        </w:rPr>
        <w:t xml:space="preserve"> </w:t>
      </w:r>
      <w:r>
        <w:rPr>
          <w:rFonts w:ascii="宋体" w:hAnsi="宋体" w:eastAsia="宋体" w:cs="宋体"/>
          <w:color w:val="auto"/>
          <w:spacing w:val="3"/>
          <w:sz w:val="20"/>
          <w:szCs w:val="20"/>
          <w:highlight w:val="none"/>
        </w:rPr>
        <w:t>单位全部为符合政策要求的小微企业（或者：服务全部由符合政策要求的小微企业承</w:t>
      </w:r>
      <w:r>
        <w:rPr>
          <w:rFonts w:ascii="宋体" w:hAnsi="宋体" w:eastAsia="宋体" w:cs="宋体"/>
          <w:color w:val="auto"/>
          <w:spacing w:val="13"/>
          <w:sz w:val="20"/>
          <w:szCs w:val="20"/>
          <w:highlight w:val="none"/>
        </w:rPr>
        <w:t xml:space="preserve"> </w:t>
      </w:r>
      <w:r>
        <w:rPr>
          <w:rFonts w:ascii="宋体" w:hAnsi="宋体" w:eastAsia="宋体" w:cs="宋体"/>
          <w:color w:val="auto"/>
          <w:spacing w:val="-3"/>
          <w:sz w:val="20"/>
          <w:szCs w:val="20"/>
          <w:highlight w:val="none"/>
        </w:rPr>
        <w:t>接）。相关企业（含联合体中的小微企业、签订分包意向协议的小微企业）的具体情况</w:t>
      </w:r>
      <w:r>
        <w:rPr>
          <w:rFonts w:ascii="宋体" w:hAnsi="宋体" w:eastAsia="宋体" w:cs="宋体"/>
          <w:color w:val="auto"/>
          <w:sz w:val="20"/>
          <w:szCs w:val="20"/>
          <w:highlight w:val="none"/>
        </w:rPr>
        <w:t xml:space="preserve"> </w:t>
      </w:r>
      <w:r>
        <w:rPr>
          <w:rFonts w:ascii="宋体" w:hAnsi="宋体" w:eastAsia="宋体" w:cs="宋体"/>
          <w:color w:val="auto"/>
          <w:spacing w:val="-3"/>
          <w:sz w:val="20"/>
          <w:szCs w:val="20"/>
          <w:highlight w:val="none"/>
        </w:rPr>
        <w:t>如下：</w:t>
      </w:r>
    </w:p>
    <w:p w14:paraId="699CEB04">
      <w:pPr>
        <w:tabs>
          <w:tab w:val="left" w:pos="136"/>
        </w:tabs>
        <w:spacing w:line="328" w:lineRule="auto"/>
        <w:ind w:firstLine="682"/>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1.</w:t>
      </w:r>
      <w:r>
        <w:rPr>
          <w:rFonts w:ascii="宋体" w:hAnsi="宋体" w:eastAsia="宋体" w:cs="宋体"/>
          <w:color w:val="auto"/>
          <w:spacing w:val="-3"/>
          <w:sz w:val="20"/>
          <w:szCs w:val="20"/>
          <w:highlight w:val="none"/>
          <w:u w:val="single" w:color="auto"/>
        </w:rPr>
        <w:t>（标的名称）</w:t>
      </w:r>
      <w:r>
        <w:rPr>
          <w:rFonts w:ascii="宋体" w:hAnsi="宋体" w:eastAsia="宋体" w:cs="宋体"/>
          <w:color w:val="auto"/>
          <w:spacing w:val="-3"/>
          <w:sz w:val="20"/>
          <w:szCs w:val="20"/>
          <w:highlight w:val="none"/>
        </w:rPr>
        <w:t>，属于</w:t>
      </w:r>
      <w:r>
        <w:rPr>
          <w:rFonts w:ascii="宋体" w:hAnsi="宋体" w:eastAsia="宋体" w:cs="宋体"/>
          <w:color w:val="auto"/>
          <w:spacing w:val="-3"/>
          <w:sz w:val="20"/>
          <w:szCs w:val="20"/>
          <w:highlight w:val="none"/>
          <w:u w:val="single" w:color="auto"/>
        </w:rPr>
        <w:t>（采购文件中明确的所属行业）</w:t>
      </w:r>
      <w:r>
        <w:rPr>
          <w:rFonts w:ascii="宋体" w:hAnsi="宋体" w:eastAsia="宋体" w:cs="宋体"/>
          <w:color w:val="auto"/>
          <w:spacing w:val="-3"/>
          <w:sz w:val="20"/>
          <w:szCs w:val="20"/>
          <w:highlight w:val="none"/>
        </w:rPr>
        <w:t>行业；承建（承接）企业为</w:t>
      </w:r>
      <w:r>
        <w:rPr>
          <w:rFonts w:ascii="宋体" w:hAnsi="宋体" w:eastAsia="宋体" w:cs="宋体"/>
          <w:color w:val="auto"/>
          <w:spacing w:val="1"/>
          <w:sz w:val="20"/>
          <w:szCs w:val="20"/>
          <w:highlight w:val="none"/>
        </w:rPr>
        <w:t xml:space="preserve"> </w:t>
      </w:r>
      <w:r>
        <w:rPr>
          <w:rFonts w:ascii="宋体" w:hAnsi="宋体" w:eastAsia="宋体" w:cs="宋体"/>
          <w:color w:val="auto"/>
          <w:sz w:val="20"/>
          <w:szCs w:val="20"/>
          <w:highlight w:val="none"/>
          <w:u w:val="single" w:color="auto"/>
        </w:rPr>
        <w:tab/>
      </w:r>
      <w:r>
        <w:rPr>
          <w:rFonts w:ascii="宋体" w:hAnsi="宋体" w:eastAsia="宋体" w:cs="宋体"/>
          <w:color w:val="auto"/>
          <w:spacing w:val="-6"/>
          <w:sz w:val="20"/>
          <w:szCs w:val="20"/>
          <w:highlight w:val="none"/>
          <w:u w:val="single" w:color="auto"/>
        </w:rPr>
        <w:t>（企业名称</w:t>
      </w:r>
      <w:r>
        <w:rPr>
          <w:rFonts w:ascii="宋体" w:hAnsi="宋体" w:eastAsia="宋体" w:cs="宋体"/>
          <w:color w:val="auto"/>
          <w:spacing w:val="17"/>
          <w:sz w:val="20"/>
          <w:szCs w:val="20"/>
          <w:highlight w:val="none"/>
          <w:u w:val="single" w:color="auto"/>
        </w:rPr>
        <w:t>）</w:t>
      </w:r>
      <w:r>
        <w:rPr>
          <w:rFonts w:ascii="宋体" w:hAnsi="宋体" w:eastAsia="宋体" w:cs="宋体"/>
          <w:color w:val="auto"/>
          <w:spacing w:val="17"/>
          <w:sz w:val="20"/>
          <w:szCs w:val="20"/>
          <w:highlight w:val="none"/>
        </w:rPr>
        <w:t>，</w:t>
      </w:r>
      <w:r>
        <w:rPr>
          <w:rFonts w:ascii="宋体" w:hAnsi="宋体" w:eastAsia="宋体" w:cs="宋体"/>
          <w:color w:val="auto"/>
          <w:spacing w:val="-6"/>
          <w:sz w:val="20"/>
          <w:szCs w:val="20"/>
          <w:highlight w:val="none"/>
        </w:rPr>
        <w:t>从业人员</w:t>
      </w:r>
      <w:r>
        <w:rPr>
          <w:rFonts w:ascii="宋体" w:hAnsi="宋体" w:eastAsia="宋体" w:cs="宋体"/>
          <w:color w:val="auto"/>
          <w:spacing w:val="-118"/>
          <w:sz w:val="20"/>
          <w:szCs w:val="20"/>
          <w:highlight w:val="none"/>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108"/>
          <w:sz w:val="20"/>
          <w:szCs w:val="20"/>
          <w:highlight w:val="none"/>
        </w:rPr>
        <w:t xml:space="preserve"> </w:t>
      </w:r>
      <w:r>
        <w:rPr>
          <w:rFonts w:ascii="宋体" w:hAnsi="宋体" w:eastAsia="宋体" w:cs="宋体"/>
          <w:color w:val="auto"/>
          <w:spacing w:val="-6"/>
          <w:sz w:val="20"/>
          <w:szCs w:val="20"/>
          <w:highlight w:val="none"/>
        </w:rPr>
        <w:t>人，营业收入为</w:t>
      </w:r>
      <w:r>
        <w:rPr>
          <w:rFonts w:ascii="宋体" w:hAnsi="宋体" w:eastAsia="宋体" w:cs="宋体"/>
          <w:color w:val="auto"/>
          <w:spacing w:val="-119"/>
          <w:sz w:val="20"/>
          <w:szCs w:val="20"/>
          <w:highlight w:val="none"/>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104"/>
          <w:sz w:val="20"/>
          <w:szCs w:val="20"/>
          <w:highlight w:val="none"/>
        </w:rPr>
        <w:t xml:space="preserve"> </w:t>
      </w:r>
      <w:r>
        <w:rPr>
          <w:rFonts w:ascii="宋体" w:hAnsi="宋体" w:eastAsia="宋体" w:cs="宋体"/>
          <w:color w:val="auto"/>
          <w:spacing w:val="-6"/>
          <w:sz w:val="20"/>
          <w:szCs w:val="20"/>
          <w:highlight w:val="none"/>
        </w:rPr>
        <w:t>万元，资产总额为</w:t>
      </w:r>
      <w:r>
        <w:rPr>
          <w:rFonts w:ascii="宋体" w:hAnsi="宋体" w:eastAsia="宋体" w:cs="宋体"/>
          <w:color w:val="auto"/>
          <w:spacing w:val="-118"/>
          <w:sz w:val="20"/>
          <w:szCs w:val="20"/>
          <w:highlight w:val="none"/>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104"/>
          <w:sz w:val="20"/>
          <w:szCs w:val="20"/>
          <w:highlight w:val="none"/>
        </w:rPr>
        <w:t xml:space="preserve"> </w:t>
      </w:r>
      <w:r>
        <w:rPr>
          <w:rFonts w:ascii="宋体" w:hAnsi="宋体" w:eastAsia="宋体" w:cs="宋体"/>
          <w:color w:val="auto"/>
          <w:spacing w:val="-6"/>
          <w:sz w:val="20"/>
          <w:szCs w:val="20"/>
          <w:highlight w:val="none"/>
        </w:rPr>
        <w:t>万元，</w:t>
      </w:r>
      <w:r>
        <w:rPr>
          <w:rFonts w:ascii="宋体" w:hAnsi="宋体" w:eastAsia="宋体" w:cs="宋体"/>
          <w:color w:val="auto"/>
          <w:sz w:val="20"/>
          <w:szCs w:val="20"/>
          <w:highlight w:val="none"/>
        </w:rPr>
        <w:t xml:space="preserve"> 属于</w:t>
      </w:r>
      <w:r>
        <w:rPr>
          <w:rFonts w:ascii="宋体" w:hAnsi="宋体" w:eastAsia="宋体" w:cs="宋体"/>
          <w:color w:val="auto"/>
          <w:sz w:val="20"/>
          <w:szCs w:val="20"/>
          <w:highlight w:val="none"/>
          <w:u w:val="single" w:color="auto"/>
        </w:rPr>
        <w:t>（中型企业、小型企业、微型企业）</w:t>
      </w:r>
      <w:r>
        <w:rPr>
          <w:rFonts w:ascii="宋体" w:hAnsi="宋体" w:eastAsia="宋体" w:cs="宋体"/>
          <w:color w:val="auto"/>
          <w:sz w:val="20"/>
          <w:szCs w:val="20"/>
          <w:highlight w:val="none"/>
        </w:rPr>
        <w:t>；</w:t>
      </w:r>
    </w:p>
    <w:p w14:paraId="7B1EECFA">
      <w:pPr>
        <w:tabs>
          <w:tab w:val="left" w:pos="136"/>
        </w:tabs>
        <w:spacing w:before="208" w:line="328" w:lineRule="auto"/>
        <w:ind w:firstLine="668"/>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2.</w:t>
      </w:r>
      <w:r>
        <w:rPr>
          <w:rFonts w:ascii="宋体" w:hAnsi="宋体" w:eastAsia="宋体" w:cs="宋体"/>
          <w:color w:val="auto"/>
          <w:spacing w:val="-3"/>
          <w:sz w:val="20"/>
          <w:szCs w:val="20"/>
          <w:highlight w:val="none"/>
          <w:u w:val="single" w:color="auto"/>
        </w:rPr>
        <w:t>（标的名称</w:t>
      </w:r>
      <w:r>
        <w:rPr>
          <w:rFonts w:ascii="宋体" w:hAnsi="宋体" w:eastAsia="宋体" w:cs="宋体"/>
          <w:color w:val="auto"/>
          <w:spacing w:val="5"/>
          <w:sz w:val="20"/>
          <w:szCs w:val="20"/>
          <w:highlight w:val="none"/>
          <w:u w:val="single" w:color="auto"/>
        </w:rPr>
        <w:t>）</w:t>
      </w:r>
      <w:r>
        <w:rPr>
          <w:rFonts w:ascii="宋体" w:hAnsi="宋体" w:eastAsia="宋体" w:cs="宋体"/>
          <w:color w:val="auto"/>
          <w:spacing w:val="5"/>
          <w:sz w:val="20"/>
          <w:szCs w:val="20"/>
          <w:highlight w:val="none"/>
        </w:rPr>
        <w:t>，</w:t>
      </w:r>
      <w:r>
        <w:rPr>
          <w:rFonts w:ascii="宋体" w:hAnsi="宋体" w:eastAsia="宋体" w:cs="宋体"/>
          <w:color w:val="auto"/>
          <w:spacing w:val="-3"/>
          <w:sz w:val="20"/>
          <w:szCs w:val="20"/>
          <w:highlight w:val="none"/>
        </w:rPr>
        <w:t>属于</w:t>
      </w:r>
      <w:r>
        <w:rPr>
          <w:rFonts w:ascii="宋体" w:hAnsi="宋体" w:eastAsia="宋体" w:cs="宋体"/>
          <w:color w:val="auto"/>
          <w:spacing w:val="-3"/>
          <w:sz w:val="20"/>
          <w:szCs w:val="20"/>
          <w:highlight w:val="none"/>
          <w:u w:val="single" w:color="auto"/>
        </w:rPr>
        <w:t>（采购文件中明确的所属行业）</w:t>
      </w:r>
      <w:r>
        <w:rPr>
          <w:rFonts w:ascii="宋体" w:hAnsi="宋体" w:eastAsia="宋体" w:cs="宋体"/>
          <w:color w:val="auto"/>
          <w:spacing w:val="-3"/>
          <w:sz w:val="20"/>
          <w:szCs w:val="20"/>
          <w:highlight w:val="none"/>
        </w:rPr>
        <w:t>行业；承建（承接）企业为</w:t>
      </w:r>
      <w:r>
        <w:rPr>
          <w:rFonts w:ascii="宋体" w:hAnsi="宋体" w:eastAsia="宋体" w:cs="宋体"/>
          <w:color w:val="auto"/>
          <w:sz w:val="20"/>
          <w:szCs w:val="20"/>
          <w:highlight w:val="none"/>
        </w:rPr>
        <w:t xml:space="preserve"> </w:t>
      </w:r>
      <w:r>
        <w:rPr>
          <w:rFonts w:ascii="宋体" w:hAnsi="宋体" w:eastAsia="宋体" w:cs="宋体"/>
          <w:color w:val="auto"/>
          <w:sz w:val="20"/>
          <w:szCs w:val="20"/>
          <w:highlight w:val="none"/>
          <w:u w:val="single" w:color="auto"/>
        </w:rPr>
        <w:tab/>
      </w:r>
      <w:r>
        <w:rPr>
          <w:rFonts w:ascii="宋体" w:hAnsi="宋体" w:eastAsia="宋体" w:cs="宋体"/>
          <w:color w:val="auto"/>
          <w:spacing w:val="-6"/>
          <w:sz w:val="20"/>
          <w:szCs w:val="20"/>
          <w:highlight w:val="none"/>
          <w:u w:val="single" w:color="auto"/>
        </w:rPr>
        <w:t>（企业名称</w:t>
      </w:r>
      <w:r>
        <w:rPr>
          <w:rFonts w:ascii="宋体" w:hAnsi="宋体" w:eastAsia="宋体" w:cs="宋体"/>
          <w:color w:val="auto"/>
          <w:spacing w:val="17"/>
          <w:sz w:val="20"/>
          <w:szCs w:val="20"/>
          <w:highlight w:val="none"/>
          <w:u w:val="single" w:color="auto"/>
        </w:rPr>
        <w:t>）</w:t>
      </w:r>
      <w:r>
        <w:rPr>
          <w:rFonts w:ascii="宋体" w:hAnsi="宋体" w:eastAsia="宋体" w:cs="宋体"/>
          <w:color w:val="auto"/>
          <w:spacing w:val="17"/>
          <w:sz w:val="20"/>
          <w:szCs w:val="20"/>
          <w:highlight w:val="none"/>
        </w:rPr>
        <w:t>，</w:t>
      </w:r>
      <w:r>
        <w:rPr>
          <w:rFonts w:ascii="宋体" w:hAnsi="宋体" w:eastAsia="宋体" w:cs="宋体"/>
          <w:color w:val="auto"/>
          <w:spacing w:val="-6"/>
          <w:sz w:val="20"/>
          <w:szCs w:val="20"/>
          <w:highlight w:val="none"/>
        </w:rPr>
        <w:t>从业人员</w:t>
      </w:r>
      <w:r>
        <w:rPr>
          <w:rFonts w:ascii="宋体" w:hAnsi="宋体" w:eastAsia="宋体" w:cs="宋体"/>
          <w:color w:val="auto"/>
          <w:spacing w:val="-118"/>
          <w:sz w:val="20"/>
          <w:szCs w:val="20"/>
          <w:highlight w:val="none"/>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108"/>
          <w:sz w:val="20"/>
          <w:szCs w:val="20"/>
          <w:highlight w:val="none"/>
        </w:rPr>
        <w:t xml:space="preserve"> </w:t>
      </w:r>
      <w:r>
        <w:rPr>
          <w:rFonts w:ascii="宋体" w:hAnsi="宋体" w:eastAsia="宋体" w:cs="宋体"/>
          <w:color w:val="auto"/>
          <w:spacing w:val="-6"/>
          <w:sz w:val="20"/>
          <w:szCs w:val="20"/>
          <w:highlight w:val="none"/>
        </w:rPr>
        <w:t>人，营业收入为</w:t>
      </w:r>
      <w:r>
        <w:rPr>
          <w:rFonts w:ascii="宋体" w:hAnsi="宋体" w:eastAsia="宋体" w:cs="宋体"/>
          <w:color w:val="auto"/>
          <w:spacing w:val="-119"/>
          <w:sz w:val="20"/>
          <w:szCs w:val="20"/>
          <w:highlight w:val="none"/>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104"/>
          <w:sz w:val="20"/>
          <w:szCs w:val="20"/>
          <w:highlight w:val="none"/>
        </w:rPr>
        <w:t xml:space="preserve"> </w:t>
      </w:r>
      <w:r>
        <w:rPr>
          <w:rFonts w:ascii="宋体" w:hAnsi="宋体" w:eastAsia="宋体" w:cs="宋体"/>
          <w:color w:val="auto"/>
          <w:spacing w:val="-6"/>
          <w:sz w:val="20"/>
          <w:szCs w:val="20"/>
          <w:highlight w:val="none"/>
        </w:rPr>
        <w:t>万元，资产总额为</w:t>
      </w:r>
      <w:r>
        <w:rPr>
          <w:rFonts w:ascii="宋体" w:hAnsi="宋体" w:eastAsia="宋体" w:cs="宋体"/>
          <w:color w:val="auto"/>
          <w:spacing w:val="-118"/>
          <w:sz w:val="20"/>
          <w:szCs w:val="20"/>
          <w:highlight w:val="none"/>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104"/>
          <w:sz w:val="20"/>
          <w:szCs w:val="20"/>
          <w:highlight w:val="none"/>
        </w:rPr>
        <w:t xml:space="preserve"> </w:t>
      </w:r>
      <w:r>
        <w:rPr>
          <w:rFonts w:ascii="宋体" w:hAnsi="宋体" w:eastAsia="宋体" w:cs="宋体"/>
          <w:color w:val="auto"/>
          <w:spacing w:val="-6"/>
          <w:sz w:val="20"/>
          <w:szCs w:val="20"/>
          <w:highlight w:val="none"/>
        </w:rPr>
        <w:t>万元，</w:t>
      </w:r>
      <w:r>
        <w:rPr>
          <w:rFonts w:ascii="宋体" w:hAnsi="宋体" w:eastAsia="宋体" w:cs="宋体"/>
          <w:color w:val="auto"/>
          <w:sz w:val="20"/>
          <w:szCs w:val="20"/>
          <w:highlight w:val="none"/>
        </w:rPr>
        <w:t xml:space="preserve"> 属于</w:t>
      </w:r>
      <w:r>
        <w:rPr>
          <w:rFonts w:ascii="宋体" w:hAnsi="宋体" w:eastAsia="宋体" w:cs="宋体"/>
          <w:color w:val="auto"/>
          <w:sz w:val="20"/>
          <w:szCs w:val="20"/>
          <w:highlight w:val="none"/>
          <w:u w:val="single" w:color="auto"/>
        </w:rPr>
        <w:t>（中型企业、小型企业、微型企业）</w:t>
      </w:r>
      <w:r>
        <w:rPr>
          <w:rFonts w:ascii="宋体" w:hAnsi="宋体" w:eastAsia="宋体" w:cs="宋体"/>
          <w:color w:val="auto"/>
          <w:sz w:val="20"/>
          <w:szCs w:val="20"/>
          <w:highlight w:val="none"/>
        </w:rPr>
        <w:t>；</w:t>
      </w:r>
    </w:p>
    <w:p w14:paraId="600203B7">
      <w:pPr>
        <w:spacing w:before="210" w:line="379" w:lineRule="exact"/>
        <w:ind w:left="591"/>
        <w:rPr>
          <w:rFonts w:ascii="宋体" w:hAnsi="宋体" w:eastAsia="宋体" w:cs="宋体"/>
          <w:color w:val="auto"/>
          <w:sz w:val="20"/>
          <w:szCs w:val="20"/>
          <w:highlight w:val="none"/>
        </w:rPr>
      </w:pPr>
      <w:r>
        <w:rPr>
          <w:rFonts w:ascii="宋体" w:hAnsi="宋体" w:eastAsia="宋体" w:cs="宋体"/>
          <w:color w:val="auto"/>
          <w:spacing w:val="-13"/>
          <w:position w:val="3"/>
          <w:sz w:val="20"/>
          <w:szCs w:val="20"/>
          <w:highlight w:val="none"/>
        </w:rPr>
        <w:t>……</w:t>
      </w:r>
    </w:p>
    <w:p w14:paraId="7CFAEE2C">
      <w:pPr>
        <w:spacing w:before="118" w:line="382" w:lineRule="auto"/>
        <w:ind w:left="33" w:right="199" w:firstLine="478"/>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以上企业，不属于大企业的分支机构，不存在控股股东为大企业的情形，也不存在</w:t>
      </w:r>
      <w:r>
        <w:rPr>
          <w:rFonts w:ascii="宋体" w:hAnsi="宋体" w:eastAsia="宋体" w:cs="宋体"/>
          <w:color w:val="auto"/>
          <w:spacing w:val="5"/>
          <w:sz w:val="20"/>
          <w:szCs w:val="20"/>
          <w:highlight w:val="none"/>
        </w:rPr>
        <w:t xml:space="preserve"> </w:t>
      </w:r>
      <w:r>
        <w:rPr>
          <w:rFonts w:ascii="宋体" w:hAnsi="宋体" w:eastAsia="宋体" w:cs="宋体"/>
          <w:color w:val="auto"/>
          <w:spacing w:val="-1"/>
          <w:sz w:val="20"/>
          <w:szCs w:val="20"/>
          <w:highlight w:val="none"/>
        </w:rPr>
        <w:t>与大企业的负责人为同一人的情形。</w:t>
      </w:r>
    </w:p>
    <w:p w14:paraId="674564F2">
      <w:pPr>
        <w:spacing w:before="1" w:line="219" w:lineRule="auto"/>
        <w:ind w:left="577"/>
        <w:rPr>
          <w:rFonts w:ascii="宋体" w:hAnsi="宋体" w:eastAsia="宋体" w:cs="宋体"/>
          <w:color w:val="auto"/>
          <w:sz w:val="20"/>
          <w:szCs w:val="20"/>
          <w:highlight w:val="none"/>
        </w:rPr>
      </w:pPr>
      <w:r>
        <w:rPr>
          <w:rFonts w:ascii="宋体" w:hAnsi="宋体" w:eastAsia="宋体" w:cs="宋体"/>
          <w:color w:val="auto"/>
          <w:sz w:val="20"/>
          <w:szCs w:val="20"/>
          <w:highlight w:val="none"/>
        </w:rPr>
        <w:t>本企业对上述声明内容的真实性负责。如有虚</w:t>
      </w:r>
      <w:r>
        <w:rPr>
          <w:rFonts w:ascii="宋体" w:hAnsi="宋体" w:eastAsia="宋体" w:cs="宋体"/>
          <w:color w:val="auto"/>
          <w:spacing w:val="-1"/>
          <w:sz w:val="20"/>
          <w:szCs w:val="20"/>
          <w:highlight w:val="none"/>
        </w:rPr>
        <w:t>假，将依法承担相应责任。</w:t>
      </w:r>
    </w:p>
    <w:p w14:paraId="288CC1A7">
      <w:pPr>
        <w:pStyle w:val="6"/>
        <w:spacing w:line="313" w:lineRule="auto"/>
        <w:rPr>
          <w:color w:val="auto"/>
          <w:sz w:val="20"/>
          <w:szCs w:val="20"/>
          <w:highlight w:val="none"/>
        </w:rPr>
      </w:pPr>
    </w:p>
    <w:p w14:paraId="2AD93A0C">
      <w:pPr>
        <w:pStyle w:val="6"/>
        <w:spacing w:line="314" w:lineRule="auto"/>
        <w:rPr>
          <w:color w:val="auto"/>
          <w:sz w:val="20"/>
          <w:szCs w:val="20"/>
          <w:highlight w:val="none"/>
        </w:rPr>
      </w:pPr>
    </w:p>
    <w:p w14:paraId="39D89F14">
      <w:pPr>
        <w:spacing w:before="78" w:line="219" w:lineRule="auto"/>
        <w:ind w:left="4529"/>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21624741">
      <w:pPr>
        <w:spacing w:before="209" w:line="220" w:lineRule="auto"/>
        <w:ind w:right="6"/>
        <w:jc w:val="right"/>
        <w:rPr>
          <w:rFonts w:ascii="宋体" w:hAnsi="宋体" w:eastAsia="宋体" w:cs="宋体"/>
          <w:color w:val="auto"/>
          <w:sz w:val="20"/>
          <w:szCs w:val="20"/>
          <w:highlight w:val="none"/>
        </w:rPr>
      </w:pPr>
      <w:r>
        <w:rPr>
          <w:rFonts w:ascii="宋体" w:hAnsi="宋体" w:eastAsia="宋体" w:cs="宋体"/>
          <w:color w:val="auto"/>
          <w:spacing w:val="-13"/>
          <w:sz w:val="20"/>
          <w:szCs w:val="20"/>
          <w:highlight w:val="none"/>
        </w:rPr>
        <w:t>日期：</w:t>
      </w:r>
      <w:r>
        <w:rPr>
          <w:rFonts w:ascii="宋体" w:hAnsi="宋体" w:eastAsia="宋体" w:cs="宋体"/>
          <w:color w:val="auto"/>
          <w:spacing w:val="102"/>
          <w:sz w:val="20"/>
          <w:szCs w:val="20"/>
          <w:highlight w:val="none"/>
        </w:rPr>
        <w:t xml:space="preserve"> </w:t>
      </w:r>
      <w:r>
        <w:rPr>
          <w:rFonts w:ascii="宋体" w:hAnsi="宋体" w:eastAsia="宋体" w:cs="宋体"/>
          <w:color w:val="auto"/>
          <w:spacing w:val="-13"/>
          <w:sz w:val="20"/>
          <w:szCs w:val="20"/>
          <w:highlight w:val="none"/>
        </w:rPr>
        <w:t>年</w:t>
      </w:r>
      <w:r>
        <w:rPr>
          <w:rFonts w:ascii="宋体" w:hAnsi="宋体" w:eastAsia="宋体" w:cs="宋体"/>
          <w:color w:val="auto"/>
          <w:spacing w:val="7"/>
          <w:sz w:val="20"/>
          <w:szCs w:val="20"/>
          <w:highlight w:val="none"/>
        </w:rPr>
        <w:t xml:space="preserve">  </w:t>
      </w:r>
      <w:r>
        <w:rPr>
          <w:rFonts w:ascii="宋体" w:hAnsi="宋体" w:eastAsia="宋体" w:cs="宋体"/>
          <w:color w:val="auto"/>
          <w:spacing w:val="-13"/>
          <w:sz w:val="20"/>
          <w:szCs w:val="20"/>
          <w:highlight w:val="none"/>
        </w:rPr>
        <w:t>月</w:t>
      </w:r>
      <w:r>
        <w:rPr>
          <w:rFonts w:ascii="宋体" w:hAnsi="宋体" w:eastAsia="宋体" w:cs="宋体"/>
          <w:color w:val="auto"/>
          <w:spacing w:val="17"/>
          <w:sz w:val="20"/>
          <w:szCs w:val="20"/>
          <w:highlight w:val="none"/>
        </w:rPr>
        <w:t xml:space="preserve">   </w:t>
      </w:r>
      <w:r>
        <w:rPr>
          <w:rFonts w:ascii="宋体" w:hAnsi="宋体" w:eastAsia="宋体" w:cs="宋体"/>
          <w:color w:val="auto"/>
          <w:spacing w:val="-13"/>
          <w:sz w:val="20"/>
          <w:szCs w:val="20"/>
          <w:highlight w:val="none"/>
        </w:rPr>
        <w:t>日</w:t>
      </w:r>
    </w:p>
    <w:p w14:paraId="23C5E451">
      <w:pPr>
        <w:pStyle w:val="6"/>
        <w:spacing w:line="313" w:lineRule="auto"/>
        <w:rPr>
          <w:color w:val="auto"/>
          <w:sz w:val="20"/>
          <w:szCs w:val="20"/>
          <w:highlight w:val="none"/>
        </w:rPr>
      </w:pPr>
    </w:p>
    <w:p w14:paraId="6D0B7518">
      <w:pPr>
        <w:pStyle w:val="6"/>
        <w:spacing w:line="313" w:lineRule="auto"/>
        <w:rPr>
          <w:color w:val="auto"/>
          <w:sz w:val="20"/>
          <w:szCs w:val="20"/>
          <w:highlight w:val="none"/>
        </w:rPr>
      </w:pPr>
    </w:p>
    <w:p w14:paraId="1FE1D80E">
      <w:pPr>
        <w:spacing w:before="79" w:line="383" w:lineRule="auto"/>
        <w:ind w:left="435" w:right="88" w:hanging="1"/>
        <w:jc w:val="both"/>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注：享受《政府采购促进中小企业发展管理办法》（财库〔2020〕46</w:t>
      </w:r>
      <w:r>
        <w:rPr>
          <w:rFonts w:ascii="宋体" w:hAnsi="宋体" w:eastAsia="宋体" w:cs="宋体"/>
          <w:color w:val="auto"/>
          <w:spacing w:val="-32"/>
          <w:sz w:val="20"/>
          <w:szCs w:val="20"/>
          <w:highlight w:val="none"/>
        </w:rPr>
        <w:t xml:space="preserve"> </w:t>
      </w:r>
      <w:r>
        <w:rPr>
          <w:rFonts w:ascii="宋体" w:hAnsi="宋体" w:eastAsia="宋体" w:cs="宋体"/>
          <w:color w:val="auto"/>
          <w:spacing w:val="-1"/>
          <w:sz w:val="20"/>
          <w:szCs w:val="20"/>
          <w:highlight w:val="none"/>
        </w:rPr>
        <w:t>号）规定的中</w:t>
      </w:r>
      <w:r>
        <w:rPr>
          <w:rFonts w:ascii="宋体" w:hAnsi="宋体" w:eastAsia="宋体" w:cs="宋体"/>
          <w:color w:val="auto"/>
          <w:sz w:val="20"/>
          <w:szCs w:val="20"/>
          <w:highlight w:val="none"/>
        </w:rPr>
        <w:t xml:space="preserve"> 小企业扶持政策的，采购人、采购代理机构应当随成</w:t>
      </w:r>
      <w:r>
        <w:rPr>
          <w:rFonts w:ascii="宋体" w:hAnsi="宋体" w:eastAsia="宋体" w:cs="宋体"/>
          <w:color w:val="auto"/>
          <w:spacing w:val="-1"/>
          <w:sz w:val="20"/>
          <w:szCs w:val="20"/>
          <w:highlight w:val="none"/>
        </w:rPr>
        <w:t>交结果公开成交供应商的《中</w:t>
      </w:r>
      <w:r>
        <w:rPr>
          <w:rFonts w:ascii="宋体" w:hAnsi="宋体" w:eastAsia="宋体" w:cs="宋体"/>
          <w:color w:val="auto"/>
          <w:sz w:val="20"/>
          <w:szCs w:val="20"/>
          <w:highlight w:val="none"/>
        </w:rPr>
        <w:t xml:space="preserve"> 小企业声明函》。从业人员、营业收入、资产总额填</w:t>
      </w:r>
      <w:r>
        <w:rPr>
          <w:rFonts w:ascii="宋体" w:hAnsi="宋体" w:eastAsia="宋体" w:cs="宋体"/>
          <w:color w:val="auto"/>
          <w:spacing w:val="-1"/>
          <w:sz w:val="20"/>
          <w:szCs w:val="20"/>
          <w:highlight w:val="none"/>
        </w:rPr>
        <w:t>报上一年度数据，无上一年度</w:t>
      </w:r>
      <w:r>
        <w:rPr>
          <w:rFonts w:ascii="宋体" w:hAnsi="宋体" w:eastAsia="宋体" w:cs="宋体"/>
          <w:color w:val="auto"/>
          <w:sz w:val="20"/>
          <w:szCs w:val="20"/>
          <w:highlight w:val="none"/>
        </w:rPr>
        <w:t xml:space="preserve"> </w:t>
      </w:r>
      <w:r>
        <w:rPr>
          <w:rFonts w:ascii="宋体" w:hAnsi="宋体" w:eastAsia="宋体" w:cs="宋体"/>
          <w:color w:val="auto"/>
          <w:spacing w:val="-1"/>
          <w:sz w:val="20"/>
          <w:szCs w:val="20"/>
          <w:highlight w:val="none"/>
        </w:rPr>
        <w:t>数据的新成立企业可不填报。</w:t>
      </w:r>
    </w:p>
    <w:p w14:paraId="1AB3F76C">
      <w:pPr>
        <w:spacing w:line="383" w:lineRule="auto"/>
        <w:rPr>
          <w:rFonts w:ascii="宋体" w:hAnsi="宋体" w:eastAsia="宋体" w:cs="宋体"/>
          <w:color w:val="auto"/>
          <w:sz w:val="24"/>
          <w:szCs w:val="24"/>
          <w:highlight w:val="none"/>
        </w:rPr>
        <w:sectPr>
          <w:footerReference r:id="rId75" w:type="default"/>
          <w:pgSz w:w="11905" w:h="16839"/>
          <w:pgMar w:top="400" w:right="1529" w:bottom="909" w:left="1160" w:header="0" w:footer="673" w:gutter="0"/>
          <w:pgNumType w:fmt="decimal"/>
          <w:cols w:space="720" w:num="1"/>
        </w:sectPr>
      </w:pPr>
    </w:p>
    <w:p w14:paraId="4FD30A2E">
      <w:pPr>
        <w:pStyle w:val="6"/>
        <w:spacing w:line="263" w:lineRule="auto"/>
        <w:rPr>
          <w:color w:val="auto"/>
          <w:highlight w:val="none"/>
        </w:rPr>
      </w:pPr>
    </w:p>
    <w:p w14:paraId="1FCE1409">
      <w:pPr>
        <w:pStyle w:val="6"/>
        <w:spacing w:line="264" w:lineRule="auto"/>
        <w:rPr>
          <w:color w:val="auto"/>
          <w:highlight w:val="none"/>
        </w:rPr>
      </w:pPr>
    </w:p>
    <w:p w14:paraId="0A873D26">
      <w:pPr>
        <w:pStyle w:val="6"/>
        <w:spacing w:line="264" w:lineRule="auto"/>
        <w:rPr>
          <w:color w:val="auto"/>
          <w:highlight w:val="none"/>
        </w:rPr>
      </w:pPr>
    </w:p>
    <w:p w14:paraId="4884FC87">
      <w:pPr>
        <w:spacing w:before="97" w:line="220" w:lineRule="auto"/>
        <w:ind w:left="2110"/>
        <w:rPr>
          <w:rFonts w:ascii="宋体" w:hAnsi="宋体" w:eastAsia="宋体" w:cs="宋体"/>
          <w:color w:val="auto"/>
          <w:sz w:val="30"/>
          <w:szCs w:val="30"/>
          <w:highlight w:val="none"/>
        </w:rPr>
      </w:pPr>
      <w:r>
        <w:rPr>
          <w:rFonts w:ascii="宋体" w:hAnsi="宋体" w:eastAsia="宋体" w:cs="宋体"/>
          <w:b/>
          <w:bCs/>
          <w:color w:val="auto"/>
          <w:spacing w:val="-3"/>
          <w:sz w:val="30"/>
          <w:szCs w:val="30"/>
          <w:highlight w:val="none"/>
        </w:rPr>
        <w:t>残疾人福利性单位声明函（格式）</w:t>
      </w:r>
    </w:p>
    <w:p w14:paraId="3F7567F6">
      <w:pPr>
        <w:pStyle w:val="6"/>
        <w:spacing w:line="284" w:lineRule="auto"/>
        <w:rPr>
          <w:color w:val="auto"/>
          <w:highlight w:val="none"/>
        </w:rPr>
      </w:pPr>
    </w:p>
    <w:p w14:paraId="47CB1871">
      <w:pPr>
        <w:pStyle w:val="6"/>
        <w:spacing w:line="284" w:lineRule="auto"/>
        <w:rPr>
          <w:color w:val="auto"/>
          <w:highlight w:val="none"/>
        </w:rPr>
      </w:pPr>
    </w:p>
    <w:p w14:paraId="667AE069">
      <w:pPr>
        <w:spacing w:before="78" w:line="382" w:lineRule="auto"/>
        <w:ind w:firstLine="481"/>
        <w:jc w:val="both"/>
        <w:rPr>
          <w:rFonts w:ascii="宋体" w:hAnsi="宋体" w:eastAsia="宋体" w:cs="宋体"/>
          <w:color w:val="auto"/>
          <w:sz w:val="20"/>
          <w:szCs w:val="20"/>
          <w:highlight w:val="none"/>
        </w:rPr>
      </w:pPr>
      <w:r>
        <w:rPr>
          <w:rFonts w:ascii="宋体" w:hAnsi="宋体" w:eastAsia="宋体" w:cs="宋体"/>
          <w:color w:val="auto"/>
          <w:sz w:val="20"/>
          <w:szCs w:val="20"/>
          <w:highlight w:val="none"/>
        </w:rPr>
        <w:t>本单位郑重声明，根据《财政部</w:t>
      </w:r>
      <w:r>
        <w:rPr>
          <w:rFonts w:ascii="宋体" w:hAnsi="宋体" w:eastAsia="宋体" w:cs="宋体"/>
          <w:color w:val="auto"/>
          <w:spacing w:val="42"/>
          <w:sz w:val="20"/>
          <w:szCs w:val="20"/>
          <w:highlight w:val="none"/>
        </w:rPr>
        <w:t xml:space="preserve"> </w:t>
      </w:r>
      <w:r>
        <w:rPr>
          <w:rFonts w:ascii="宋体" w:hAnsi="宋体" w:eastAsia="宋体" w:cs="宋体"/>
          <w:color w:val="auto"/>
          <w:sz w:val="20"/>
          <w:szCs w:val="20"/>
          <w:highlight w:val="none"/>
        </w:rPr>
        <w:t>民政部</w:t>
      </w:r>
      <w:r>
        <w:rPr>
          <w:rFonts w:ascii="宋体" w:hAnsi="宋体" w:eastAsia="宋体" w:cs="宋体"/>
          <w:color w:val="auto"/>
          <w:spacing w:val="37"/>
          <w:sz w:val="20"/>
          <w:szCs w:val="20"/>
          <w:highlight w:val="none"/>
        </w:rPr>
        <w:t xml:space="preserve"> </w:t>
      </w:r>
      <w:r>
        <w:rPr>
          <w:rFonts w:ascii="宋体" w:hAnsi="宋体" w:eastAsia="宋体" w:cs="宋体"/>
          <w:color w:val="auto"/>
          <w:sz w:val="20"/>
          <w:szCs w:val="20"/>
          <w:highlight w:val="none"/>
        </w:rPr>
        <w:t xml:space="preserve">中国残疾人联合会关于促进残疾人就 </w:t>
      </w:r>
      <w:r>
        <w:rPr>
          <w:rFonts w:ascii="宋体" w:hAnsi="宋体" w:eastAsia="宋体" w:cs="宋体"/>
          <w:color w:val="auto"/>
          <w:spacing w:val="-3"/>
          <w:sz w:val="20"/>
          <w:szCs w:val="20"/>
          <w:highlight w:val="none"/>
        </w:rPr>
        <w:t>业政府采购政策的通知》（财库〔2017〕141</w:t>
      </w:r>
      <w:r>
        <w:rPr>
          <w:rFonts w:ascii="宋体" w:hAnsi="宋体" w:eastAsia="宋体" w:cs="宋体"/>
          <w:color w:val="auto"/>
          <w:spacing w:val="-39"/>
          <w:sz w:val="20"/>
          <w:szCs w:val="20"/>
          <w:highlight w:val="none"/>
        </w:rPr>
        <w:t xml:space="preserve"> </w:t>
      </w:r>
      <w:r>
        <w:rPr>
          <w:rFonts w:ascii="宋体" w:hAnsi="宋体" w:eastAsia="宋体" w:cs="宋体"/>
          <w:color w:val="auto"/>
          <w:spacing w:val="-3"/>
          <w:sz w:val="20"/>
          <w:szCs w:val="20"/>
          <w:highlight w:val="none"/>
        </w:rPr>
        <w:t>号）的规定，本单位为符合条件的残疾</w:t>
      </w:r>
      <w:r>
        <w:rPr>
          <w:rFonts w:ascii="宋体" w:hAnsi="宋体" w:eastAsia="宋体" w:cs="宋体"/>
          <w:color w:val="auto"/>
          <w:sz w:val="20"/>
          <w:szCs w:val="20"/>
          <w:highlight w:val="none"/>
        </w:rPr>
        <w:t xml:space="preserve"> </w:t>
      </w:r>
      <w:r>
        <w:rPr>
          <w:rFonts w:ascii="宋体" w:hAnsi="宋体" w:eastAsia="宋体" w:cs="宋体"/>
          <w:color w:val="auto"/>
          <w:spacing w:val="-1"/>
          <w:sz w:val="20"/>
          <w:szCs w:val="20"/>
          <w:highlight w:val="none"/>
        </w:rPr>
        <w:t>人福利性单位，且本单位参加</w:t>
      </w:r>
      <w:r>
        <w:rPr>
          <w:rFonts w:ascii="宋体" w:hAnsi="宋体" w:eastAsia="宋体" w:cs="宋体"/>
          <w:color w:val="auto"/>
          <w:spacing w:val="-1"/>
          <w:sz w:val="20"/>
          <w:szCs w:val="20"/>
          <w:highlight w:val="none"/>
          <w:u w:val="single" w:color="auto"/>
        </w:rPr>
        <w:t>（采购单位）</w:t>
      </w:r>
      <w:r>
        <w:rPr>
          <w:rFonts w:ascii="宋体" w:hAnsi="宋体" w:eastAsia="宋体" w:cs="宋体"/>
          <w:color w:val="auto"/>
          <w:spacing w:val="-1"/>
          <w:sz w:val="20"/>
          <w:szCs w:val="20"/>
          <w:highlight w:val="none"/>
        </w:rPr>
        <w:t>单位的</w:t>
      </w:r>
      <w:r>
        <w:rPr>
          <w:rFonts w:ascii="宋体" w:hAnsi="宋体" w:eastAsia="宋体" w:cs="宋体"/>
          <w:color w:val="auto"/>
          <w:spacing w:val="-1"/>
          <w:sz w:val="20"/>
          <w:szCs w:val="20"/>
          <w:highlight w:val="none"/>
          <w:u w:val="single" w:color="auto"/>
        </w:rPr>
        <w:t>*************工程</w:t>
      </w:r>
      <w:r>
        <w:rPr>
          <w:rFonts w:ascii="宋体" w:hAnsi="宋体" w:eastAsia="宋体" w:cs="宋体"/>
          <w:color w:val="auto"/>
          <w:spacing w:val="-1"/>
          <w:sz w:val="20"/>
          <w:szCs w:val="20"/>
          <w:highlight w:val="none"/>
        </w:rPr>
        <w:t>采购活动由本</w:t>
      </w:r>
      <w:r>
        <w:rPr>
          <w:rFonts w:ascii="宋体" w:hAnsi="宋体" w:eastAsia="宋体" w:cs="宋体"/>
          <w:color w:val="auto"/>
          <w:spacing w:val="4"/>
          <w:sz w:val="20"/>
          <w:szCs w:val="20"/>
          <w:highlight w:val="none"/>
        </w:rPr>
        <w:t xml:space="preserve"> </w:t>
      </w:r>
      <w:r>
        <w:rPr>
          <w:rFonts w:ascii="宋体" w:hAnsi="宋体" w:eastAsia="宋体" w:cs="宋体"/>
          <w:color w:val="auto"/>
          <w:spacing w:val="-2"/>
          <w:sz w:val="20"/>
          <w:szCs w:val="20"/>
          <w:highlight w:val="none"/>
        </w:rPr>
        <w:t>单位提供服务。</w:t>
      </w:r>
    </w:p>
    <w:p w14:paraId="426773A7">
      <w:pPr>
        <w:spacing w:line="219" w:lineRule="auto"/>
        <w:ind w:left="481"/>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本单位对上述声明的真实性负责。如有虚假，将依法承担相应责任。</w:t>
      </w:r>
    </w:p>
    <w:p w14:paraId="0BA5DF32">
      <w:pPr>
        <w:pStyle w:val="6"/>
        <w:spacing w:line="269" w:lineRule="auto"/>
        <w:rPr>
          <w:color w:val="auto"/>
          <w:sz w:val="20"/>
          <w:szCs w:val="20"/>
          <w:highlight w:val="none"/>
        </w:rPr>
      </w:pPr>
    </w:p>
    <w:p w14:paraId="7F735E2A">
      <w:pPr>
        <w:pStyle w:val="6"/>
        <w:spacing w:line="269" w:lineRule="auto"/>
        <w:rPr>
          <w:color w:val="auto"/>
          <w:sz w:val="20"/>
          <w:szCs w:val="20"/>
          <w:highlight w:val="none"/>
        </w:rPr>
      </w:pPr>
    </w:p>
    <w:p w14:paraId="69EB38E2">
      <w:pPr>
        <w:pStyle w:val="6"/>
        <w:spacing w:line="269" w:lineRule="auto"/>
        <w:rPr>
          <w:color w:val="auto"/>
          <w:sz w:val="20"/>
          <w:szCs w:val="20"/>
          <w:highlight w:val="none"/>
        </w:rPr>
      </w:pPr>
    </w:p>
    <w:p w14:paraId="60EB856D">
      <w:pPr>
        <w:pStyle w:val="6"/>
        <w:spacing w:line="269" w:lineRule="auto"/>
        <w:rPr>
          <w:color w:val="auto"/>
          <w:sz w:val="20"/>
          <w:szCs w:val="20"/>
          <w:highlight w:val="none"/>
        </w:rPr>
      </w:pPr>
    </w:p>
    <w:p w14:paraId="3D0C61BA">
      <w:pPr>
        <w:pStyle w:val="6"/>
        <w:spacing w:line="269" w:lineRule="auto"/>
        <w:rPr>
          <w:color w:val="auto"/>
          <w:sz w:val="20"/>
          <w:szCs w:val="20"/>
          <w:highlight w:val="none"/>
        </w:rPr>
      </w:pPr>
    </w:p>
    <w:p w14:paraId="6C41609A">
      <w:pPr>
        <w:pStyle w:val="6"/>
        <w:spacing w:line="269" w:lineRule="auto"/>
        <w:rPr>
          <w:color w:val="auto"/>
          <w:sz w:val="20"/>
          <w:szCs w:val="20"/>
          <w:highlight w:val="none"/>
        </w:rPr>
      </w:pPr>
    </w:p>
    <w:p w14:paraId="2811FA43">
      <w:pPr>
        <w:spacing w:before="78" w:line="219" w:lineRule="auto"/>
        <w:ind w:left="240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供应商名称（电子签章</w:t>
      </w:r>
      <w:r>
        <w:rPr>
          <w:rFonts w:ascii="宋体" w:hAnsi="宋体" w:eastAsia="宋体" w:cs="宋体"/>
          <w:color w:val="auto"/>
          <w:sz w:val="20"/>
          <w:szCs w:val="20"/>
          <w:highlight w:val="none"/>
        </w:rPr>
        <w:t>）：</w:t>
      </w:r>
    </w:p>
    <w:p w14:paraId="50F0351E">
      <w:pPr>
        <w:spacing w:before="212" w:line="220" w:lineRule="auto"/>
        <w:ind w:left="4362"/>
        <w:rPr>
          <w:rFonts w:ascii="宋体" w:hAnsi="宋体" w:eastAsia="宋体" w:cs="宋体"/>
          <w:color w:val="auto"/>
          <w:sz w:val="20"/>
          <w:szCs w:val="20"/>
          <w:highlight w:val="none"/>
        </w:rPr>
      </w:pPr>
      <w:r>
        <w:rPr>
          <w:rFonts w:ascii="宋体" w:hAnsi="宋体" w:eastAsia="宋体" w:cs="宋体"/>
          <w:color w:val="auto"/>
          <w:spacing w:val="-20"/>
          <w:sz w:val="20"/>
          <w:szCs w:val="20"/>
          <w:highlight w:val="none"/>
        </w:rPr>
        <w:t>日</w:t>
      </w:r>
      <w:r>
        <w:rPr>
          <w:rFonts w:ascii="宋体" w:hAnsi="宋体" w:eastAsia="宋体" w:cs="宋体"/>
          <w:color w:val="auto"/>
          <w:spacing w:val="6"/>
          <w:sz w:val="20"/>
          <w:szCs w:val="20"/>
          <w:highlight w:val="none"/>
        </w:rPr>
        <w:t xml:space="preserve">  </w:t>
      </w:r>
      <w:r>
        <w:rPr>
          <w:rFonts w:ascii="宋体" w:hAnsi="宋体" w:eastAsia="宋体" w:cs="宋体"/>
          <w:color w:val="auto"/>
          <w:spacing w:val="-20"/>
          <w:sz w:val="20"/>
          <w:szCs w:val="20"/>
          <w:highlight w:val="none"/>
        </w:rPr>
        <w:t>期</w:t>
      </w:r>
      <w:r>
        <w:rPr>
          <w:rFonts w:ascii="宋体" w:hAnsi="宋体" w:eastAsia="宋体" w:cs="宋体"/>
          <w:color w:val="auto"/>
          <w:spacing w:val="-89"/>
          <w:sz w:val="20"/>
          <w:szCs w:val="20"/>
          <w:highlight w:val="none"/>
        </w:rPr>
        <w:t xml:space="preserve"> </w:t>
      </w:r>
      <w:r>
        <w:rPr>
          <w:rFonts w:ascii="宋体" w:hAnsi="宋体" w:eastAsia="宋体" w:cs="宋体"/>
          <w:color w:val="auto"/>
          <w:spacing w:val="-20"/>
          <w:sz w:val="20"/>
          <w:szCs w:val="20"/>
          <w:highlight w:val="none"/>
        </w:rPr>
        <w:t>：</w:t>
      </w:r>
      <w:r>
        <w:rPr>
          <w:rFonts w:ascii="宋体" w:hAnsi="宋体" w:eastAsia="宋体" w:cs="宋体"/>
          <w:color w:val="auto"/>
          <w:spacing w:val="3"/>
          <w:sz w:val="20"/>
          <w:szCs w:val="20"/>
          <w:highlight w:val="none"/>
        </w:rPr>
        <w:t xml:space="preserve">   </w:t>
      </w:r>
      <w:r>
        <w:rPr>
          <w:rFonts w:ascii="宋体" w:hAnsi="宋体" w:eastAsia="宋体" w:cs="宋体"/>
          <w:color w:val="auto"/>
          <w:spacing w:val="-20"/>
          <w:sz w:val="20"/>
          <w:szCs w:val="20"/>
          <w:highlight w:val="none"/>
        </w:rPr>
        <w:t>年</w:t>
      </w:r>
      <w:r>
        <w:rPr>
          <w:rFonts w:ascii="宋体" w:hAnsi="宋体" w:eastAsia="宋体" w:cs="宋体"/>
          <w:color w:val="auto"/>
          <w:spacing w:val="5"/>
          <w:sz w:val="20"/>
          <w:szCs w:val="20"/>
          <w:highlight w:val="none"/>
        </w:rPr>
        <w:t xml:space="preserve">   </w:t>
      </w:r>
      <w:r>
        <w:rPr>
          <w:rFonts w:ascii="宋体" w:hAnsi="宋体" w:eastAsia="宋体" w:cs="宋体"/>
          <w:color w:val="auto"/>
          <w:spacing w:val="-20"/>
          <w:sz w:val="20"/>
          <w:szCs w:val="20"/>
          <w:highlight w:val="none"/>
        </w:rPr>
        <w:t>月</w:t>
      </w:r>
      <w:r>
        <w:rPr>
          <w:rFonts w:ascii="宋体" w:hAnsi="宋体" w:eastAsia="宋体" w:cs="宋体"/>
          <w:color w:val="auto"/>
          <w:spacing w:val="17"/>
          <w:sz w:val="20"/>
          <w:szCs w:val="20"/>
          <w:highlight w:val="none"/>
        </w:rPr>
        <w:t xml:space="preserve">   </w:t>
      </w:r>
      <w:r>
        <w:rPr>
          <w:rFonts w:ascii="宋体" w:hAnsi="宋体" w:eastAsia="宋体" w:cs="宋体"/>
          <w:color w:val="auto"/>
          <w:spacing w:val="-20"/>
          <w:sz w:val="20"/>
          <w:szCs w:val="20"/>
          <w:highlight w:val="none"/>
        </w:rPr>
        <w:t>日</w:t>
      </w:r>
    </w:p>
    <w:p w14:paraId="5DB16BA8">
      <w:pPr>
        <w:pStyle w:val="6"/>
        <w:spacing w:line="268" w:lineRule="auto"/>
        <w:rPr>
          <w:color w:val="auto"/>
          <w:sz w:val="20"/>
          <w:szCs w:val="20"/>
          <w:highlight w:val="none"/>
        </w:rPr>
      </w:pPr>
    </w:p>
    <w:p w14:paraId="29A36AEB">
      <w:pPr>
        <w:pStyle w:val="6"/>
        <w:spacing w:line="268" w:lineRule="auto"/>
        <w:rPr>
          <w:color w:val="auto"/>
          <w:sz w:val="20"/>
          <w:szCs w:val="20"/>
          <w:highlight w:val="none"/>
        </w:rPr>
      </w:pPr>
    </w:p>
    <w:p w14:paraId="03BE0384">
      <w:pPr>
        <w:pStyle w:val="6"/>
        <w:spacing w:line="268" w:lineRule="auto"/>
        <w:rPr>
          <w:color w:val="auto"/>
          <w:sz w:val="20"/>
          <w:szCs w:val="20"/>
          <w:highlight w:val="none"/>
        </w:rPr>
      </w:pPr>
    </w:p>
    <w:p w14:paraId="721686EC">
      <w:pPr>
        <w:pStyle w:val="6"/>
        <w:spacing w:line="269" w:lineRule="auto"/>
        <w:rPr>
          <w:color w:val="auto"/>
          <w:sz w:val="20"/>
          <w:szCs w:val="20"/>
          <w:highlight w:val="none"/>
        </w:rPr>
      </w:pPr>
    </w:p>
    <w:p w14:paraId="3F81478B">
      <w:pPr>
        <w:pStyle w:val="6"/>
        <w:spacing w:line="269" w:lineRule="auto"/>
        <w:rPr>
          <w:color w:val="auto"/>
          <w:sz w:val="20"/>
          <w:szCs w:val="20"/>
          <w:highlight w:val="none"/>
        </w:rPr>
      </w:pPr>
    </w:p>
    <w:p w14:paraId="0FEC5C75">
      <w:pPr>
        <w:pStyle w:val="6"/>
        <w:spacing w:line="269" w:lineRule="auto"/>
        <w:rPr>
          <w:color w:val="auto"/>
          <w:sz w:val="20"/>
          <w:szCs w:val="20"/>
          <w:highlight w:val="none"/>
        </w:rPr>
      </w:pPr>
    </w:p>
    <w:p w14:paraId="0A5541B8">
      <w:pPr>
        <w:spacing w:before="78" w:line="383" w:lineRule="auto"/>
        <w:jc w:val="both"/>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注：请根据自己的真实情况出具《残疾人福利性单位声明函》。依法享受中小企业</w:t>
      </w:r>
      <w:r>
        <w:rPr>
          <w:rFonts w:ascii="宋体" w:hAnsi="宋体" w:eastAsia="宋体" w:cs="宋体"/>
          <w:color w:val="auto"/>
          <w:spacing w:val="8"/>
          <w:sz w:val="20"/>
          <w:szCs w:val="20"/>
          <w:highlight w:val="none"/>
        </w:rPr>
        <w:t xml:space="preserve"> </w:t>
      </w:r>
      <w:r>
        <w:rPr>
          <w:rFonts w:ascii="宋体" w:hAnsi="宋体" w:eastAsia="宋体" w:cs="宋体"/>
          <w:color w:val="auto"/>
          <w:spacing w:val="2"/>
          <w:sz w:val="20"/>
          <w:szCs w:val="20"/>
          <w:highlight w:val="none"/>
        </w:rPr>
        <w:t>优惠政策的，采购人或者采购代理机构在公告中标结果时，同时公告其《残疾人福</w:t>
      </w:r>
      <w:r>
        <w:rPr>
          <w:rFonts w:ascii="宋体" w:hAnsi="宋体" w:eastAsia="宋体" w:cs="宋体"/>
          <w:color w:val="auto"/>
          <w:spacing w:val="9"/>
          <w:sz w:val="20"/>
          <w:szCs w:val="20"/>
          <w:highlight w:val="none"/>
        </w:rPr>
        <w:t xml:space="preserve"> </w:t>
      </w:r>
      <w:r>
        <w:rPr>
          <w:rFonts w:ascii="宋体" w:hAnsi="宋体" w:eastAsia="宋体" w:cs="宋体"/>
          <w:color w:val="auto"/>
          <w:spacing w:val="-1"/>
          <w:sz w:val="20"/>
          <w:szCs w:val="20"/>
          <w:highlight w:val="none"/>
        </w:rPr>
        <w:t>利性单位声明函》，接受社会监督。</w:t>
      </w:r>
    </w:p>
    <w:p w14:paraId="3C3938C9">
      <w:pPr>
        <w:spacing w:line="383" w:lineRule="auto"/>
        <w:rPr>
          <w:rFonts w:ascii="宋体" w:hAnsi="宋体" w:eastAsia="宋体" w:cs="宋体"/>
          <w:color w:val="auto"/>
          <w:sz w:val="20"/>
          <w:szCs w:val="20"/>
          <w:highlight w:val="none"/>
        </w:rPr>
        <w:sectPr>
          <w:footerReference r:id="rId76" w:type="default"/>
          <w:pgSz w:w="11905" w:h="16839"/>
          <w:pgMar w:top="400" w:right="1587" w:bottom="909" w:left="1594" w:header="0" w:footer="673" w:gutter="0"/>
          <w:pgNumType w:fmt="decimal"/>
          <w:cols w:space="720" w:num="1"/>
        </w:sectPr>
      </w:pPr>
    </w:p>
    <w:p w14:paraId="4F290B98">
      <w:pPr>
        <w:pStyle w:val="6"/>
        <w:spacing w:line="241" w:lineRule="auto"/>
        <w:rPr>
          <w:color w:val="auto"/>
          <w:highlight w:val="none"/>
        </w:rPr>
      </w:pPr>
    </w:p>
    <w:p w14:paraId="341C1D6B">
      <w:pPr>
        <w:pStyle w:val="6"/>
        <w:spacing w:line="241" w:lineRule="auto"/>
        <w:rPr>
          <w:color w:val="auto"/>
          <w:highlight w:val="none"/>
        </w:rPr>
      </w:pPr>
    </w:p>
    <w:p w14:paraId="0C952C5E">
      <w:pPr>
        <w:spacing w:before="140" w:line="223" w:lineRule="auto"/>
        <w:ind w:left="3224"/>
        <w:outlineLvl w:val="0"/>
        <w:rPr>
          <w:rFonts w:ascii="宋体" w:hAnsi="宋体" w:eastAsia="宋体" w:cs="宋体"/>
          <w:color w:val="auto"/>
          <w:sz w:val="43"/>
          <w:szCs w:val="43"/>
          <w:highlight w:val="none"/>
        </w:rPr>
      </w:pPr>
      <w:bookmarkStart w:id="24" w:name="_Toc20678"/>
      <w:r>
        <w:rPr>
          <w:rFonts w:ascii="宋体" w:hAnsi="宋体" w:eastAsia="宋体" w:cs="宋体"/>
          <w:b/>
          <w:bCs/>
          <w:color w:val="auto"/>
          <w:spacing w:val="4"/>
          <w:sz w:val="43"/>
          <w:szCs w:val="43"/>
          <w:highlight w:val="none"/>
        </w:rPr>
        <w:t>第六章</w:t>
      </w:r>
      <w:r>
        <w:rPr>
          <w:rFonts w:ascii="宋体" w:hAnsi="宋体" w:eastAsia="宋体" w:cs="宋体"/>
          <w:color w:val="auto"/>
          <w:spacing w:val="4"/>
          <w:sz w:val="43"/>
          <w:szCs w:val="43"/>
          <w:highlight w:val="none"/>
        </w:rPr>
        <w:t xml:space="preserve"> </w:t>
      </w:r>
      <w:r>
        <w:rPr>
          <w:rFonts w:ascii="宋体" w:hAnsi="宋体" w:eastAsia="宋体" w:cs="宋体"/>
          <w:b/>
          <w:bCs/>
          <w:color w:val="auto"/>
          <w:spacing w:val="4"/>
          <w:sz w:val="43"/>
          <w:szCs w:val="43"/>
          <w:highlight w:val="none"/>
        </w:rPr>
        <w:t>合同文本</w:t>
      </w:r>
      <w:bookmarkEnd w:id="24"/>
    </w:p>
    <w:p w14:paraId="59D1177D">
      <w:pPr>
        <w:spacing w:before="306" w:line="219" w:lineRule="auto"/>
        <w:ind w:left="8"/>
        <w:rPr>
          <w:rFonts w:ascii="宋体" w:hAnsi="宋体" w:eastAsia="宋体" w:cs="宋体"/>
          <w:color w:val="auto"/>
          <w:spacing w:val="-1"/>
          <w:sz w:val="24"/>
          <w:szCs w:val="24"/>
          <w:highlight w:val="none"/>
        </w:rPr>
      </w:pPr>
    </w:p>
    <w:p w14:paraId="2C18D962">
      <w:pPr>
        <w:spacing w:before="306" w:line="219" w:lineRule="auto"/>
        <w:ind w:left="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广西政府采购云平台合同编号：</w:t>
      </w:r>
    </w:p>
    <w:p w14:paraId="4CE64AA2">
      <w:pPr>
        <w:pStyle w:val="6"/>
        <w:spacing w:line="253" w:lineRule="auto"/>
        <w:rPr>
          <w:color w:val="auto"/>
          <w:highlight w:val="none"/>
        </w:rPr>
      </w:pPr>
    </w:p>
    <w:p w14:paraId="5ABA38F1">
      <w:pPr>
        <w:pStyle w:val="6"/>
        <w:spacing w:line="253" w:lineRule="auto"/>
        <w:rPr>
          <w:color w:val="auto"/>
          <w:highlight w:val="none"/>
          <w:u w:val="single"/>
        </w:rPr>
      </w:pPr>
    </w:p>
    <w:p w14:paraId="57BDDFB8">
      <w:pPr>
        <w:pStyle w:val="6"/>
        <w:spacing w:line="254" w:lineRule="auto"/>
        <w:rPr>
          <w:color w:val="auto"/>
          <w:highlight w:val="none"/>
        </w:rPr>
      </w:pPr>
    </w:p>
    <w:p w14:paraId="6C45DB06">
      <w:pPr>
        <w:jc w:val="center"/>
        <w:rPr>
          <w:rFonts w:ascii="宋体" w:hAnsi="宋体" w:cs="宋体"/>
          <w:b/>
          <w:bCs/>
          <w:kern w:val="44"/>
          <w:sz w:val="44"/>
          <w:szCs w:val="44"/>
        </w:rPr>
      </w:pPr>
    </w:p>
    <w:p w14:paraId="084500D6">
      <w:pPr>
        <w:rPr>
          <w:rFonts w:ascii="宋体" w:hAnsi="宋体" w:cs="宋体"/>
        </w:rPr>
      </w:pPr>
    </w:p>
    <w:p w14:paraId="1DF0B20D">
      <w:pPr>
        <w:spacing w:line="360" w:lineRule="auto"/>
        <w:jc w:val="center"/>
        <w:rPr>
          <w:rFonts w:ascii="宋体" w:hAnsi="宋体" w:cs="宋体"/>
          <w:b/>
          <w:bCs/>
          <w:color w:val="auto"/>
          <w:sz w:val="44"/>
          <w:highlight w:val="none"/>
        </w:rPr>
      </w:pPr>
      <w:r>
        <w:rPr>
          <w:rFonts w:hint="eastAsia" w:ascii="宋体" w:hAnsi="宋体" w:cs="宋体"/>
          <w:b/>
          <w:bCs/>
          <w:color w:val="auto"/>
          <w:sz w:val="44"/>
          <w:highlight w:val="none"/>
          <w:u w:val="single"/>
        </w:rPr>
        <w:t xml:space="preserve"> [横州市石塘镇芦村村委小学运动场地提升项目]</w:t>
      </w:r>
      <w:r>
        <w:rPr>
          <w:rFonts w:hint="eastAsia" w:ascii="宋体" w:hAnsi="宋体" w:cs="宋体"/>
          <w:b/>
          <w:bCs/>
          <w:color w:val="auto"/>
          <w:sz w:val="44"/>
          <w:highlight w:val="none"/>
          <w:u w:val="none"/>
          <w:lang w:val="en-US" w:eastAsia="zh-CN"/>
        </w:rPr>
        <w:t>施工</w:t>
      </w:r>
      <w:r>
        <w:rPr>
          <w:rFonts w:hint="eastAsia" w:ascii="宋体" w:hAnsi="宋体" w:cs="宋体"/>
          <w:b/>
          <w:bCs/>
          <w:color w:val="auto"/>
          <w:sz w:val="44"/>
          <w:highlight w:val="none"/>
        </w:rPr>
        <w:t>合同</w:t>
      </w:r>
    </w:p>
    <w:p w14:paraId="74E82FD0">
      <w:pPr>
        <w:spacing w:line="360" w:lineRule="auto"/>
        <w:jc w:val="center"/>
        <w:rPr>
          <w:rFonts w:ascii="宋体" w:hAnsi="宋体" w:cs="宋体"/>
          <w:b/>
          <w:bCs/>
          <w:color w:val="auto"/>
          <w:sz w:val="44"/>
          <w:highlight w:val="none"/>
        </w:rPr>
      </w:pPr>
    </w:p>
    <w:p w14:paraId="14838B06">
      <w:pPr>
        <w:spacing w:line="360" w:lineRule="auto"/>
        <w:ind w:firstLine="3495" w:firstLineChars="794"/>
        <w:rPr>
          <w:rFonts w:ascii="宋体" w:hAnsi="宋体" w:cs="宋体"/>
          <w:b/>
          <w:bCs/>
          <w:color w:val="auto"/>
          <w:sz w:val="44"/>
          <w:highlight w:val="none"/>
        </w:rPr>
      </w:pPr>
    </w:p>
    <w:p w14:paraId="5C59B1CE">
      <w:pPr>
        <w:spacing w:line="360" w:lineRule="auto"/>
        <w:ind w:firstLine="3495" w:firstLineChars="794"/>
        <w:rPr>
          <w:rFonts w:ascii="宋体" w:hAnsi="宋体" w:cs="宋体"/>
          <w:b/>
          <w:bCs/>
          <w:color w:val="auto"/>
          <w:sz w:val="44"/>
          <w:highlight w:val="none"/>
        </w:rPr>
      </w:pPr>
    </w:p>
    <w:p w14:paraId="24D25308">
      <w:pPr>
        <w:ind w:firstLine="1988" w:firstLineChars="552"/>
        <w:rPr>
          <w:rFonts w:hint="eastAsia" w:ascii="宋体" w:hAnsi="宋体" w:cs="宋体"/>
          <w:b/>
          <w:color w:val="auto"/>
          <w:sz w:val="36"/>
          <w:szCs w:val="36"/>
          <w:highlight w:val="none"/>
        </w:rPr>
      </w:pPr>
      <w:r>
        <w:rPr>
          <w:rFonts w:hint="eastAsia" w:ascii="宋体" w:hAnsi="宋体" w:cs="宋体"/>
          <w:b/>
          <w:color w:val="auto"/>
          <w:sz w:val="36"/>
          <w:szCs w:val="36"/>
          <w:highlight w:val="none"/>
        </w:rPr>
        <w:t>采购项目编号：</w:t>
      </w:r>
      <w:r>
        <w:rPr>
          <w:rFonts w:hint="eastAsia" w:ascii="宋体" w:hAnsi="宋体" w:cs="宋体"/>
          <w:b/>
          <w:color w:val="auto"/>
          <w:sz w:val="36"/>
          <w:szCs w:val="36"/>
          <w:highlight w:val="none"/>
          <w:u w:val="single"/>
        </w:rPr>
        <w:t>[</w:t>
      </w:r>
      <w:r>
        <w:rPr>
          <w:rFonts w:hint="eastAsia" w:ascii="宋体" w:hAnsi="宋体" w:cs="宋体"/>
          <w:b/>
          <w:color w:val="auto"/>
          <w:sz w:val="36"/>
          <w:szCs w:val="36"/>
          <w:highlight w:val="none"/>
          <w:u w:val="single"/>
          <w:lang w:eastAsia="zh-CN"/>
        </w:rPr>
        <w:t>NNZC2026-C2-270081-GXTZ</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rPr>
        <w:t xml:space="preserve"> </w:t>
      </w:r>
    </w:p>
    <w:p w14:paraId="2C3C2E37">
      <w:pPr>
        <w:ind w:firstLine="1988" w:firstLineChars="552"/>
        <w:rPr>
          <w:rFonts w:ascii="宋体" w:hAnsi="宋体" w:cs="宋体"/>
          <w:b/>
          <w:color w:val="auto"/>
          <w:sz w:val="36"/>
          <w:szCs w:val="36"/>
          <w:highlight w:val="none"/>
        </w:rPr>
      </w:pPr>
      <w:r>
        <w:rPr>
          <w:rFonts w:hint="eastAsia" w:ascii="宋体" w:hAnsi="宋体" w:cs="宋体"/>
          <w:b/>
          <w:color w:val="auto"/>
          <w:sz w:val="36"/>
          <w:szCs w:val="36"/>
          <w:highlight w:val="none"/>
        </w:rPr>
        <w:t>采购计划编号：</w:t>
      </w:r>
      <w:r>
        <w:rPr>
          <w:rFonts w:hint="eastAsia" w:ascii="宋体" w:hAnsi="宋体" w:cs="宋体"/>
          <w:b/>
          <w:color w:val="auto"/>
          <w:sz w:val="36"/>
          <w:szCs w:val="36"/>
          <w:highlight w:val="none"/>
          <w:u w:val="single"/>
        </w:rPr>
        <w:t xml:space="preserve"> </w:t>
      </w:r>
      <w:r>
        <w:rPr>
          <w:rFonts w:hint="eastAsia" w:ascii="宋体" w:hAnsi="宋体" w:eastAsia="宋体" w:cs="宋体"/>
          <w:b/>
          <w:color w:val="auto"/>
          <w:sz w:val="36"/>
          <w:szCs w:val="36"/>
          <w:highlight w:val="none"/>
          <w:u w:val="single"/>
          <w:lang w:val="en-US" w:eastAsia="zh-CN"/>
        </w:rPr>
        <w:t xml:space="preserve">   </w:t>
      </w:r>
      <w:r>
        <w:rPr>
          <w:rFonts w:hint="eastAsia" w:ascii="宋体" w:hAnsi="宋体" w:cs="宋体"/>
          <w:b/>
          <w:color w:val="auto"/>
          <w:sz w:val="36"/>
          <w:szCs w:val="36"/>
          <w:highlight w:val="none"/>
          <w:u w:val="single"/>
        </w:rPr>
        <w:t>[HZZC2026-C2-01469]</w:t>
      </w:r>
      <w:r>
        <w:rPr>
          <w:rFonts w:hint="eastAsia" w:ascii="宋体" w:hAnsi="宋体" w:eastAsia="宋体" w:cs="宋体"/>
          <w:b/>
          <w:color w:val="auto"/>
          <w:sz w:val="36"/>
          <w:szCs w:val="36"/>
          <w:highlight w:val="none"/>
          <w:u w:val="single"/>
          <w:lang w:val="en-US" w:eastAsia="zh-CN"/>
        </w:rPr>
        <w:t xml:space="preserve">  </w:t>
      </w:r>
      <w:r>
        <w:rPr>
          <w:rFonts w:hint="eastAsia" w:ascii="宋体" w:hAnsi="宋体" w:cs="宋体"/>
          <w:b/>
          <w:color w:val="auto"/>
          <w:sz w:val="36"/>
          <w:szCs w:val="36"/>
          <w:highlight w:val="none"/>
          <w:u w:val="single"/>
        </w:rPr>
        <w:t xml:space="preserve"> </w:t>
      </w:r>
    </w:p>
    <w:p w14:paraId="2A1E5E9C">
      <w:pPr>
        <w:ind w:firstLine="1308" w:firstLineChars="545"/>
        <w:rPr>
          <w:rFonts w:ascii="宋体" w:hAnsi="宋体" w:cs="宋体"/>
          <w:color w:val="auto"/>
          <w:sz w:val="24"/>
          <w:highlight w:val="none"/>
        </w:rPr>
      </w:pPr>
    </w:p>
    <w:p w14:paraId="4096F05C">
      <w:pPr>
        <w:ind w:firstLine="1988" w:firstLineChars="552"/>
        <w:rPr>
          <w:rFonts w:ascii="宋体" w:hAnsi="宋体" w:cs="宋体"/>
          <w:b/>
          <w:color w:val="auto"/>
          <w:sz w:val="36"/>
          <w:szCs w:val="36"/>
          <w:highlight w:val="none"/>
          <w:u w:val="single"/>
        </w:rPr>
      </w:pPr>
    </w:p>
    <w:p w14:paraId="5DA6BB9D">
      <w:pPr>
        <w:ind w:firstLine="1988" w:firstLineChars="552"/>
        <w:rPr>
          <w:rFonts w:ascii="宋体" w:hAnsi="宋体" w:cs="宋体"/>
          <w:b/>
          <w:color w:val="auto"/>
          <w:sz w:val="36"/>
          <w:szCs w:val="36"/>
          <w:highlight w:val="none"/>
          <w:u w:val="single"/>
        </w:rPr>
      </w:pPr>
    </w:p>
    <w:p w14:paraId="6DEDBF9A">
      <w:pPr>
        <w:tabs>
          <w:tab w:val="left" w:pos="7200"/>
        </w:tabs>
        <w:spacing w:line="360" w:lineRule="auto"/>
        <w:ind w:firstLine="1988" w:firstLineChars="552"/>
        <w:rPr>
          <w:rFonts w:ascii="宋体" w:hAnsi="宋体" w:eastAsia="宋体" w:cs="宋体"/>
          <w:b/>
          <w:color w:val="auto"/>
          <w:sz w:val="36"/>
          <w:szCs w:val="36"/>
          <w:highlight w:val="none"/>
          <w:u w:val="single"/>
          <w:lang w:val="en-US" w:eastAsia="zh-CN"/>
        </w:rPr>
      </w:pPr>
      <w:r>
        <w:rPr>
          <w:rFonts w:hint="eastAsia" w:ascii="宋体" w:hAnsi="宋体" w:cs="宋体"/>
          <w:b/>
          <w:color w:val="auto"/>
          <w:sz w:val="36"/>
          <w:szCs w:val="36"/>
          <w:highlight w:val="none"/>
        </w:rPr>
        <w:t>采购人</w:t>
      </w:r>
      <w:r>
        <w:rPr>
          <w:rFonts w:ascii="宋体" w:hAnsi="宋体" w:cs="宋体"/>
          <w:b/>
          <w:color w:val="auto"/>
          <w:sz w:val="36"/>
          <w:szCs w:val="36"/>
          <w:highlight w:val="none"/>
        </w:rPr>
        <w:t>（甲方）</w:t>
      </w:r>
      <w:r>
        <w:rPr>
          <w:rFonts w:hint="eastAsia" w:ascii="宋体" w:hAnsi="宋体" w:cs="宋体"/>
          <w:b/>
          <w:color w:val="auto"/>
          <w:sz w:val="36"/>
          <w:szCs w:val="36"/>
          <w:highlight w:val="none"/>
        </w:rPr>
        <w:t>：</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u w:val="single"/>
          <w:lang w:val="en-US" w:eastAsia="zh-CN"/>
        </w:rPr>
        <w:t>横州市石塘镇芦村村委小学</w:t>
      </w:r>
      <w:r>
        <w:rPr>
          <w:rFonts w:hint="eastAsia" w:ascii="宋体" w:hAnsi="宋体" w:cs="宋体"/>
          <w:b/>
          <w:color w:val="auto"/>
          <w:sz w:val="36"/>
          <w:szCs w:val="36"/>
          <w:highlight w:val="none"/>
          <w:u w:val="single"/>
        </w:rPr>
        <w:t xml:space="preserve"> </w:t>
      </w:r>
    </w:p>
    <w:p w14:paraId="2E97BAE9">
      <w:pPr>
        <w:tabs>
          <w:tab w:val="left" w:pos="7380"/>
        </w:tabs>
        <w:spacing w:line="360" w:lineRule="auto"/>
        <w:ind w:firstLine="1988" w:firstLineChars="552"/>
        <w:rPr>
          <w:rFonts w:ascii="宋体" w:hAnsi="宋体" w:cs="宋体"/>
          <w:b/>
          <w:bCs/>
          <w:color w:val="auto"/>
          <w:sz w:val="44"/>
          <w:highlight w:val="none"/>
        </w:rPr>
      </w:pPr>
      <w:r>
        <w:rPr>
          <w:rFonts w:hint="eastAsia" w:ascii="宋体" w:hAnsi="宋体" w:cs="宋体"/>
          <w:b/>
          <w:color w:val="auto"/>
          <w:sz w:val="36"/>
          <w:szCs w:val="36"/>
          <w:highlight w:val="none"/>
          <w:lang w:val="en-US" w:eastAsia="zh-CN"/>
        </w:rPr>
        <w:t>成交</w:t>
      </w:r>
      <w:r>
        <w:rPr>
          <w:rFonts w:hint="eastAsia" w:ascii="宋体" w:hAnsi="宋体" w:cs="宋体"/>
          <w:b/>
          <w:color w:val="auto"/>
          <w:sz w:val="36"/>
          <w:szCs w:val="36"/>
          <w:highlight w:val="none"/>
        </w:rPr>
        <w:t>供应商</w:t>
      </w:r>
      <w:r>
        <w:rPr>
          <w:rFonts w:ascii="宋体" w:hAnsi="宋体" w:cs="宋体"/>
          <w:b/>
          <w:color w:val="auto"/>
          <w:sz w:val="36"/>
          <w:szCs w:val="36"/>
          <w:highlight w:val="none"/>
        </w:rPr>
        <w:t>（乙方）</w:t>
      </w:r>
      <w:r>
        <w:rPr>
          <w:rFonts w:hint="eastAsia" w:ascii="宋体" w:hAnsi="宋体" w:cs="宋体"/>
          <w:b/>
          <w:color w:val="auto"/>
          <w:sz w:val="36"/>
          <w:szCs w:val="36"/>
          <w:highlight w:val="none"/>
        </w:rPr>
        <w:t>：</w:t>
      </w:r>
      <w:r>
        <w:rPr>
          <w:rFonts w:hint="eastAsia" w:ascii="宋体" w:hAnsi="宋体" w:cs="宋体"/>
          <w:b/>
          <w:color w:val="auto"/>
          <w:sz w:val="36"/>
          <w:szCs w:val="36"/>
          <w:highlight w:val="none"/>
          <w:u w:val="single"/>
        </w:rPr>
        <w:t xml:space="preserve">       </w:t>
      </w:r>
      <w:r>
        <w:rPr>
          <w:rFonts w:hint="eastAsia" w:ascii="宋体" w:hAnsi="宋体" w:eastAsia="宋体" w:cs="宋体"/>
          <w:b/>
          <w:color w:val="auto"/>
          <w:sz w:val="36"/>
          <w:szCs w:val="36"/>
          <w:highlight w:val="none"/>
          <w:u w:val="single"/>
          <w:lang w:val="en-US" w:eastAsia="zh-CN"/>
        </w:rPr>
        <w:t xml:space="preserve">   </w:t>
      </w:r>
      <w:r>
        <w:rPr>
          <w:rFonts w:hint="eastAsia" w:ascii="宋体" w:hAnsi="宋体" w:cs="宋体"/>
          <w:b/>
          <w:color w:val="auto"/>
          <w:sz w:val="36"/>
          <w:szCs w:val="36"/>
          <w:highlight w:val="none"/>
          <w:u w:val="single"/>
        </w:rPr>
        <w:t xml:space="preserve">            </w:t>
      </w:r>
    </w:p>
    <w:p w14:paraId="0C23C9FC">
      <w:pPr>
        <w:tabs>
          <w:tab w:val="left" w:pos="7380"/>
        </w:tabs>
        <w:spacing w:line="360" w:lineRule="auto"/>
        <w:rPr>
          <w:rFonts w:ascii="宋体" w:hAnsi="宋体" w:cs="宋体"/>
          <w:b/>
          <w:bCs/>
          <w:color w:val="auto"/>
          <w:sz w:val="44"/>
          <w:highlight w:val="none"/>
        </w:rPr>
      </w:pPr>
    </w:p>
    <w:p w14:paraId="38C1B616">
      <w:pPr>
        <w:tabs>
          <w:tab w:val="left" w:pos="7380"/>
        </w:tabs>
        <w:spacing w:line="360" w:lineRule="auto"/>
        <w:rPr>
          <w:rFonts w:ascii="宋体" w:hAnsi="宋体" w:cs="宋体"/>
          <w:b/>
          <w:bCs/>
          <w:color w:val="auto"/>
          <w:sz w:val="44"/>
          <w:highlight w:val="none"/>
        </w:rPr>
      </w:pPr>
    </w:p>
    <w:p w14:paraId="6C4D60A4">
      <w:pPr>
        <w:keepNext w:val="0"/>
        <w:keepLines w:val="0"/>
        <w:pageBreakBefore w:val="0"/>
        <w:widowControl w:val="0"/>
        <w:kinsoku/>
        <w:wordWrap/>
        <w:overflowPunct/>
        <w:topLinePunct w:val="0"/>
        <w:autoSpaceDE/>
        <w:autoSpaceDN/>
        <w:snapToGrid/>
        <w:spacing w:line="360" w:lineRule="auto"/>
        <w:ind w:firstLine="720" w:firstLineChars="300"/>
        <w:jc w:val="center"/>
        <w:rPr>
          <w:rFonts w:ascii="宋体" w:hAnsi="宋体" w:eastAsia="宋体" w:cs="宋体"/>
          <w:color w:val="auto"/>
          <w:highlight w:val="none"/>
          <w:lang w:val="en-US"/>
        </w:rPr>
        <w:sectPr>
          <w:footerReference r:id="rId77" w:type="default"/>
          <w:pgSz w:w="11905" w:h="16838"/>
          <w:pgMar w:top="1134" w:right="1134" w:bottom="1134" w:left="1134" w:header="720" w:footer="720" w:gutter="0"/>
          <w:pgNumType w:fmt="decimal"/>
          <w:cols w:space="720" w:num="1"/>
          <w:docGrid w:type="lines" w:linePitch="331" w:charSpace="0"/>
        </w:sectPr>
      </w:pPr>
      <w:r>
        <w:rPr>
          <w:rFonts w:hint="eastAsia" w:ascii="宋体" w:hAnsi="宋体" w:cs="宋体"/>
          <w:color w:val="auto"/>
          <w:sz w:val="24"/>
          <w:highlight w:val="none"/>
          <w:lang w:val="zh-CN"/>
        </w:rPr>
        <w:t>签订时间：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p>
    <w:p w14:paraId="2949FB7F">
      <w:pPr>
        <w:pStyle w:val="3"/>
        <w:spacing w:before="47"/>
        <w:jc w:val="center"/>
        <w:rPr>
          <w:rFonts w:hint="eastAsia" w:ascii="宋体" w:hAnsi="宋体" w:eastAsia="宋体" w:cs="宋体"/>
          <w:color w:val="auto"/>
          <w:highlight w:val="none"/>
        </w:rPr>
      </w:pPr>
      <w:r>
        <w:rPr>
          <w:rFonts w:hint="eastAsia" w:ascii="宋体" w:hAnsi="宋体" w:eastAsia="宋体" w:cs="宋体"/>
          <w:spacing w:val="10"/>
          <w:sz w:val="30"/>
          <w:szCs w:val="30"/>
        </w:rPr>
        <w:t>第一部分 合同协议书</w:t>
      </w:r>
    </w:p>
    <w:p w14:paraId="648B7FDF">
      <w:pPr>
        <w:spacing w:line="360" w:lineRule="auto"/>
        <w:rPr>
          <w:rFonts w:ascii="宋体" w:hAnsi="宋体" w:eastAsia="宋体" w:cs="宋体"/>
          <w:color w:val="auto"/>
          <w:highlight w:val="none"/>
          <w:u w:val="single"/>
          <w:lang w:val="en-US"/>
        </w:rPr>
      </w:pPr>
      <w:r>
        <w:rPr>
          <w:rFonts w:hint="eastAsia" w:ascii="宋体" w:hAnsi="宋体" w:eastAsia="宋体" w:cs="宋体"/>
          <w:color w:val="auto"/>
          <w:highlight w:val="none"/>
        </w:rPr>
        <w:t>发包人（全称）：</w:t>
      </w:r>
      <w:r>
        <w:rPr>
          <w:rFonts w:hint="eastAsia" w:ascii="宋体" w:hAnsi="宋体" w:eastAsia="宋体" w:cs="宋体"/>
          <w:spacing w:val="-1"/>
          <w:w w:val="100"/>
          <w:u w:val="single"/>
          <w:lang w:val="en-US" w:eastAsia="zh-CN"/>
        </w:rPr>
        <w:t xml:space="preserve">  横州市石塘镇芦村村委小学</w:t>
      </w:r>
      <w:r>
        <w:rPr>
          <w:rFonts w:hint="eastAsia" w:ascii="宋体" w:hAnsi="宋体" w:cs="宋体"/>
          <w:spacing w:val="-3"/>
          <w:w w:val="100"/>
          <w:u w:val="single"/>
          <w:lang w:val="en-US" w:eastAsia="zh-CN"/>
        </w:rPr>
        <w:t xml:space="preserve"> </w:t>
      </w:r>
      <w:r>
        <w:rPr>
          <w:rFonts w:ascii="宋体" w:hAnsi="宋体" w:cs="宋体"/>
          <w:spacing w:val="-3"/>
          <w:w w:val="100"/>
          <w:u w:val="single"/>
          <w:lang w:val="en-US" w:eastAsia="zh-CN"/>
        </w:rPr>
        <w:t>（以下称</w:t>
      </w:r>
      <w:r>
        <w:rPr>
          <w:rFonts w:hint="eastAsia" w:ascii="宋体" w:hAnsi="宋体" w:cs="宋体"/>
          <w:spacing w:val="-3"/>
          <w:w w:val="100"/>
          <w:u w:val="single"/>
          <w:lang w:val="en-US" w:eastAsia="zh-CN"/>
        </w:rPr>
        <w:t>“甲方”</w:t>
      </w:r>
      <w:r>
        <w:rPr>
          <w:rFonts w:ascii="宋体" w:hAnsi="宋体" w:cs="宋体"/>
          <w:spacing w:val="-3"/>
          <w:w w:val="100"/>
          <w:u w:val="single"/>
          <w:lang w:val="en-US" w:eastAsia="zh-CN"/>
        </w:rPr>
        <w:t>）</w:t>
      </w:r>
    </w:p>
    <w:p w14:paraId="3CC89C65">
      <w:pPr>
        <w:spacing w:line="360" w:lineRule="auto"/>
        <w:rPr>
          <w:rFonts w:ascii="宋体" w:hAnsi="宋体" w:eastAsia="宋体" w:cs="宋体"/>
          <w:color w:val="000000"/>
          <w:highlight w:val="none"/>
          <w:u w:val="single"/>
          <w:lang w:val="en-US" w:eastAsia="zh-CN"/>
        </w:rPr>
      </w:pPr>
      <w:r>
        <w:rPr>
          <w:rFonts w:hint="eastAsia" w:ascii="宋体" w:hAnsi="宋体" w:eastAsia="宋体" w:cs="宋体"/>
          <w:color w:val="auto"/>
          <w:highlight w:val="none"/>
        </w:rPr>
        <w:t>承</w:t>
      </w:r>
      <w:r>
        <w:rPr>
          <w:rFonts w:hint="eastAsia" w:ascii="宋体" w:hAnsi="宋体" w:eastAsia="宋体" w:cs="宋体"/>
          <w:color w:val="000000"/>
          <w:highlight w:val="none"/>
        </w:rPr>
        <w:t>包人（全称）</w:t>
      </w:r>
      <w:r>
        <w:rPr>
          <w:rFonts w:hint="eastAsia" w:ascii="宋体" w:hAnsi="宋体" w:eastAsia="宋体" w:cs="宋体"/>
          <w:color w:val="000000"/>
          <w:highlight w:val="none"/>
          <w:u w:val="none"/>
          <w:lang w:val="en-US" w:eastAsia="zh-CN"/>
        </w:rPr>
        <w:t>：</w:t>
      </w:r>
      <w:r>
        <w:rPr>
          <w:rFonts w:hint="eastAsia" w:ascii="宋体" w:hAnsi="宋体" w:eastAsia="宋体" w:cs="宋体"/>
          <w:color w:val="000000"/>
          <w:highlight w:val="none"/>
          <w:u w:val="single"/>
          <w:lang w:val="en-US" w:eastAsia="zh-CN"/>
        </w:rPr>
        <w:t xml:space="preserve">                           </w:t>
      </w:r>
      <w:r>
        <w:rPr>
          <w:rFonts w:ascii="宋体" w:hAnsi="宋体" w:cs="宋体"/>
          <w:spacing w:val="-3"/>
          <w:w w:val="100"/>
          <w:u w:val="single"/>
          <w:lang w:val="en-US" w:eastAsia="zh-CN"/>
        </w:rPr>
        <w:t>（以下称</w:t>
      </w:r>
      <w:r>
        <w:rPr>
          <w:rFonts w:hint="eastAsia" w:ascii="宋体" w:hAnsi="宋体" w:cs="宋体"/>
          <w:spacing w:val="-3"/>
          <w:w w:val="100"/>
          <w:u w:val="single"/>
          <w:lang w:val="en-US" w:eastAsia="zh-CN"/>
        </w:rPr>
        <w:t>“</w:t>
      </w:r>
      <w:r>
        <w:rPr>
          <w:rFonts w:ascii="宋体" w:hAnsi="宋体" w:cs="宋体"/>
          <w:spacing w:val="-3"/>
          <w:w w:val="100"/>
          <w:u w:val="single"/>
          <w:lang w:val="en-US" w:eastAsia="zh-CN"/>
        </w:rPr>
        <w:t>乙</w:t>
      </w:r>
      <w:r>
        <w:rPr>
          <w:rFonts w:hint="eastAsia" w:ascii="宋体" w:hAnsi="宋体" w:cs="宋体"/>
          <w:spacing w:val="-3"/>
          <w:w w:val="100"/>
          <w:u w:val="single"/>
          <w:lang w:val="en-US" w:eastAsia="zh-CN"/>
        </w:rPr>
        <w:t>方”</w:t>
      </w:r>
      <w:r>
        <w:rPr>
          <w:rFonts w:ascii="宋体" w:hAnsi="宋体" w:cs="宋体"/>
          <w:spacing w:val="-3"/>
          <w:w w:val="100"/>
          <w:u w:val="single"/>
          <w:lang w:val="en-US" w:eastAsia="zh-CN"/>
        </w:rPr>
        <w:t>）</w:t>
      </w:r>
    </w:p>
    <w:p w14:paraId="691C481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000000"/>
          <w:highlight w:val="none"/>
        </w:rPr>
        <w:t>根据《中华人民共和</w:t>
      </w:r>
      <w:r>
        <w:rPr>
          <w:rFonts w:hint="eastAsia" w:ascii="宋体" w:hAnsi="宋体" w:eastAsia="宋体" w:cs="宋体"/>
          <w:color w:val="auto"/>
          <w:highlight w:val="none"/>
        </w:rPr>
        <w:t>国民法典》、《中华人民共和国建筑法》及有关法律规定，遵循平等、自愿、公平和诚实信用的原则，双方就</w:t>
      </w:r>
      <w:r>
        <w:rPr>
          <w:rFonts w:hint="eastAsia" w:ascii="宋体" w:hAnsi="宋体" w:eastAsia="宋体" w:cs="宋体"/>
          <w:color w:val="auto"/>
          <w:highlight w:val="none"/>
          <w:u w:val="single"/>
          <w:lang w:val="en-US" w:eastAsia="zh-CN"/>
        </w:rPr>
        <w:t xml:space="preserve"> 横州市</w:t>
      </w:r>
      <w:r>
        <w:rPr>
          <w:rFonts w:hint="eastAsia" w:ascii="宋体" w:hAnsi="宋体" w:cs="宋体"/>
          <w:color w:val="auto"/>
          <w:w w:val="100"/>
          <w:highlight w:val="none"/>
          <w:u w:val="single"/>
          <w:lang w:val="en-US" w:eastAsia="zh-CN"/>
        </w:rPr>
        <w:t>XXX</w:t>
      </w:r>
      <w:r>
        <w:rPr>
          <w:rFonts w:hint="eastAsia" w:ascii="宋体" w:hAnsi="宋体" w:eastAsia="宋体" w:cs="宋体"/>
          <w:color w:val="auto"/>
          <w:highlight w:val="none"/>
          <w:u w:val="single"/>
          <w:lang w:val="en-US" w:eastAsia="zh-CN"/>
        </w:rPr>
        <w:t>项目</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rPr>
        <w:t>工程施工及有关事项协商一致，共同达成如下协议：</w:t>
      </w:r>
      <w:bookmarkStart w:id="25" w:name="_Toc351203481"/>
    </w:p>
    <w:p w14:paraId="65C7A324">
      <w:pPr>
        <w:spacing w:line="360" w:lineRule="auto"/>
        <w:ind w:firstLine="422" w:firstLineChars="200"/>
        <w:outlineLvl w:val="0"/>
        <w:rPr>
          <w:rFonts w:hint="eastAsia" w:ascii="宋体" w:hAnsi="宋体" w:eastAsia="宋体" w:cs="宋体"/>
          <w:b/>
          <w:bCs/>
          <w:color w:val="auto"/>
          <w:highlight w:val="none"/>
        </w:rPr>
      </w:pPr>
      <w:r>
        <w:rPr>
          <w:rFonts w:hint="eastAsia" w:ascii="宋体" w:hAnsi="宋体" w:eastAsia="宋体" w:cs="宋体"/>
          <w:b/>
          <w:bCs/>
          <w:color w:val="auto"/>
          <w:highlight w:val="none"/>
        </w:rPr>
        <w:t>一、工程概况</w:t>
      </w:r>
      <w:bookmarkEnd w:id="25"/>
    </w:p>
    <w:p w14:paraId="39281258">
      <w:pPr>
        <w:spacing w:line="360" w:lineRule="auto"/>
        <w:ind w:firstLine="411" w:firstLineChars="196"/>
        <w:rPr>
          <w:rFonts w:hint="eastAsia" w:ascii="宋体" w:hAnsi="宋体" w:eastAsia="宋体" w:cs="宋体"/>
          <w:color w:val="auto"/>
          <w:highlight w:val="none"/>
          <w:u w:val="single"/>
        </w:rPr>
      </w:pPr>
      <w:r>
        <w:rPr>
          <w:rFonts w:hint="eastAsia" w:ascii="宋体" w:hAnsi="宋体" w:eastAsia="宋体" w:cs="宋体"/>
          <w:color w:val="auto"/>
          <w:highlight w:val="none"/>
        </w:rPr>
        <w:t>1.工程名称：</w:t>
      </w:r>
      <w:r>
        <w:rPr>
          <w:rFonts w:hint="eastAsia" w:ascii="宋体" w:hAnsi="宋体" w:eastAsia="宋体" w:cs="宋体"/>
          <w:color w:val="auto"/>
          <w:highlight w:val="none"/>
          <w:u w:val="single"/>
          <w:lang w:val="en-US" w:eastAsia="zh-CN"/>
        </w:rPr>
        <w:t>横州市</w:t>
      </w:r>
      <w:r>
        <w:rPr>
          <w:rFonts w:hint="eastAsia" w:ascii="宋体" w:hAnsi="宋体" w:cs="宋体"/>
          <w:color w:val="auto"/>
          <w:w w:val="100"/>
          <w:highlight w:val="none"/>
          <w:u w:val="single"/>
          <w:lang w:val="en-US" w:eastAsia="zh-CN"/>
        </w:rPr>
        <w:t>XXX</w:t>
      </w:r>
      <w:r>
        <w:rPr>
          <w:rFonts w:hint="eastAsia" w:ascii="宋体" w:hAnsi="宋体" w:eastAsia="宋体" w:cs="宋体"/>
          <w:color w:val="auto"/>
          <w:highlight w:val="none"/>
          <w:u w:val="single"/>
          <w:lang w:val="en-US" w:eastAsia="zh-CN"/>
        </w:rPr>
        <w:t>项目</w:t>
      </w:r>
      <w:r>
        <w:rPr>
          <w:rFonts w:hint="eastAsia" w:ascii="宋体" w:hAnsi="宋体" w:eastAsia="宋体" w:cs="宋体"/>
          <w:color w:val="auto"/>
          <w:highlight w:val="none"/>
        </w:rPr>
        <w:t>。</w:t>
      </w:r>
    </w:p>
    <w:p w14:paraId="263C95AB">
      <w:pPr>
        <w:spacing w:line="360" w:lineRule="auto"/>
        <w:ind w:firstLine="411" w:firstLineChars="196"/>
        <w:rPr>
          <w:rFonts w:hint="eastAsia" w:ascii="宋体" w:hAnsi="宋体" w:eastAsia="宋体" w:cs="宋体"/>
          <w:color w:val="auto"/>
          <w:highlight w:val="none"/>
        </w:rPr>
      </w:pPr>
      <w:r>
        <w:rPr>
          <w:rFonts w:hint="eastAsia" w:ascii="宋体" w:hAnsi="宋体" w:eastAsia="宋体" w:cs="宋体"/>
          <w:color w:val="auto"/>
          <w:highlight w:val="none"/>
        </w:rPr>
        <w:t>2.工程地点：</w:t>
      </w:r>
      <w:r>
        <w:rPr>
          <w:rFonts w:hint="eastAsia" w:ascii="宋体" w:hAnsi="宋体" w:eastAsia="宋体" w:cs="宋体"/>
          <w:color w:val="auto"/>
          <w:highlight w:val="none"/>
          <w:u w:val="single"/>
          <w:lang w:val="en-US" w:eastAsia="zh-CN"/>
        </w:rPr>
        <w:t>横州市</w:t>
      </w:r>
      <w:r>
        <w:rPr>
          <w:rFonts w:hint="eastAsia" w:ascii="宋体" w:hAnsi="宋体" w:cs="宋体"/>
          <w:color w:val="auto"/>
          <w:w w:val="100"/>
          <w:highlight w:val="none"/>
          <w:u w:val="single"/>
          <w:lang w:val="en-US" w:eastAsia="zh-CN"/>
        </w:rPr>
        <w:t>XXX</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w:t>
      </w:r>
    </w:p>
    <w:p w14:paraId="48118B2E">
      <w:pPr>
        <w:spacing w:line="360" w:lineRule="auto"/>
        <w:ind w:firstLine="411" w:firstLineChars="196"/>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.资金来源：</w:t>
      </w:r>
      <w:r>
        <w:rPr>
          <w:rFonts w:hint="eastAsia" w:ascii="宋体" w:hAnsi="宋体" w:eastAsia="宋体" w:cs="宋体"/>
          <w:color w:val="auto"/>
          <w:sz w:val="21"/>
          <w:highlight w:val="none"/>
          <w:u w:val="single"/>
          <w:lang w:val="en-US" w:eastAsia="zh-CN"/>
        </w:rPr>
        <w:t>财政资金</w:t>
      </w:r>
      <w:r>
        <w:rPr>
          <w:rFonts w:hint="eastAsia" w:ascii="宋体" w:hAnsi="宋体" w:eastAsia="宋体" w:cs="宋体"/>
          <w:color w:val="auto"/>
          <w:highlight w:val="none"/>
        </w:rPr>
        <w:t>。</w:t>
      </w:r>
    </w:p>
    <w:p w14:paraId="7B71BF59">
      <w:pPr>
        <w:spacing w:line="360" w:lineRule="auto"/>
        <w:ind w:firstLine="411" w:firstLineChars="196"/>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.工程内容：</w:t>
      </w:r>
      <w:r>
        <w:rPr>
          <w:rFonts w:hint="eastAsia" w:ascii="宋体" w:hAnsi="宋体" w:eastAsia="宋体" w:cs="宋体"/>
          <w:color w:val="auto"/>
          <w:highlight w:val="none"/>
          <w:u w:val="single"/>
          <w:lang w:val="en-US" w:eastAsia="zh-CN"/>
        </w:rPr>
        <w:t>横州市</w:t>
      </w:r>
      <w:r>
        <w:rPr>
          <w:rFonts w:hint="eastAsia" w:ascii="宋体" w:hAnsi="宋体" w:cs="宋体"/>
          <w:color w:val="auto"/>
          <w:highlight w:val="none"/>
          <w:u w:val="single"/>
          <w:lang w:val="en-US" w:eastAsia="zh-CN"/>
        </w:rPr>
        <w:t>XXX</w:t>
      </w:r>
      <w:r>
        <w:rPr>
          <w:rFonts w:hint="eastAsia" w:ascii="宋体" w:hAnsi="宋体" w:eastAsia="宋体" w:cs="宋体"/>
          <w:color w:val="auto"/>
          <w:highlight w:val="none"/>
          <w:u w:val="single"/>
          <w:lang w:val="en-US" w:eastAsia="zh-CN"/>
        </w:rPr>
        <w:t>项目</w:t>
      </w:r>
      <w:r>
        <w:rPr>
          <w:rFonts w:hint="eastAsia" w:ascii="宋体" w:hAnsi="宋体" w:eastAsia="宋体" w:cs="宋体"/>
          <w:color w:val="auto"/>
          <w:highlight w:val="none"/>
        </w:rPr>
        <w:t>。</w:t>
      </w:r>
    </w:p>
    <w:p w14:paraId="776ED01F">
      <w:pPr>
        <w:spacing w:line="360" w:lineRule="auto"/>
        <w:ind w:firstLine="411" w:firstLineChars="196"/>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.工程承包范围：</w:t>
      </w:r>
    </w:p>
    <w:p w14:paraId="27B179C8">
      <w:pPr>
        <w:spacing w:line="360" w:lineRule="auto"/>
        <w:ind w:firstLine="405" w:firstLineChars="193"/>
        <w:rPr>
          <w:rFonts w:hint="eastAsia" w:ascii="宋体" w:hAnsi="宋体" w:eastAsia="宋体" w:cs="宋体"/>
          <w:color w:val="000000"/>
          <w:highlight w:val="none"/>
        </w:rPr>
      </w:pP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1</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横州市</w:t>
      </w:r>
      <w:r>
        <w:rPr>
          <w:rFonts w:hint="eastAsia" w:ascii="宋体" w:hAnsi="宋体" w:cs="宋体"/>
          <w:color w:val="auto"/>
          <w:w w:val="100"/>
          <w:highlight w:val="none"/>
          <w:u w:val="single"/>
          <w:lang w:val="en-US" w:eastAsia="zh-CN"/>
        </w:rPr>
        <w:t>XXX项目</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具体</w:t>
      </w:r>
      <w:r>
        <w:rPr>
          <w:rFonts w:hint="eastAsia" w:ascii="宋体" w:hAnsi="宋体" w:eastAsia="宋体" w:cs="宋体"/>
          <w:color w:val="000000"/>
          <w:highlight w:val="none"/>
          <w:u w:val="single"/>
        </w:rPr>
        <w:t>详见施工图纸及</w:t>
      </w:r>
      <w:r>
        <w:rPr>
          <w:rFonts w:hint="eastAsia" w:ascii="宋体" w:hAnsi="宋体" w:eastAsia="宋体" w:cs="宋体"/>
          <w:color w:val="000000"/>
          <w:highlight w:val="none"/>
          <w:u w:val="single"/>
          <w:lang w:val="en-US" w:eastAsia="zh-CN"/>
        </w:rPr>
        <w:t>工程量清单</w:t>
      </w:r>
      <w:r>
        <w:rPr>
          <w:rFonts w:hint="eastAsia" w:ascii="宋体" w:hAnsi="宋体" w:eastAsia="宋体" w:cs="宋体"/>
          <w:color w:val="000000"/>
          <w:highlight w:val="none"/>
        </w:rPr>
        <w:t>。</w:t>
      </w:r>
    </w:p>
    <w:p w14:paraId="0CA2BE57">
      <w:pPr>
        <w:spacing w:line="360" w:lineRule="auto"/>
        <w:ind w:firstLine="405" w:firstLineChars="193"/>
        <w:rPr>
          <w:rFonts w:hint="eastAsia" w:ascii="宋体" w:hAnsi="宋体" w:cs="宋体"/>
          <w:color w:val="000000"/>
          <w:highlight w:val="none"/>
          <w:lang w:val="en-US" w:eastAsia="zh-CN"/>
        </w:rPr>
      </w:pPr>
      <w:r>
        <w:rPr>
          <w:rFonts w:hint="eastAsia" w:ascii="宋体" w:hAnsi="宋体" w:cs="宋体"/>
          <w:color w:val="000000"/>
          <w:highlight w:val="none"/>
          <w:lang w:val="en-US" w:eastAsia="zh-CN"/>
        </w:rPr>
        <w:t>6.工程承包方式：发包人提供建筑用水、用电，其它材料由承包人负责。</w:t>
      </w:r>
    </w:p>
    <w:p w14:paraId="2AA78E8B">
      <w:pPr>
        <w:spacing w:line="360" w:lineRule="auto"/>
        <w:ind w:firstLine="407" w:firstLineChars="193"/>
        <w:outlineLvl w:val="0"/>
        <w:rPr>
          <w:rFonts w:hint="eastAsia" w:ascii="宋体" w:hAnsi="宋体" w:eastAsia="宋体" w:cs="宋体"/>
          <w:b/>
          <w:bCs/>
          <w:color w:val="auto"/>
          <w:highlight w:val="none"/>
        </w:rPr>
      </w:pPr>
      <w:bookmarkStart w:id="26" w:name="_Toc351203482"/>
      <w:r>
        <w:rPr>
          <w:rFonts w:hint="eastAsia" w:ascii="宋体" w:hAnsi="宋体" w:eastAsia="宋体" w:cs="宋体"/>
          <w:b/>
          <w:bCs/>
          <w:color w:val="auto"/>
          <w:highlight w:val="none"/>
        </w:rPr>
        <w:t>二、合同工期</w:t>
      </w:r>
      <w:bookmarkEnd w:id="26"/>
    </w:p>
    <w:p w14:paraId="1EC6013B">
      <w:pPr>
        <w:spacing w:line="360" w:lineRule="auto"/>
        <w:ind w:firstLine="459"/>
        <w:rPr>
          <w:rFonts w:hint="eastAsia" w:ascii="宋体" w:hAnsi="宋体" w:eastAsia="宋体" w:cs="宋体"/>
          <w:color w:val="auto"/>
          <w:highlight w:val="none"/>
        </w:rPr>
      </w:pPr>
      <w:r>
        <w:rPr>
          <w:rFonts w:hint="eastAsia" w:ascii="宋体" w:hAnsi="宋体" w:eastAsia="宋体" w:cs="宋体"/>
          <w:color w:val="auto"/>
          <w:highlight w:val="none"/>
        </w:rPr>
        <w:t>计划开工日期：</w:t>
      </w:r>
      <w:r>
        <w:rPr>
          <w:rFonts w:hint="eastAsia" w:ascii="宋体" w:hAnsi="宋体" w:eastAsia="宋体" w:cs="宋体"/>
          <w:color w:val="auto"/>
          <w:highlight w:val="none"/>
          <w:u w:val="single"/>
        </w:rPr>
        <w:t></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rPr>
        <w:t></w:t>
      </w:r>
      <w:r>
        <w:rPr>
          <w:rFonts w:hint="eastAsia" w:ascii="宋体" w:hAnsi="宋体" w:eastAsia="宋体" w:cs="宋体"/>
          <w:color w:val="auto"/>
          <w:highlight w:val="none"/>
        </w:rPr>
        <w:t>日。（</w:t>
      </w:r>
      <w:r>
        <w:rPr>
          <w:rFonts w:hint="eastAsia" w:ascii="宋体" w:hAnsi="宋体" w:eastAsia="宋体" w:cs="宋体"/>
          <w:color w:val="auto"/>
          <w:highlight w:val="none"/>
          <w:lang w:val="en-US" w:eastAsia="zh-CN"/>
        </w:rPr>
        <w:t>实际开工日期</w:t>
      </w:r>
      <w:r>
        <w:rPr>
          <w:rFonts w:hint="eastAsia" w:ascii="宋体" w:hAnsi="宋体" w:eastAsia="宋体" w:cs="宋体"/>
          <w:color w:val="auto"/>
          <w:highlight w:val="none"/>
        </w:rPr>
        <w:t>以</w:t>
      </w:r>
      <w:r>
        <w:rPr>
          <w:rFonts w:hint="eastAsia" w:ascii="宋体" w:hAnsi="宋体" w:eastAsia="宋体" w:cs="宋体"/>
          <w:color w:val="auto"/>
          <w:highlight w:val="none"/>
          <w:lang w:val="en-US" w:eastAsia="zh-CN"/>
        </w:rPr>
        <w:t>开工令</w:t>
      </w:r>
      <w:r>
        <w:rPr>
          <w:rFonts w:hint="eastAsia" w:ascii="宋体" w:hAnsi="宋体" w:eastAsia="宋体" w:cs="宋体"/>
          <w:color w:val="auto"/>
          <w:highlight w:val="none"/>
        </w:rPr>
        <w:t>为准）</w:t>
      </w:r>
    </w:p>
    <w:p w14:paraId="525C04CE">
      <w:pPr>
        <w:spacing w:line="360" w:lineRule="auto"/>
        <w:ind w:firstLine="459"/>
        <w:rPr>
          <w:rFonts w:hint="eastAsia" w:ascii="宋体" w:hAnsi="宋体" w:eastAsia="宋体" w:cs="宋体"/>
          <w:color w:val="auto"/>
          <w:highlight w:val="none"/>
        </w:rPr>
      </w:pPr>
      <w:r>
        <w:rPr>
          <w:rFonts w:hint="eastAsia" w:ascii="宋体" w:hAnsi="宋体" w:eastAsia="宋体" w:cs="宋体"/>
          <w:color w:val="auto"/>
          <w:highlight w:val="none"/>
        </w:rPr>
        <w:t>计划竣工日期：</w:t>
      </w:r>
      <w:r>
        <w:rPr>
          <w:rFonts w:hint="eastAsia" w:ascii="宋体" w:hAnsi="宋体" w:eastAsia="宋体" w:cs="宋体"/>
          <w:color w:val="auto"/>
          <w:highlight w:val="none"/>
          <w:u w:val="single"/>
        </w:rPr>
        <w:t></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rPr>
        <w:t></w:t>
      </w:r>
      <w:r>
        <w:rPr>
          <w:rFonts w:hint="eastAsia" w:ascii="宋体" w:hAnsi="宋体" w:eastAsia="宋体" w:cs="宋体"/>
          <w:color w:val="auto"/>
          <w:highlight w:val="none"/>
        </w:rPr>
        <w:t>年</w:t>
      </w:r>
      <w:r>
        <w:rPr>
          <w:rFonts w:hint="eastAsia" w:ascii="宋体" w:hAnsi="宋体" w:eastAsia="宋体" w:cs="宋体"/>
          <w:color w:val="auto"/>
          <w:highlight w:val="none"/>
          <w:u w:val="single"/>
        </w:rPr>
        <w:t></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w:t>
      </w:r>
      <w:r>
        <w:rPr>
          <w:rFonts w:hint="eastAsia" w:ascii="宋体" w:hAnsi="宋体" w:eastAsia="宋体" w:cs="宋体"/>
          <w:color w:val="auto"/>
          <w:highlight w:val="none"/>
        </w:rPr>
        <w:t>日。</w:t>
      </w:r>
    </w:p>
    <w:p w14:paraId="43E433F4">
      <w:pPr>
        <w:spacing w:line="360" w:lineRule="auto"/>
        <w:ind w:firstLine="459"/>
        <w:rPr>
          <w:rFonts w:hint="eastAsia" w:ascii="宋体" w:hAnsi="宋体" w:eastAsia="宋体" w:cs="宋体"/>
          <w:color w:val="auto"/>
          <w:highlight w:val="none"/>
        </w:rPr>
      </w:pPr>
      <w:r>
        <w:rPr>
          <w:rFonts w:hint="eastAsia" w:ascii="宋体" w:hAnsi="宋体" w:eastAsia="宋体" w:cs="宋体"/>
          <w:color w:val="auto"/>
          <w:highlight w:val="none"/>
        </w:rPr>
        <w:t>工期总日历天数：</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日历</w:t>
      </w:r>
      <w:r>
        <w:rPr>
          <w:rFonts w:hint="eastAsia" w:ascii="宋体" w:hAnsi="宋体" w:eastAsia="宋体" w:cs="宋体"/>
          <w:color w:val="auto"/>
          <w:highlight w:val="none"/>
          <w:u w:val="none"/>
        </w:rPr>
        <w:t>天</w:t>
      </w:r>
      <w:r>
        <w:rPr>
          <w:rFonts w:hint="eastAsia" w:ascii="宋体" w:hAnsi="宋体" w:eastAsia="宋体" w:cs="宋体"/>
          <w:color w:val="auto"/>
          <w:highlight w:val="none"/>
        </w:rPr>
        <w:t>。工期总日历天数与根据前述计划开竣工日期计算的工期天数不一致的，以工期总日历天数为准。</w:t>
      </w:r>
    </w:p>
    <w:p w14:paraId="4E1FAA76">
      <w:pPr>
        <w:spacing w:line="360" w:lineRule="auto"/>
        <w:ind w:firstLine="459"/>
        <w:outlineLvl w:val="0"/>
        <w:rPr>
          <w:rFonts w:hint="eastAsia" w:ascii="宋体" w:hAnsi="宋体" w:eastAsia="宋体" w:cs="宋体"/>
          <w:b/>
          <w:bCs/>
          <w:color w:val="auto"/>
          <w:highlight w:val="none"/>
        </w:rPr>
      </w:pPr>
      <w:bookmarkStart w:id="27" w:name="_Toc351203483"/>
      <w:r>
        <w:rPr>
          <w:rFonts w:hint="eastAsia" w:ascii="宋体" w:hAnsi="宋体" w:eastAsia="宋体" w:cs="宋体"/>
          <w:b/>
          <w:bCs/>
          <w:color w:val="auto"/>
          <w:highlight w:val="none"/>
        </w:rPr>
        <w:t>三、质量标准</w:t>
      </w:r>
      <w:bookmarkEnd w:id="27"/>
    </w:p>
    <w:p w14:paraId="0515EC07">
      <w:pPr>
        <w:spacing w:line="360" w:lineRule="auto"/>
        <w:ind w:firstLine="459"/>
        <w:rPr>
          <w:rFonts w:hint="eastAsia" w:ascii="宋体" w:hAnsi="宋体" w:eastAsia="宋体" w:cs="宋体"/>
          <w:color w:val="auto"/>
          <w:highlight w:val="none"/>
        </w:rPr>
      </w:pPr>
      <w:r>
        <w:rPr>
          <w:rFonts w:hint="eastAsia" w:ascii="宋体" w:hAnsi="宋体" w:eastAsia="宋体" w:cs="宋体"/>
          <w:color w:val="auto"/>
          <w:highlight w:val="none"/>
        </w:rPr>
        <w:t>工程质量符合</w:t>
      </w:r>
      <w:r>
        <w:rPr>
          <w:rFonts w:hint="eastAsia" w:ascii="宋体" w:hAnsi="宋体" w:eastAsia="宋体" w:cs="宋体"/>
          <w:color w:val="auto"/>
          <w:highlight w:val="none"/>
          <w:u w:val="single"/>
        </w:rPr>
        <w:t></w:t>
      </w:r>
      <w:r>
        <w:rPr>
          <w:rFonts w:hint="eastAsia" w:ascii="宋体" w:hAnsi="宋体" w:eastAsia="宋体" w:cs="宋体"/>
          <w:color w:val="auto"/>
          <w:highlight w:val="none"/>
          <w:u w:val="single"/>
          <w:lang w:eastAsia="zh-CN"/>
        </w:rPr>
        <w:t>合格</w:t>
      </w:r>
      <w:r>
        <w:rPr>
          <w:rFonts w:hint="eastAsia" w:ascii="宋体" w:hAnsi="宋体" w:eastAsia="宋体" w:cs="宋体"/>
          <w:color w:val="auto"/>
          <w:highlight w:val="none"/>
          <w:u w:val="single"/>
        </w:rPr>
        <w:t></w:t>
      </w:r>
      <w:r>
        <w:rPr>
          <w:rFonts w:hint="eastAsia" w:ascii="宋体" w:hAnsi="宋体" w:eastAsia="宋体" w:cs="宋体"/>
          <w:color w:val="auto"/>
          <w:highlight w:val="none"/>
        </w:rPr>
        <w:t>标准。</w:t>
      </w:r>
    </w:p>
    <w:p w14:paraId="0A792E82">
      <w:pPr>
        <w:spacing w:line="360" w:lineRule="auto"/>
        <w:ind w:firstLine="459"/>
        <w:outlineLvl w:val="0"/>
        <w:rPr>
          <w:rFonts w:hint="eastAsia" w:ascii="宋体" w:hAnsi="宋体" w:eastAsia="宋体" w:cs="宋体"/>
          <w:b/>
          <w:bCs/>
          <w:color w:val="auto"/>
          <w:highlight w:val="none"/>
        </w:rPr>
      </w:pPr>
      <w:bookmarkStart w:id="28" w:name="_Toc351203484"/>
      <w:r>
        <w:rPr>
          <w:rFonts w:hint="eastAsia" w:ascii="宋体" w:hAnsi="宋体" w:eastAsia="宋体" w:cs="宋体"/>
          <w:b/>
          <w:bCs/>
          <w:color w:val="auto"/>
          <w:highlight w:val="none"/>
        </w:rPr>
        <w:t>四、签约合同价与合同价格形式</w:t>
      </w:r>
      <w:bookmarkEnd w:id="28"/>
    </w:p>
    <w:p w14:paraId="13A6E237">
      <w:pPr>
        <w:spacing w:line="360" w:lineRule="auto"/>
        <w:ind w:firstLine="459"/>
        <w:rPr>
          <w:rFonts w:hint="eastAsia" w:ascii="宋体" w:hAnsi="宋体" w:eastAsia="宋体" w:cs="宋体"/>
          <w:color w:val="auto"/>
          <w:highlight w:val="none"/>
        </w:rPr>
      </w:pPr>
      <w:r>
        <w:rPr>
          <w:rFonts w:hint="eastAsia" w:ascii="宋体" w:hAnsi="宋体" w:eastAsia="宋体" w:cs="宋体"/>
          <w:color w:val="auto"/>
          <w:highlight w:val="none"/>
        </w:rPr>
        <w:t>1. 签约合同价为：</w:t>
      </w:r>
    </w:p>
    <w:p w14:paraId="291F8916">
      <w:pPr>
        <w:spacing w:line="360" w:lineRule="auto"/>
        <w:ind w:firstLine="525" w:firstLineChars="250"/>
        <w:rPr>
          <w:rFonts w:hint="eastAsia" w:ascii="宋体" w:hAnsi="宋体" w:eastAsia="宋体" w:cs="宋体"/>
          <w:color w:val="auto"/>
          <w:highlight w:val="none"/>
        </w:rPr>
      </w:pPr>
      <w:r>
        <w:rPr>
          <w:rFonts w:hint="eastAsia" w:ascii="宋体" w:hAnsi="宋体" w:eastAsia="宋体" w:cs="宋体"/>
          <w:color w:val="auto"/>
          <w:highlight w:val="none"/>
        </w:rPr>
        <w:t>人民币（大写）</w:t>
      </w:r>
      <w:r>
        <w:rPr>
          <w:rFonts w:hint="eastAsia" w:ascii="宋体" w:hAnsi="宋体" w:eastAsia="宋体" w:cs="宋体"/>
          <w:b/>
          <w:bCs/>
          <w:color w:val="auto"/>
          <w:w w:val="100"/>
          <w:u w:val="single"/>
          <w:lang w:val="en-US" w:eastAsia="zh-CN"/>
        </w:rPr>
        <w:t xml:space="preserve">                  </w:t>
      </w:r>
      <w:r>
        <w:rPr>
          <w:rFonts w:hint="eastAsia" w:ascii="宋体" w:hAnsi="宋体" w:eastAsia="宋体" w:cs="宋体"/>
          <w:b/>
          <w:bCs/>
          <w:color w:val="auto"/>
          <w:highlight w:val="none"/>
        </w:rPr>
        <w:t>（¥</w:t>
      </w:r>
      <w:r>
        <w:rPr>
          <w:rFonts w:hint="eastAsia" w:ascii="宋体" w:hAnsi="宋体" w:eastAsia="宋体" w:cs="宋体"/>
          <w:b/>
          <w:bCs/>
          <w:color w:val="auto"/>
          <w:w w:val="100"/>
          <w:u w:val="single"/>
          <w:lang w:val="en-US" w:eastAsia="zh-CN"/>
        </w:rPr>
        <w:t xml:space="preserve">              </w:t>
      </w:r>
      <w:r>
        <w:rPr>
          <w:rFonts w:hint="eastAsia" w:ascii="宋体" w:hAnsi="宋体" w:eastAsia="宋体" w:cs="宋体"/>
          <w:b/>
          <w:bCs/>
          <w:color w:val="auto"/>
          <w:highlight w:val="none"/>
        </w:rPr>
        <w:t>元）</w:t>
      </w:r>
      <w:r>
        <w:rPr>
          <w:rFonts w:hint="eastAsia" w:ascii="宋体" w:hAnsi="宋体" w:eastAsia="宋体" w:cs="宋体"/>
          <w:color w:val="auto"/>
          <w:highlight w:val="none"/>
        </w:rPr>
        <w:t>；</w:t>
      </w:r>
    </w:p>
    <w:p w14:paraId="621394E6">
      <w:pPr>
        <w:spacing w:line="360" w:lineRule="auto"/>
        <w:ind w:firstLine="525" w:firstLineChars="250"/>
        <w:rPr>
          <w:rFonts w:hint="eastAsia" w:ascii="宋体" w:hAnsi="宋体" w:eastAsia="宋体" w:cs="宋体"/>
          <w:color w:val="auto"/>
          <w:highlight w:val="none"/>
        </w:rPr>
      </w:pPr>
      <w:r>
        <w:rPr>
          <w:rFonts w:hint="eastAsia" w:ascii="宋体" w:hAnsi="宋体" w:eastAsia="宋体" w:cs="宋体"/>
          <w:color w:val="auto"/>
          <w:highlight w:val="none"/>
        </w:rPr>
        <w:t>其中：</w:t>
      </w:r>
    </w:p>
    <w:p w14:paraId="75E7C68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（1）安全文明施工费：</w:t>
      </w:r>
    </w:p>
    <w:p w14:paraId="2E925FFF">
      <w:pPr>
        <w:spacing w:line="360" w:lineRule="auto"/>
        <w:ind w:left="420" w:leftChars="200" w:firstLine="525" w:firstLineChars="250"/>
        <w:rPr>
          <w:rFonts w:hint="eastAsia" w:ascii="宋体" w:hAnsi="宋体" w:eastAsia="宋体" w:cs="宋体"/>
          <w:color w:val="auto"/>
          <w:highlight w:val="none"/>
        </w:rPr>
      </w:pPr>
      <w:r>
        <w:rPr>
          <w:rFonts w:hint="eastAsia" w:ascii="宋体" w:hAnsi="宋体" w:eastAsia="宋体" w:cs="宋体"/>
          <w:color w:val="auto"/>
          <w:highlight w:val="none"/>
        </w:rPr>
        <w:t>人民币（大写）</w:t>
      </w:r>
      <w:r>
        <w:rPr>
          <w:rFonts w:hint="eastAsia" w:ascii="宋体" w:hAnsi="宋体" w:eastAsia="宋体" w:cs="宋体"/>
          <w:b/>
          <w:bCs/>
          <w:color w:val="auto"/>
          <w:w w:val="100"/>
          <w:u w:val="single"/>
          <w:lang w:val="en-US" w:eastAsia="zh-CN"/>
        </w:rPr>
        <w:t xml:space="preserve"> </w:t>
      </w:r>
      <w:r>
        <w:rPr>
          <w:rFonts w:hint="eastAsia" w:ascii="宋体" w:hAnsi="宋体" w:cs="宋体"/>
          <w:b/>
          <w:bCs/>
          <w:color w:val="auto"/>
          <w:w w:val="100"/>
          <w:u w:val="single"/>
          <w:lang w:val="en-US" w:eastAsia="zh-CN"/>
        </w:rPr>
        <w:t xml:space="preserve">              </w:t>
      </w:r>
      <w:r>
        <w:rPr>
          <w:rFonts w:hint="eastAsia" w:ascii="宋体" w:hAnsi="宋体" w:eastAsia="宋体" w:cs="宋体"/>
          <w:b/>
          <w:bCs/>
          <w:color w:val="auto"/>
          <w:highlight w:val="none"/>
        </w:rPr>
        <w:t>（¥</w:t>
      </w:r>
      <w:r>
        <w:rPr>
          <w:rFonts w:hint="eastAsia" w:ascii="宋体" w:hAnsi="宋体" w:eastAsia="宋体" w:cs="宋体"/>
          <w:b/>
          <w:bCs/>
          <w:color w:val="auto"/>
          <w:w w:val="100"/>
          <w:u w:val="single"/>
        </w:rPr>
        <w:t xml:space="preserve"> </w:t>
      </w:r>
      <w:r>
        <w:rPr>
          <w:rFonts w:hint="eastAsia" w:ascii="宋体" w:hAnsi="宋体" w:eastAsia="宋体" w:cs="宋体"/>
          <w:b/>
          <w:bCs/>
          <w:color w:val="auto"/>
          <w:w w:val="100"/>
          <w:u w:val="single"/>
          <w:lang w:val="en-US" w:eastAsia="zh-CN"/>
        </w:rPr>
        <w:t xml:space="preserve">            </w:t>
      </w:r>
      <w:r>
        <w:rPr>
          <w:rFonts w:hint="eastAsia" w:ascii="宋体" w:hAnsi="宋体" w:eastAsia="宋体" w:cs="宋体"/>
          <w:b/>
          <w:bCs/>
          <w:color w:val="auto"/>
          <w:highlight w:val="none"/>
        </w:rPr>
        <w:t>元）</w:t>
      </w:r>
      <w:r>
        <w:rPr>
          <w:rFonts w:hint="eastAsia" w:ascii="宋体" w:hAnsi="宋体" w:eastAsia="宋体" w:cs="宋体"/>
          <w:color w:val="auto"/>
          <w:highlight w:val="none"/>
        </w:rPr>
        <w:t>；</w:t>
      </w:r>
    </w:p>
    <w:p w14:paraId="35FABBC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（2）材料和工程设备暂估价金额：</w:t>
      </w:r>
    </w:p>
    <w:p w14:paraId="133BBDCB">
      <w:pPr>
        <w:spacing w:line="360" w:lineRule="auto"/>
        <w:ind w:firstLine="945" w:firstLineChars="450"/>
        <w:rPr>
          <w:rFonts w:hint="eastAsia" w:ascii="宋体" w:hAnsi="宋体" w:eastAsia="宋体" w:cs="宋体"/>
          <w:color w:val="auto"/>
          <w:highlight w:val="none"/>
        </w:rPr>
        <w:sectPr>
          <w:headerReference r:id="rId78" w:type="default"/>
          <w:footerReference r:id="rId79" w:type="default"/>
          <w:pgSz w:w="11905" w:h="16838"/>
          <w:pgMar w:top="1134" w:right="1134" w:bottom="1134" w:left="1134" w:header="720" w:footer="720" w:gutter="0"/>
          <w:pgNumType w:fmt="decimal"/>
          <w:cols w:space="720" w:num="1"/>
          <w:docGrid w:type="lines" w:linePitch="331" w:charSpace="0"/>
        </w:sectPr>
      </w:pPr>
    </w:p>
    <w:p w14:paraId="0C320504">
      <w:pPr>
        <w:spacing w:line="360" w:lineRule="auto"/>
        <w:ind w:firstLine="945" w:firstLineChars="450"/>
        <w:rPr>
          <w:rFonts w:hint="eastAsia" w:ascii="宋体" w:hAnsi="宋体" w:eastAsia="宋体" w:cs="宋体"/>
          <w:color w:val="auto"/>
          <w:highlight w:val="none"/>
        </w:rPr>
      </w:pPr>
      <w:r>
        <w:rPr>
          <w:rFonts w:hint="eastAsia" w:ascii="宋体" w:hAnsi="宋体" w:eastAsia="宋体" w:cs="宋体"/>
          <w:color w:val="auto"/>
          <w:highlight w:val="none"/>
        </w:rPr>
        <w:t>人民币（大写）</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w:t>
      </w:r>
    </w:p>
    <w:p w14:paraId="117D87B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（3）专业工程暂估价金额：</w:t>
      </w:r>
    </w:p>
    <w:p w14:paraId="7B7C5BD7">
      <w:pPr>
        <w:spacing w:line="360" w:lineRule="auto"/>
        <w:ind w:firstLine="945" w:firstLineChars="450"/>
        <w:rPr>
          <w:rFonts w:hint="eastAsia" w:ascii="宋体" w:hAnsi="宋体" w:eastAsia="宋体" w:cs="宋体"/>
          <w:color w:val="auto"/>
          <w:highlight w:val="none"/>
        </w:rPr>
      </w:pPr>
      <w:r>
        <w:rPr>
          <w:rFonts w:hint="eastAsia" w:ascii="宋体" w:hAnsi="宋体" w:eastAsia="宋体" w:cs="宋体"/>
          <w:color w:val="auto"/>
          <w:highlight w:val="none"/>
        </w:rPr>
        <w:t>人民币（大写）</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w:t>
      </w:r>
    </w:p>
    <w:p w14:paraId="0F274F5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（4）暂列金额：</w:t>
      </w:r>
    </w:p>
    <w:p w14:paraId="50BDF25C">
      <w:pPr>
        <w:spacing w:line="360" w:lineRule="auto"/>
        <w:ind w:firstLine="945" w:firstLineChars="450"/>
        <w:rPr>
          <w:rFonts w:hint="eastAsia" w:ascii="宋体" w:hAnsi="宋体" w:eastAsia="宋体" w:cs="宋体"/>
          <w:color w:val="auto"/>
          <w:highlight w:val="none"/>
        </w:rPr>
      </w:pPr>
      <w:r>
        <w:rPr>
          <w:rFonts w:hint="eastAsia" w:ascii="宋体" w:hAnsi="宋体" w:eastAsia="宋体" w:cs="宋体"/>
          <w:color w:val="auto"/>
          <w:highlight w:val="none"/>
        </w:rPr>
        <w:t>人民币（大写）</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w:t>
      </w:r>
    </w:p>
    <w:p w14:paraId="2C36A2D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 合同价格形式：</w:t>
      </w:r>
      <w:r>
        <w:rPr>
          <w:rFonts w:hint="eastAsia" w:ascii="宋体" w:hAnsi="宋体" w:eastAsia="宋体" w:cs="宋体"/>
          <w:color w:val="auto"/>
          <w:highlight w:val="none"/>
          <w:u w:val="single"/>
        </w:rPr>
        <w:t xml:space="preserve"> </w:t>
      </w:r>
      <w:r>
        <w:rPr>
          <w:rFonts w:hint="eastAsia" w:ascii="宋体" w:hAnsi="宋体" w:eastAsia="宋体" w:cs="宋体"/>
          <w:color w:val="000000"/>
          <w:sz w:val="21"/>
          <w:u w:val="single"/>
          <w:lang w:eastAsia="zh-CN"/>
        </w:rPr>
        <w:t>单价合同</w:t>
      </w:r>
      <w:r>
        <w:rPr>
          <w:rFonts w:hint="eastAsia" w:ascii="宋体" w:hAnsi="宋体" w:cs="宋体"/>
          <w:color w:val="000000"/>
          <w:sz w:val="21"/>
          <w:u w:val="single"/>
          <w:lang w:val="en-US" w:eastAsia="zh-CN"/>
        </w:rPr>
        <w:t xml:space="preserve"> </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w:t>
      </w:r>
    </w:p>
    <w:p w14:paraId="35248640">
      <w:pPr>
        <w:spacing w:line="360" w:lineRule="auto"/>
        <w:ind w:firstLine="422" w:firstLineChars="200"/>
        <w:outlineLvl w:val="0"/>
        <w:rPr>
          <w:rFonts w:hint="eastAsia" w:ascii="宋体" w:hAnsi="宋体" w:eastAsia="宋体" w:cs="宋体"/>
          <w:b/>
          <w:bCs/>
          <w:color w:val="auto"/>
          <w:highlight w:val="none"/>
        </w:rPr>
      </w:pPr>
      <w:bookmarkStart w:id="29" w:name="_Toc351203485"/>
      <w:r>
        <w:rPr>
          <w:rFonts w:hint="eastAsia" w:ascii="宋体" w:hAnsi="宋体" w:eastAsia="宋体" w:cs="宋体"/>
          <w:b/>
          <w:bCs/>
          <w:color w:val="auto"/>
          <w:highlight w:val="none"/>
        </w:rPr>
        <w:t>五、</w:t>
      </w:r>
      <w:bookmarkEnd w:id="29"/>
      <w:r>
        <w:rPr>
          <w:rFonts w:hint="eastAsia" w:ascii="宋体" w:hAnsi="宋体" w:eastAsia="宋体" w:cs="宋体"/>
          <w:b/>
          <w:bCs/>
          <w:color w:val="auto"/>
          <w:highlight w:val="none"/>
        </w:rPr>
        <w:t>项目经理</w:t>
      </w:r>
    </w:p>
    <w:p w14:paraId="6EF5633F">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承包人项目经理</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u w:val="single"/>
          <w:lang w:val="en-US" w:eastAsia="zh-CN"/>
        </w:rPr>
        <w:t xml:space="preserve">  </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u w:val="single"/>
          <w:lang w:val="en-US" w:eastAsia="zh-CN"/>
        </w:rPr>
        <w:t xml:space="preserve">  </w:t>
      </w:r>
      <w:r>
        <w:rPr>
          <w:rFonts w:hint="eastAsia" w:ascii="宋体" w:hAnsi="宋体" w:eastAsia="宋体" w:cs="宋体"/>
          <w:b/>
          <w:bCs/>
          <w:color w:val="auto"/>
          <w:sz w:val="21"/>
          <w:szCs w:val="21"/>
          <w:highlight w:val="none"/>
        </w:rPr>
        <w:t>。</w:t>
      </w:r>
    </w:p>
    <w:p w14:paraId="2D0E3034">
      <w:pPr>
        <w:spacing w:line="360" w:lineRule="auto"/>
        <w:ind w:firstLine="422" w:firstLineChars="200"/>
        <w:outlineLvl w:val="0"/>
        <w:rPr>
          <w:rFonts w:hint="eastAsia" w:ascii="宋体" w:hAnsi="宋体" w:eastAsia="宋体" w:cs="宋体"/>
          <w:b/>
          <w:bCs/>
          <w:color w:val="auto"/>
          <w:highlight w:val="none"/>
        </w:rPr>
      </w:pPr>
      <w:bookmarkStart w:id="30" w:name="_Toc351203486"/>
      <w:r>
        <w:rPr>
          <w:rFonts w:hint="eastAsia" w:ascii="宋体" w:hAnsi="宋体" w:eastAsia="宋体" w:cs="宋体"/>
          <w:b/>
          <w:bCs/>
          <w:color w:val="auto"/>
          <w:highlight w:val="none"/>
        </w:rPr>
        <w:t>六、合同文件构成</w:t>
      </w:r>
      <w:bookmarkEnd w:id="30"/>
    </w:p>
    <w:p w14:paraId="5202363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本协议书与下列文件一起构成合同文件：</w:t>
      </w:r>
    </w:p>
    <w:p w14:paraId="0667E55D">
      <w:pPr>
        <w:autoSpaceDE w:val="0"/>
        <w:autoSpaceDN w:val="0"/>
        <w:adjustRightInd w:val="0"/>
        <w:spacing w:line="360" w:lineRule="auto"/>
        <w:ind w:firstLine="420" w:firstLineChars="200"/>
        <w:jc w:val="left"/>
        <w:rPr>
          <w:rFonts w:hint="eastAsia" w:ascii="宋体" w:hAnsi="宋体" w:eastAsia="宋体" w:cs="宋体"/>
          <w:color w:val="000000"/>
          <w:highlight w:val="none"/>
        </w:rPr>
      </w:pPr>
      <w:r>
        <w:rPr>
          <w:rFonts w:hint="eastAsia" w:ascii="宋体" w:hAnsi="宋体" w:eastAsia="宋体" w:cs="宋体"/>
          <w:color w:val="000000"/>
          <w:highlight w:val="none"/>
        </w:rPr>
        <w:t>（1）专用合同条款及其附件；</w:t>
      </w:r>
    </w:p>
    <w:p w14:paraId="137F6459">
      <w:pPr>
        <w:autoSpaceDE w:val="0"/>
        <w:autoSpaceDN w:val="0"/>
        <w:adjustRightInd w:val="0"/>
        <w:spacing w:line="360" w:lineRule="auto"/>
        <w:ind w:firstLine="420" w:firstLineChars="200"/>
        <w:jc w:val="left"/>
        <w:rPr>
          <w:rFonts w:hint="eastAsia" w:ascii="宋体" w:hAnsi="宋体" w:eastAsia="宋体" w:cs="宋体"/>
          <w:color w:val="000000"/>
          <w:highlight w:val="none"/>
        </w:rPr>
      </w:pPr>
      <w:r>
        <w:rPr>
          <w:rFonts w:hint="eastAsia" w:ascii="宋体" w:hAnsi="宋体" w:eastAsia="宋体" w:cs="宋体"/>
          <w:color w:val="000000"/>
          <w:highlight w:val="none"/>
        </w:rPr>
        <w:t xml:space="preserve">（2）通用合同条款； </w:t>
      </w:r>
    </w:p>
    <w:p w14:paraId="3B297391">
      <w:pPr>
        <w:autoSpaceDE w:val="0"/>
        <w:autoSpaceDN w:val="0"/>
        <w:adjustRightInd w:val="0"/>
        <w:spacing w:line="360" w:lineRule="auto"/>
        <w:ind w:firstLine="420" w:firstLineChars="200"/>
        <w:jc w:val="left"/>
        <w:rPr>
          <w:rFonts w:hint="eastAsia" w:ascii="宋体" w:hAnsi="宋体" w:eastAsia="宋体" w:cs="宋体"/>
          <w:color w:val="000000"/>
          <w:highlight w:val="none"/>
        </w:rPr>
      </w:pPr>
      <w:r>
        <w:rPr>
          <w:rFonts w:hint="eastAsia" w:ascii="宋体" w:hAnsi="宋体" w:eastAsia="宋体" w:cs="宋体"/>
          <w:color w:val="000000"/>
          <w:highlight w:val="none"/>
        </w:rPr>
        <w:t>（3）</w:t>
      </w:r>
      <w:r>
        <w:rPr>
          <w:rFonts w:hint="eastAsia" w:ascii="宋体" w:hAnsi="宋体" w:eastAsia="宋体" w:cs="宋体"/>
          <w:color w:val="000000"/>
          <w:sz w:val="21"/>
          <w:u w:val="single"/>
        </w:rPr>
        <w:t>技术标准和要求</w:t>
      </w:r>
      <w:r>
        <w:rPr>
          <w:rFonts w:hint="eastAsia" w:ascii="宋体" w:hAnsi="宋体" w:eastAsia="宋体" w:cs="宋体"/>
          <w:color w:val="000000"/>
          <w:highlight w:val="none"/>
        </w:rPr>
        <w:t>；</w:t>
      </w:r>
    </w:p>
    <w:p w14:paraId="073B0DC2">
      <w:pPr>
        <w:autoSpaceDE w:val="0"/>
        <w:autoSpaceDN w:val="0"/>
        <w:adjustRightInd w:val="0"/>
        <w:spacing w:line="360" w:lineRule="auto"/>
        <w:ind w:firstLine="420" w:firstLineChars="200"/>
        <w:jc w:val="left"/>
        <w:rPr>
          <w:rFonts w:hint="eastAsia" w:ascii="宋体" w:hAnsi="宋体" w:eastAsia="宋体" w:cs="宋体"/>
          <w:color w:val="000000"/>
          <w:highlight w:val="none"/>
        </w:rPr>
      </w:pPr>
      <w:r>
        <w:rPr>
          <w:rFonts w:hint="eastAsia" w:ascii="宋体" w:hAnsi="宋体" w:eastAsia="宋体" w:cs="宋体"/>
          <w:color w:val="000000"/>
          <w:highlight w:val="none"/>
        </w:rPr>
        <w:t>（4）</w:t>
      </w:r>
      <w:r>
        <w:rPr>
          <w:rFonts w:hint="eastAsia" w:ascii="宋体" w:hAnsi="宋体" w:eastAsia="宋体" w:cs="宋体"/>
          <w:color w:val="000000"/>
          <w:sz w:val="21"/>
          <w:u w:val="single"/>
        </w:rPr>
        <w:t>已标价工程量清单或工程预算书</w:t>
      </w:r>
      <w:r>
        <w:rPr>
          <w:rFonts w:hint="eastAsia" w:ascii="宋体" w:hAnsi="宋体" w:eastAsia="宋体" w:cs="宋体"/>
          <w:color w:val="000000"/>
          <w:highlight w:val="none"/>
        </w:rPr>
        <w:t>；</w:t>
      </w:r>
    </w:p>
    <w:p w14:paraId="70A66186">
      <w:pPr>
        <w:autoSpaceDE w:val="0"/>
        <w:autoSpaceDN w:val="0"/>
        <w:adjustRightInd w:val="0"/>
        <w:spacing w:line="360" w:lineRule="auto"/>
        <w:ind w:firstLine="420" w:firstLineChars="200"/>
        <w:jc w:val="left"/>
        <w:rPr>
          <w:rFonts w:hint="eastAsia" w:ascii="宋体" w:hAnsi="宋体" w:eastAsia="宋体" w:cs="宋体"/>
          <w:color w:val="000000"/>
          <w:highlight w:val="none"/>
        </w:rPr>
      </w:pPr>
      <w:r>
        <w:rPr>
          <w:rFonts w:hint="eastAsia" w:ascii="宋体" w:hAnsi="宋体" w:eastAsia="宋体" w:cs="宋体"/>
          <w:color w:val="000000"/>
          <w:highlight w:val="none"/>
        </w:rPr>
        <w:t>（5）</w:t>
      </w:r>
      <w:r>
        <w:rPr>
          <w:rFonts w:hint="eastAsia" w:ascii="宋体" w:hAnsi="宋体" w:eastAsia="宋体" w:cs="宋体"/>
          <w:color w:val="000000"/>
          <w:u w:val="single"/>
          <w:lang w:val="en-US" w:eastAsia="zh-CN"/>
        </w:rPr>
        <w:t>图纸</w:t>
      </w:r>
      <w:r>
        <w:rPr>
          <w:rFonts w:hint="eastAsia" w:ascii="宋体" w:hAnsi="宋体" w:eastAsia="宋体" w:cs="宋体"/>
          <w:color w:val="000000"/>
          <w:highlight w:val="none"/>
        </w:rPr>
        <w:t>；</w:t>
      </w:r>
    </w:p>
    <w:p w14:paraId="46663F0A">
      <w:pPr>
        <w:autoSpaceDE w:val="0"/>
        <w:autoSpaceDN w:val="0"/>
        <w:adjustRightInd w:val="0"/>
        <w:spacing w:line="360" w:lineRule="auto"/>
        <w:ind w:firstLine="420" w:firstLineChars="200"/>
        <w:jc w:val="left"/>
        <w:rPr>
          <w:rFonts w:hint="eastAsia" w:ascii="宋体" w:hAnsi="宋体" w:eastAsia="宋体" w:cs="宋体"/>
          <w:color w:val="000000"/>
          <w:highlight w:val="none"/>
        </w:rPr>
      </w:pPr>
      <w:r>
        <w:rPr>
          <w:rFonts w:hint="eastAsia" w:ascii="宋体" w:hAnsi="宋体" w:eastAsia="宋体" w:cs="宋体"/>
          <w:color w:val="000000"/>
          <w:highlight w:val="none"/>
        </w:rPr>
        <w:t>（6）其他合同文件；</w:t>
      </w:r>
    </w:p>
    <w:p w14:paraId="30A96348">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上述各项合同文件包括合同当事人就该项合同文件所作出的补充和修改，属于同一类内容的文件，应以最新签署的为准（违反招标文件实质性内容的约定除外）。专用合同条款及其附件须经合同当事人签字或盖章。</w:t>
      </w:r>
    </w:p>
    <w:p w14:paraId="424070ED">
      <w:pPr>
        <w:autoSpaceDE w:val="0"/>
        <w:autoSpaceDN w:val="0"/>
        <w:adjustRightInd w:val="0"/>
        <w:spacing w:line="360" w:lineRule="auto"/>
        <w:ind w:firstLine="422" w:firstLineChars="200"/>
        <w:jc w:val="left"/>
        <w:outlineLvl w:val="0"/>
        <w:rPr>
          <w:rFonts w:hint="eastAsia" w:ascii="宋体" w:hAnsi="宋体" w:eastAsia="宋体" w:cs="宋体"/>
          <w:b/>
          <w:bCs/>
          <w:color w:val="auto"/>
          <w:highlight w:val="none"/>
        </w:rPr>
      </w:pPr>
      <w:bookmarkStart w:id="31" w:name="_Toc351203487"/>
      <w:r>
        <w:rPr>
          <w:rFonts w:hint="eastAsia" w:ascii="宋体" w:hAnsi="宋体" w:eastAsia="宋体" w:cs="宋体"/>
          <w:b/>
          <w:bCs/>
          <w:color w:val="auto"/>
          <w:highlight w:val="none"/>
        </w:rPr>
        <w:t>七、承诺</w:t>
      </w:r>
      <w:bookmarkEnd w:id="31"/>
    </w:p>
    <w:p w14:paraId="3935BEE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 发包人承诺按照法律规定履行项目审批手续、筹集工程建设资金并按照合同约定的期限和方式支付合同价款。</w:t>
      </w:r>
    </w:p>
    <w:p w14:paraId="7519B51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 承包人承诺按照法律规定及合同约定组织完成工程施工，确保工程质量和安全，不进行转包及违法分包，并在缺陷责任期及保修期内承担相应的工程维修责任。</w:t>
      </w:r>
    </w:p>
    <w:p w14:paraId="4E18BAA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 发包人和承包人通过招投标形式</w:t>
      </w:r>
      <w:r>
        <w:rPr>
          <w:rFonts w:hint="eastAsia" w:ascii="宋体" w:hAnsi="宋体" w:eastAsia="宋体" w:cs="宋体"/>
          <w:color w:val="auto"/>
          <w:highlight w:val="none"/>
          <w:lang w:val="en-US" w:eastAsia="zh-CN"/>
        </w:rPr>
        <w:t>/定点采购方式</w:t>
      </w:r>
      <w:r>
        <w:rPr>
          <w:rFonts w:hint="eastAsia" w:ascii="宋体" w:hAnsi="宋体" w:eastAsia="宋体" w:cs="宋体"/>
          <w:color w:val="auto"/>
          <w:highlight w:val="none"/>
        </w:rPr>
        <w:t>签订合同的，双方理解并承诺不再就同一工程另行签订与合同实质性内容相背离的协议。</w:t>
      </w:r>
      <w:bookmarkStart w:id="32" w:name="_Toc351203488"/>
    </w:p>
    <w:p w14:paraId="31A67818">
      <w:pPr>
        <w:spacing w:line="360" w:lineRule="auto"/>
        <w:ind w:firstLine="422" w:firstLineChars="200"/>
        <w:outlineLvl w:val="0"/>
        <w:rPr>
          <w:rFonts w:hint="eastAsia" w:ascii="宋体" w:hAnsi="宋体" w:eastAsia="宋体" w:cs="宋体"/>
          <w:b/>
          <w:bCs/>
          <w:color w:val="auto"/>
          <w:highlight w:val="none"/>
        </w:rPr>
      </w:pPr>
      <w:r>
        <w:rPr>
          <w:rFonts w:hint="eastAsia" w:ascii="宋体" w:hAnsi="宋体" w:eastAsia="宋体" w:cs="宋体"/>
          <w:b/>
          <w:bCs/>
          <w:color w:val="auto"/>
          <w:highlight w:val="none"/>
        </w:rPr>
        <w:t>八、词语含义</w:t>
      </w:r>
      <w:bookmarkEnd w:id="32"/>
    </w:p>
    <w:p w14:paraId="2D72909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本协议书中词语含义与第二部分通用合同条款中赋予的含义相同。</w:t>
      </w:r>
    </w:p>
    <w:p w14:paraId="5B1E81CE">
      <w:pPr>
        <w:spacing w:line="360" w:lineRule="auto"/>
        <w:ind w:firstLine="422" w:firstLineChars="200"/>
        <w:outlineLvl w:val="0"/>
        <w:rPr>
          <w:rFonts w:hint="eastAsia" w:ascii="宋体" w:hAnsi="宋体" w:eastAsia="宋体" w:cs="宋体"/>
          <w:b/>
          <w:bCs/>
          <w:color w:val="auto"/>
          <w:highlight w:val="none"/>
        </w:rPr>
      </w:pPr>
      <w:bookmarkStart w:id="33" w:name="_Toc351203489"/>
      <w:r>
        <w:rPr>
          <w:rFonts w:hint="eastAsia" w:ascii="宋体" w:hAnsi="宋体" w:eastAsia="宋体" w:cs="宋体"/>
          <w:b/>
          <w:bCs/>
          <w:color w:val="auto"/>
          <w:highlight w:val="none"/>
        </w:rPr>
        <w:t>九、签订时间</w:t>
      </w:r>
      <w:bookmarkEnd w:id="33"/>
    </w:p>
    <w:p w14:paraId="41056DB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本合同于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日签订。</w:t>
      </w:r>
    </w:p>
    <w:p w14:paraId="1F433FE6">
      <w:pPr>
        <w:spacing w:line="360" w:lineRule="auto"/>
        <w:ind w:firstLine="422" w:firstLineChars="200"/>
        <w:outlineLvl w:val="0"/>
        <w:rPr>
          <w:rFonts w:hint="eastAsia" w:ascii="宋体" w:hAnsi="宋体" w:eastAsia="宋体" w:cs="宋体"/>
          <w:b/>
          <w:bCs/>
          <w:color w:val="auto"/>
          <w:highlight w:val="none"/>
        </w:rPr>
      </w:pPr>
      <w:bookmarkStart w:id="34" w:name="_Toc351203490"/>
      <w:r>
        <w:rPr>
          <w:rFonts w:hint="eastAsia" w:ascii="宋体" w:hAnsi="宋体" w:eastAsia="宋体" w:cs="宋体"/>
          <w:b/>
          <w:bCs/>
          <w:color w:val="auto"/>
          <w:highlight w:val="none"/>
        </w:rPr>
        <w:t>十、签订地点</w:t>
      </w:r>
      <w:bookmarkEnd w:id="34"/>
    </w:p>
    <w:p w14:paraId="688708A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本合同在</w:t>
      </w:r>
      <w:r>
        <w:rPr>
          <w:rFonts w:hint="eastAsia" w:ascii="宋体" w:hAnsi="宋体" w:eastAsia="宋体" w:cs="宋体"/>
          <w:color w:val="000000"/>
          <w:highlight w:val="none"/>
          <w:u w:val="single"/>
        </w:rPr>
        <w:t xml:space="preserve"> </w:t>
      </w:r>
      <w:r>
        <w:rPr>
          <w:rFonts w:hint="eastAsia" w:ascii="宋体" w:hAnsi="宋体" w:eastAsia="宋体" w:cs="宋体"/>
          <w:color w:val="000000"/>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签订。</w:t>
      </w:r>
    </w:p>
    <w:p w14:paraId="22BB23AF">
      <w:pPr>
        <w:spacing w:line="360" w:lineRule="auto"/>
        <w:ind w:firstLine="422" w:firstLineChars="200"/>
        <w:outlineLvl w:val="0"/>
        <w:rPr>
          <w:rFonts w:hint="eastAsia" w:ascii="宋体" w:hAnsi="宋体" w:eastAsia="宋体" w:cs="宋体"/>
          <w:b/>
          <w:bCs/>
          <w:color w:val="auto"/>
          <w:highlight w:val="none"/>
        </w:rPr>
      </w:pPr>
      <w:bookmarkStart w:id="35" w:name="_Toc351203491"/>
      <w:r>
        <w:rPr>
          <w:rFonts w:hint="eastAsia" w:ascii="宋体" w:hAnsi="宋体" w:eastAsia="宋体" w:cs="宋体"/>
          <w:b/>
          <w:bCs/>
          <w:color w:val="auto"/>
          <w:highlight w:val="none"/>
        </w:rPr>
        <w:t>十一、补充协议</w:t>
      </w:r>
      <w:bookmarkEnd w:id="35"/>
    </w:p>
    <w:p w14:paraId="6301617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合同未尽事宜，合同当事人另行签订补充协议，补充协议是合同的组成部分。</w:t>
      </w:r>
    </w:p>
    <w:p w14:paraId="33D5A1A5">
      <w:pPr>
        <w:spacing w:line="360" w:lineRule="auto"/>
        <w:ind w:firstLine="422" w:firstLineChars="200"/>
        <w:outlineLvl w:val="0"/>
        <w:rPr>
          <w:rFonts w:hint="eastAsia" w:ascii="宋体" w:hAnsi="宋体" w:eastAsia="宋体" w:cs="宋体"/>
          <w:b/>
          <w:bCs/>
          <w:color w:val="auto"/>
          <w:highlight w:val="none"/>
        </w:rPr>
      </w:pPr>
      <w:bookmarkStart w:id="36" w:name="_Toc351203492"/>
      <w:r>
        <w:rPr>
          <w:rFonts w:hint="eastAsia" w:ascii="宋体" w:hAnsi="宋体" w:eastAsia="宋体" w:cs="宋体"/>
          <w:b/>
          <w:bCs/>
          <w:color w:val="auto"/>
          <w:highlight w:val="none"/>
        </w:rPr>
        <w:t>十二、合同生效</w:t>
      </w:r>
      <w:bookmarkEnd w:id="36"/>
    </w:p>
    <w:p w14:paraId="182F6AE9">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本合同自</w:t>
      </w:r>
      <w:r>
        <w:rPr>
          <w:rFonts w:hint="eastAsia" w:ascii="宋体" w:hAnsi="宋体" w:eastAsia="宋体" w:cs="宋体"/>
          <w:color w:val="000000"/>
          <w:u w:val="single"/>
          <w:lang w:eastAsia="zh-CN"/>
        </w:rPr>
        <w:t>双方法定代表人签字（或签章）且加盖单位印章后</w:t>
      </w:r>
      <w:r>
        <w:rPr>
          <w:rFonts w:hint="eastAsia" w:ascii="宋体" w:hAnsi="宋体" w:eastAsia="宋体" w:cs="宋体"/>
          <w:color w:val="000000"/>
          <w:highlight w:val="none"/>
        </w:rPr>
        <w:t>生效。</w:t>
      </w:r>
    </w:p>
    <w:p w14:paraId="4F375A9A">
      <w:pPr>
        <w:spacing w:line="360" w:lineRule="auto"/>
        <w:ind w:firstLine="422" w:firstLineChars="200"/>
        <w:outlineLvl w:val="0"/>
        <w:rPr>
          <w:rFonts w:hint="eastAsia" w:ascii="宋体" w:hAnsi="宋体" w:eastAsia="宋体" w:cs="宋体"/>
          <w:b/>
          <w:bCs/>
          <w:color w:val="000000"/>
          <w:highlight w:val="none"/>
        </w:rPr>
      </w:pPr>
      <w:bookmarkStart w:id="37" w:name="_Toc351203493"/>
      <w:r>
        <w:rPr>
          <w:rFonts w:hint="eastAsia" w:ascii="宋体" w:hAnsi="宋体" w:eastAsia="宋体" w:cs="宋体"/>
          <w:b/>
          <w:bCs/>
          <w:color w:val="000000"/>
          <w:highlight w:val="none"/>
        </w:rPr>
        <w:t>十三、合同份数</w:t>
      </w:r>
      <w:bookmarkEnd w:id="37"/>
    </w:p>
    <w:p w14:paraId="0B5E02AA">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本合同一式</w:t>
      </w:r>
      <w:r>
        <w:rPr>
          <w:rFonts w:hint="eastAsia" w:ascii="宋体" w:hAnsi="宋体" w:eastAsia="宋体" w:cs="宋体"/>
          <w:color w:val="000000"/>
          <w:highlight w:val="none"/>
          <w:u w:val="single"/>
        </w:rPr>
        <w:t xml:space="preserve"> </w:t>
      </w:r>
      <w:r>
        <w:rPr>
          <w:rFonts w:hint="eastAsia" w:ascii="宋体" w:hAnsi="宋体" w:cs="宋体"/>
          <w:color w:val="000000"/>
          <w:highlight w:val="none"/>
          <w:u w:val="single"/>
          <w:lang w:eastAsia="zh-CN"/>
        </w:rPr>
        <w:t>陆</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份，均具有同等法律效力，发包人执</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u w:val="single"/>
          <w:lang w:eastAsia="zh-CN"/>
        </w:rPr>
        <w:t>肆</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份，承包人执</w:t>
      </w:r>
      <w:r>
        <w:rPr>
          <w:rFonts w:hint="eastAsia" w:ascii="宋体" w:hAnsi="宋体" w:eastAsia="宋体" w:cs="宋体"/>
          <w:color w:val="000000"/>
          <w:highlight w:val="none"/>
          <w:u w:val="single"/>
        </w:rPr>
        <w:t xml:space="preserve"> </w:t>
      </w:r>
      <w:r>
        <w:rPr>
          <w:rFonts w:hint="eastAsia" w:ascii="宋体" w:hAnsi="宋体" w:cs="宋体"/>
          <w:color w:val="000000"/>
          <w:highlight w:val="none"/>
          <w:u w:val="single"/>
          <w:lang w:eastAsia="zh-CN"/>
        </w:rPr>
        <w:t>贰</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份。</w:t>
      </w:r>
    </w:p>
    <w:p w14:paraId="023F26C5">
      <w:pPr>
        <w:spacing w:line="360" w:lineRule="auto"/>
        <w:rPr>
          <w:rFonts w:hint="eastAsia" w:ascii="宋体" w:hAnsi="宋体" w:eastAsia="宋体" w:cs="宋体"/>
          <w:color w:val="000000"/>
          <w:highlight w:val="none"/>
        </w:rPr>
      </w:pPr>
    </w:p>
    <w:p w14:paraId="63ECEBA0">
      <w:pPr>
        <w:rPr>
          <w:rFonts w:hint="eastAsia" w:ascii="宋体" w:hAnsi="宋体" w:eastAsia="宋体" w:cs="宋体"/>
          <w:color w:val="000000"/>
          <w:highlight w:val="none"/>
        </w:rPr>
      </w:pPr>
      <w:r>
        <w:rPr>
          <w:rFonts w:hint="eastAsia" w:ascii="宋体" w:hAnsi="宋体" w:eastAsia="宋体" w:cs="宋体"/>
          <w:color w:val="000000"/>
          <w:highlight w:val="none"/>
        </w:rPr>
        <w:t>发包人：</w:t>
      </w:r>
      <w:r>
        <w:rPr>
          <w:rFonts w:hint="eastAsia" w:ascii="宋体" w:hAnsi="宋体" w:eastAsia="宋体" w:cs="宋体"/>
          <w:color w:val="000000"/>
          <w:spacing w:val="-1"/>
          <w:sz w:val="21"/>
          <w:u w:val="none"/>
          <w:lang w:val="en-US" w:eastAsia="zh-CN"/>
        </w:rPr>
        <w:t xml:space="preserve">             </w:t>
      </w:r>
      <w:r>
        <w:rPr>
          <w:rFonts w:hint="eastAsia" w:ascii="宋体" w:hAnsi="宋体" w:eastAsia="宋体" w:cs="宋体"/>
          <w:color w:val="000000"/>
          <w:highlight w:val="none"/>
        </w:rPr>
        <w:t xml:space="preserve">（公章）             </w:t>
      </w:r>
      <w:r>
        <w:rPr>
          <w:rFonts w:hint="eastAsia" w:ascii="宋体" w:hAnsi="宋体" w:cs="宋体"/>
          <w:color w:val="000000"/>
          <w:highlight w:val="none"/>
          <w:lang w:val="en-US" w:eastAsia="zh-CN"/>
        </w:rPr>
        <w:t xml:space="preserve"> </w:t>
      </w:r>
      <w:r>
        <w:rPr>
          <w:rFonts w:hint="eastAsia" w:ascii="宋体" w:hAnsi="宋体" w:eastAsia="宋体" w:cs="宋体"/>
          <w:color w:val="000000"/>
          <w:highlight w:val="none"/>
        </w:rPr>
        <w:t>承包人：</w:t>
      </w:r>
      <w:r>
        <w:rPr>
          <w:rFonts w:hint="eastAsia" w:ascii="宋体" w:hAnsi="宋体" w:cs="宋体"/>
          <w:color w:val="000000"/>
          <w:highlight w:val="none"/>
          <w:lang w:val="en-US" w:eastAsia="zh-CN"/>
        </w:rPr>
        <w:t>xxx</w:t>
      </w:r>
      <w:r>
        <w:rPr>
          <w:rFonts w:hint="eastAsia" w:ascii="宋体" w:hAnsi="宋体" w:eastAsia="宋体" w:cs="宋体"/>
          <w:color w:val="000000"/>
          <w:highlight w:val="none"/>
        </w:rPr>
        <w:t>公司（公章）</w:t>
      </w:r>
    </w:p>
    <w:p w14:paraId="5B83C03C">
      <w:pPr>
        <w:spacing w:line="360" w:lineRule="auto"/>
        <w:rPr>
          <w:rFonts w:hint="eastAsia" w:ascii="宋体" w:hAnsi="宋体" w:eastAsia="宋体" w:cs="宋体"/>
          <w:color w:val="000000"/>
          <w:highlight w:val="none"/>
          <w:u w:val="single"/>
        </w:rPr>
      </w:pPr>
      <w:r>
        <w:rPr>
          <w:rFonts w:hint="eastAsia" w:ascii="宋体" w:hAnsi="宋体" w:eastAsia="宋体" w:cs="宋体"/>
          <w:color w:val="000000"/>
          <w:highlight w:val="none"/>
        </w:rPr>
        <w:t xml:space="preserve">                                 </w:t>
      </w:r>
    </w:p>
    <w:p w14:paraId="55F414C4">
      <w:pPr>
        <w:spacing w:line="360" w:lineRule="auto"/>
        <w:rPr>
          <w:rFonts w:hint="eastAsia" w:ascii="宋体" w:hAnsi="宋体" w:eastAsia="宋体" w:cs="宋体"/>
          <w:color w:val="000000"/>
          <w:highlight w:val="none"/>
        </w:rPr>
      </w:pPr>
      <w:r>
        <w:rPr>
          <w:rFonts w:hint="eastAsia" w:ascii="宋体" w:hAnsi="宋体" w:eastAsia="宋体" w:cs="宋体"/>
          <w:color w:val="000000"/>
          <w:highlight w:val="none"/>
        </w:rPr>
        <w:t xml:space="preserve">法定代表人或其委托代理人：             </w:t>
      </w:r>
      <w:r>
        <w:rPr>
          <w:rFonts w:hint="eastAsia" w:ascii="宋体" w:hAnsi="宋体" w:cs="宋体"/>
          <w:color w:val="000000"/>
          <w:highlight w:val="none"/>
          <w:lang w:val="en-US" w:eastAsia="zh-CN"/>
        </w:rPr>
        <w:t xml:space="preserve"> </w:t>
      </w:r>
      <w:r>
        <w:rPr>
          <w:rFonts w:hint="eastAsia" w:ascii="宋体" w:hAnsi="宋体" w:eastAsia="宋体" w:cs="宋体"/>
          <w:color w:val="000000"/>
          <w:highlight w:val="none"/>
        </w:rPr>
        <w:t xml:space="preserve">  法定代表人或其委托代理人：</w:t>
      </w:r>
    </w:p>
    <w:p w14:paraId="1FA1DEAF">
      <w:pPr>
        <w:spacing w:line="360" w:lineRule="auto"/>
        <w:rPr>
          <w:rFonts w:hint="eastAsia" w:ascii="宋体" w:hAnsi="宋体" w:eastAsia="宋体" w:cs="宋体"/>
          <w:color w:val="auto"/>
          <w:highlight w:val="none"/>
        </w:rPr>
      </w:pPr>
      <w:r>
        <w:rPr>
          <w:rFonts w:hint="eastAsia" w:ascii="宋体" w:hAnsi="宋体" w:eastAsia="宋体" w:cs="宋体"/>
          <w:color w:val="000000"/>
          <w:highlight w:val="none"/>
        </w:rPr>
        <w:t>（签</w:t>
      </w:r>
      <w:r>
        <w:rPr>
          <w:rFonts w:hint="eastAsia" w:ascii="宋体" w:hAnsi="宋体" w:eastAsia="宋体" w:cs="宋体"/>
          <w:color w:val="auto"/>
          <w:highlight w:val="none"/>
        </w:rPr>
        <w:t>字</w:t>
      </w:r>
      <w:r>
        <w:rPr>
          <w:rFonts w:hint="eastAsia" w:ascii="宋体" w:hAnsi="宋体" w:eastAsia="宋体" w:cs="宋体"/>
          <w:color w:val="auto"/>
          <w:highlight w:val="none"/>
          <w:lang w:val="en-US" w:eastAsia="zh-CN"/>
        </w:rPr>
        <w:t>或盖章</w:t>
      </w:r>
      <w:r>
        <w:rPr>
          <w:rFonts w:hint="eastAsia" w:ascii="宋体" w:hAnsi="宋体" w:eastAsia="宋体" w:cs="宋体"/>
          <w:color w:val="auto"/>
          <w:highlight w:val="none"/>
        </w:rPr>
        <w:t>）                                 （签字</w:t>
      </w:r>
      <w:r>
        <w:rPr>
          <w:rFonts w:hint="eastAsia" w:ascii="宋体" w:hAnsi="宋体" w:eastAsia="宋体" w:cs="宋体"/>
          <w:color w:val="auto"/>
          <w:highlight w:val="none"/>
          <w:lang w:val="en-US" w:eastAsia="zh-CN"/>
        </w:rPr>
        <w:t>或盖章</w:t>
      </w:r>
      <w:r>
        <w:rPr>
          <w:rFonts w:hint="eastAsia" w:ascii="宋体" w:hAnsi="宋体" w:eastAsia="宋体" w:cs="宋体"/>
          <w:color w:val="auto"/>
          <w:highlight w:val="none"/>
        </w:rPr>
        <w:t>）</w:t>
      </w:r>
    </w:p>
    <w:p w14:paraId="6942D06A">
      <w:pPr>
        <w:spacing w:line="360" w:lineRule="auto"/>
        <w:rPr>
          <w:rFonts w:hint="eastAsia" w:ascii="宋体" w:hAnsi="宋体" w:eastAsia="宋体" w:cs="宋体"/>
          <w:color w:val="auto"/>
          <w:highlight w:val="none"/>
          <w:u w:val="single"/>
        </w:rPr>
      </w:pPr>
    </w:p>
    <w:p w14:paraId="168F39D8">
      <w:pPr>
        <w:tabs>
          <w:tab w:val="left" w:pos="4410"/>
        </w:tabs>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统一社会信用代码：</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lang w:val="en-US" w:eastAsia="zh-CN"/>
        </w:rPr>
        <w:t xml:space="preserve">  </w:t>
      </w: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rPr>
        <w:t>统一社会信用代码：</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p>
    <w:p w14:paraId="5256AC23">
      <w:pPr>
        <w:spacing w:line="360" w:lineRule="auto"/>
        <w:rPr>
          <w:rFonts w:ascii="宋体" w:hAnsi="宋体" w:eastAsia="宋体" w:cs="宋体"/>
          <w:color w:val="auto"/>
          <w:highlight w:val="none"/>
          <w:lang w:val="en-US"/>
        </w:rPr>
      </w:pPr>
      <w:r>
        <w:rPr>
          <w:rFonts w:hint="eastAsia" w:ascii="宋体" w:hAnsi="宋体" w:eastAsia="宋体" w:cs="宋体"/>
          <w:color w:val="auto"/>
          <w:highlight w:val="none"/>
        </w:rPr>
        <w:t>地  址：</w:t>
      </w:r>
      <w:r>
        <w:rPr>
          <w:rFonts w:hint="eastAsia" w:ascii="宋体" w:hAnsi="宋体" w:eastAsia="宋体" w:cs="宋体"/>
          <w:color w:val="auto"/>
          <w:spacing w:val="-7"/>
          <w:sz w:val="21"/>
          <w:u w:val="single"/>
          <w:lang w:val="en-US" w:eastAsia="zh-CN"/>
        </w:rPr>
        <w:t xml:space="preserve">                                </w:t>
      </w:r>
      <w:r>
        <w:rPr>
          <w:rFonts w:hint="eastAsia" w:ascii="宋体" w:hAnsi="宋体" w:eastAsia="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rPr>
        <w:t>地  址：</w:t>
      </w:r>
      <w:r>
        <w:rPr>
          <w:rFonts w:hint="eastAsia" w:ascii="宋体" w:hAnsi="宋体" w:cs="宋体"/>
          <w:color w:val="auto"/>
          <w:highlight w:val="none"/>
          <w:u w:val="single"/>
          <w:lang w:val="en-US" w:eastAsia="zh-CN"/>
        </w:rPr>
        <w:t xml:space="preserve">                        </w:t>
      </w:r>
    </w:p>
    <w:p w14:paraId="0BC22D08">
      <w:pPr>
        <w:spacing w:line="360" w:lineRule="auto"/>
        <w:rPr>
          <w:rFonts w:hint="eastAsia" w:ascii="宋体" w:hAnsi="宋体" w:eastAsia="宋体" w:cs="宋体"/>
          <w:color w:val="auto"/>
          <w:highlight w:val="none"/>
          <w:u w:val="single"/>
          <w:lang w:val="en-US"/>
        </w:rPr>
      </w:pPr>
      <w:r>
        <w:rPr>
          <w:rFonts w:hint="eastAsia" w:ascii="宋体" w:hAnsi="宋体" w:eastAsia="宋体" w:cs="宋体"/>
          <w:color w:val="auto"/>
          <w:highlight w:val="none"/>
        </w:rPr>
        <w:t>邮政编码：</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邮政编码：</w:t>
      </w:r>
      <w:r>
        <w:rPr>
          <w:rFonts w:hint="eastAsia" w:ascii="宋体" w:hAnsi="宋体" w:eastAsia="宋体" w:cs="宋体"/>
          <w:bCs/>
          <w:color w:val="auto"/>
          <w:sz w:val="21"/>
          <w:u w:val="single"/>
          <w:lang w:val="en-US" w:eastAsia="zh-CN"/>
        </w:rPr>
        <w:t xml:space="preserve">          </w:t>
      </w:r>
      <w:r>
        <w:rPr>
          <w:rFonts w:hint="eastAsia" w:ascii="宋体" w:hAnsi="宋体" w:cs="宋体"/>
          <w:bCs/>
          <w:color w:val="auto"/>
          <w:sz w:val="21"/>
          <w:u w:val="single"/>
          <w:lang w:val="en-US" w:eastAsia="zh-CN"/>
        </w:rPr>
        <w:t xml:space="preserve">   </w:t>
      </w:r>
      <w:r>
        <w:rPr>
          <w:rFonts w:hint="eastAsia" w:ascii="宋体" w:hAnsi="宋体" w:eastAsia="宋体" w:cs="宋体"/>
          <w:bCs/>
          <w:color w:val="auto"/>
          <w:sz w:val="21"/>
          <w:u w:val="single"/>
          <w:lang w:val="en-US" w:eastAsia="zh-CN"/>
        </w:rPr>
        <w:t xml:space="preserve">  </w:t>
      </w:r>
      <w:r>
        <w:rPr>
          <w:rFonts w:hint="eastAsia" w:ascii="宋体" w:hAnsi="宋体" w:cs="宋体"/>
          <w:bCs/>
          <w:color w:val="auto"/>
          <w:sz w:val="21"/>
          <w:u w:val="single"/>
          <w:lang w:val="en-US" w:eastAsia="zh-CN"/>
        </w:rPr>
        <w:t xml:space="preserve">    </w:t>
      </w:r>
      <w:r>
        <w:rPr>
          <w:rFonts w:hint="eastAsia" w:ascii="宋体" w:hAnsi="宋体" w:eastAsia="宋体" w:cs="宋体"/>
          <w:bCs/>
          <w:color w:val="auto"/>
          <w:sz w:val="21"/>
          <w:u w:val="single"/>
          <w:lang w:val="en-US" w:eastAsia="zh-CN"/>
        </w:rPr>
        <w:t xml:space="preserve">    </w:t>
      </w:r>
    </w:p>
    <w:p w14:paraId="59EF3B0C">
      <w:pPr>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57EB71E1">
      <w:pPr>
        <w:spacing w:line="360" w:lineRule="auto"/>
        <w:rPr>
          <w:rFonts w:hint="eastAsia" w:ascii="宋体" w:hAnsi="宋体" w:eastAsia="宋体" w:cs="宋体"/>
          <w:bCs/>
          <w:color w:val="auto"/>
          <w:sz w:val="21"/>
          <w:u w:val="single"/>
          <w:lang w:val="en-US" w:eastAsia="zh-CN"/>
        </w:rPr>
      </w:pPr>
      <w:r>
        <w:rPr>
          <w:rFonts w:hint="eastAsia" w:ascii="宋体" w:hAnsi="宋体" w:eastAsia="宋体" w:cs="宋体"/>
          <w:color w:val="auto"/>
          <w:highlight w:val="none"/>
        </w:rPr>
        <w:t>电  话：</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w:t>
      </w:r>
      <w:r>
        <w:rPr>
          <w:rFonts w:hint="eastAsia" w:ascii="宋体" w:hAnsi="宋体" w:eastAsia="宋体" w:cs="宋体"/>
          <w:color w:val="auto"/>
          <w:highlight w:val="none"/>
        </w:rPr>
        <w:t>电  话：</w:t>
      </w:r>
      <w:r>
        <w:rPr>
          <w:rFonts w:hint="eastAsia" w:ascii="宋体" w:hAnsi="宋体" w:eastAsia="宋体" w:cs="宋体"/>
          <w:bCs/>
          <w:color w:val="auto"/>
          <w:sz w:val="21"/>
          <w:u w:val="single"/>
          <w:lang w:val="en-US" w:eastAsia="zh-CN"/>
        </w:rPr>
        <w:t xml:space="preserve">                    </w:t>
      </w:r>
      <w:r>
        <w:rPr>
          <w:rFonts w:hint="eastAsia" w:ascii="宋体" w:hAnsi="宋体" w:cs="宋体"/>
          <w:bCs/>
          <w:color w:val="auto"/>
          <w:sz w:val="21"/>
          <w:u w:val="single"/>
          <w:lang w:val="en-US" w:eastAsia="zh-CN"/>
        </w:rPr>
        <w:t xml:space="preserve">  </w:t>
      </w:r>
      <w:r>
        <w:rPr>
          <w:rFonts w:hint="eastAsia" w:ascii="宋体" w:hAnsi="宋体" w:eastAsia="宋体" w:cs="宋体"/>
          <w:bCs/>
          <w:color w:val="auto"/>
          <w:sz w:val="21"/>
          <w:u w:val="single"/>
          <w:lang w:val="en-US" w:eastAsia="zh-CN"/>
        </w:rPr>
        <w:t xml:space="preserve">     </w:t>
      </w:r>
    </w:p>
    <w:p w14:paraId="0901C592">
      <w:pPr>
        <w:spacing w:line="360" w:lineRule="auto"/>
        <w:rPr>
          <w:rFonts w:hint="eastAsia" w:ascii="宋体" w:hAnsi="宋体" w:eastAsia="宋体" w:cs="宋体"/>
          <w:bCs/>
          <w:color w:val="auto"/>
          <w:sz w:val="21"/>
          <w:u w:val="single"/>
          <w:lang w:val="en-US" w:eastAsia="zh-CN"/>
        </w:rPr>
      </w:pPr>
      <w:r>
        <w:rPr>
          <w:rFonts w:hint="eastAsia" w:ascii="宋体" w:hAnsi="宋体" w:eastAsia="宋体" w:cs="宋体"/>
          <w:color w:val="auto"/>
          <w:highlight w:val="none"/>
        </w:rPr>
        <w:t>传  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 xml:space="preserve">    </w:t>
      </w:r>
      <w:r>
        <w:rPr>
          <w:rFonts w:hint="eastAsia" w:ascii="宋体" w:hAnsi="宋体" w:eastAsia="宋体" w:cs="宋体"/>
          <w:color w:val="auto"/>
          <w:highlight w:val="none"/>
        </w:rPr>
        <w:t>传  真：</w:t>
      </w:r>
      <w:r>
        <w:rPr>
          <w:rFonts w:hint="eastAsia" w:ascii="宋体" w:hAnsi="宋体" w:eastAsia="宋体" w:cs="宋体"/>
          <w:bCs/>
          <w:color w:val="auto"/>
          <w:sz w:val="21"/>
          <w:u w:val="single"/>
          <w:lang w:val="en-US" w:eastAsia="zh-CN"/>
        </w:rPr>
        <w:t xml:space="preserve">                              </w:t>
      </w:r>
    </w:p>
    <w:p w14:paraId="1C6250F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电子信箱：</w:t>
      </w:r>
      <w:r>
        <w:rPr>
          <w:rFonts w:hint="eastAsia" w:ascii="宋体" w:hAnsi="宋体" w:eastAsia="宋体" w:cs="宋体"/>
          <w:color w:val="auto"/>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电子信箱：</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14:paraId="4AA275A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开户银行：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开户银行：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14:paraId="7A3E690D">
      <w:pPr>
        <w:rPr>
          <w:rFonts w:hint="eastAsia" w:ascii="宋体" w:hAnsi="宋体" w:eastAsia="宋体" w:cs="宋体"/>
          <w:bCs/>
          <w:color w:val="auto"/>
          <w:sz w:val="21"/>
          <w:u w:val="single"/>
          <w:lang w:val="en-US" w:eastAsia="zh-CN"/>
        </w:rPr>
      </w:pPr>
      <w:r>
        <w:rPr>
          <w:rFonts w:hint="eastAsia" w:ascii="宋体" w:hAnsi="宋体" w:eastAsia="宋体" w:cs="宋体"/>
          <w:color w:val="auto"/>
          <w:highlight w:val="none"/>
        </w:rPr>
        <w:t>账  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账  号：</w:t>
      </w:r>
      <w:r>
        <w:rPr>
          <w:rFonts w:hint="eastAsia" w:ascii="宋体" w:hAnsi="宋体" w:eastAsia="宋体" w:cs="宋体"/>
          <w:bCs/>
          <w:color w:val="auto"/>
          <w:sz w:val="21"/>
          <w:u w:val="single"/>
          <w:lang w:val="en-US" w:eastAsia="zh-CN"/>
        </w:rPr>
        <w:t xml:space="preserve">                               </w:t>
      </w:r>
    </w:p>
    <w:p w14:paraId="3C567770">
      <w:pPr>
        <w:widowControl/>
        <w:jc w:val="left"/>
        <w:rPr>
          <w:rFonts w:hint="eastAsia" w:ascii="宋体" w:hAnsi="宋体" w:eastAsia="宋体" w:cs="宋体"/>
          <w:color w:val="auto"/>
          <w:highlight w:val="none"/>
          <w:u w:val="single"/>
        </w:rPr>
      </w:pP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br w:type="page"/>
      </w:r>
    </w:p>
    <w:p w14:paraId="6595B8FD">
      <w:pPr>
        <w:pStyle w:val="2"/>
        <w:rPr>
          <w:rFonts w:hint="eastAsia" w:ascii="宋体" w:hAnsi="宋体" w:eastAsia="宋体" w:cs="宋体"/>
          <w:color w:val="auto"/>
          <w:kern w:val="0"/>
          <w:highlight w:val="none"/>
        </w:rPr>
      </w:pPr>
      <w:bookmarkStart w:id="38" w:name="_Toc407135192"/>
      <w:bookmarkStart w:id="39" w:name="_Toc1714491818"/>
      <w:bookmarkStart w:id="40" w:name="_Toc86847323"/>
      <w:bookmarkStart w:id="41" w:name="_Toc389065256"/>
      <w:bookmarkStart w:id="42" w:name="_Toc78449778"/>
      <w:bookmarkStart w:id="43" w:name="_Toc351203632"/>
      <w:bookmarkStart w:id="44" w:name="_Toc373227691"/>
      <w:bookmarkStart w:id="45" w:name="_Toc373478338"/>
      <w:r>
        <w:rPr>
          <w:rFonts w:hint="eastAsia" w:ascii="宋体" w:hAnsi="宋体" w:eastAsia="宋体" w:cs="宋体"/>
          <w:color w:val="auto"/>
          <w:sz w:val="30"/>
          <w:szCs w:val="30"/>
          <w:highlight w:val="none"/>
        </w:rPr>
        <w:t>第二部分 通用合同条款</w:t>
      </w:r>
      <w:bookmarkEnd w:id="38"/>
      <w:bookmarkEnd w:id="39"/>
      <w:bookmarkEnd w:id="40"/>
      <w:bookmarkEnd w:id="41"/>
      <w:bookmarkEnd w:id="42"/>
    </w:p>
    <w:p w14:paraId="513B2C09">
      <w:pPr>
        <w:spacing w:line="360" w:lineRule="auto"/>
        <w:ind w:firstLine="422" w:firstLineChars="200"/>
        <w:rPr>
          <w:rFonts w:hint="eastAsia" w:ascii="宋体" w:hAnsi="宋体" w:eastAsia="宋体" w:cs="宋体"/>
          <w:b/>
          <w:bCs/>
          <w:color w:val="auto"/>
          <w:kern w:val="0"/>
          <w:highlight w:val="none"/>
        </w:rPr>
      </w:pPr>
      <w:r>
        <w:rPr>
          <w:rFonts w:hint="eastAsia" w:ascii="宋体" w:hAnsi="宋体" w:eastAsia="宋体" w:cs="宋体"/>
          <w:b/>
          <w:bCs/>
          <w:color w:val="auto"/>
          <w:kern w:val="0"/>
          <w:highlight w:val="none"/>
        </w:rPr>
        <w:t>采用《建设工程施工合同（示范文本）》（GF—2017—0201）。</w:t>
      </w:r>
    </w:p>
    <w:p w14:paraId="490D8F50">
      <w:pPr>
        <w:spacing w:line="360" w:lineRule="auto"/>
        <w:ind w:firstLine="420" w:firstLineChars="200"/>
        <w:rPr>
          <w:rFonts w:hint="eastAsia" w:ascii="宋体" w:hAnsi="宋体" w:eastAsia="宋体" w:cs="宋体"/>
          <w:b w:val="0"/>
          <w:bCs w:val="0"/>
          <w:color w:val="auto"/>
          <w:kern w:val="0"/>
          <w:highlight w:val="none"/>
        </w:rPr>
      </w:pPr>
      <w:bookmarkStart w:id="46" w:name="_Toc351203495"/>
      <w:r>
        <w:rPr>
          <w:rFonts w:hint="eastAsia" w:ascii="宋体" w:hAnsi="宋体" w:eastAsia="宋体" w:cs="宋体"/>
          <w:b w:val="0"/>
          <w:bCs w:val="0"/>
          <w:color w:val="auto"/>
          <w:kern w:val="0"/>
          <w:highlight w:val="none"/>
        </w:rPr>
        <w:t>1.</w:t>
      </w:r>
      <w:bookmarkStart w:id="47" w:name="_Toc303538975"/>
      <w:bookmarkEnd w:id="47"/>
      <w:bookmarkStart w:id="48" w:name="_Toc303538972"/>
      <w:bookmarkEnd w:id="48"/>
      <w:bookmarkStart w:id="49" w:name="_Toc303538974"/>
      <w:bookmarkEnd w:id="49"/>
      <w:bookmarkStart w:id="50" w:name="_Toc303538976"/>
      <w:bookmarkEnd w:id="50"/>
      <w:bookmarkStart w:id="51" w:name="_Toc303538973"/>
      <w:bookmarkEnd w:id="51"/>
      <w:bookmarkStart w:id="52" w:name="_Toc296503027"/>
      <w:bookmarkStart w:id="53" w:name="_Toc296346528"/>
      <w:r>
        <w:rPr>
          <w:rFonts w:hint="eastAsia" w:ascii="宋体" w:hAnsi="宋体" w:eastAsia="宋体" w:cs="宋体"/>
          <w:b w:val="0"/>
          <w:bCs w:val="0"/>
          <w:color w:val="auto"/>
          <w:kern w:val="0"/>
          <w:highlight w:val="none"/>
        </w:rPr>
        <w:t xml:space="preserve"> 一般约定</w:t>
      </w:r>
      <w:bookmarkEnd w:id="46"/>
      <w:bookmarkEnd w:id="52"/>
      <w:bookmarkEnd w:id="53"/>
    </w:p>
    <w:p w14:paraId="770A4AF9">
      <w:pPr>
        <w:spacing w:line="360" w:lineRule="auto"/>
        <w:ind w:firstLine="420" w:firstLineChars="200"/>
        <w:rPr>
          <w:rFonts w:hint="eastAsia" w:ascii="宋体" w:hAnsi="宋体" w:eastAsia="宋体" w:cs="宋体"/>
          <w:b w:val="0"/>
          <w:bCs w:val="0"/>
          <w:color w:val="auto"/>
          <w:kern w:val="0"/>
          <w:highlight w:val="none"/>
        </w:rPr>
      </w:pPr>
      <w:bookmarkStart w:id="54" w:name="_Toc337558728"/>
      <w:bookmarkStart w:id="55" w:name="_Toc296503028"/>
      <w:bookmarkStart w:id="56" w:name="_Toc296346529"/>
      <w:bookmarkStart w:id="57" w:name="_Toc351203496"/>
      <w:r>
        <w:rPr>
          <w:rFonts w:hint="eastAsia" w:ascii="宋体" w:hAnsi="宋体" w:eastAsia="宋体" w:cs="宋体"/>
          <w:b w:val="0"/>
          <w:bCs w:val="0"/>
          <w:color w:val="auto"/>
          <w:kern w:val="0"/>
          <w:highlight w:val="none"/>
        </w:rPr>
        <w:t>1.1词语定义</w:t>
      </w:r>
      <w:bookmarkEnd w:id="54"/>
      <w:bookmarkEnd w:id="55"/>
      <w:bookmarkEnd w:id="56"/>
      <w:r>
        <w:rPr>
          <w:rFonts w:hint="eastAsia" w:ascii="宋体" w:hAnsi="宋体" w:eastAsia="宋体" w:cs="宋体"/>
          <w:b w:val="0"/>
          <w:bCs w:val="0"/>
          <w:color w:val="auto"/>
          <w:kern w:val="0"/>
          <w:highlight w:val="none"/>
        </w:rPr>
        <w:t>与解释</w:t>
      </w:r>
      <w:bookmarkEnd w:id="57"/>
    </w:p>
    <w:p w14:paraId="552E8E9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合同协议书、通用合同条款、专用合同条款中的下列词语具有本款所赋予的含义：</w:t>
      </w:r>
    </w:p>
    <w:p w14:paraId="7B6DDB7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1.1.1 合同</w:t>
      </w:r>
    </w:p>
    <w:p w14:paraId="2DB6E9F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1.1.1.1 合同：是指根据法律规定和合同当事人约定具有约束力的文件，构成合同的文件包括合同协议书、中标通知书（如果有）、投标函及其附录（如果有）、专用合同条款及其附件、通用合同条款、技术标准和要求、图纸、已标价工程量清单或预算书以及其他合同文件。</w:t>
      </w:r>
    </w:p>
    <w:p w14:paraId="42190EE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1.1.1.2 合同协议书：是指构成合同的由发包人和承包人共同签署的称为“合同协议书”的书面文件。</w:t>
      </w:r>
    </w:p>
    <w:p w14:paraId="3481E12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1.1.1.3 中标通知书：是指构成合同的由发包人通知承包人中标的书面文件。</w:t>
      </w:r>
    </w:p>
    <w:p w14:paraId="6C9B05D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1.1.1.4 投标函：是指构成合同的由承包人填写并签署的用于投标的称为“投标函”的文件。</w:t>
      </w:r>
    </w:p>
    <w:p w14:paraId="5E8FB22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1.1.1.5 投标函附录：是指构成合同的附在投标函后的称为“投标函附录”的文件。</w:t>
      </w:r>
    </w:p>
    <w:p w14:paraId="7D67631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1.1.1.6 技术标准和要求：是指构成合同的施工应当遵守的或指导施工的国家、行业或地方的技术标准和要求，以及合同约定的技术标准和要求。</w:t>
      </w:r>
    </w:p>
    <w:p w14:paraId="32A30E2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14:paraId="225893C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1.1.1.8 已标价工程量清单：是指构成合同的由承包人按照规定的格式和要求填写并标明价格的工程量清单，包括说明和表格。</w:t>
      </w:r>
    </w:p>
    <w:p w14:paraId="5DA0DD9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1.1.1.9 预算书：是指构成合同的由承包人按照发包人规定的格式和要求编制的工程预算文件。</w:t>
      </w:r>
    </w:p>
    <w:p w14:paraId="3DABEBF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1.1.1.10 其他合同文件：是指经合同当事人约定的与工程施工有关的具有合同约束力的文件或书面协议。合同当事人可以在专用合同条款中进行约定。</w:t>
      </w:r>
    </w:p>
    <w:p w14:paraId="6C97911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1.1.2 合同当事人及其他相关方</w:t>
      </w:r>
    </w:p>
    <w:p w14:paraId="48EAC74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1.1.2.1 合同当事人：是指发包人和（或）承包人。</w:t>
      </w:r>
    </w:p>
    <w:p w14:paraId="264E396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1.1.2.2 发包人：是指与承包人签订合同协议书的当事人及取得该当事人资格的合法继承人。</w:t>
      </w:r>
    </w:p>
    <w:p w14:paraId="70547CA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1.1.2.3 承包人：是指与发包人签订合同协议书的，具有相应工程施工承包资质的当事人及取得该当事人资格的合法继承人。</w:t>
      </w:r>
    </w:p>
    <w:p w14:paraId="010A827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1.1.2.4 监理人：是指在专用合同条款中指明的，受发包人委托按照法律规定进行工程监督管理的法人或其他组织。</w:t>
      </w:r>
    </w:p>
    <w:p w14:paraId="66A2041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1.1.2.5 设计人：是指在专用合同条款中指明的，受发包人委托负责工程设计并具备相应工程设计资质的法人或其他组织。</w:t>
      </w:r>
    </w:p>
    <w:p w14:paraId="43B952F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1.1.2.6 分包人：</w:t>
      </w:r>
      <w:bookmarkStart w:id="58" w:name="#go5"/>
      <w:bookmarkEnd w:id="58"/>
      <w:r>
        <w:rPr>
          <w:rFonts w:hint="eastAsia" w:ascii="宋体" w:hAnsi="宋体" w:eastAsia="宋体" w:cs="宋体"/>
          <w:b w:val="0"/>
          <w:bCs w:val="0"/>
          <w:color w:val="auto"/>
          <w:kern w:val="0"/>
          <w:highlight w:val="none"/>
        </w:rPr>
        <w:t>是指按照法律规定和合同约定，分包部分工程或工作，并与承包人签订分包合同的具有相应资质的法人。</w:t>
      </w:r>
    </w:p>
    <w:p w14:paraId="79304B2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1.1.2.7 发包人代表：是指由发包人任命并派驻施工现场在发包人授权范围内行使发包人权利的人。</w:t>
      </w:r>
    </w:p>
    <w:p w14:paraId="015638A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1.1.2.8 项目经理：是指由承包人任命并派驻施工现场，在承包人授权范围内负责合同履行，且按照法律规定具有相应资格的项目负责人。</w:t>
      </w:r>
    </w:p>
    <w:p w14:paraId="20393B3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1.1.2.9 总监理工程师：是指由监理人任命并派驻施工现场进行工程监理的总负责人。</w:t>
      </w:r>
    </w:p>
    <w:p w14:paraId="53EB03E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1.1.3 工程和设备</w:t>
      </w:r>
    </w:p>
    <w:p w14:paraId="56A744C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1.1.3.1 工程：是指与合同协议书中工程承包范围对应的永久工程和（或）临时工程。</w:t>
      </w:r>
    </w:p>
    <w:p w14:paraId="06A0DA8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1.1.3.2 永久工程：是指按合同约定建造并移交给发包人的工程，包括工程设备。</w:t>
      </w:r>
    </w:p>
    <w:p w14:paraId="7F90571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1.1.3.3 临时工程：是指为完成合同约定的永久工程所修建的各类临时性工程，不包括施工设备。</w:t>
      </w:r>
    </w:p>
    <w:p w14:paraId="33E3A4B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1.1.3.4 单位工程：是指在合同协议书中指明的，具备独立施工条件并能形成独立使用功能的永久工程。</w:t>
      </w:r>
    </w:p>
    <w:p w14:paraId="76C73CE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1.1.3.5 工程设备：是指构成永久工程的机电设备、金属结构设备、仪器及其他类似的设备和装置。</w:t>
      </w:r>
    </w:p>
    <w:p w14:paraId="29BB8FB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1.1.3.6 施工设备：是指为完成合同约定的各项工作所需的设备、器具和其他物品，但不包括工程设备、临时工程和材料。</w:t>
      </w:r>
    </w:p>
    <w:p w14:paraId="1CC9C30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1.1.3.7 施工现场：是指用于工程施工的场所，以及在专用合同条款中指明作为施工场所组成部分的其他场所，包括永久占地和临时占地。</w:t>
      </w:r>
    </w:p>
    <w:p w14:paraId="3865FF5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1.1.3.8临时设施：是指为完成合同约定的各项工作所服务的临时性生产和生活设施。</w:t>
      </w:r>
    </w:p>
    <w:p w14:paraId="4D5C38C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1.1.3.9 永久占地：是指专用合同条款中指明为实施工程需永久占用的土地。</w:t>
      </w:r>
    </w:p>
    <w:p w14:paraId="5A2D4A3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1.1.3.10 临时占地：是指专用合同条款中指明为实施工程需要临时占用的土地。</w:t>
      </w:r>
    </w:p>
    <w:p w14:paraId="5CAEB77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1.1.4 日期和期限</w:t>
      </w:r>
    </w:p>
    <w:p w14:paraId="48A032E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4826AC2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1.1.4.2 竣工日期：包括计划竣工日期和实际竣工日期。计划竣工日期是指合同协议书约定的竣工日期；实际竣工日期按照第13.2.3项〔竣工日期〕的约定确定。 </w:t>
      </w:r>
    </w:p>
    <w:p w14:paraId="6F116A4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1.1.4.3 工期：是指在合同协议书约定的承包人完成工程所需的期限，包括按照合同约定所作的期限变更。</w:t>
      </w:r>
    </w:p>
    <w:p w14:paraId="69712E7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1.1.4.4 缺陷责任期：是指承包人按照合同约定承担缺陷修复义务，且发包人预留质量保证金（已缴纳履约保证金的除外）的期限，自工程实际竣工日期起计算。</w:t>
      </w:r>
    </w:p>
    <w:p w14:paraId="7D34E10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1.1.4.5 保修期：是指承包人按照合同约定对工程承担保修责任的期限，从工程竣工验收合格之日起计算。</w:t>
      </w:r>
    </w:p>
    <w:p w14:paraId="5A65324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1.1.4.6 基准日期：招标发包的工程以投标截止日前28天的日期为基准日期，直接发包的工程以合同签订日前28天的日期为基准日期。</w:t>
      </w:r>
    </w:p>
    <w:p w14:paraId="2F3C148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1.1.4.7 天：除特别指明外，均指日历天。合同中按天计算时间的，开始当天不计入，从次日开始计算，期限最后一天的截止时间为当天24:00时。</w:t>
      </w:r>
    </w:p>
    <w:p w14:paraId="2C7553A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1.1.5 合同价格和费用</w:t>
      </w:r>
    </w:p>
    <w:p w14:paraId="77B518D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1.1.5.1 签约合同价：是指发包人和承包人在合同协议书中确定的总金额，包括安全文明施工费、暂估价及暂列金额等。</w:t>
      </w:r>
    </w:p>
    <w:p w14:paraId="1A8BEDC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1.1.5.2 合同价格：是指发包人用于支付承包人按照合同约定完成承包范围内全部工作的金额，包括合同履行过程中按合同约定发生的价格变化。</w:t>
      </w:r>
    </w:p>
    <w:p w14:paraId="4E0F253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1.1.5.3 费用：是指为履行合同所发生的或将要发生的所有必需的开支，包括管理费和应分摊的其他费用，但不包括利润。</w:t>
      </w:r>
    </w:p>
    <w:p w14:paraId="68ED1D3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1.1.5.4 暂估价：是指发包人在工程量清单或预算书中提供的用于支付必然发生但暂时不能确定价格的材料、工程设备的单价、专业工程以及服务工作的金额。</w:t>
      </w:r>
    </w:p>
    <w:p w14:paraId="7828B3A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725A842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1.1.5.6 计日工：是指合同履行过程中，承包人完成发包人提出的零星工作或需要采用计日工计价的变更工作时，按合同中约定的单价计价的一种方式。</w:t>
      </w:r>
    </w:p>
    <w:p w14:paraId="10A76C6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1.1.5.7 质量保证金</w:t>
      </w:r>
      <w:bookmarkStart w:id="59" w:name="#go2"/>
      <w:bookmarkEnd w:id="59"/>
      <w:r>
        <w:rPr>
          <w:rFonts w:hint="eastAsia" w:ascii="宋体" w:hAnsi="宋体" w:eastAsia="宋体" w:cs="宋体"/>
          <w:b w:val="0"/>
          <w:bCs w:val="0"/>
          <w:color w:val="auto"/>
          <w:kern w:val="0"/>
          <w:highlight w:val="none"/>
        </w:rPr>
        <w:t>：是指按照第15.3款〔质量保证金〕约定承包人用于保证其在缺陷责任期内履行缺陷修补义务的担保。</w:t>
      </w:r>
    </w:p>
    <w:p w14:paraId="08FCA37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1.1.5.8 总价项目：是指在现行国家、行业以及地方的计量规则中无工程量计算规则，在已标价工程量清单或预算书中以总价或以费率形式计算的项目。</w:t>
      </w:r>
    </w:p>
    <w:p w14:paraId="37D938D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1.1.6 其他</w:t>
      </w:r>
    </w:p>
    <w:p w14:paraId="441ACCC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1.1.6.1 书面形式：是指合同文件、信函、电报、传真等可以有形地表现所载内容的形式。</w:t>
      </w:r>
    </w:p>
    <w:p w14:paraId="401BF890">
      <w:pPr>
        <w:spacing w:line="360" w:lineRule="auto"/>
        <w:ind w:firstLine="420" w:firstLineChars="200"/>
        <w:rPr>
          <w:rFonts w:hint="eastAsia" w:ascii="宋体" w:hAnsi="宋体" w:eastAsia="宋体" w:cs="宋体"/>
          <w:b w:val="0"/>
          <w:bCs w:val="0"/>
          <w:color w:val="auto"/>
          <w:kern w:val="0"/>
          <w:highlight w:val="none"/>
        </w:rPr>
      </w:pPr>
      <w:bookmarkStart w:id="60" w:name="_Toc351203497"/>
      <w:bookmarkStart w:id="61" w:name="_Toc337558729"/>
      <w:bookmarkStart w:id="62" w:name="_Toc296346530"/>
      <w:bookmarkStart w:id="63" w:name="_Toc296503029"/>
      <w:r>
        <w:rPr>
          <w:rFonts w:hint="eastAsia" w:ascii="宋体" w:hAnsi="宋体" w:eastAsia="宋体" w:cs="宋体"/>
          <w:b w:val="0"/>
          <w:bCs w:val="0"/>
          <w:color w:val="auto"/>
          <w:kern w:val="0"/>
          <w:highlight w:val="none"/>
        </w:rPr>
        <w:t>1.2语言文字</w:t>
      </w:r>
      <w:bookmarkEnd w:id="60"/>
      <w:bookmarkEnd w:id="61"/>
      <w:bookmarkEnd w:id="62"/>
      <w:bookmarkEnd w:id="63"/>
    </w:p>
    <w:p w14:paraId="27468D4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合同以中国的汉语简体文字编写、解释和说明。合同当事人在专用合同条款中约定使用两种以上语言时，汉语为优先解释和说明合同的语言。</w:t>
      </w:r>
    </w:p>
    <w:p w14:paraId="3AB8C7B6">
      <w:pPr>
        <w:spacing w:line="360" w:lineRule="auto"/>
        <w:ind w:firstLine="420" w:firstLineChars="200"/>
        <w:rPr>
          <w:rFonts w:hint="eastAsia" w:ascii="宋体" w:hAnsi="宋体" w:eastAsia="宋体" w:cs="宋体"/>
          <w:b w:val="0"/>
          <w:bCs w:val="0"/>
          <w:color w:val="auto"/>
          <w:kern w:val="0"/>
          <w:highlight w:val="none"/>
        </w:rPr>
      </w:pPr>
      <w:bookmarkStart w:id="64" w:name="_Toc296346531"/>
      <w:bookmarkStart w:id="65" w:name="_Toc296503030"/>
      <w:bookmarkStart w:id="66" w:name="_Toc337558730"/>
      <w:bookmarkStart w:id="67" w:name="_Toc351203498"/>
      <w:r>
        <w:rPr>
          <w:rFonts w:hint="eastAsia" w:ascii="宋体" w:hAnsi="宋体" w:eastAsia="宋体" w:cs="宋体"/>
          <w:b w:val="0"/>
          <w:bCs w:val="0"/>
          <w:color w:val="auto"/>
          <w:kern w:val="0"/>
          <w:highlight w:val="none"/>
        </w:rPr>
        <w:t>1.3法律</w:t>
      </w:r>
      <w:bookmarkEnd w:id="64"/>
      <w:bookmarkEnd w:id="65"/>
      <w:bookmarkEnd w:id="66"/>
      <w:bookmarkEnd w:id="67"/>
    </w:p>
    <w:p w14:paraId="3C29534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合同所称法律是指中华人民共和国法律、行政法规、部门规章，以及工程所在地的地方性法规、自治条例、单行条例和地方政府规章等。</w:t>
      </w:r>
    </w:p>
    <w:p w14:paraId="5A366DD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合同当事人可以在专用合同条款中约定合同适用的其他规范性文件。</w:t>
      </w:r>
    </w:p>
    <w:p w14:paraId="5BA62A7A">
      <w:pPr>
        <w:spacing w:line="360" w:lineRule="auto"/>
        <w:ind w:firstLine="420" w:firstLineChars="200"/>
        <w:rPr>
          <w:rFonts w:hint="eastAsia" w:ascii="宋体" w:hAnsi="宋体" w:eastAsia="宋体" w:cs="宋体"/>
          <w:b w:val="0"/>
          <w:bCs w:val="0"/>
          <w:color w:val="auto"/>
          <w:kern w:val="0"/>
          <w:highlight w:val="none"/>
        </w:rPr>
      </w:pPr>
      <w:bookmarkStart w:id="68" w:name="_Toc351203499"/>
      <w:r>
        <w:rPr>
          <w:rFonts w:hint="eastAsia" w:ascii="宋体" w:hAnsi="宋体" w:eastAsia="宋体" w:cs="宋体"/>
          <w:b w:val="0"/>
          <w:bCs w:val="0"/>
          <w:color w:val="auto"/>
          <w:kern w:val="0"/>
          <w:highlight w:val="none"/>
        </w:rPr>
        <w:t>1.4 标准和规范</w:t>
      </w:r>
      <w:bookmarkEnd w:id="68"/>
    </w:p>
    <w:p w14:paraId="14466FD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1.4.1 适用于工程的国家标准、行业标准、工程所在地的地方性标准，以及相应的规范、规程等，合同当事人有特别要求的，应在专用合同条款中约定。</w:t>
      </w:r>
    </w:p>
    <w:p w14:paraId="5DCA75E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1.4.2 发包人要求使用国外标准、规范的，发包人负责提供原文版本和中文译本，并在专用合同条款中约定提供标准规范的名称、份数和时间。</w:t>
      </w:r>
    </w:p>
    <w:p w14:paraId="38A0F1D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64FD37C4">
      <w:pPr>
        <w:spacing w:line="360" w:lineRule="auto"/>
        <w:ind w:firstLine="420" w:firstLineChars="200"/>
        <w:rPr>
          <w:rFonts w:hint="eastAsia" w:ascii="宋体" w:hAnsi="宋体" w:eastAsia="宋体" w:cs="宋体"/>
          <w:b w:val="0"/>
          <w:bCs w:val="0"/>
          <w:color w:val="auto"/>
          <w:kern w:val="0"/>
          <w:highlight w:val="none"/>
        </w:rPr>
      </w:pPr>
      <w:bookmarkStart w:id="69" w:name="_Toc351203500"/>
      <w:r>
        <w:rPr>
          <w:rFonts w:hint="eastAsia" w:ascii="宋体" w:hAnsi="宋体" w:eastAsia="宋体" w:cs="宋体"/>
          <w:b w:val="0"/>
          <w:bCs w:val="0"/>
          <w:color w:val="auto"/>
          <w:kern w:val="0"/>
          <w:highlight w:val="none"/>
        </w:rPr>
        <w:t>1</w:t>
      </w:r>
      <w:bookmarkStart w:id="70" w:name="_Toc296503031"/>
      <w:bookmarkStart w:id="71" w:name="_Toc337558731"/>
      <w:bookmarkStart w:id="72" w:name="_Toc296346532"/>
      <w:r>
        <w:rPr>
          <w:rFonts w:hint="eastAsia" w:ascii="宋体" w:hAnsi="宋体" w:eastAsia="宋体" w:cs="宋体"/>
          <w:b w:val="0"/>
          <w:bCs w:val="0"/>
          <w:color w:val="auto"/>
          <w:kern w:val="0"/>
          <w:highlight w:val="none"/>
        </w:rPr>
        <w:t>.5 合同文件的优先顺序</w:t>
      </w:r>
      <w:bookmarkEnd w:id="69"/>
    </w:p>
    <w:bookmarkEnd w:id="70"/>
    <w:bookmarkEnd w:id="71"/>
    <w:bookmarkEnd w:id="72"/>
    <w:p w14:paraId="168CF72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组成合同的各项文件应互相解释，互为说明。除专用合同条款另有约定外，解释合同文件的优先顺序如下：</w:t>
      </w:r>
    </w:p>
    <w:p w14:paraId="64AF4A6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（1）合同协议书；</w:t>
      </w:r>
    </w:p>
    <w:p w14:paraId="1805C3B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（2）中标通知书（如果有）；</w:t>
      </w:r>
    </w:p>
    <w:p w14:paraId="3680526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（3）投标函及其附录（如果有）；</w:t>
      </w:r>
    </w:p>
    <w:p w14:paraId="00DD27A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（4）专用合同条款及其附件；</w:t>
      </w:r>
    </w:p>
    <w:p w14:paraId="5AE0C58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（5）通用合同条款；</w:t>
      </w:r>
    </w:p>
    <w:p w14:paraId="31A1FD4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（6）技术标准和要求；</w:t>
      </w:r>
    </w:p>
    <w:p w14:paraId="6F3D11F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（7）图纸；</w:t>
      </w:r>
    </w:p>
    <w:p w14:paraId="60E0326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（8）已标价工程量清单或预算书；</w:t>
      </w:r>
    </w:p>
    <w:p w14:paraId="39F87F1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（9）其他合同文件。</w:t>
      </w:r>
    </w:p>
    <w:p w14:paraId="130914F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上述各项合同文件包括合同当事人就该项合同文件所作出的补充和修改，属于同一类内容的文件，应以最新签署的为准。</w:t>
      </w:r>
    </w:p>
    <w:p w14:paraId="46D36E2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在合同订立及履行过程中形成的与合同有关的文件均构成合同文件组成部分，并根据其性质确定优先解释顺序。</w:t>
      </w:r>
    </w:p>
    <w:p w14:paraId="7888B764">
      <w:pPr>
        <w:spacing w:line="360" w:lineRule="auto"/>
        <w:ind w:firstLine="420" w:firstLineChars="200"/>
        <w:rPr>
          <w:rFonts w:hint="eastAsia" w:ascii="宋体" w:hAnsi="宋体" w:eastAsia="宋体" w:cs="宋体"/>
          <w:b w:val="0"/>
          <w:bCs w:val="0"/>
          <w:color w:val="auto"/>
          <w:kern w:val="0"/>
          <w:highlight w:val="none"/>
        </w:rPr>
      </w:pPr>
      <w:bookmarkStart w:id="73" w:name="_Toc351203501"/>
      <w:r>
        <w:rPr>
          <w:rFonts w:hint="eastAsia" w:ascii="宋体" w:hAnsi="宋体" w:eastAsia="宋体" w:cs="宋体"/>
          <w:b w:val="0"/>
          <w:bCs w:val="0"/>
          <w:color w:val="auto"/>
          <w:kern w:val="0"/>
          <w:highlight w:val="none"/>
        </w:rPr>
        <w:t>1</w:t>
      </w:r>
      <w:bookmarkStart w:id="74" w:name="_Toc337558732"/>
      <w:bookmarkStart w:id="75" w:name="_Toc296503032"/>
      <w:bookmarkStart w:id="76" w:name="_Toc296346533"/>
      <w:r>
        <w:rPr>
          <w:rFonts w:hint="eastAsia" w:ascii="宋体" w:hAnsi="宋体" w:eastAsia="宋体" w:cs="宋体"/>
          <w:b w:val="0"/>
          <w:bCs w:val="0"/>
          <w:color w:val="auto"/>
          <w:kern w:val="0"/>
          <w:highlight w:val="none"/>
        </w:rPr>
        <w:t>.6图纸和承包人文件</w:t>
      </w:r>
      <w:bookmarkEnd w:id="73"/>
    </w:p>
    <w:bookmarkEnd w:id="74"/>
    <w:bookmarkEnd w:id="75"/>
    <w:bookmarkEnd w:id="76"/>
    <w:p w14:paraId="1468CA3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1.6.1 图纸的提供和交底</w:t>
      </w:r>
    </w:p>
    <w:p w14:paraId="12806DA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6A048D1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因发包人未按合同约定提供图纸导致承包人费用增加和（或）工期延误的，按照第7.5.1项〔因发包人原因导致工期延误〕约定办理。</w:t>
      </w:r>
    </w:p>
    <w:p w14:paraId="091D155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1.6.2 图纸的错误</w:t>
      </w:r>
    </w:p>
    <w:p w14:paraId="7AA2CA5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32CF093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1.6.3 图纸的修改和补充</w:t>
      </w:r>
    </w:p>
    <w:p w14:paraId="29440B4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46D3C25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1.6.4 承包人文件</w:t>
      </w:r>
    </w:p>
    <w:p w14:paraId="25ED257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承包人应按照专用合同条款的约定提供应当由其编制的与工程施工有关的文件，并按照专用合同条款约定的期限、数量和形式提交监理人，并由监理人报送发包人。</w:t>
      </w:r>
    </w:p>
    <w:p w14:paraId="2D1868B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489E571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1.6.5 图纸和承包人文件的保管</w:t>
      </w:r>
    </w:p>
    <w:p w14:paraId="479CCC6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除专用合同条款另有约定外，承包人应在施工现场另外保存一套完整的图纸和承包人文件，供发包人、监理人及有关人员进行工程检查时使用。</w:t>
      </w:r>
    </w:p>
    <w:p w14:paraId="0DF1C727">
      <w:pPr>
        <w:spacing w:line="360" w:lineRule="auto"/>
        <w:ind w:firstLine="420" w:firstLineChars="200"/>
        <w:rPr>
          <w:rFonts w:hint="eastAsia" w:ascii="宋体" w:hAnsi="宋体" w:eastAsia="宋体" w:cs="宋体"/>
          <w:b w:val="0"/>
          <w:bCs w:val="0"/>
          <w:color w:val="auto"/>
          <w:kern w:val="0"/>
          <w:highlight w:val="none"/>
        </w:rPr>
      </w:pPr>
      <w:bookmarkStart w:id="77" w:name="_Toc351203502"/>
      <w:r>
        <w:rPr>
          <w:rFonts w:hint="eastAsia" w:ascii="宋体" w:hAnsi="宋体" w:eastAsia="宋体" w:cs="宋体"/>
          <w:b w:val="0"/>
          <w:bCs w:val="0"/>
          <w:color w:val="auto"/>
          <w:kern w:val="0"/>
          <w:highlight w:val="none"/>
        </w:rPr>
        <w:t>1</w:t>
      </w:r>
      <w:bookmarkStart w:id="78" w:name="_Toc296503033"/>
      <w:bookmarkStart w:id="79" w:name="_Toc296346534"/>
      <w:bookmarkStart w:id="80" w:name="_Toc337558733"/>
      <w:r>
        <w:rPr>
          <w:rFonts w:hint="eastAsia" w:ascii="宋体" w:hAnsi="宋体" w:eastAsia="宋体" w:cs="宋体"/>
          <w:b w:val="0"/>
          <w:bCs w:val="0"/>
          <w:color w:val="auto"/>
          <w:kern w:val="0"/>
          <w:highlight w:val="none"/>
        </w:rPr>
        <w:t>.7联络</w:t>
      </w:r>
      <w:bookmarkEnd w:id="77"/>
    </w:p>
    <w:bookmarkEnd w:id="78"/>
    <w:bookmarkEnd w:id="79"/>
    <w:bookmarkEnd w:id="80"/>
    <w:p w14:paraId="0FB8529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1.7.1 与合同有关的通知、批准、证明、证书、指示、指令、要求、请求、同意、意见、确定和决定等，均应采用书面形式，并应在合同约定的期限内送达接收人和送达地点。</w:t>
      </w:r>
    </w:p>
    <w:p w14:paraId="21C0CE5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1.7.2 发包人和承包人应在专用合同条款中约定各自的送达接收人和送达地点。任何一方合同当事人指定的接收人或送达地点发生变动的，应提前3天以书面形式通知对方。</w:t>
      </w:r>
    </w:p>
    <w:p w14:paraId="78FBD8A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1.7.3 发包人和承包人应当及时签收另一方送达至送达地点和指定接收人的来往信函。拒不签收的，由此增加的费用和（或）延误的工期由拒绝接收一方承担。</w:t>
      </w:r>
    </w:p>
    <w:p w14:paraId="14CBB28A">
      <w:pPr>
        <w:spacing w:line="360" w:lineRule="auto"/>
        <w:ind w:firstLine="420" w:firstLineChars="200"/>
        <w:rPr>
          <w:rFonts w:hint="eastAsia" w:ascii="宋体" w:hAnsi="宋体" w:eastAsia="宋体" w:cs="宋体"/>
          <w:b w:val="0"/>
          <w:bCs w:val="0"/>
          <w:color w:val="auto"/>
          <w:kern w:val="0"/>
          <w:highlight w:val="none"/>
        </w:rPr>
      </w:pPr>
      <w:bookmarkStart w:id="81" w:name="_Toc351203503"/>
      <w:r>
        <w:rPr>
          <w:rFonts w:hint="eastAsia" w:ascii="宋体" w:hAnsi="宋体" w:eastAsia="宋体" w:cs="宋体"/>
          <w:b w:val="0"/>
          <w:bCs w:val="0"/>
          <w:color w:val="auto"/>
          <w:kern w:val="0"/>
          <w:highlight w:val="none"/>
        </w:rPr>
        <w:t>1</w:t>
      </w:r>
      <w:bookmarkStart w:id="82" w:name="_Toc296346536"/>
      <w:bookmarkStart w:id="83" w:name="_Toc337558734"/>
      <w:bookmarkStart w:id="84" w:name="_Toc296503035"/>
      <w:r>
        <w:rPr>
          <w:rFonts w:hint="eastAsia" w:ascii="宋体" w:hAnsi="宋体" w:eastAsia="宋体" w:cs="宋体"/>
          <w:b w:val="0"/>
          <w:bCs w:val="0"/>
          <w:color w:val="auto"/>
          <w:kern w:val="0"/>
          <w:highlight w:val="none"/>
        </w:rPr>
        <w:t>.8严禁贿赂</w:t>
      </w:r>
      <w:bookmarkEnd w:id="81"/>
    </w:p>
    <w:bookmarkEnd w:id="82"/>
    <w:bookmarkEnd w:id="83"/>
    <w:bookmarkEnd w:id="84"/>
    <w:p w14:paraId="009E311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合同当事人不得以贿赂或变相贿赂的方式，谋取非法利益或损害对方权益。因一方合同当事人的贿赂造成对方损失的，应赔偿损失，并承担相应的法律责任。</w:t>
      </w:r>
    </w:p>
    <w:p w14:paraId="0C73883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09C3C431">
      <w:pPr>
        <w:spacing w:line="360" w:lineRule="auto"/>
        <w:ind w:firstLine="420" w:firstLineChars="200"/>
        <w:rPr>
          <w:rFonts w:hint="eastAsia" w:ascii="宋体" w:hAnsi="宋体" w:eastAsia="宋体" w:cs="宋体"/>
          <w:b w:val="0"/>
          <w:bCs w:val="0"/>
          <w:color w:val="auto"/>
          <w:kern w:val="0"/>
          <w:highlight w:val="none"/>
        </w:rPr>
      </w:pPr>
      <w:bookmarkStart w:id="85" w:name="_Toc351203504"/>
      <w:r>
        <w:rPr>
          <w:rFonts w:hint="eastAsia" w:ascii="宋体" w:hAnsi="宋体" w:eastAsia="宋体" w:cs="宋体"/>
          <w:b w:val="0"/>
          <w:bCs w:val="0"/>
          <w:color w:val="auto"/>
          <w:kern w:val="0"/>
          <w:highlight w:val="none"/>
        </w:rPr>
        <w:t>1</w:t>
      </w:r>
      <w:bookmarkStart w:id="86" w:name="_Toc337558735"/>
      <w:bookmarkStart w:id="87" w:name="_Toc296346537"/>
      <w:bookmarkStart w:id="88" w:name="_Toc296503036"/>
      <w:r>
        <w:rPr>
          <w:rFonts w:hint="eastAsia" w:ascii="宋体" w:hAnsi="宋体" w:eastAsia="宋体" w:cs="宋体"/>
          <w:b w:val="0"/>
          <w:bCs w:val="0"/>
          <w:color w:val="auto"/>
          <w:kern w:val="0"/>
          <w:highlight w:val="none"/>
        </w:rPr>
        <w:t>.9化石、文物</w:t>
      </w:r>
      <w:bookmarkEnd w:id="85"/>
    </w:p>
    <w:bookmarkEnd w:id="86"/>
    <w:bookmarkEnd w:id="87"/>
    <w:bookmarkEnd w:id="88"/>
    <w:p w14:paraId="020F224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3107ECA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发包人、监理人和承包人应按有关政府行政管理部门要求采取妥善的保护措施，由此增加的费用和（或）延误的工期由发包人承担。</w:t>
      </w:r>
    </w:p>
    <w:p w14:paraId="37F1217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承包人发现文物后不及时报告或隐瞒不报，致使文物丢失或损坏的，应赔偿损失，并承担相应的法律责任。</w:t>
      </w:r>
    </w:p>
    <w:p w14:paraId="521BD037">
      <w:pPr>
        <w:spacing w:line="360" w:lineRule="auto"/>
        <w:ind w:firstLine="420" w:firstLineChars="200"/>
        <w:rPr>
          <w:rFonts w:hint="eastAsia" w:ascii="宋体" w:hAnsi="宋体" w:eastAsia="宋体" w:cs="宋体"/>
          <w:b w:val="0"/>
          <w:bCs w:val="0"/>
          <w:color w:val="auto"/>
          <w:kern w:val="0"/>
          <w:highlight w:val="none"/>
        </w:rPr>
      </w:pPr>
      <w:bookmarkStart w:id="89" w:name="_Toc351203505"/>
      <w:r>
        <w:rPr>
          <w:rFonts w:hint="eastAsia" w:ascii="宋体" w:hAnsi="宋体" w:eastAsia="宋体" w:cs="宋体"/>
          <w:b w:val="0"/>
          <w:bCs w:val="0"/>
          <w:color w:val="auto"/>
          <w:kern w:val="0"/>
          <w:highlight w:val="none"/>
        </w:rPr>
        <w:t>1</w:t>
      </w:r>
      <w:bookmarkStart w:id="90" w:name="_Toc337558736"/>
      <w:r>
        <w:rPr>
          <w:rFonts w:hint="eastAsia" w:ascii="宋体" w:hAnsi="宋体" w:eastAsia="宋体" w:cs="宋体"/>
          <w:b w:val="0"/>
          <w:bCs w:val="0"/>
          <w:color w:val="auto"/>
          <w:kern w:val="0"/>
          <w:highlight w:val="none"/>
        </w:rPr>
        <w:t>.10交通运输</w:t>
      </w:r>
      <w:bookmarkEnd w:id="89"/>
    </w:p>
    <w:bookmarkEnd w:id="90"/>
    <w:p w14:paraId="23F0D5D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1.10.1 出入现场的权利</w:t>
      </w:r>
    </w:p>
    <w:p w14:paraId="34D9E54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492DEA0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393C4A9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1.10.2 场外交通</w:t>
      </w:r>
    </w:p>
    <w:p w14:paraId="1D306FB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14A1E34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1.10.3场内交通</w:t>
      </w:r>
    </w:p>
    <w:p w14:paraId="7D0BCD3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5BDEEE7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4563D3C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场外交通和场内交通的边界由合同当事人在专用合同条款中约定。</w:t>
      </w:r>
    </w:p>
    <w:p w14:paraId="7BCBFF4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1.10.4 超大件和超重件的运输</w:t>
      </w:r>
    </w:p>
    <w:p w14:paraId="6C24ACA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63E2B92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1.10.5 道路和桥梁的损坏责任</w:t>
      </w:r>
    </w:p>
    <w:p w14:paraId="4EC7C6F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因承包人运输造成施工场地内外公共道路和桥梁损坏的，由承包人承担修复损坏的全部费用和可能引起的赔偿。</w:t>
      </w:r>
    </w:p>
    <w:p w14:paraId="3DDD324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1.10.6 水路和航空运输</w:t>
      </w:r>
    </w:p>
    <w:p w14:paraId="2669D19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本款前述各项的内容适用于水路运输和航空运输，其中“道路”一词的涵义包括河道、航线、船闸、机场、码头、堤防以及水路或航空运输中其他相似结构物；“车辆”一词的涵义包括船舶和飞机等。</w:t>
      </w:r>
    </w:p>
    <w:p w14:paraId="65165E38">
      <w:pPr>
        <w:spacing w:line="360" w:lineRule="auto"/>
        <w:ind w:firstLine="420" w:firstLineChars="200"/>
        <w:rPr>
          <w:rFonts w:hint="eastAsia" w:ascii="宋体" w:hAnsi="宋体" w:eastAsia="宋体" w:cs="宋体"/>
          <w:b w:val="0"/>
          <w:bCs w:val="0"/>
          <w:color w:val="auto"/>
          <w:kern w:val="0"/>
          <w:highlight w:val="none"/>
        </w:rPr>
      </w:pPr>
      <w:bookmarkStart w:id="91" w:name="_Toc351203506"/>
      <w:r>
        <w:rPr>
          <w:rFonts w:hint="eastAsia" w:ascii="宋体" w:hAnsi="宋体" w:eastAsia="宋体" w:cs="宋体"/>
          <w:b w:val="0"/>
          <w:bCs w:val="0"/>
          <w:color w:val="auto"/>
          <w:kern w:val="0"/>
          <w:highlight w:val="none"/>
        </w:rPr>
        <w:t>1</w:t>
      </w:r>
      <w:bookmarkStart w:id="92" w:name="_Toc337558737"/>
      <w:bookmarkStart w:id="93" w:name="_Toc296503037"/>
      <w:bookmarkStart w:id="94" w:name="_Toc296346538"/>
      <w:r>
        <w:rPr>
          <w:rFonts w:hint="eastAsia" w:ascii="宋体" w:hAnsi="宋体" w:eastAsia="宋体" w:cs="宋体"/>
          <w:b w:val="0"/>
          <w:bCs w:val="0"/>
          <w:color w:val="auto"/>
          <w:kern w:val="0"/>
          <w:highlight w:val="none"/>
        </w:rPr>
        <w:t>.11知识产权</w:t>
      </w:r>
      <w:bookmarkEnd w:id="91"/>
      <w:r>
        <w:rPr>
          <w:rFonts w:hint="eastAsia" w:ascii="宋体" w:hAnsi="宋体" w:eastAsia="宋体" w:cs="宋体"/>
          <w:b w:val="0"/>
          <w:bCs w:val="0"/>
          <w:color w:val="auto"/>
          <w:kern w:val="0"/>
          <w:highlight w:val="none"/>
        </w:rPr>
        <w:t xml:space="preserve"> </w:t>
      </w:r>
      <w:bookmarkEnd w:id="92"/>
    </w:p>
    <w:bookmarkEnd w:id="93"/>
    <w:bookmarkEnd w:id="94"/>
    <w:p w14:paraId="47CD027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17A5CB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176B608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0AE6ECA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    1.11.4 除专用合同条款另有约定外，承包人在合同签订前和签订时已确定采用的专利、专有技术、技术秘密的使用费已包含在签约合同价中。</w:t>
      </w:r>
    </w:p>
    <w:p w14:paraId="1920FE94">
      <w:pPr>
        <w:spacing w:line="360" w:lineRule="auto"/>
        <w:ind w:firstLine="420" w:firstLineChars="200"/>
        <w:rPr>
          <w:rFonts w:hint="eastAsia" w:ascii="宋体" w:hAnsi="宋体" w:eastAsia="宋体" w:cs="宋体"/>
          <w:b w:val="0"/>
          <w:bCs w:val="0"/>
          <w:color w:val="auto"/>
          <w:kern w:val="0"/>
          <w:highlight w:val="none"/>
        </w:rPr>
      </w:pPr>
      <w:bookmarkStart w:id="95" w:name="_Toc351203507"/>
      <w:r>
        <w:rPr>
          <w:rFonts w:hint="eastAsia" w:ascii="宋体" w:hAnsi="宋体" w:eastAsia="宋体" w:cs="宋体"/>
          <w:b w:val="0"/>
          <w:bCs w:val="0"/>
          <w:color w:val="auto"/>
          <w:kern w:val="0"/>
          <w:highlight w:val="none"/>
        </w:rPr>
        <w:t>1</w:t>
      </w:r>
      <w:bookmarkStart w:id="96" w:name="_Toc337558738"/>
      <w:r>
        <w:rPr>
          <w:rFonts w:hint="eastAsia" w:ascii="宋体" w:hAnsi="宋体" w:eastAsia="宋体" w:cs="宋体"/>
          <w:b w:val="0"/>
          <w:bCs w:val="0"/>
          <w:color w:val="auto"/>
          <w:kern w:val="0"/>
          <w:highlight w:val="none"/>
        </w:rPr>
        <w:t>.12保密</w:t>
      </w:r>
      <w:bookmarkEnd w:id="95"/>
    </w:p>
    <w:bookmarkEnd w:id="96"/>
    <w:p w14:paraId="36F8E70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除法律规定或合同另有约定外，未经发包人同意，承包人不得将发包人提供的图纸、文件以及声明需要保密的资料信息等商业秘密泄露给第三方。</w:t>
      </w:r>
    </w:p>
    <w:p w14:paraId="4717148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除法律规定或合同另有约定外，未经承包人同意，发包人不得将承包人提供的技术秘密及声明需要保密的资料信息等商业秘密泄露给第三方。</w:t>
      </w:r>
    </w:p>
    <w:p w14:paraId="248602AD">
      <w:pPr>
        <w:spacing w:line="360" w:lineRule="auto"/>
        <w:ind w:firstLine="420" w:firstLineChars="200"/>
        <w:rPr>
          <w:rFonts w:hint="eastAsia" w:ascii="宋体" w:hAnsi="宋体" w:eastAsia="宋体" w:cs="宋体"/>
          <w:b w:val="0"/>
          <w:bCs w:val="0"/>
          <w:color w:val="auto"/>
          <w:kern w:val="0"/>
          <w:highlight w:val="none"/>
        </w:rPr>
      </w:pPr>
      <w:bookmarkStart w:id="97" w:name="_Toc351203508"/>
      <w:r>
        <w:rPr>
          <w:rFonts w:hint="eastAsia" w:ascii="宋体" w:hAnsi="宋体" w:eastAsia="宋体" w:cs="宋体"/>
          <w:b w:val="0"/>
          <w:bCs w:val="0"/>
          <w:color w:val="auto"/>
          <w:kern w:val="0"/>
          <w:highlight w:val="none"/>
        </w:rPr>
        <w:t>1.13工程量清单错误的修正</w:t>
      </w:r>
      <w:bookmarkEnd w:id="97"/>
    </w:p>
    <w:p w14:paraId="5A25A37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除专用合同条款另有约定外，发包人提供的工程量清单，应被认为是准确的和完整的。出现下列情形之一时，发包人应予以修正，并相应调整合同价格：</w:t>
      </w:r>
    </w:p>
    <w:p w14:paraId="6C287AA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（1）工程量清单存在缺项、漏项的；</w:t>
      </w:r>
    </w:p>
    <w:p w14:paraId="2EE4952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（2）工程量清单偏差超出专用合同条款约定的工程量偏差范围的；</w:t>
      </w:r>
    </w:p>
    <w:p w14:paraId="09133CD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（3）未按照国家现行计量规范强制性规定计量的。</w:t>
      </w:r>
    </w:p>
    <w:p w14:paraId="02270CC1">
      <w:pPr>
        <w:spacing w:line="360" w:lineRule="auto"/>
        <w:ind w:firstLine="420" w:firstLineChars="200"/>
        <w:rPr>
          <w:rFonts w:hint="eastAsia" w:ascii="宋体" w:hAnsi="宋体" w:eastAsia="宋体" w:cs="宋体"/>
          <w:b w:val="0"/>
          <w:bCs w:val="0"/>
          <w:color w:val="auto"/>
          <w:kern w:val="0"/>
          <w:highlight w:val="none"/>
        </w:rPr>
      </w:pPr>
      <w:bookmarkStart w:id="98" w:name="_Toc351203509"/>
      <w:r>
        <w:rPr>
          <w:rFonts w:hint="eastAsia" w:ascii="宋体" w:hAnsi="宋体" w:eastAsia="宋体" w:cs="宋体"/>
          <w:b w:val="0"/>
          <w:bCs w:val="0"/>
          <w:color w:val="auto"/>
          <w:kern w:val="0"/>
          <w:highlight w:val="none"/>
        </w:rPr>
        <w:t>2</w:t>
      </w:r>
      <w:bookmarkStart w:id="99" w:name="_Toc296346539"/>
      <w:bookmarkStart w:id="100" w:name="_Toc296503038"/>
      <w:bookmarkStart w:id="101" w:name="_Toc337558739"/>
      <w:bookmarkStart w:id="102" w:name="OLE_LINK2"/>
      <w:r>
        <w:rPr>
          <w:rFonts w:hint="eastAsia" w:ascii="宋体" w:hAnsi="宋体" w:eastAsia="宋体" w:cs="宋体"/>
          <w:b w:val="0"/>
          <w:bCs w:val="0"/>
          <w:color w:val="auto"/>
          <w:kern w:val="0"/>
          <w:highlight w:val="none"/>
        </w:rPr>
        <w:t>. 发包人</w:t>
      </w:r>
      <w:bookmarkEnd w:id="98"/>
    </w:p>
    <w:bookmarkEnd w:id="99"/>
    <w:bookmarkEnd w:id="100"/>
    <w:bookmarkEnd w:id="101"/>
    <w:p w14:paraId="5014B1A6">
      <w:pPr>
        <w:spacing w:line="360" w:lineRule="auto"/>
        <w:ind w:firstLine="420" w:firstLineChars="200"/>
        <w:rPr>
          <w:rFonts w:hint="eastAsia" w:ascii="宋体" w:hAnsi="宋体" w:eastAsia="宋体" w:cs="宋体"/>
          <w:b w:val="0"/>
          <w:bCs w:val="0"/>
          <w:color w:val="auto"/>
          <w:kern w:val="0"/>
          <w:highlight w:val="none"/>
        </w:rPr>
      </w:pPr>
      <w:bookmarkStart w:id="103" w:name="_Toc351203510"/>
      <w:r>
        <w:rPr>
          <w:rFonts w:hint="eastAsia" w:ascii="宋体" w:hAnsi="宋体" w:eastAsia="宋体" w:cs="宋体"/>
          <w:b w:val="0"/>
          <w:bCs w:val="0"/>
          <w:color w:val="auto"/>
          <w:kern w:val="0"/>
          <w:highlight w:val="none"/>
        </w:rPr>
        <w:t>2</w:t>
      </w:r>
      <w:bookmarkStart w:id="104" w:name="_Toc296503039"/>
      <w:bookmarkStart w:id="105" w:name="_Toc337558740"/>
      <w:bookmarkStart w:id="106" w:name="_Toc296346540"/>
      <w:r>
        <w:rPr>
          <w:rFonts w:hint="eastAsia" w:ascii="宋体" w:hAnsi="宋体" w:eastAsia="宋体" w:cs="宋体"/>
          <w:b w:val="0"/>
          <w:bCs w:val="0"/>
          <w:color w:val="auto"/>
          <w:kern w:val="0"/>
          <w:highlight w:val="none"/>
        </w:rPr>
        <w:t>.1 许可或批准</w:t>
      </w:r>
      <w:bookmarkEnd w:id="103"/>
    </w:p>
    <w:p w14:paraId="2346703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7BE3214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因发包人原因未能及时办理完毕前述许可、批准或备案，由发包人承担由此增加的费用和（或）延误的工期，并支付承包人合理的利润。</w:t>
      </w:r>
    </w:p>
    <w:p w14:paraId="44278443">
      <w:pPr>
        <w:spacing w:line="360" w:lineRule="auto"/>
        <w:ind w:firstLine="420" w:firstLineChars="200"/>
        <w:rPr>
          <w:rFonts w:hint="eastAsia" w:ascii="宋体" w:hAnsi="宋体" w:eastAsia="宋体" w:cs="宋体"/>
          <w:b w:val="0"/>
          <w:bCs w:val="0"/>
          <w:color w:val="auto"/>
          <w:kern w:val="0"/>
          <w:highlight w:val="none"/>
        </w:rPr>
      </w:pPr>
      <w:bookmarkStart w:id="107" w:name="_Toc351203511"/>
      <w:r>
        <w:rPr>
          <w:rFonts w:hint="eastAsia" w:ascii="宋体" w:hAnsi="宋体" w:eastAsia="宋体" w:cs="宋体"/>
          <w:b w:val="0"/>
          <w:bCs w:val="0"/>
          <w:color w:val="auto"/>
          <w:kern w:val="0"/>
          <w:highlight w:val="none"/>
        </w:rPr>
        <w:t>2.2 发包人代表</w:t>
      </w:r>
      <w:bookmarkEnd w:id="107"/>
    </w:p>
    <w:p w14:paraId="6F107C5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717BC6A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发包人代表不能按照合同约定履行其职责及义务，并导致合同无法继续正常履行的，承包人可以要求发包人撤换发包人代表。</w:t>
      </w:r>
    </w:p>
    <w:p w14:paraId="772127E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不属于法定必须监理的工程，监理人的职权可以由发包人代表或发包人指定的其他人员行使。</w:t>
      </w:r>
    </w:p>
    <w:p w14:paraId="45DA91A8">
      <w:pPr>
        <w:spacing w:line="360" w:lineRule="auto"/>
        <w:ind w:firstLine="420" w:firstLineChars="200"/>
        <w:rPr>
          <w:rFonts w:hint="eastAsia" w:ascii="宋体" w:hAnsi="宋体" w:eastAsia="宋体" w:cs="宋体"/>
          <w:b w:val="0"/>
          <w:bCs w:val="0"/>
          <w:color w:val="auto"/>
          <w:kern w:val="0"/>
          <w:highlight w:val="none"/>
        </w:rPr>
      </w:pPr>
      <w:bookmarkStart w:id="108" w:name="_Toc351203512"/>
      <w:r>
        <w:rPr>
          <w:rFonts w:hint="eastAsia" w:ascii="宋体" w:hAnsi="宋体" w:eastAsia="宋体" w:cs="宋体"/>
          <w:b w:val="0"/>
          <w:bCs w:val="0"/>
          <w:color w:val="auto"/>
          <w:kern w:val="0"/>
          <w:highlight w:val="none"/>
        </w:rPr>
        <w:t>2.3 发包人人员</w:t>
      </w:r>
      <w:bookmarkEnd w:id="108"/>
    </w:p>
    <w:p w14:paraId="74A525E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发包人应要求在施工现场的发包人人员遵守法律及有关安全、质量、环境保护、文明施工等规定，并保障承包人免于承受因发包人人员未遵守上述要求给承包人造成的损失和责任。</w:t>
      </w:r>
    </w:p>
    <w:p w14:paraId="78A54D7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发包人人员包括发包人代表及其他由发包人派驻施工现场的人员。</w:t>
      </w:r>
      <w:bookmarkEnd w:id="104"/>
      <w:bookmarkEnd w:id="105"/>
      <w:bookmarkEnd w:id="106"/>
    </w:p>
    <w:p w14:paraId="30379AB6">
      <w:pPr>
        <w:spacing w:line="360" w:lineRule="auto"/>
        <w:ind w:firstLine="420" w:firstLineChars="200"/>
        <w:rPr>
          <w:rFonts w:hint="eastAsia" w:ascii="宋体" w:hAnsi="宋体" w:eastAsia="宋体" w:cs="宋体"/>
          <w:b w:val="0"/>
          <w:bCs w:val="0"/>
          <w:color w:val="auto"/>
          <w:kern w:val="0"/>
          <w:highlight w:val="none"/>
        </w:rPr>
      </w:pPr>
      <w:bookmarkStart w:id="109" w:name="_Toc351203513"/>
      <w:r>
        <w:rPr>
          <w:rFonts w:hint="eastAsia" w:ascii="宋体" w:hAnsi="宋体" w:eastAsia="宋体" w:cs="宋体"/>
          <w:b w:val="0"/>
          <w:bCs w:val="0"/>
          <w:color w:val="auto"/>
          <w:kern w:val="0"/>
          <w:highlight w:val="none"/>
        </w:rPr>
        <w:t>2</w:t>
      </w:r>
      <w:bookmarkStart w:id="110" w:name="_Toc337558741"/>
      <w:bookmarkStart w:id="111" w:name="_Toc296346541"/>
      <w:bookmarkStart w:id="112" w:name="_Toc296503040"/>
      <w:r>
        <w:rPr>
          <w:rFonts w:hint="eastAsia" w:ascii="宋体" w:hAnsi="宋体" w:eastAsia="宋体" w:cs="宋体"/>
          <w:b w:val="0"/>
          <w:bCs w:val="0"/>
          <w:color w:val="auto"/>
          <w:kern w:val="0"/>
          <w:highlight w:val="none"/>
        </w:rPr>
        <w:t>.4 施工现场、施工条件和基础资料的提供</w:t>
      </w:r>
      <w:bookmarkEnd w:id="109"/>
      <w:r>
        <w:rPr>
          <w:rFonts w:hint="eastAsia" w:ascii="宋体" w:hAnsi="宋体" w:eastAsia="宋体" w:cs="宋体"/>
          <w:b w:val="0"/>
          <w:bCs w:val="0"/>
          <w:color w:val="auto"/>
          <w:kern w:val="0"/>
          <w:highlight w:val="none"/>
        </w:rPr>
        <w:t xml:space="preserve"> </w:t>
      </w:r>
      <w:bookmarkEnd w:id="110"/>
      <w:bookmarkEnd w:id="111"/>
      <w:bookmarkEnd w:id="112"/>
      <w:r>
        <w:rPr>
          <w:rFonts w:hint="eastAsia" w:ascii="宋体" w:hAnsi="宋体" w:eastAsia="宋体" w:cs="宋体"/>
          <w:b w:val="0"/>
          <w:bCs w:val="0"/>
          <w:color w:val="auto"/>
          <w:kern w:val="0"/>
          <w:highlight w:val="none"/>
        </w:rPr>
        <w:t xml:space="preserve"> </w:t>
      </w:r>
    </w:p>
    <w:p w14:paraId="04DCD17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2.4.1 提供施工现场</w:t>
      </w:r>
    </w:p>
    <w:p w14:paraId="0440B59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w:t>
      </w:r>
      <w:bookmarkEnd w:id="102"/>
      <w:r>
        <w:rPr>
          <w:rFonts w:hint="eastAsia" w:ascii="宋体" w:hAnsi="宋体" w:eastAsia="宋体" w:cs="宋体"/>
          <w:b w:val="0"/>
          <w:bCs w:val="0"/>
          <w:color w:val="auto"/>
          <w:kern w:val="0"/>
          <w:highlight w:val="none"/>
        </w:rPr>
        <w:t>专用合同条款另有约定外，发包人应最迟于开工日期7天前向承包人移交施工现场。</w:t>
      </w:r>
    </w:p>
    <w:p w14:paraId="5795024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2.4.2 提供施工条件</w:t>
      </w:r>
    </w:p>
    <w:p w14:paraId="344AB76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除专用合同条款另有约定外，发包人应负责提供施工所需要的条件，包括：</w:t>
      </w:r>
    </w:p>
    <w:p w14:paraId="1823351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（1）将施工用水、电力、通讯线路等施工所必需的条件接至施工现场内；</w:t>
      </w:r>
    </w:p>
    <w:p w14:paraId="3141724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（2）保证向承包人提供正常施工所需要的进入施工现场的交通条件；</w:t>
      </w:r>
    </w:p>
    <w:p w14:paraId="6179150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（3）协调处理施工现场周围地下管线和邻近建筑物、构筑物、古树名木的保护工作，并承担相关费用；</w:t>
      </w:r>
    </w:p>
    <w:p w14:paraId="15B93E0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（4）按照专用合同条款约定应提供的其他设施和条件。</w:t>
      </w:r>
    </w:p>
    <w:p w14:paraId="7B5483B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2.4.3 提供基础资料</w:t>
      </w:r>
    </w:p>
    <w:p w14:paraId="5EC7F32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022E701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按照法律规定确需在开工后方能提供的基础资料，发包人应尽其努力及时地在相应工程施工前的合理期限内提供，合理期限应以不影响承包人的正常施工为限。</w:t>
      </w:r>
    </w:p>
    <w:p w14:paraId="44DD65D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2.4.4 逾期提供的责任</w:t>
      </w:r>
    </w:p>
    <w:p w14:paraId="5E82574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因发包人原因未能按合同约定及时向承包人提供施工现场、施工条件、基础资料的，由发包人承担由此增加的费用和（或）延误的工期。</w:t>
      </w:r>
    </w:p>
    <w:p w14:paraId="14963EAD">
      <w:pPr>
        <w:spacing w:line="360" w:lineRule="auto"/>
        <w:ind w:firstLine="420" w:firstLineChars="200"/>
        <w:rPr>
          <w:rFonts w:hint="eastAsia" w:ascii="宋体" w:hAnsi="宋体" w:eastAsia="宋体" w:cs="宋体"/>
          <w:b w:val="0"/>
          <w:bCs w:val="0"/>
          <w:color w:val="auto"/>
          <w:kern w:val="0"/>
          <w:highlight w:val="none"/>
        </w:rPr>
      </w:pPr>
      <w:bookmarkStart w:id="113" w:name="_Toc351203514"/>
      <w:r>
        <w:rPr>
          <w:rFonts w:hint="eastAsia" w:ascii="宋体" w:hAnsi="宋体" w:eastAsia="宋体" w:cs="宋体"/>
          <w:b w:val="0"/>
          <w:bCs w:val="0"/>
          <w:color w:val="auto"/>
          <w:kern w:val="0"/>
          <w:highlight w:val="none"/>
        </w:rPr>
        <w:t>2</w:t>
      </w:r>
      <w:bookmarkStart w:id="114" w:name="_Toc296346543"/>
      <w:bookmarkStart w:id="115" w:name="_Toc296503042"/>
      <w:bookmarkStart w:id="116" w:name="_Toc337558745"/>
      <w:r>
        <w:rPr>
          <w:rFonts w:hint="eastAsia" w:ascii="宋体" w:hAnsi="宋体" w:eastAsia="宋体" w:cs="宋体"/>
          <w:b w:val="0"/>
          <w:bCs w:val="0"/>
          <w:color w:val="auto"/>
          <w:kern w:val="0"/>
          <w:highlight w:val="none"/>
        </w:rPr>
        <w:t>.5 资</w:t>
      </w:r>
      <w:bookmarkEnd w:id="114"/>
      <w:bookmarkEnd w:id="115"/>
      <w:bookmarkEnd w:id="116"/>
      <w:r>
        <w:rPr>
          <w:rFonts w:hint="eastAsia" w:ascii="宋体" w:hAnsi="宋体" w:eastAsia="宋体" w:cs="宋体"/>
          <w:b w:val="0"/>
          <w:bCs w:val="0"/>
          <w:color w:val="auto"/>
          <w:kern w:val="0"/>
          <w:highlight w:val="none"/>
        </w:rPr>
        <w:t>金来源证明及支付担保</w:t>
      </w:r>
      <w:bookmarkEnd w:id="113"/>
    </w:p>
    <w:p w14:paraId="33ADB4C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除专用合同条款另有约定外，发包人应在收到承包人要求提供资金来源证明的书面通知后28天内，向承包人提供能够按照合同约定支付合同价款的相应资金来源证明。</w:t>
      </w:r>
    </w:p>
    <w:p w14:paraId="625594C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14:paraId="2D597FEE">
      <w:pPr>
        <w:spacing w:line="360" w:lineRule="auto"/>
        <w:ind w:firstLine="420" w:firstLineChars="200"/>
        <w:rPr>
          <w:rFonts w:hint="eastAsia" w:ascii="宋体" w:hAnsi="宋体" w:eastAsia="宋体" w:cs="宋体"/>
          <w:b w:val="0"/>
          <w:bCs w:val="0"/>
          <w:color w:val="auto"/>
          <w:kern w:val="0"/>
          <w:highlight w:val="none"/>
        </w:rPr>
      </w:pPr>
      <w:bookmarkStart w:id="117" w:name="_Toc351203515"/>
      <w:r>
        <w:rPr>
          <w:rFonts w:hint="eastAsia" w:ascii="宋体" w:hAnsi="宋体" w:eastAsia="宋体" w:cs="宋体"/>
          <w:b w:val="0"/>
          <w:bCs w:val="0"/>
          <w:color w:val="auto"/>
          <w:kern w:val="0"/>
          <w:highlight w:val="none"/>
        </w:rPr>
        <w:t>2.6 支付合同价款</w:t>
      </w:r>
      <w:bookmarkEnd w:id="117"/>
    </w:p>
    <w:p w14:paraId="663C9CE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发包人应按合同约定向承包人及时支付合同价款。</w:t>
      </w:r>
    </w:p>
    <w:p w14:paraId="00DA0F85">
      <w:pPr>
        <w:spacing w:line="360" w:lineRule="auto"/>
        <w:ind w:firstLine="420" w:firstLineChars="200"/>
        <w:rPr>
          <w:rFonts w:hint="eastAsia" w:ascii="宋体" w:hAnsi="宋体" w:eastAsia="宋体" w:cs="宋体"/>
          <w:b w:val="0"/>
          <w:bCs w:val="0"/>
          <w:color w:val="auto"/>
          <w:kern w:val="0"/>
          <w:highlight w:val="none"/>
        </w:rPr>
      </w:pPr>
      <w:bookmarkStart w:id="118" w:name="_Toc351203516"/>
      <w:r>
        <w:rPr>
          <w:rFonts w:hint="eastAsia" w:ascii="宋体" w:hAnsi="宋体" w:eastAsia="宋体" w:cs="宋体"/>
          <w:b w:val="0"/>
          <w:bCs w:val="0"/>
          <w:color w:val="auto"/>
          <w:kern w:val="0"/>
          <w:highlight w:val="none"/>
        </w:rPr>
        <w:t>2.7 组织竣工验收</w:t>
      </w:r>
      <w:bookmarkEnd w:id="118"/>
    </w:p>
    <w:p w14:paraId="6947D6D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发包人应按合同约定及时组织竣工验收。</w:t>
      </w:r>
    </w:p>
    <w:p w14:paraId="2B87D3F4">
      <w:pPr>
        <w:spacing w:line="360" w:lineRule="auto"/>
        <w:ind w:firstLine="420" w:firstLineChars="200"/>
        <w:rPr>
          <w:rFonts w:hint="eastAsia" w:ascii="宋体" w:hAnsi="宋体" w:eastAsia="宋体" w:cs="宋体"/>
          <w:b w:val="0"/>
          <w:bCs w:val="0"/>
          <w:color w:val="auto"/>
          <w:kern w:val="0"/>
          <w:highlight w:val="none"/>
        </w:rPr>
      </w:pPr>
      <w:bookmarkStart w:id="119" w:name="_Toc351203517"/>
      <w:r>
        <w:rPr>
          <w:rFonts w:hint="eastAsia" w:ascii="宋体" w:hAnsi="宋体" w:eastAsia="宋体" w:cs="宋体"/>
          <w:b w:val="0"/>
          <w:bCs w:val="0"/>
          <w:color w:val="auto"/>
          <w:kern w:val="0"/>
          <w:highlight w:val="none"/>
        </w:rPr>
        <w:t>2.8 现场统一管理协议</w:t>
      </w:r>
      <w:bookmarkEnd w:id="119"/>
    </w:p>
    <w:p w14:paraId="1692571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发包人应与承包人、由发包人直接发包的专业工程的承包人签订施工现场统一管理协议，明确各方的权利义务。施工现场统一管理协议作为专用合同条款的附件。</w:t>
      </w:r>
    </w:p>
    <w:p w14:paraId="3D5356B4">
      <w:pPr>
        <w:spacing w:line="360" w:lineRule="auto"/>
        <w:ind w:firstLine="420" w:firstLineChars="200"/>
        <w:rPr>
          <w:rFonts w:hint="eastAsia" w:ascii="宋体" w:hAnsi="宋体" w:eastAsia="宋体" w:cs="宋体"/>
          <w:b w:val="0"/>
          <w:bCs w:val="0"/>
          <w:color w:val="auto"/>
          <w:kern w:val="0"/>
          <w:highlight w:val="none"/>
        </w:rPr>
      </w:pPr>
      <w:bookmarkStart w:id="120" w:name="_Toc351203518"/>
      <w:r>
        <w:rPr>
          <w:rFonts w:hint="eastAsia" w:ascii="宋体" w:hAnsi="宋体" w:eastAsia="宋体" w:cs="宋体"/>
          <w:b w:val="0"/>
          <w:bCs w:val="0"/>
          <w:color w:val="auto"/>
          <w:kern w:val="0"/>
          <w:highlight w:val="none"/>
        </w:rPr>
        <w:t>3</w:t>
      </w:r>
      <w:bookmarkStart w:id="121" w:name="_Toc337558746"/>
      <w:bookmarkStart w:id="122" w:name="_Toc296503045"/>
      <w:bookmarkStart w:id="123" w:name="_Toc296346546"/>
      <w:r>
        <w:rPr>
          <w:rFonts w:hint="eastAsia" w:ascii="宋体" w:hAnsi="宋体" w:eastAsia="宋体" w:cs="宋体"/>
          <w:b w:val="0"/>
          <w:bCs w:val="0"/>
          <w:color w:val="auto"/>
          <w:kern w:val="0"/>
          <w:highlight w:val="none"/>
        </w:rPr>
        <w:t>. 承包人</w:t>
      </w:r>
      <w:bookmarkEnd w:id="120"/>
    </w:p>
    <w:bookmarkEnd w:id="121"/>
    <w:bookmarkEnd w:id="122"/>
    <w:bookmarkEnd w:id="123"/>
    <w:p w14:paraId="2E508FA1">
      <w:pPr>
        <w:spacing w:line="360" w:lineRule="auto"/>
        <w:ind w:firstLine="420" w:firstLineChars="200"/>
        <w:rPr>
          <w:rFonts w:hint="eastAsia" w:ascii="宋体" w:hAnsi="宋体" w:eastAsia="宋体" w:cs="宋体"/>
          <w:b w:val="0"/>
          <w:bCs w:val="0"/>
          <w:color w:val="auto"/>
          <w:kern w:val="0"/>
          <w:highlight w:val="none"/>
        </w:rPr>
      </w:pPr>
      <w:bookmarkStart w:id="124" w:name="_Toc351203519"/>
      <w:r>
        <w:rPr>
          <w:rFonts w:hint="eastAsia" w:ascii="宋体" w:hAnsi="宋体" w:eastAsia="宋体" w:cs="宋体"/>
          <w:b w:val="0"/>
          <w:bCs w:val="0"/>
          <w:color w:val="auto"/>
          <w:kern w:val="0"/>
          <w:highlight w:val="none"/>
        </w:rPr>
        <w:t>3</w:t>
      </w:r>
      <w:bookmarkStart w:id="125" w:name="_Toc337558747"/>
      <w:bookmarkStart w:id="126" w:name="_Toc296503046"/>
      <w:bookmarkStart w:id="127" w:name="_Toc296346547"/>
      <w:r>
        <w:rPr>
          <w:rFonts w:hint="eastAsia" w:ascii="宋体" w:hAnsi="宋体" w:eastAsia="宋体" w:cs="宋体"/>
          <w:b w:val="0"/>
          <w:bCs w:val="0"/>
          <w:color w:val="auto"/>
          <w:kern w:val="0"/>
          <w:highlight w:val="none"/>
        </w:rPr>
        <w:t>.1 承包人的一般义务</w:t>
      </w:r>
      <w:bookmarkEnd w:id="124"/>
    </w:p>
    <w:bookmarkEnd w:id="125"/>
    <w:bookmarkEnd w:id="126"/>
    <w:bookmarkEnd w:id="127"/>
    <w:p w14:paraId="6FF1894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承包人在履行合同过程中应遵守法律和工程建设标准规范，并履行以下义务：</w:t>
      </w:r>
    </w:p>
    <w:p w14:paraId="3578558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办理法律规定应由承包人办理的许可和批准，并将办理结果书面报送发包人留存；</w:t>
      </w:r>
    </w:p>
    <w:p w14:paraId="74C20B0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（2）按法律规定和合同约定完成工程，并在保修期内承担保修义务；</w:t>
      </w:r>
    </w:p>
    <w:p w14:paraId="202467B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（3）按法律规定和合同约定采取施工安全和环境保护措施，办理工伤保险，确保工程及人员、材料、设备和设施的安全；</w:t>
      </w:r>
    </w:p>
    <w:p w14:paraId="334D50B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（4）按合同约定的工作内容和施工进度要求，编制施工组织设计和施工措施计划，并对所有施工作业和施工方法的完备性和安全可靠性负责；</w:t>
      </w:r>
    </w:p>
    <w:p w14:paraId="5EF87CC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48CC622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（6）按照第6.3款〔环境保护〕约定负责施工场地及其周边环境与生态的保护工作；</w:t>
      </w:r>
    </w:p>
    <w:p w14:paraId="76478BC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（7）按第6.1款〔安全文明施工〕约定采取施工安全措施，确保工程及其人员、材料、设备和设施的安全，防止因工程施工造成的人身伤害和财产损失；</w:t>
      </w:r>
    </w:p>
    <w:p w14:paraId="21F8C4D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（8）将发包人按合同约定支付的各项价款专用于合同工程，且应及时支付其雇用人员工资，并及时向分包人支付合同价款；</w:t>
      </w:r>
    </w:p>
    <w:p w14:paraId="21C9944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（9）按照法律规定和合同约定编制竣工资料，完成竣工资料立卷及归档，并按专用合同条款约定的竣工资料的套数、内容、时间等要求移交发包人；</w:t>
      </w:r>
    </w:p>
    <w:p w14:paraId="0AB5157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（10）应履行的其他义务。</w:t>
      </w:r>
    </w:p>
    <w:p w14:paraId="195DCB42">
      <w:pPr>
        <w:spacing w:line="360" w:lineRule="auto"/>
        <w:ind w:firstLine="420" w:firstLineChars="200"/>
        <w:rPr>
          <w:rFonts w:hint="eastAsia" w:ascii="宋体" w:hAnsi="宋体" w:eastAsia="宋体" w:cs="宋体"/>
          <w:b w:val="0"/>
          <w:bCs w:val="0"/>
          <w:color w:val="auto"/>
          <w:kern w:val="0"/>
          <w:highlight w:val="none"/>
        </w:rPr>
      </w:pPr>
      <w:bookmarkStart w:id="128" w:name="_Toc351203520"/>
      <w:r>
        <w:rPr>
          <w:rFonts w:hint="eastAsia" w:ascii="宋体" w:hAnsi="宋体" w:eastAsia="宋体" w:cs="宋体"/>
          <w:b w:val="0"/>
          <w:bCs w:val="0"/>
          <w:color w:val="auto"/>
          <w:kern w:val="0"/>
          <w:highlight w:val="none"/>
        </w:rPr>
        <w:t>3</w:t>
      </w:r>
      <w:bookmarkStart w:id="129" w:name="_Toc337558748"/>
      <w:bookmarkStart w:id="130" w:name="_Toc296503047"/>
      <w:bookmarkStart w:id="131" w:name="_Toc296346548"/>
      <w:r>
        <w:rPr>
          <w:rFonts w:hint="eastAsia" w:ascii="宋体" w:hAnsi="宋体" w:eastAsia="宋体" w:cs="宋体"/>
          <w:b w:val="0"/>
          <w:bCs w:val="0"/>
          <w:color w:val="auto"/>
          <w:kern w:val="0"/>
          <w:highlight w:val="none"/>
        </w:rPr>
        <w:t xml:space="preserve">.2 </w:t>
      </w:r>
      <w:bookmarkEnd w:id="128"/>
      <w:r>
        <w:rPr>
          <w:rFonts w:hint="eastAsia" w:ascii="宋体" w:hAnsi="宋体" w:eastAsia="宋体" w:cs="宋体"/>
          <w:b w:val="0"/>
          <w:bCs w:val="0"/>
          <w:color w:val="auto"/>
          <w:kern w:val="0"/>
          <w:highlight w:val="none"/>
        </w:rPr>
        <w:t>项目经理</w:t>
      </w:r>
    </w:p>
    <w:bookmarkEnd w:id="129"/>
    <w:bookmarkEnd w:id="130"/>
    <w:bookmarkEnd w:id="131"/>
    <w:p w14:paraId="43D4AF2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09C26C4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573028D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承包人违反上述约定的，应按照专用合同条款的约定，承担违约责任。</w:t>
      </w:r>
    </w:p>
    <w:p w14:paraId="18CB34C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2F4E81A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7E4CCB1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4760BCF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14:paraId="09308D4F">
      <w:pPr>
        <w:spacing w:line="360" w:lineRule="auto"/>
        <w:ind w:firstLine="420" w:firstLineChars="200"/>
        <w:rPr>
          <w:rFonts w:hint="eastAsia" w:ascii="宋体" w:hAnsi="宋体" w:eastAsia="宋体" w:cs="宋体"/>
          <w:b w:val="0"/>
          <w:bCs w:val="0"/>
          <w:color w:val="auto"/>
          <w:kern w:val="0"/>
          <w:highlight w:val="none"/>
        </w:rPr>
      </w:pPr>
      <w:bookmarkStart w:id="132" w:name="_Toc351203521"/>
      <w:r>
        <w:rPr>
          <w:rFonts w:hint="eastAsia" w:ascii="宋体" w:hAnsi="宋体" w:eastAsia="宋体" w:cs="宋体"/>
          <w:b w:val="0"/>
          <w:bCs w:val="0"/>
          <w:color w:val="auto"/>
          <w:kern w:val="0"/>
          <w:highlight w:val="none"/>
        </w:rPr>
        <w:t>3</w:t>
      </w:r>
      <w:bookmarkStart w:id="133" w:name="_Toc296346549"/>
      <w:bookmarkStart w:id="134" w:name="_Toc296503048"/>
      <w:bookmarkStart w:id="135" w:name="_Toc337558749"/>
      <w:r>
        <w:rPr>
          <w:rFonts w:hint="eastAsia" w:ascii="宋体" w:hAnsi="宋体" w:eastAsia="宋体" w:cs="宋体"/>
          <w:b w:val="0"/>
          <w:bCs w:val="0"/>
          <w:color w:val="auto"/>
          <w:kern w:val="0"/>
          <w:highlight w:val="none"/>
        </w:rPr>
        <w:t xml:space="preserve">.3 </w:t>
      </w:r>
      <w:bookmarkEnd w:id="133"/>
      <w:bookmarkEnd w:id="134"/>
      <w:r>
        <w:rPr>
          <w:rFonts w:hint="eastAsia" w:ascii="宋体" w:hAnsi="宋体" w:eastAsia="宋体" w:cs="宋体"/>
          <w:b w:val="0"/>
          <w:bCs w:val="0"/>
          <w:color w:val="auto"/>
          <w:kern w:val="0"/>
          <w:highlight w:val="none"/>
        </w:rPr>
        <w:t>承包人人员</w:t>
      </w:r>
      <w:bookmarkEnd w:id="132"/>
    </w:p>
    <w:bookmarkEnd w:id="135"/>
    <w:p w14:paraId="7108D28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0E27012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4C6AA41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特殊工种作业人员均应持有相应的资格证明，监理人可以随时检查。</w:t>
      </w:r>
    </w:p>
    <w:p w14:paraId="548ECBD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423D1C1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4EF7532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3.3.5 承包人擅自更换主要施工管理人员，或前述人员未经监理人或发包人同意擅自离开施工现场的，应按照专用合同条款约定承担违约责任。</w:t>
      </w:r>
    </w:p>
    <w:p w14:paraId="12576C07">
      <w:pPr>
        <w:spacing w:line="360" w:lineRule="auto"/>
        <w:ind w:firstLine="420" w:firstLineChars="200"/>
        <w:rPr>
          <w:rFonts w:hint="eastAsia" w:ascii="宋体" w:hAnsi="宋体" w:eastAsia="宋体" w:cs="宋体"/>
          <w:b w:val="0"/>
          <w:bCs w:val="0"/>
          <w:color w:val="auto"/>
          <w:kern w:val="0"/>
          <w:highlight w:val="none"/>
        </w:rPr>
      </w:pPr>
      <w:bookmarkStart w:id="136" w:name="_Toc351203522"/>
      <w:r>
        <w:rPr>
          <w:rFonts w:hint="eastAsia" w:ascii="宋体" w:hAnsi="宋体" w:eastAsia="宋体" w:cs="宋体"/>
          <w:b w:val="0"/>
          <w:bCs w:val="0"/>
          <w:color w:val="auto"/>
          <w:kern w:val="0"/>
          <w:highlight w:val="none"/>
        </w:rPr>
        <w:t>3</w:t>
      </w:r>
      <w:bookmarkStart w:id="137" w:name="_Toc337558750"/>
      <w:bookmarkStart w:id="138" w:name="_Toc296346551"/>
      <w:bookmarkStart w:id="139" w:name="_Toc296503050"/>
      <w:r>
        <w:rPr>
          <w:rFonts w:hint="eastAsia" w:ascii="宋体" w:hAnsi="宋体" w:eastAsia="宋体" w:cs="宋体"/>
          <w:b w:val="0"/>
          <w:bCs w:val="0"/>
          <w:color w:val="auto"/>
          <w:kern w:val="0"/>
          <w:highlight w:val="none"/>
        </w:rPr>
        <w:t>.4 承包人现场查勘</w:t>
      </w:r>
      <w:bookmarkEnd w:id="136"/>
    </w:p>
    <w:bookmarkEnd w:id="137"/>
    <w:bookmarkEnd w:id="138"/>
    <w:bookmarkEnd w:id="139"/>
    <w:p w14:paraId="2ADA15E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承包人应对基于发包人按照第2.4.3项〔提供基础资料〕提交的基础资料所做出的解释和推断负责，但因基础资料存在错误、遗漏导致承包人解释或推断失实的，由发包人承担责任。</w:t>
      </w:r>
    </w:p>
    <w:p w14:paraId="7A15919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558A3EB1">
      <w:pPr>
        <w:spacing w:line="360" w:lineRule="auto"/>
        <w:ind w:firstLine="420" w:firstLineChars="200"/>
        <w:rPr>
          <w:rFonts w:hint="eastAsia" w:ascii="宋体" w:hAnsi="宋体" w:eastAsia="宋体" w:cs="宋体"/>
          <w:b w:val="0"/>
          <w:bCs w:val="0"/>
          <w:color w:val="auto"/>
          <w:kern w:val="0"/>
          <w:highlight w:val="none"/>
        </w:rPr>
      </w:pPr>
      <w:bookmarkStart w:id="140" w:name="_Toc351203523"/>
      <w:r>
        <w:rPr>
          <w:rFonts w:hint="eastAsia" w:ascii="宋体" w:hAnsi="宋体" w:eastAsia="宋体" w:cs="宋体"/>
          <w:b w:val="0"/>
          <w:bCs w:val="0"/>
          <w:color w:val="auto"/>
          <w:kern w:val="0"/>
          <w:highlight w:val="none"/>
        </w:rPr>
        <w:t>3</w:t>
      </w:r>
      <w:bookmarkStart w:id="141" w:name="_Toc337558751"/>
      <w:bookmarkStart w:id="142" w:name="_Toc296346552"/>
      <w:bookmarkStart w:id="143" w:name="_Toc296503051"/>
      <w:r>
        <w:rPr>
          <w:rFonts w:hint="eastAsia" w:ascii="宋体" w:hAnsi="宋体" w:eastAsia="宋体" w:cs="宋体"/>
          <w:b w:val="0"/>
          <w:bCs w:val="0"/>
          <w:color w:val="auto"/>
          <w:kern w:val="0"/>
          <w:highlight w:val="none"/>
        </w:rPr>
        <w:t>.5 分包</w:t>
      </w:r>
      <w:bookmarkEnd w:id="140"/>
    </w:p>
    <w:bookmarkEnd w:id="141"/>
    <w:bookmarkEnd w:id="142"/>
    <w:bookmarkEnd w:id="143"/>
    <w:p w14:paraId="120F410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3.5.1 分包的一般约定</w:t>
      </w:r>
    </w:p>
    <w:p w14:paraId="7F5A6E2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6557022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承包人不得以劳务分包的名义转包或违法分包工程。</w:t>
      </w:r>
    </w:p>
    <w:p w14:paraId="2561394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3.5.2 分包的确定</w:t>
      </w:r>
    </w:p>
    <w:p w14:paraId="4BF0119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165DE59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3.5.3 分包管理</w:t>
      </w:r>
    </w:p>
    <w:p w14:paraId="20515C7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承包人应向监理人提交分包人的主要施工管理人员表，并对分包人的施工人员进行实名制管理，包括但不限于进出场管理、登记造册以及各种证照的办理。</w:t>
      </w:r>
    </w:p>
    <w:p w14:paraId="51F7867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3.5.4 分包合同价款</w:t>
      </w:r>
    </w:p>
    <w:p w14:paraId="5EF64C0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（1）除本项第（2）目约定的情况或专用合同条款另有约定外，分包合同价款由承包人与分包人结算，未经承包人同意，发包人不得向分包人支付分包工程价款；</w:t>
      </w:r>
    </w:p>
    <w:p w14:paraId="1A0A9A7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（2）生效法律文书要求发包人向分包人支付分包合同价款的，发包人有权从应付承包人工程款中扣除该部分款项。</w:t>
      </w:r>
    </w:p>
    <w:p w14:paraId="11D86B6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3.5.5 分包合同权益的转让</w:t>
      </w:r>
    </w:p>
    <w:p w14:paraId="41C42C1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144" w:name="_Toc351203524"/>
    </w:p>
    <w:p w14:paraId="308926F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3.6 工程照管与成品、半成品保护</w:t>
      </w:r>
      <w:bookmarkEnd w:id="144"/>
    </w:p>
    <w:p w14:paraId="593D9C6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（1）除专用合同条款另有约定外，自发包人向承包人移交施工现场之日起，承包人应负责照管工程及工程相关的材料、工程设备，直到颁发工程接收证书之日止。</w:t>
      </w:r>
    </w:p>
    <w:p w14:paraId="7007145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（2）在承包人负责照管期间，因承包人原因造成工程、材料、工程设备损坏的，由承包人负责修复或更换，并承担由此增加的费用和（或）延误的工期。</w:t>
      </w:r>
    </w:p>
    <w:p w14:paraId="2496E3F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14:paraId="0C8C2DB4">
      <w:pPr>
        <w:spacing w:line="360" w:lineRule="auto"/>
        <w:ind w:firstLine="420" w:firstLineChars="200"/>
        <w:rPr>
          <w:rFonts w:hint="eastAsia" w:ascii="宋体" w:hAnsi="宋体" w:eastAsia="宋体" w:cs="宋体"/>
          <w:b w:val="0"/>
          <w:bCs w:val="0"/>
          <w:color w:val="auto"/>
          <w:kern w:val="0"/>
          <w:highlight w:val="none"/>
        </w:rPr>
      </w:pPr>
      <w:bookmarkStart w:id="145" w:name="_Toc351203525"/>
      <w:r>
        <w:rPr>
          <w:rFonts w:hint="eastAsia" w:ascii="宋体" w:hAnsi="宋体" w:eastAsia="宋体" w:cs="宋体"/>
          <w:b w:val="0"/>
          <w:bCs w:val="0"/>
          <w:color w:val="auto"/>
          <w:kern w:val="0"/>
          <w:highlight w:val="none"/>
        </w:rPr>
        <w:t>3</w:t>
      </w:r>
      <w:bookmarkStart w:id="146" w:name="_Toc337558752"/>
      <w:bookmarkStart w:id="147" w:name="_Toc296503052"/>
      <w:bookmarkStart w:id="148" w:name="_Toc296346553"/>
      <w:r>
        <w:rPr>
          <w:rFonts w:hint="eastAsia" w:ascii="宋体" w:hAnsi="宋体" w:eastAsia="宋体" w:cs="宋体"/>
          <w:b w:val="0"/>
          <w:bCs w:val="0"/>
          <w:color w:val="auto"/>
          <w:kern w:val="0"/>
          <w:highlight w:val="none"/>
        </w:rPr>
        <w:t>.7 履约担保</w:t>
      </w:r>
      <w:bookmarkEnd w:id="145"/>
    </w:p>
    <w:bookmarkEnd w:id="146"/>
    <w:bookmarkEnd w:id="147"/>
    <w:bookmarkEnd w:id="148"/>
    <w:p w14:paraId="03B0DF9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4E30ACB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因承包人原因导致工期延长的，继续提供履约担保所增加的费用由承包人承担；非因承包人原因导致工期延长的，继续提供履约担保所增加的费用由发包人承担。</w:t>
      </w:r>
    </w:p>
    <w:p w14:paraId="4DFB4125">
      <w:pPr>
        <w:spacing w:line="360" w:lineRule="auto"/>
        <w:ind w:firstLine="420" w:firstLineChars="200"/>
        <w:rPr>
          <w:rFonts w:hint="eastAsia" w:ascii="宋体" w:hAnsi="宋体" w:eastAsia="宋体" w:cs="宋体"/>
          <w:b w:val="0"/>
          <w:bCs w:val="0"/>
          <w:color w:val="auto"/>
          <w:kern w:val="0"/>
          <w:highlight w:val="none"/>
        </w:rPr>
      </w:pPr>
      <w:bookmarkStart w:id="149" w:name="_Toc351203526"/>
      <w:r>
        <w:rPr>
          <w:rFonts w:hint="eastAsia" w:ascii="宋体" w:hAnsi="宋体" w:eastAsia="宋体" w:cs="宋体"/>
          <w:b w:val="0"/>
          <w:bCs w:val="0"/>
          <w:color w:val="auto"/>
          <w:kern w:val="0"/>
          <w:highlight w:val="none"/>
        </w:rPr>
        <w:t>3.8 联合体</w:t>
      </w:r>
      <w:bookmarkEnd w:id="149"/>
    </w:p>
    <w:p w14:paraId="6F3ADBB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3.8.1 联合体各方应共同与发包人签订合同协议书。联合体各方应为履行合同向发包人承担连带责任。</w:t>
      </w:r>
    </w:p>
    <w:p w14:paraId="1F5DCC1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3.8.2 联合体协议经发包人确认后作为合同附件。在履行合同过程中，未经发包人同意，不得修改联合体协议。</w:t>
      </w:r>
    </w:p>
    <w:p w14:paraId="4314713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3.8.3 联合体牵头人负责与发包人和监理人联系，并接受指示，负责组织联合体各成员全面履行合同。</w:t>
      </w:r>
    </w:p>
    <w:p w14:paraId="4A808A12">
      <w:pPr>
        <w:spacing w:line="360" w:lineRule="auto"/>
        <w:ind w:firstLine="420" w:firstLineChars="200"/>
        <w:rPr>
          <w:rFonts w:hint="eastAsia" w:ascii="宋体" w:hAnsi="宋体" w:eastAsia="宋体" w:cs="宋体"/>
          <w:b w:val="0"/>
          <w:bCs w:val="0"/>
          <w:color w:val="auto"/>
          <w:kern w:val="0"/>
          <w:highlight w:val="none"/>
        </w:rPr>
      </w:pPr>
      <w:bookmarkStart w:id="150" w:name="_Toc351203527"/>
      <w:r>
        <w:rPr>
          <w:rFonts w:hint="eastAsia" w:ascii="宋体" w:hAnsi="宋体" w:eastAsia="宋体" w:cs="宋体"/>
          <w:b w:val="0"/>
          <w:bCs w:val="0"/>
          <w:color w:val="auto"/>
          <w:kern w:val="0"/>
          <w:highlight w:val="none"/>
        </w:rPr>
        <w:t>4</w:t>
      </w:r>
      <w:bookmarkStart w:id="151" w:name="_Toc296346554"/>
      <w:bookmarkStart w:id="152" w:name="_Toc296503053"/>
      <w:bookmarkStart w:id="153" w:name="_Toc337558753"/>
      <w:r>
        <w:rPr>
          <w:rFonts w:hint="eastAsia" w:ascii="宋体" w:hAnsi="宋体" w:eastAsia="宋体" w:cs="宋体"/>
          <w:b w:val="0"/>
          <w:bCs w:val="0"/>
          <w:color w:val="auto"/>
          <w:kern w:val="0"/>
          <w:highlight w:val="none"/>
        </w:rPr>
        <w:t>. 监</w:t>
      </w:r>
      <w:bookmarkEnd w:id="151"/>
      <w:bookmarkEnd w:id="152"/>
      <w:r>
        <w:rPr>
          <w:rFonts w:hint="eastAsia" w:ascii="宋体" w:hAnsi="宋体" w:eastAsia="宋体" w:cs="宋体"/>
          <w:b w:val="0"/>
          <w:bCs w:val="0"/>
          <w:color w:val="auto"/>
          <w:kern w:val="0"/>
          <w:highlight w:val="none"/>
        </w:rPr>
        <w:t>理人</w:t>
      </w:r>
      <w:bookmarkEnd w:id="150"/>
    </w:p>
    <w:bookmarkEnd w:id="153"/>
    <w:p w14:paraId="3C5EAE5B">
      <w:pPr>
        <w:spacing w:line="360" w:lineRule="auto"/>
        <w:ind w:firstLine="420" w:firstLineChars="200"/>
        <w:rPr>
          <w:rFonts w:hint="eastAsia" w:ascii="宋体" w:hAnsi="宋体" w:eastAsia="宋体" w:cs="宋体"/>
          <w:b w:val="0"/>
          <w:bCs w:val="0"/>
          <w:color w:val="auto"/>
          <w:kern w:val="0"/>
          <w:highlight w:val="none"/>
        </w:rPr>
      </w:pPr>
      <w:bookmarkStart w:id="154" w:name="_Toc351203528"/>
      <w:r>
        <w:rPr>
          <w:rFonts w:hint="eastAsia" w:ascii="宋体" w:hAnsi="宋体" w:eastAsia="宋体" w:cs="宋体"/>
          <w:b w:val="0"/>
          <w:bCs w:val="0"/>
          <w:color w:val="auto"/>
          <w:kern w:val="0"/>
          <w:highlight w:val="none"/>
        </w:rPr>
        <w:t>4</w:t>
      </w:r>
      <w:bookmarkStart w:id="155" w:name="_Toc296503054"/>
      <w:bookmarkStart w:id="156" w:name="_Toc337558754"/>
      <w:bookmarkStart w:id="157" w:name="_Toc296346555"/>
      <w:r>
        <w:rPr>
          <w:rFonts w:hint="eastAsia" w:ascii="宋体" w:hAnsi="宋体" w:eastAsia="宋体" w:cs="宋体"/>
          <w:b w:val="0"/>
          <w:bCs w:val="0"/>
          <w:color w:val="auto"/>
          <w:kern w:val="0"/>
          <w:highlight w:val="none"/>
        </w:rPr>
        <w:t>.1监理人的一般规定</w:t>
      </w:r>
      <w:bookmarkEnd w:id="154"/>
    </w:p>
    <w:bookmarkEnd w:id="155"/>
    <w:bookmarkEnd w:id="156"/>
    <w:bookmarkEnd w:id="157"/>
    <w:p w14:paraId="47BD241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5302424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除专用合同条款另有约定外，监理人在施工现场的办公场所、生活场所由承包人提供，所发生的费用由发包人承担。</w:t>
      </w:r>
    </w:p>
    <w:p w14:paraId="4B2B49E7">
      <w:pPr>
        <w:spacing w:line="360" w:lineRule="auto"/>
        <w:ind w:firstLine="420" w:firstLineChars="200"/>
        <w:rPr>
          <w:rFonts w:hint="eastAsia" w:ascii="宋体" w:hAnsi="宋体" w:eastAsia="宋体" w:cs="宋体"/>
          <w:b w:val="0"/>
          <w:bCs w:val="0"/>
          <w:color w:val="auto"/>
          <w:kern w:val="0"/>
          <w:highlight w:val="none"/>
        </w:rPr>
      </w:pPr>
      <w:bookmarkStart w:id="158" w:name="_Toc351203529"/>
      <w:r>
        <w:rPr>
          <w:rFonts w:hint="eastAsia" w:ascii="宋体" w:hAnsi="宋体" w:eastAsia="宋体" w:cs="宋体"/>
          <w:b w:val="0"/>
          <w:bCs w:val="0"/>
          <w:color w:val="auto"/>
          <w:kern w:val="0"/>
          <w:highlight w:val="none"/>
        </w:rPr>
        <w:t>4</w:t>
      </w:r>
      <w:bookmarkStart w:id="159" w:name="_Toc337558755"/>
      <w:r>
        <w:rPr>
          <w:rFonts w:hint="eastAsia" w:ascii="宋体" w:hAnsi="宋体" w:eastAsia="宋体" w:cs="宋体"/>
          <w:b w:val="0"/>
          <w:bCs w:val="0"/>
          <w:color w:val="auto"/>
          <w:kern w:val="0"/>
          <w:highlight w:val="none"/>
        </w:rPr>
        <w:t>.2监理人员</w:t>
      </w:r>
      <w:bookmarkEnd w:id="158"/>
    </w:p>
    <w:bookmarkEnd w:id="159"/>
    <w:p w14:paraId="2C3E46A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5648A093">
      <w:pPr>
        <w:spacing w:line="360" w:lineRule="auto"/>
        <w:ind w:firstLine="420" w:firstLineChars="200"/>
        <w:rPr>
          <w:rFonts w:hint="eastAsia" w:ascii="宋体" w:hAnsi="宋体" w:eastAsia="宋体" w:cs="宋体"/>
          <w:b w:val="0"/>
          <w:bCs w:val="0"/>
          <w:color w:val="auto"/>
          <w:kern w:val="0"/>
          <w:highlight w:val="none"/>
        </w:rPr>
      </w:pPr>
      <w:bookmarkStart w:id="160" w:name="_Toc351203530"/>
      <w:r>
        <w:rPr>
          <w:rFonts w:hint="eastAsia" w:ascii="宋体" w:hAnsi="宋体" w:eastAsia="宋体" w:cs="宋体"/>
          <w:b w:val="0"/>
          <w:bCs w:val="0"/>
          <w:color w:val="auto"/>
          <w:kern w:val="0"/>
          <w:highlight w:val="none"/>
        </w:rPr>
        <w:t>4</w:t>
      </w:r>
      <w:bookmarkStart w:id="161" w:name="_Toc296503055"/>
      <w:bookmarkStart w:id="162" w:name="_Toc296346556"/>
      <w:bookmarkStart w:id="163" w:name="_Toc337558756"/>
      <w:r>
        <w:rPr>
          <w:rFonts w:hint="eastAsia" w:ascii="宋体" w:hAnsi="宋体" w:eastAsia="宋体" w:cs="宋体"/>
          <w:b w:val="0"/>
          <w:bCs w:val="0"/>
          <w:color w:val="auto"/>
          <w:kern w:val="0"/>
          <w:highlight w:val="none"/>
        </w:rPr>
        <w:t>.3</w:t>
      </w:r>
      <w:bookmarkEnd w:id="161"/>
      <w:bookmarkEnd w:id="162"/>
      <w:r>
        <w:rPr>
          <w:rFonts w:hint="eastAsia" w:ascii="宋体" w:hAnsi="宋体" w:eastAsia="宋体" w:cs="宋体"/>
          <w:b w:val="0"/>
          <w:bCs w:val="0"/>
          <w:color w:val="auto"/>
          <w:kern w:val="0"/>
          <w:highlight w:val="none"/>
        </w:rPr>
        <w:t>监理人的指</w:t>
      </w:r>
      <w:bookmarkEnd w:id="163"/>
      <w:r>
        <w:rPr>
          <w:rFonts w:hint="eastAsia" w:ascii="宋体" w:hAnsi="宋体" w:eastAsia="宋体" w:cs="宋体"/>
          <w:b w:val="0"/>
          <w:bCs w:val="0"/>
          <w:color w:val="auto"/>
          <w:kern w:val="0"/>
          <w:highlight w:val="none"/>
        </w:rPr>
        <w:t>示</w:t>
      </w:r>
      <w:bookmarkEnd w:id="160"/>
    </w:p>
    <w:p w14:paraId="7492A0F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13B0E49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6EB8EAA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承包人对监理人发出的指示有疑问的，应向监理人提出书面异议，监理人应在48小时内对该指示予以确认、更改或撤销，监理人逾期未回复的，承包人有权拒绝执行上述指示。</w:t>
      </w:r>
    </w:p>
    <w:p w14:paraId="54EFBD1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37AEE12C">
      <w:pPr>
        <w:spacing w:line="360" w:lineRule="auto"/>
        <w:ind w:firstLine="420" w:firstLineChars="200"/>
        <w:rPr>
          <w:rFonts w:hint="eastAsia" w:ascii="宋体" w:hAnsi="宋体" w:eastAsia="宋体" w:cs="宋体"/>
          <w:b w:val="0"/>
          <w:bCs w:val="0"/>
          <w:color w:val="auto"/>
          <w:kern w:val="0"/>
          <w:highlight w:val="none"/>
        </w:rPr>
      </w:pPr>
      <w:bookmarkStart w:id="164" w:name="_Toc351203531"/>
      <w:r>
        <w:rPr>
          <w:rFonts w:hint="eastAsia" w:ascii="宋体" w:hAnsi="宋体" w:eastAsia="宋体" w:cs="宋体"/>
          <w:b w:val="0"/>
          <w:bCs w:val="0"/>
          <w:color w:val="auto"/>
          <w:kern w:val="0"/>
          <w:highlight w:val="none"/>
        </w:rPr>
        <w:t>4</w:t>
      </w:r>
      <w:bookmarkStart w:id="165" w:name="_Toc296346558"/>
      <w:bookmarkStart w:id="166" w:name="_Toc337558757"/>
      <w:bookmarkStart w:id="167" w:name="_Toc296503057"/>
      <w:r>
        <w:rPr>
          <w:rFonts w:hint="eastAsia" w:ascii="宋体" w:hAnsi="宋体" w:eastAsia="宋体" w:cs="宋体"/>
          <w:b w:val="0"/>
          <w:bCs w:val="0"/>
          <w:color w:val="auto"/>
          <w:kern w:val="0"/>
          <w:highlight w:val="none"/>
        </w:rPr>
        <w:t>.4 商定或确定</w:t>
      </w:r>
      <w:bookmarkEnd w:id="164"/>
    </w:p>
    <w:bookmarkEnd w:id="165"/>
    <w:bookmarkEnd w:id="166"/>
    <w:bookmarkEnd w:id="167"/>
    <w:p w14:paraId="2020B90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合同当事人进行商定或确定时，总监理工程师应当会同合同当事人尽量通过协商达成一致，不能达成一致的，由总监理工程师按照合同约定审慎做出公正的确定。</w:t>
      </w:r>
    </w:p>
    <w:p w14:paraId="03920A8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12BDD8B1">
      <w:pPr>
        <w:spacing w:line="360" w:lineRule="auto"/>
        <w:ind w:firstLine="420" w:firstLineChars="200"/>
        <w:rPr>
          <w:rFonts w:hint="eastAsia" w:ascii="宋体" w:hAnsi="宋体" w:eastAsia="宋体" w:cs="宋体"/>
          <w:b w:val="0"/>
          <w:bCs w:val="0"/>
          <w:color w:val="auto"/>
          <w:kern w:val="0"/>
          <w:highlight w:val="none"/>
        </w:rPr>
      </w:pPr>
      <w:bookmarkStart w:id="168" w:name="_Toc351203532"/>
      <w:r>
        <w:rPr>
          <w:rFonts w:hint="eastAsia" w:ascii="宋体" w:hAnsi="宋体" w:eastAsia="宋体" w:cs="宋体"/>
          <w:b w:val="0"/>
          <w:bCs w:val="0"/>
          <w:color w:val="auto"/>
          <w:kern w:val="0"/>
          <w:highlight w:val="none"/>
        </w:rPr>
        <w:t>5</w:t>
      </w:r>
      <w:bookmarkStart w:id="169" w:name="_Toc337558758"/>
      <w:r>
        <w:rPr>
          <w:rFonts w:hint="eastAsia" w:ascii="宋体" w:hAnsi="宋体" w:eastAsia="宋体" w:cs="宋体"/>
          <w:b w:val="0"/>
          <w:bCs w:val="0"/>
          <w:color w:val="auto"/>
          <w:kern w:val="0"/>
          <w:highlight w:val="none"/>
        </w:rPr>
        <w:t>. 工程质量</w:t>
      </w:r>
      <w:bookmarkEnd w:id="168"/>
    </w:p>
    <w:bookmarkEnd w:id="169"/>
    <w:p w14:paraId="06379802">
      <w:pPr>
        <w:spacing w:line="360" w:lineRule="auto"/>
        <w:ind w:firstLine="420" w:firstLineChars="200"/>
        <w:rPr>
          <w:rFonts w:hint="eastAsia" w:ascii="宋体" w:hAnsi="宋体" w:eastAsia="宋体" w:cs="宋体"/>
          <w:b w:val="0"/>
          <w:bCs w:val="0"/>
          <w:color w:val="auto"/>
          <w:kern w:val="0"/>
          <w:highlight w:val="none"/>
        </w:rPr>
      </w:pPr>
      <w:bookmarkStart w:id="170" w:name="_Toc351203533"/>
      <w:r>
        <w:rPr>
          <w:rFonts w:hint="eastAsia" w:ascii="宋体" w:hAnsi="宋体" w:eastAsia="宋体" w:cs="宋体"/>
          <w:b w:val="0"/>
          <w:bCs w:val="0"/>
          <w:color w:val="auto"/>
          <w:kern w:val="0"/>
          <w:highlight w:val="none"/>
        </w:rPr>
        <w:t>5</w:t>
      </w:r>
      <w:bookmarkStart w:id="171" w:name="_Toc337558759"/>
      <w:r>
        <w:rPr>
          <w:rFonts w:hint="eastAsia" w:ascii="宋体" w:hAnsi="宋体" w:eastAsia="宋体" w:cs="宋体"/>
          <w:b w:val="0"/>
          <w:bCs w:val="0"/>
          <w:color w:val="auto"/>
          <w:kern w:val="0"/>
          <w:highlight w:val="none"/>
        </w:rPr>
        <w:t>.1质量要求</w:t>
      </w:r>
      <w:bookmarkEnd w:id="170"/>
    </w:p>
    <w:bookmarkEnd w:id="171"/>
    <w:p w14:paraId="1CEF32F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5.1.1 工程质量标准必须符合现行国家有关工程施工质量验收规范和标准的要求。有关工程质量的特殊标准或要求由合同当事人在专用合同条款中约定。</w:t>
      </w:r>
    </w:p>
    <w:p w14:paraId="3B19519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5.1.2 因发包人原因造成工程质量未达到合同约定标准的，由发包人承担由此增加的费用和（或）延误的工期，并支付承包人合理的利润。</w:t>
      </w:r>
    </w:p>
    <w:p w14:paraId="31864C9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5.1.3 因承包人原因造成工程质量未达到合同约定标准的，发包人有权要求承包人返工直至工程质量达到合同约定的标准为止，并由承包人承担由此增加的费用和（或）延误的工期。</w:t>
      </w:r>
    </w:p>
    <w:p w14:paraId="77AFA8B5">
      <w:pPr>
        <w:spacing w:line="360" w:lineRule="auto"/>
        <w:ind w:firstLine="420" w:firstLineChars="200"/>
        <w:rPr>
          <w:rFonts w:hint="eastAsia" w:ascii="宋体" w:hAnsi="宋体" w:eastAsia="宋体" w:cs="宋体"/>
          <w:b w:val="0"/>
          <w:bCs w:val="0"/>
          <w:color w:val="auto"/>
          <w:kern w:val="0"/>
          <w:highlight w:val="none"/>
        </w:rPr>
      </w:pPr>
      <w:bookmarkStart w:id="172" w:name="_Toc351203534"/>
      <w:r>
        <w:rPr>
          <w:rFonts w:hint="eastAsia" w:ascii="宋体" w:hAnsi="宋体" w:eastAsia="宋体" w:cs="宋体"/>
          <w:b w:val="0"/>
          <w:bCs w:val="0"/>
          <w:color w:val="auto"/>
          <w:kern w:val="0"/>
          <w:highlight w:val="none"/>
        </w:rPr>
        <w:t>5</w:t>
      </w:r>
      <w:bookmarkStart w:id="173" w:name="_Toc337558760"/>
      <w:r>
        <w:rPr>
          <w:rFonts w:hint="eastAsia" w:ascii="宋体" w:hAnsi="宋体" w:eastAsia="宋体" w:cs="宋体"/>
          <w:b w:val="0"/>
          <w:bCs w:val="0"/>
          <w:color w:val="auto"/>
          <w:kern w:val="0"/>
          <w:highlight w:val="none"/>
        </w:rPr>
        <w:t>.2质量保证措施</w:t>
      </w:r>
      <w:bookmarkEnd w:id="172"/>
    </w:p>
    <w:bookmarkEnd w:id="173"/>
    <w:p w14:paraId="72B70A2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5.2.1 发包人的质量管理</w:t>
      </w:r>
    </w:p>
    <w:p w14:paraId="0878DC5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发包人应按照法律规定及合同约定完成与工程质量有关的各项工作。</w:t>
      </w:r>
    </w:p>
    <w:p w14:paraId="3709CBF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5.2.2 承包人的质量管理</w:t>
      </w:r>
    </w:p>
    <w:p w14:paraId="54FE8A5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317BA05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承包人应对施工人员进行质量教育和技术培训，定期考核施工人员的劳动技能，严格执行施工规范和操作规程。</w:t>
      </w:r>
    </w:p>
    <w:p w14:paraId="39F4B05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0E69E8A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5.2.3 监理人的质量检查和检验</w:t>
      </w:r>
    </w:p>
    <w:p w14:paraId="592030D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62F78AE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13BBB3CA">
      <w:pPr>
        <w:spacing w:line="360" w:lineRule="auto"/>
        <w:ind w:firstLine="420" w:firstLineChars="200"/>
        <w:rPr>
          <w:rFonts w:hint="eastAsia" w:ascii="宋体" w:hAnsi="宋体" w:eastAsia="宋体" w:cs="宋体"/>
          <w:b w:val="0"/>
          <w:bCs w:val="0"/>
          <w:color w:val="auto"/>
          <w:kern w:val="0"/>
          <w:highlight w:val="none"/>
        </w:rPr>
      </w:pPr>
      <w:bookmarkStart w:id="174" w:name="_Toc351203535"/>
      <w:r>
        <w:rPr>
          <w:rFonts w:hint="eastAsia" w:ascii="宋体" w:hAnsi="宋体" w:eastAsia="宋体" w:cs="宋体"/>
          <w:b w:val="0"/>
          <w:bCs w:val="0"/>
          <w:color w:val="auto"/>
          <w:kern w:val="0"/>
          <w:highlight w:val="none"/>
        </w:rPr>
        <w:t>5</w:t>
      </w:r>
      <w:bookmarkStart w:id="175" w:name="_Toc337558761"/>
      <w:r>
        <w:rPr>
          <w:rFonts w:hint="eastAsia" w:ascii="宋体" w:hAnsi="宋体" w:eastAsia="宋体" w:cs="宋体"/>
          <w:b w:val="0"/>
          <w:bCs w:val="0"/>
          <w:color w:val="auto"/>
          <w:kern w:val="0"/>
          <w:highlight w:val="none"/>
        </w:rPr>
        <w:t>.3 隐蔽工程检查</w:t>
      </w:r>
      <w:bookmarkEnd w:id="174"/>
    </w:p>
    <w:bookmarkEnd w:id="175"/>
    <w:p w14:paraId="51D37FE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5.3.1承包人自检</w:t>
      </w:r>
    </w:p>
    <w:p w14:paraId="02192DB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承包人应当对工程隐蔽部位进行自检，并经自检确认是否具备覆盖条件。</w:t>
      </w:r>
    </w:p>
    <w:p w14:paraId="791BAF6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5.3.2检查程序</w:t>
      </w:r>
    </w:p>
    <w:p w14:paraId="24F29D3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26AD682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499C72F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1341467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5.3.3 重新检查</w:t>
      </w:r>
    </w:p>
    <w:p w14:paraId="6309D8E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11A40A5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5.3.4 承包人私自覆盖</w:t>
      </w:r>
    </w:p>
    <w:p w14:paraId="47FDCA7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6593B4ED">
      <w:pPr>
        <w:spacing w:line="360" w:lineRule="auto"/>
        <w:ind w:firstLine="420" w:firstLineChars="200"/>
        <w:rPr>
          <w:rFonts w:hint="eastAsia" w:ascii="宋体" w:hAnsi="宋体" w:eastAsia="宋体" w:cs="宋体"/>
          <w:b w:val="0"/>
          <w:bCs w:val="0"/>
          <w:color w:val="auto"/>
          <w:kern w:val="0"/>
          <w:highlight w:val="none"/>
        </w:rPr>
      </w:pPr>
      <w:bookmarkStart w:id="176" w:name="_Toc351203536"/>
      <w:r>
        <w:rPr>
          <w:rFonts w:hint="eastAsia" w:ascii="宋体" w:hAnsi="宋体" w:eastAsia="宋体" w:cs="宋体"/>
          <w:b w:val="0"/>
          <w:bCs w:val="0"/>
          <w:color w:val="auto"/>
          <w:kern w:val="0"/>
          <w:highlight w:val="none"/>
        </w:rPr>
        <w:t>5</w:t>
      </w:r>
      <w:bookmarkStart w:id="177" w:name="_Toc337558762"/>
      <w:r>
        <w:rPr>
          <w:rFonts w:hint="eastAsia" w:ascii="宋体" w:hAnsi="宋体" w:eastAsia="宋体" w:cs="宋体"/>
          <w:b w:val="0"/>
          <w:bCs w:val="0"/>
          <w:color w:val="auto"/>
          <w:kern w:val="0"/>
          <w:highlight w:val="none"/>
        </w:rPr>
        <w:t>.4不合格工程的处理</w:t>
      </w:r>
      <w:bookmarkEnd w:id="176"/>
    </w:p>
    <w:bookmarkEnd w:id="177"/>
    <w:p w14:paraId="283871C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3C1C5F3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5.4.2 因发包人原因造成工程不合格的，由此增加的费用和（或）延误的工期由发包人承担，并支付承包人合理的利润。</w:t>
      </w:r>
    </w:p>
    <w:p w14:paraId="4F3640A3">
      <w:pPr>
        <w:spacing w:line="360" w:lineRule="auto"/>
        <w:ind w:firstLine="420" w:firstLineChars="200"/>
        <w:rPr>
          <w:rFonts w:hint="eastAsia" w:ascii="宋体" w:hAnsi="宋体" w:eastAsia="宋体" w:cs="宋体"/>
          <w:b w:val="0"/>
          <w:bCs w:val="0"/>
          <w:color w:val="auto"/>
          <w:kern w:val="0"/>
          <w:highlight w:val="none"/>
        </w:rPr>
      </w:pPr>
      <w:bookmarkStart w:id="178" w:name="_Toc351203537"/>
      <w:r>
        <w:rPr>
          <w:rFonts w:hint="eastAsia" w:ascii="宋体" w:hAnsi="宋体" w:eastAsia="宋体" w:cs="宋体"/>
          <w:b w:val="0"/>
          <w:bCs w:val="0"/>
          <w:color w:val="auto"/>
          <w:kern w:val="0"/>
          <w:highlight w:val="none"/>
        </w:rPr>
        <w:t>5.5 质量争议检测</w:t>
      </w:r>
      <w:bookmarkEnd w:id="178"/>
    </w:p>
    <w:p w14:paraId="69044A4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合同当事人对工程质量有争议的，由双方协商确定的工程质量检测机构鉴定，由此产生的费用及因此造成的损失，由责任方承担。</w:t>
      </w:r>
    </w:p>
    <w:p w14:paraId="610E7AE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合同当事人均有责任的，由双方根据其责任分别承担。合同当事人无法达成一致的，按照第4.4款〔商定或确定〕执行。</w:t>
      </w:r>
    </w:p>
    <w:p w14:paraId="3353C9C4">
      <w:pPr>
        <w:spacing w:line="360" w:lineRule="auto"/>
        <w:ind w:firstLine="420" w:firstLineChars="200"/>
        <w:rPr>
          <w:rFonts w:hint="eastAsia" w:ascii="宋体" w:hAnsi="宋体" w:eastAsia="宋体" w:cs="宋体"/>
          <w:b w:val="0"/>
          <w:bCs w:val="0"/>
          <w:color w:val="auto"/>
          <w:kern w:val="0"/>
          <w:highlight w:val="none"/>
        </w:rPr>
      </w:pPr>
      <w:bookmarkStart w:id="179" w:name="_Toc351203538"/>
      <w:r>
        <w:rPr>
          <w:rFonts w:hint="eastAsia" w:ascii="宋体" w:hAnsi="宋体" w:eastAsia="宋体" w:cs="宋体"/>
          <w:b w:val="0"/>
          <w:bCs w:val="0"/>
          <w:color w:val="auto"/>
          <w:kern w:val="0"/>
          <w:highlight w:val="none"/>
        </w:rPr>
        <w:t>6</w:t>
      </w:r>
      <w:bookmarkStart w:id="180" w:name="_Toc337558763"/>
      <w:r>
        <w:rPr>
          <w:rFonts w:hint="eastAsia" w:ascii="宋体" w:hAnsi="宋体" w:eastAsia="宋体" w:cs="宋体"/>
          <w:b w:val="0"/>
          <w:bCs w:val="0"/>
          <w:color w:val="auto"/>
          <w:kern w:val="0"/>
          <w:highlight w:val="none"/>
        </w:rPr>
        <w:t>. 安全文明施工与环境保护</w:t>
      </w:r>
      <w:bookmarkEnd w:id="179"/>
    </w:p>
    <w:bookmarkEnd w:id="180"/>
    <w:p w14:paraId="0048B3BF">
      <w:pPr>
        <w:spacing w:line="360" w:lineRule="auto"/>
        <w:ind w:firstLine="420" w:firstLineChars="200"/>
        <w:rPr>
          <w:rFonts w:hint="eastAsia" w:ascii="宋体" w:hAnsi="宋体" w:eastAsia="宋体" w:cs="宋体"/>
          <w:b w:val="0"/>
          <w:bCs w:val="0"/>
          <w:color w:val="auto"/>
          <w:kern w:val="0"/>
          <w:highlight w:val="none"/>
        </w:rPr>
      </w:pPr>
      <w:bookmarkStart w:id="181" w:name="_Toc351203539"/>
      <w:r>
        <w:rPr>
          <w:rFonts w:hint="eastAsia" w:ascii="宋体" w:hAnsi="宋体" w:eastAsia="宋体" w:cs="宋体"/>
          <w:b w:val="0"/>
          <w:bCs w:val="0"/>
          <w:color w:val="auto"/>
          <w:kern w:val="0"/>
          <w:highlight w:val="none"/>
        </w:rPr>
        <w:t>6</w:t>
      </w:r>
      <w:bookmarkStart w:id="182" w:name="_Toc337558764"/>
      <w:r>
        <w:rPr>
          <w:rFonts w:hint="eastAsia" w:ascii="宋体" w:hAnsi="宋体" w:eastAsia="宋体" w:cs="宋体"/>
          <w:b w:val="0"/>
          <w:bCs w:val="0"/>
          <w:color w:val="auto"/>
          <w:kern w:val="0"/>
          <w:highlight w:val="none"/>
        </w:rPr>
        <w:t>.1安全文明施工</w:t>
      </w:r>
      <w:bookmarkEnd w:id="181"/>
    </w:p>
    <w:bookmarkEnd w:id="182"/>
    <w:p w14:paraId="785FB43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6.1.1安全生产要求</w:t>
      </w:r>
    </w:p>
    <w:p w14:paraId="5B7E373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65D06F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14:paraId="75E8DA2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因安全生产需要暂停施工的，按照第7.8款〔暂停施工〕的约定执行。</w:t>
      </w:r>
    </w:p>
    <w:p w14:paraId="4F4F0FD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6.1.2 安全生产保证措施</w:t>
      </w:r>
    </w:p>
    <w:p w14:paraId="0C04B2E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14:paraId="6E5D587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6.1.3特别安全生产事项</w:t>
      </w:r>
    </w:p>
    <w:p w14:paraId="47F9D81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09EFFBA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329F527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0182BE5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需单独编制危险性较大分部分项专项工程施工方案的，及要求进行专家论证的超过一定规模的危险性较大的分部分项工程，承包人应及时编制和组织论证。</w:t>
      </w:r>
    </w:p>
    <w:p w14:paraId="044BB02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6.1.4 治安保卫</w:t>
      </w:r>
    </w:p>
    <w:p w14:paraId="69DEEAC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除专用合同条款另有约定外，发包人应与当地公安部门协商，在现场建立治安管理机构或联防组织，统一管理施工场地的治安保卫事项，履行合同工程的治安保卫职责。</w:t>
      </w:r>
    </w:p>
    <w:p w14:paraId="7E55B32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发包人和承包人除应协助现场治安管理机构或联防组织维护施工场地的社会治安外，还应做好包括生活区在内的各自管辖区的治安保卫工作。</w:t>
      </w:r>
    </w:p>
    <w:p w14:paraId="5538154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3D6A6F1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6.1.5 文明施工</w:t>
      </w:r>
    </w:p>
    <w:p w14:paraId="7803708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649AC74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3F01FEF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6.1.6 安全文明施工费</w:t>
      </w:r>
    </w:p>
    <w:p w14:paraId="02598A7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安全文明施工费由发包人承担，发包人不得以任何形式扣减该部分费用。因基准日期后合同所适用的法律或政府有关规定发生变化，增加的安全文明施工费由发包人承担。</w:t>
      </w:r>
    </w:p>
    <w:p w14:paraId="1CBEB15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0CACCAE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046917D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5A275C8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6.1.7 紧急情况处理</w:t>
      </w:r>
    </w:p>
    <w:p w14:paraId="756B738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71EE9AE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6.1.8 事故处理</w:t>
      </w:r>
    </w:p>
    <w:p w14:paraId="7A0A28A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020E094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6.1.9 安全生产责任</w:t>
      </w:r>
    </w:p>
    <w:p w14:paraId="5A1B320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6.1.9.1 发包人的安全责任</w:t>
      </w:r>
    </w:p>
    <w:p w14:paraId="6298EA1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发包人应负责赔偿以下各种情况造成的损失：</w:t>
      </w:r>
    </w:p>
    <w:p w14:paraId="1E54691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（1）工程或工程的任何部分对土地的占用所造成的第三者财产损失；</w:t>
      </w:r>
    </w:p>
    <w:p w14:paraId="7034EE2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（2）由于发包人原因在施工场地及其毗邻地带造成的第三者人身伤亡和财产损失；</w:t>
      </w:r>
    </w:p>
    <w:p w14:paraId="48D8B59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（3）由于发包人原因对承包人、监理人造成的人员人身伤亡和财产损失；</w:t>
      </w:r>
    </w:p>
    <w:p w14:paraId="1824F1C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（4）由于发包人原因造成的发包人自身人员的人身伤害以及财产损失。</w:t>
      </w:r>
    </w:p>
    <w:p w14:paraId="50CA61F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6.1.9.2 承包人的安全责任</w:t>
      </w:r>
    </w:p>
    <w:p w14:paraId="7CD0320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由于承包人原因在施工场地内及其毗邻地带造成的发包人、监理人以及第三者人员伤亡和财产损失，由承包人负责赔偿。</w:t>
      </w:r>
    </w:p>
    <w:p w14:paraId="2A9B1205">
      <w:pPr>
        <w:spacing w:line="360" w:lineRule="auto"/>
        <w:ind w:firstLine="420" w:firstLineChars="200"/>
        <w:rPr>
          <w:rFonts w:hint="eastAsia" w:ascii="宋体" w:hAnsi="宋体" w:eastAsia="宋体" w:cs="宋体"/>
          <w:b w:val="0"/>
          <w:bCs w:val="0"/>
          <w:color w:val="auto"/>
          <w:kern w:val="0"/>
          <w:highlight w:val="none"/>
        </w:rPr>
      </w:pPr>
      <w:bookmarkStart w:id="183" w:name="_Toc351203540"/>
      <w:r>
        <w:rPr>
          <w:rFonts w:hint="eastAsia" w:ascii="宋体" w:hAnsi="宋体" w:eastAsia="宋体" w:cs="宋体"/>
          <w:b w:val="0"/>
          <w:bCs w:val="0"/>
          <w:color w:val="auto"/>
          <w:kern w:val="0"/>
          <w:highlight w:val="none"/>
        </w:rPr>
        <w:t>6</w:t>
      </w:r>
      <w:bookmarkStart w:id="184" w:name="_Toc337558765"/>
      <w:r>
        <w:rPr>
          <w:rFonts w:hint="eastAsia" w:ascii="宋体" w:hAnsi="宋体" w:eastAsia="宋体" w:cs="宋体"/>
          <w:b w:val="0"/>
          <w:bCs w:val="0"/>
          <w:color w:val="auto"/>
          <w:kern w:val="0"/>
          <w:highlight w:val="none"/>
        </w:rPr>
        <w:t>.2 职业健康</w:t>
      </w:r>
      <w:bookmarkEnd w:id="183"/>
    </w:p>
    <w:bookmarkEnd w:id="184"/>
    <w:p w14:paraId="3B41315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6.2.1 劳动保护</w:t>
      </w:r>
    </w:p>
    <w:p w14:paraId="48686D7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47312E3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188E2D5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2AEE3DD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6.2.2 生活条件</w:t>
      </w:r>
    </w:p>
    <w:p w14:paraId="698CA88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16402346">
      <w:pPr>
        <w:spacing w:line="360" w:lineRule="auto"/>
        <w:ind w:firstLine="420" w:firstLineChars="200"/>
        <w:rPr>
          <w:rFonts w:hint="eastAsia" w:ascii="宋体" w:hAnsi="宋体" w:eastAsia="宋体" w:cs="宋体"/>
          <w:b w:val="0"/>
          <w:bCs w:val="0"/>
          <w:color w:val="auto"/>
          <w:kern w:val="0"/>
          <w:highlight w:val="none"/>
        </w:rPr>
      </w:pPr>
      <w:bookmarkStart w:id="185" w:name="_Toc351203541"/>
      <w:r>
        <w:rPr>
          <w:rFonts w:hint="eastAsia" w:ascii="宋体" w:hAnsi="宋体" w:eastAsia="宋体" w:cs="宋体"/>
          <w:b w:val="0"/>
          <w:bCs w:val="0"/>
          <w:color w:val="auto"/>
          <w:kern w:val="0"/>
          <w:highlight w:val="none"/>
        </w:rPr>
        <w:t>6</w:t>
      </w:r>
      <w:bookmarkStart w:id="186" w:name="_Toc337558766"/>
      <w:r>
        <w:rPr>
          <w:rFonts w:hint="eastAsia" w:ascii="宋体" w:hAnsi="宋体" w:eastAsia="宋体" w:cs="宋体"/>
          <w:b w:val="0"/>
          <w:bCs w:val="0"/>
          <w:color w:val="auto"/>
          <w:kern w:val="0"/>
          <w:highlight w:val="none"/>
        </w:rPr>
        <w:t>.3 环境保护</w:t>
      </w:r>
      <w:bookmarkEnd w:id="185"/>
    </w:p>
    <w:bookmarkEnd w:id="186"/>
    <w:p w14:paraId="542D0F4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7DCB2CF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承包人应当承担因其原因引起的环境污染侵权损害赔偿责任，因上述环境污染引起纠纷而导致暂停施工的，由此增加的费用和（或）延误的工期由承包人承担。</w:t>
      </w:r>
    </w:p>
    <w:p w14:paraId="1FC89E44">
      <w:pPr>
        <w:spacing w:line="360" w:lineRule="auto"/>
        <w:ind w:firstLine="420" w:firstLineChars="200"/>
        <w:rPr>
          <w:rFonts w:hint="eastAsia" w:ascii="宋体" w:hAnsi="宋体" w:eastAsia="宋体" w:cs="宋体"/>
          <w:b w:val="0"/>
          <w:bCs w:val="0"/>
          <w:color w:val="auto"/>
          <w:kern w:val="0"/>
          <w:highlight w:val="none"/>
        </w:rPr>
      </w:pPr>
      <w:bookmarkStart w:id="187" w:name="_Toc351203542"/>
      <w:r>
        <w:rPr>
          <w:rFonts w:hint="eastAsia" w:ascii="宋体" w:hAnsi="宋体" w:eastAsia="宋体" w:cs="宋体"/>
          <w:b w:val="0"/>
          <w:bCs w:val="0"/>
          <w:color w:val="auto"/>
          <w:kern w:val="0"/>
          <w:highlight w:val="none"/>
        </w:rPr>
        <w:t>7</w:t>
      </w:r>
      <w:bookmarkStart w:id="188" w:name="_Toc337558767"/>
      <w:r>
        <w:rPr>
          <w:rFonts w:hint="eastAsia" w:ascii="宋体" w:hAnsi="宋体" w:eastAsia="宋体" w:cs="宋体"/>
          <w:b w:val="0"/>
          <w:bCs w:val="0"/>
          <w:color w:val="auto"/>
          <w:kern w:val="0"/>
          <w:highlight w:val="none"/>
        </w:rPr>
        <w:t>. 工期和进度</w:t>
      </w:r>
      <w:bookmarkEnd w:id="187"/>
    </w:p>
    <w:bookmarkEnd w:id="188"/>
    <w:p w14:paraId="66E0C7E3">
      <w:pPr>
        <w:spacing w:line="360" w:lineRule="auto"/>
        <w:ind w:firstLine="420" w:firstLineChars="200"/>
        <w:rPr>
          <w:rFonts w:hint="eastAsia" w:ascii="宋体" w:hAnsi="宋体" w:eastAsia="宋体" w:cs="宋体"/>
          <w:b w:val="0"/>
          <w:bCs w:val="0"/>
          <w:color w:val="auto"/>
          <w:kern w:val="0"/>
          <w:highlight w:val="none"/>
        </w:rPr>
      </w:pPr>
      <w:bookmarkStart w:id="189" w:name="_Toc351203543"/>
      <w:r>
        <w:rPr>
          <w:rFonts w:hint="eastAsia" w:ascii="宋体" w:hAnsi="宋体" w:eastAsia="宋体" w:cs="宋体"/>
          <w:b w:val="0"/>
          <w:bCs w:val="0"/>
          <w:color w:val="auto"/>
          <w:kern w:val="0"/>
          <w:highlight w:val="none"/>
        </w:rPr>
        <w:t>7</w:t>
      </w:r>
      <w:bookmarkStart w:id="190" w:name="_Toc337558768"/>
      <w:bookmarkStart w:id="191" w:name="_Toc296346567"/>
      <w:bookmarkStart w:id="192" w:name="_Toc296503066"/>
      <w:r>
        <w:rPr>
          <w:rFonts w:hint="eastAsia" w:ascii="宋体" w:hAnsi="宋体" w:eastAsia="宋体" w:cs="宋体"/>
          <w:b w:val="0"/>
          <w:bCs w:val="0"/>
          <w:color w:val="auto"/>
          <w:kern w:val="0"/>
          <w:highlight w:val="none"/>
        </w:rPr>
        <w:t>.1施工组织设计</w:t>
      </w:r>
      <w:bookmarkEnd w:id="189"/>
    </w:p>
    <w:bookmarkEnd w:id="190"/>
    <w:p w14:paraId="3CC89FA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7.1.1 施工组织设计的内容</w:t>
      </w:r>
    </w:p>
    <w:p w14:paraId="3AC5F01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施工组织设计应包含以下内容：</w:t>
      </w:r>
    </w:p>
    <w:p w14:paraId="186A937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（1）施工方案； </w:t>
      </w:r>
    </w:p>
    <w:p w14:paraId="34FD8CD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（2）施工现场平面布置图；</w:t>
      </w:r>
    </w:p>
    <w:p w14:paraId="47F3C68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（3）施工进度计划和保证措施； </w:t>
      </w:r>
    </w:p>
    <w:p w14:paraId="5F3BC89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（4）劳动力及材料供应计划；</w:t>
      </w:r>
    </w:p>
    <w:p w14:paraId="2219A2F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（5）施工机械设备的选用；</w:t>
      </w:r>
    </w:p>
    <w:p w14:paraId="5D92C3A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（6）质量保证体系及措施；</w:t>
      </w:r>
    </w:p>
    <w:p w14:paraId="50360C7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（7）安全生产、文明施工措施；</w:t>
      </w:r>
    </w:p>
    <w:p w14:paraId="4E1D090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（8）环境保护、成本控制措施；</w:t>
      </w:r>
    </w:p>
    <w:p w14:paraId="15B693D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（9）合同当事人约定的其他内容。</w:t>
      </w:r>
    </w:p>
    <w:p w14:paraId="273C264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7.1.2 施工组织设计的提交和修改</w:t>
      </w:r>
    </w:p>
    <w:p w14:paraId="75321B8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0E65F9B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施工进度计划的编制和修改按照第7.2款〔施工进度计划〕执行。</w:t>
      </w:r>
    </w:p>
    <w:p w14:paraId="6CE042D4">
      <w:pPr>
        <w:spacing w:line="360" w:lineRule="auto"/>
        <w:ind w:firstLine="420" w:firstLineChars="200"/>
        <w:rPr>
          <w:rFonts w:hint="eastAsia" w:ascii="宋体" w:hAnsi="宋体" w:eastAsia="宋体" w:cs="宋体"/>
          <w:b w:val="0"/>
          <w:bCs w:val="0"/>
          <w:color w:val="auto"/>
          <w:kern w:val="0"/>
          <w:highlight w:val="none"/>
        </w:rPr>
      </w:pPr>
      <w:bookmarkStart w:id="193" w:name="_Toc351203544"/>
      <w:r>
        <w:rPr>
          <w:rFonts w:hint="eastAsia" w:ascii="宋体" w:hAnsi="宋体" w:eastAsia="宋体" w:cs="宋体"/>
          <w:b w:val="0"/>
          <w:bCs w:val="0"/>
          <w:color w:val="auto"/>
          <w:kern w:val="0"/>
          <w:highlight w:val="none"/>
        </w:rPr>
        <w:t>7</w:t>
      </w:r>
      <w:bookmarkStart w:id="194" w:name="_Toc337558769"/>
      <w:r>
        <w:rPr>
          <w:rFonts w:hint="eastAsia" w:ascii="宋体" w:hAnsi="宋体" w:eastAsia="宋体" w:cs="宋体"/>
          <w:b w:val="0"/>
          <w:bCs w:val="0"/>
          <w:color w:val="auto"/>
          <w:kern w:val="0"/>
          <w:highlight w:val="none"/>
        </w:rPr>
        <w:t>.2 施工进度计划</w:t>
      </w:r>
      <w:bookmarkEnd w:id="193"/>
    </w:p>
    <w:bookmarkEnd w:id="194"/>
    <w:p w14:paraId="491C77F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7.2.1 施工进度计划的编制</w:t>
      </w:r>
    </w:p>
    <w:p w14:paraId="250F01B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465BE5D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7.2.2 施工进度计划的修订</w:t>
      </w:r>
    </w:p>
    <w:p w14:paraId="7F3CD15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7F98D76D">
      <w:pPr>
        <w:spacing w:line="360" w:lineRule="auto"/>
        <w:ind w:firstLine="420" w:firstLineChars="200"/>
        <w:rPr>
          <w:rFonts w:hint="eastAsia" w:ascii="宋体" w:hAnsi="宋体" w:eastAsia="宋体" w:cs="宋体"/>
          <w:b w:val="0"/>
          <w:bCs w:val="0"/>
          <w:color w:val="auto"/>
          <w:kern w:val="0"/>
          <w:highlight w:val="none"/>
        </w:rPr>
      </w:pPr>
      <w:bookmarkStart w:id="195" w:name="_Toc351203545"/>
      <w:r>
        <w:rPr>
          <w:rFonts w:hint="eastAsia" w:ascii="宋体" w:hAnsi="宋体" w:eastAsia="宋体" w:cs="宋体"/>
          <w:b w:val="0"/>
          <w:bCs w:val="0"/>
          <w:color w:val="auto"/>
          <w:kern w:val="0"/>
          <w:highlight w:val="none"/>
        </w:rPr>
        <w:t>7</w:t>
      </w:r>
      <w:bookmarkStart w:id="196" w:name="_Toc337558770"/>
      <w:r>
        <w:rPr>
          <w:rFonts w:hint="eastAsia" w:ascii="宋体" w:hAnsi="宋体" w:eastAsia="宋体" w:cs="宋体"/>
          <w:b w:val="0"/>
          <w:bCs w:val="0"/>
          <w:color w:val="auto"/>
          <w:kern w:val="0"/>
          <w:highlight w:val="none"/>
        </w:rPr>
        <w:t>.3 开工</w:t>
      </w:r>
      <w:bookmarkEnd w:id="195"/>
    </w:p>
    <w:p w14:paraId="679E033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7.3.1 开工准备</w:t>
      </w:r>
    </w:p>
    <w:p w14:paraId="14EC98E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5877050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除专用合同条款另有约定外，合同当事人应按约定完成开工准备工作。</w:t>
      </w:r>
    </w:p>
    <w:p w14:paraId="33E07E6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7.3.2 开工通知</w:t>
      </w:r>
    </w:p>
    <w:bookmarkEnd w:id="196"/>
    <w:p w14:paraId="1999BE7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3A3894B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615511F7">
      <w:pPr>
        <w:spacing w:line="360" w:lineRule="auto"/>
        <w:ind w:firstLine="420" w:firstLineChars="200"/>
        <w:rPr>
          <w:rFonts w:hint="eastAsia" w:ascii="宋体" w:hAnsi="宋体" w:eastAsia="宋体" w:cs="宋体"/>
          <w:b w:val="0"/>
          <w:bCs w:val="0"/>
          <w:color w:val="auto"/>
          <w:kern w:val="0"/>
          <w:highlight w:val="none"/>
        </w:rPr>
      </w:pPr>
      <w:bookmarkStart w:id="197" w:name="_Toc351203546"/>
      <w:r>
        <w:rPr>
          <w:rFonts w:hint="eastAsia" w:ascii="宋体" w:hAnsi="宋体" w:eastAsia="宋体" w:cs="宋体"/>
          <w:b w:val="0"/>
          <w:bCs w:val="0"/>
          <w:color w:val="auto"/>
          <w:kern w:val="0"/>
          <w:highlight w:val="none"/>
        </w:rPr>
        <w:t>7.4测量放线</w:t>
      </w:r>
      <w:bookmarkEnd w:id="197"/>
    </w:p>
    <w:p w14:paraId="69BE36A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7D17D1D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5D64BCF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23175B1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施工过程中对施工现场内水准点等测量标志物的保护工作由承包人负责。</w:t>
      </w:r>
      <w:bookmarkStart w:id="198" w:name="_Toc351203547"/>
    </w:p>
    <w:p w14:paraId="2F54EBC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w:t>
      </w:r>
      <w:bookmarkEnd w:id="191"/>
      <w:bookmarkEnd w:id="192"/>
      <w:bookmarkStart w:id="199" w:name="_Toc296503073"/>
      <w:bookmarkStart w:id="200" w:name="_Toc296346574"/>
      <w:bookmarkStart w:id="201" w:name="_Toc337558772"/>
      <w:r>
        <w:rPr>
          <w:rFonts w:hint="eastAsia" w:ascii="宋体" w:hAnsi="宋体" w:eastAsia="宋体" w:cs="宋体"/>
          <w:b w:val="0"/>
          <w:bCs w:val="0"/>
          <w:color w:val="auto"/>
          <w:kern w:val="0"/>
          <w:highlight w:val="none"/>
        </w:rPr>
        <w:t>.5 工期延误</w:t>
      </w:r>
      <w:bookmarkEnd w:id="198"/>
    </w:p>
    <w:bookmarkEnd w:id="199"/>
    <w:bookmarkEnd w:id="200"/>
    <w:bookmarkEnd w:id="201"/>
    <w:p w14:paraId="2CF669A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7.5.1 因发包人原因导致工期延误</w:t>
      </w:r>
    </w:p>
    <w:p w14:paraId="26B63DD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在合同履行过程中，因下列情况导致工期延误和（或）费用增加的，由发包人承担由此延误的工期和（或）增加的费用，且发包人应支付承包人合理的利润： </w:t>
      </w:r>
    </w:p>
    <w:p w14:paraId="0D19007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（1）发包人未能按合同约定提供图纸或所提供图纸不符合合同约定的；</w:t>
      </w:r>
    </w:p>
    <w:p w14:paraId="20B52A7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（2）发包人未能按合同约定提供施工现场、施工条件、基础资料、许可、批准等开工条件的；</w:t>
      </w:r>
    </w:p>
    <w:p w14:paraId="55F309C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（3）发包人提供的测量基准点、基准线和水准点及其书面资料存在错误或疏漏的；</w:t>
      </w:r>
    </w:p>
    <w:p w14:paraId="4C86F73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（4）发包人未能在计划开工日期之日起7天内同意下达开工通知的；</w:t>
      </w:r>
    </w:p>
    <w:p w14:paraId="535D12E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（5）发包人未能按合同约定日期支付工程预付款、进度款或竣工结算款的；</w:t>
      </w:r>
    </w:p>
    <w:p w14:paraId="204C59B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（6）监理人未按合同约定发出指示、批准等文件的；</w:t>
      </w:r>
    </w:p>
    <w:p w14:paraId="44B5457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（7）专用合同条款中约定的其他情形。</w:t>
      </w:r>
    </w:p>
    <w:p w14:paraId="7F80346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6AED34F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7.5.2 因承包人原因导致工期延误</w:t>
      </w:r>
    </w:p>
    <w:p w14:paraId="6AFBC065">
      <w:pPr>
        <w:spacing w:line="360" w:lineRule="auto"/>
        <w:ind w:firstLine="420" w:firstLineChars="200"/>
        <w:rPr>
          <w:rFonts w:hint="eastAsia" w:ascii="宋体" w:hAnsi="宋体" w:eastAsia="宋体" w:cs="宋体"/>
          <w:b w:val="0"/>
          <w:bCs w:val="0"/>
          <w:color w:val="auto"/>
          <w:kern w:val="0"/>
          <w:highlight w:val="none"/>
        </w:rPr>
      </w:pPr>
      <w:bookmarkStart w:id="202" w:name="_Toc296346577"/>
      <w:bookmarkStart w:id="203" w:name="_Toc296503076"/>
      <w:r>
        <w:rPr>
          <w:rFonts w:hint="eastAsia" w:ascii="宋体" w:hAnsi="宋体" w:eastAsia="宋体" w:cs="宋体"/>
          <w:b w:val="0"/>
          <w:bCs w:val="0"/>
          <w:color w:val="auto"/>
          <w:kern w:val="0"/>
          <w:highlight w:val="none"/>
        </w:rPr>
        <w:t>因</w:t>
      </w:r>
      <w:bookmarkEnd w:id="202"/>
      <w:bookmarkEnd w:id="203"/>
      <w:r>
        <w:rPr>
          <w:rFonts w:hint="eastAsia" w:ascii="宋体" w:hAnsi="宋体" w:eastAsia="宋体" w:cs="宋体"/>
          <w:b w:val="0"/>
          <w:bCs w:val="0"/>
          <w:color w:val="auto"/>
          <w:kern w:val="0"/>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1443206D">
      <w:pPr>
        <w:spacing w:line="360" w:lineRule="auto"/>
        <w:ind w:firstLine="420" w:firstLineChars="200"/>
        <w:rPr>
          <w:rFonts w:hint="eastAsia" w:ascii="宋体" w:hAnsi="宋体" w:eastAsia="宋体" w:cs="宋体"/>
          <w:b w:val="0"/>
          <w:bCs w:val="0"/>
          <w:color w:val="auto"/>
          <w:kern w:val="0"/>
          <w:highlight w:val="none"/>
        </w:rPr>
      </w:pPr>
      <w:bookmarkStart w:id="204" w:name="_Toc351203548"/>
      <w:r>
        <w:rPr>
          <w:rFonts w:hint="eastAsia" w:ascii="宋体" w:hAnsi="宋体" w:eastAsia="宋体" w:cs="宋体"/>
          <w:b w:val="0"/>
          <w:bCs w:val="0"/>
          <w:color w:val="auto"/>
          <w:kern w:val="0"/>
          <w:highlight w:val="none"/>
        </w:rPr>
        <w:t>7</w:t>
      </w:r>
      <w:bookmarkStart w:id="205" w:name="_Toc296346575"/>
      <w:bookmarkStart w:id="206" w:name="_Toc337558773"/>
      <w:bookmarkStart w:id="207" w:name="_Toc296503074"/>
      <w:bookmarkStart w:id="208" w:name="_Toc296503077"/>
      <w:bookmarkStart w:id="209" w:name="_Toc296346578"/>
      <w:r>
        <w:rPr>
          <w:rFonts w:hint="eastAsia" w:ascii="宋体" w:hAnsi="宋体" w:eastAsia="宋体" w:cs="宋体"/>
          <w:b w:val="0"/>
          <w:bCs w:val="0"/>
          <w:color w:val="auto"/>
          <w:kern w:val="0"/>
          <w:highlight w:val="none"/>
        </w:rPr>
        <w:t>.6 不利物质条件</w:t>
      </w:r>
      <w:bookmarkEnd w:id="204"/>
    </w:p>
    <w:bookmarkEnd w:id="205"/>
    <w:bookmarkEnd w:id="206"/>
    <w:bookmarkEnd w:id="207"/>
    <w:p w14:paraId="0EB9074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4B651E8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48118EA5">
      <w:pPr>
        <w:spacing w:line="360" w:lineRule="auto"/>
        <w:ind w:firstLine="420" w:firstLineChars="200"/>
        <w:rPr>
          <w:rFonts w:hint="eastAsia" w:ascii="宋体" w:hAnsi="宋体" w:eastAsia="宋体" w:cs="宋体"/>
          <w:b w:val="0"/>
          <w:bCs w:val="0"/>
          <w:color w:val="auto"/>
          <w:kern w:val="0"/>
          <w:highlight w:val="none"/>
        </w:rPr>
      </w:pPr>
      <w:bookmarkStart w:id="210" w:name="_Toc351203549"/>
      <w:r>
        <w:rPr>
          <w:rFonts w:hint="eastAsia" w:ascii="宋体" w:hAnsi="宋体" w:eastAsia="宋体" w:cs="宋体"/>
          <w:b w:val="0"/>
          <w:bCs w:val="0"/>
          <w:color w:val="auto"/>
          <w:kern w:val="0"/>
          <w:highlight w:val="none"/>
        </w:rPr>
        <w:t>7</w:t>
      </w:r>
      <w:bookmarkStart w:id="211" w:name="_Toc296346576"/>
      <w:bookmarkStart w:id="212" w:name="_Toc296503075"/>
      <w:bookmarkStart w:id="213" w:name="_Toc337558774"/>
      <w:r>
        <w:rPr>
          <w:rFonts w:hint="eastAsia" w:ascii="宋体" w:hAnsi="宋体" w:eastAsia="宋体" w:cs="宋体"/>
          <w:b w:val="0"/>
          <w:bCs w:val="0"/>
          <w:color w:val="auto"/>
          <w:kern w:val="0"/>
          <w:highlight w:val="none"/>
        </w:rPr>
        <w:t>.7 异常恶劣的气候条件</w:t>
      </w:r>
      <w:bookmarkEnd w:id="210"/>
    </w:p>
    <w:bookmarkEnd w:id="211"/>
    <w:bookmarkEnd w:id="212"/>
    <w:bookmarkEnd w:id="213"/>
    <w:p w14:paraId="1D516FD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10BAFD0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214" w:name="_Toc351203550"/>
    </w:p>
    <w:p w14:paraId="4C6FE02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w:t>
      </w:r>
      <w:bookmarkStart w:id="215" w:name="_Toc337558775"/>
      <w:r>
        <w:rPr>
          <w:rFonts w:hint="eastAsia" w:ascii="宋体" w:hAnsi="宋体" w:eastAsia="宋体" w:cs="宋体"/>
          <w:b w:val="0"/>
          <w:bCs w:val="0"/>
          <w:color w:val="auto"/>
          <w:kern w:val="0"/>
          <w:highlight w:val="none"/>
        </w:rPr>
        <w:t>.8 暂停施工</w:t>
      </w:r>
      <w:bookmarkEnd w:id="214"/>
    </w:p>
    <w:bookmarkEnd w:id="208"/>
    <w:bookmarkEnd w:id="209"/>
    <w:bookmarkEnd w:id="215"/>
    <w:p w14:paraId="7BE4C89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7.8.1发包人原因引起的暂停施工</w:t>
      </w:r>
    </w:p>
    <w:p w14:paraId="62265B0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因发包人原因引起暂停施工的，监理人经发包人同意后，应及时下达暂停施工指示。情况紧急且监理人未及时下达暂停施工指示的，按照第7.8.4项〔紧急情况下的暂停施工〕执行。</w:t>
      </w:r>
    </w:p>
    <w:p w14:paraId="622B0A4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因发包人原因引起的暂停施工，发包人应承担由此增加的费用和（或）延误的工期，并支付承包人合理的利润。</w:t>
      </w:r>
    </w:p>
    <w:p w14:paraId="26CE281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7.8.2 承包人原因引起的暂停施工</w:t>
      </w:r>
    </w:p>
    <w:p w14:paraId="0A00067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72016D9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7.8.3 指示暂停施工</w:t>
      </w:r>
    </w:p>
    <w:p w14:paraId="31BACC5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监理人认为有必要时，并经发包人批准后，可向承包人作出暂停施工的指示，承包人应按监理人指示暂停施工。</w:t>
      </w:r>
    </w:p>
    <w:p w14:paraId="468711F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7.8.4 紧急情况下的暂停施工</w:t>
      </w:r>
    </w:p>
    <w:p w14:paraId="5D9CD0C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049BDAF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7.8.5 暂停施工后的复工</w:t>
      </w:r>
    </w:p>
    <w:p w14:paraId="39DF507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0DDBD9A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承包人无故拖延和拒绝复工的，承包人承担由此增加的费用和（或）延误的工期；因发包人原因无法按时复工的，按照第7.5.1项〔因发包人原因导致工期延误〕约定办理。</w:t>
      </w:r>
    </w:p>
    <w:p w14:paraId="7DC62D5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7.8.6 暂停施工持续56天以上</w:t>
      </w:r>
    </w:p>
    <w:p w14:paraId="6950907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001365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6F3C769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7.8.7 暂停施工期间的工程照管</w:t>
      </w:r>
    </w:p>
    <w:p w14:paraId="08F0948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暂停施工期间，承包人应负责妥善照管工程并提供安全保障，由此增加的费用由责任方承担。</w:t>
      </w:r>
    </w:p>
    <w:p w14:paraId="38AED29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7.8.8 暂停施工的措施</w:t>
      </w:r>
    </w:p>
    <w:p w14:paraId="229CF70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暂停施工期间，发包人和承包人均应采取必要的措施确保工程质量及安全，防止因暂停施工扩大损失。</w:t>
      </w:r>
    </w:p>
    <w:p w14:paraId="2ACC7CB6">
      <w:pPr>
        <w:spacing w:line="360" w:lineRule="auto"/>
        <w:ind w:firstLine="420" w:firstLineChars="200"/>
        <w:rPr>
          <w:rFonts w:hint="eastAsia" w:ascii="宋体" w:hAnsi="宋体" w:eastAsia="宋体" w:cs="宋体"/>
          <w:b w:val="0"/>
          <w:bCs w:val="0"/>
          <w:color w:val="auto"/>
          <w:kern w:val="0"/>
          <w:highlight w:val="none"/>
        </w:rPr>
      </w:pPr>
      <w:bookmarkStart w:id="216" w:name="_Toc351203551"/>
      <w:r>
        <w:rPr>
          <w:rFonts w:hint="eastAsia" w:ascii="宋体" w:hAnsi="宋体" w:eastAsia="宋体" w:cs="宋体"/>
          <w:b w:val="0"/>
          <w:bCs w:val="0"/>
          <w:color w:val="auto"/>
          <w:kern w:val="0"/>
          <w:highlight w:val="none"/>
        </w:rPr>
        <w:t>7.9提前竣工</w:t>
      </w:r>
      <w:bookmarkEnd w:id="216"/>
    </w:p>
    <w:p w14:paraId="1A60C15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0EB241E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7.9.2 发包人要求承包人提前竣工，或承包人提出提前竣工的建议能够给发包人带来效益的，合同当事人可以在专用合同条款中约定提前竣工的奖励。</w:t>
      </w:r>
    </w:p>
    <w:p w14:paraId="0CB89366">
      <w:pPr>
        <w:spacing w:line="360" w:lineRule="auto"/>
        <w:ind w:firstLine="420" w:firstLineChars="200"/>
        <w:rPr>
          <w:rFonts w:hint="eastAsia" w:ascii="宋体" w:hAnsi="宋体" w:eastAsia="宋体" w:cs="宋体"/>
          <w:b w:val="0"/>
          <w:bCs w:val="0"/>
          <w:color w:val="auto"/>
          <w:kern w:val="0"/>
          <w:highlight w:val="none"/>
        </w:rPr>
      </w:pPr>
      <w:bookmarkStart w:id="217" w:name="_Toc351203552"/>
      <w:r>
        <w:rPr>
          <w:rFonts w:hint="eastAsia" w:ascii="宋体" w:hAnsi="宋体" w:eastAsia="宋体" w:cs="宋体"/>
          <w:b w:val="0"/>
          <w:bCs w:val="0"/>
          <w:color w:val="auto"/>
          <w:kern w:val="0"/>
          <w:highlight w:val="none"/>
        </w:rPr>
        <w:t>8</w:t>
      </w:r>
      <w:bookmarkStart w:id="218" w:name="_Toc296503058"/>
      <w:bookmarkStart w:id="219" w:name="_Toc296346559"/>
      <w:bookmarkStart w:id="220" w:name="_Toc337558776"/>
      <w:r>
        <w:rPr>
          <w:rFonts w:hint="eastAsia" w:ascii="宋体" w:hAnsi="宋体" w:eastAsia="宋体" w:cs="宋体"/>
          <w:b w:val="0"/>
          <w:bCs w:val="0"/>
          <w:color w:val="auto"/>
          <w:kern w:val="0"/>
          <w:highlight w:val="none"/>
        </w:rPr>
        <w:t>. 材料与设备</w:t>
      </w:r>
      <w:bookmarkEnd w:id="217"/>
    </w:p>
    <w:bookmarkEnd w:id="218"/>
    <w:bookmarkEnd w:id="219"/>
    <w:bookmarkEnd w:id="220"/>
    <w:p w14:paraId="00DAD854">
      <w:pPr>
        <w:spacing w:line="360" w:lineRule="auto"/>
        <w:ind w:firstLine="420" w:firstLineChars="200"/>
        <w:rPr>
          <w:rFonts w:hint="eastAsia" w:ascii="宋体" w:hAnsi="宋体" w:eastAsia="宋体" w:cs="宋体"/>
          <w:b w:val="0"/>
          <w:bCs w:val="0"/>
          <w:color w:val="auto"/>
          <w:kern w:val="0"/>
          <w:highlight w:val="none"/>
        </w:rPr>
      </w:pPr>
      <w:bookmarkStart w:id="221" w:name="_Toc351203553"/>
      <w:r>
        <w:rPr>
          <w:rFonts w:hint="eastAsia" w:ascii="宋体" w:hAnsi="宋体" w:eastAsia="宋体" w:cs="宋体"/>
          <w:b w:val="0"/>
          <w:bCs w:val="0"/>
          <w:color w:val="auto"/>
          <w:kern w:val="0"/>
          <w:highlight w:val="none"/>
        </w:rPr>
        <w:t>8</w:t>
      </w:r>
      <w:bookmarkStart w:id="222" w:name="_Toc296346560"/>
      <w:bookmarkStart w:id="223" w:name="_Toc296503059"/>
      <w:bookmarkStart w:id="224" w:name="_Toc337558777"/>
      <w:bookmarkStart w:id="225" w:name="_Toc468936960"/>
      <w:r>
        <w:rPr>
          <w:rFonts w:hint="eastAsia" w:ascii="宋体" w:hAnsi="宋体" w:eastAsia="宋体" w:cs="宋体"/>
          <w:b w:val="0"/>
          <w:bCs w:val="0"/>
          <w:color w:val="auto"/>
          <w:kern w:val="0"/>
          <w:highlight w:val="none"/>
        </w:rPr>
        <w:t>.1发包人供应材料与工程设备</w:t>
      </w:r>
      <w:bookmarkEnd w:id="221"/>
    </w:p>
    <w:bookmarkEnd w:id="222"/>
    <w:bookmarkEnd w:id="223"/>
    <w:bookmarkEnd w:id="224"/>
    <w:p w14:paraId="15B9737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发包人自行供应材料、工程设备的，应在签订合同时在专用合同条款的附件《发包人供应材料设备一览表》中明确材料、工程设备的品种、规格、型号、数量、单价、质量等级和送达地点。</w:t>
      </w:r>
    </w:p>
    <w:p w14:paraId="35983C1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4F55347B">
      <w:pPr>
        <w:spacing w:line="360" w:lineRule="auto"/>
        <w:ind w:firstLine="420" w:firstLineChars="200"/>
        <w:rPr>
          <w:rFonts w:hint="eastAsia" w:ascii="宋体" w:hAnsi="宋体" w:eastAsia="宋体" w:cs="宋体"/>
          <w:b w:val="0"/>
          <w:bCs w:val="0"/>
          <w:color w:val="auto"/>
          <w:kern w:val="0"/>
          <w:highlight w:val="none"/>
        </w:rPr>
      </w:pPr>
      <w:bookmarkStart w:id="226" w:name="_Toc351203554"/>
      <w:r>
        <w:rPr>
          <w:rFonts w:hint="eastAsia" w:ascii="宋体" w:hAnsi="宋体" w:eastAsia="宋体" w:cs="宋体"/>
          <w:b w:val="0"/>
          <w:bCs w:val="0"/>
          <w:color w:val="auto"/>
          <w:kern w:val="0"/>
          <w:highlight w:val="none"/>
        </w:rPr>
        <w:t>8</w:t>
      </w:r>
      <w:bookmarkStart w:id="227" w:name="_Toc337558778"/>
      <w:bookmarkStart w:id="228" w:name="_Toc296503060"/>
      <w:bookmarkStart w:id="229" w:name="_Toc296346561"/>
      <w:r>
        <w:rPr>
          <w:rFonts w:hint="eastAsia" w:ascii="宋体" w:hAnsi="宋体" w:eastAsia="宋体" w:cs="宋体"/>
          <w:b w:val="0"/>
          <w:bCs w:val="0"/>
          <w:color w:val="auto"/>
          <w:kern w:val="0"/>
          <w:highlight w:val="none"/>
        </w:rPr>
        <w:t>.2承包人采购材料与工程设备</w:t>
      </w:r>
      <w:bookmarkEnd w:id="226"/>
    </w:p>
    <w:bookmarkEnd w:id="227"/>
    <w:bookmarkEnd w:id="228"/>
    <w:bookmarkEnd w:id="229"/>
    <w:p w14:paraId="3B7FA15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4911C41B">
      <w:pPr>
        <w:spacing w:line="360" w:lineRule="auto"/>
        <w:ind w:firstLine="420" w:firstLineChars="200"/>
        <w:rPr>
          <w:rFonts w:hint="eastAsia" w:ascii="宋体" w:hAnsi="宋体" w:eastAsia="宋体" w:cs="宋体"/>
          <w:b w:val="0"/>
          <w:bCs w:val="0"/>
          <w:color w:val="auto"/>
          <w:kern w:val="0"/>
          <w:highlight w:val="none"/>
        </w:rPr>
      </w:pPr>
      <w:bookmarkStart w:id="230" w:name="_Toc351203555"/>
      <w:r>
        <w:rPr>
          <w:rFonts w:hint="eastAsia" w:ascii="宋体" w:hAnsi="宋体" w:eastAsia="宋体" w:cs="宋体"/>
          <w:b w:val="0"/>
          <w:bCs w:val="0"/>
          <w:color w:val="auto"/>
          <w:kern w:val="0"/>
          <w:highlight w:val="none"/>
        </w:rPr>
        <w:t>8</w:t>
      </w:r>
      <w:bookmarkStart w:id="231" w:name="_Toc296503061"/>
      <w:bookmarkStart w:id="232" w:name="_Toc337558779"/>
      <w:bookmarkStart w:id="233" w:name="_Toc296346562"/>
      <w:r>
        <w:rPr>
          <w:rFonts w:hint="eastAsia" w:ascii="宋体" w:hAnsi="宋体" w:eastAsia="宋体" w:cs="宋体"/>
          <w:b w:val="0"/>
          <w:bCs w:val="0"/>
          <w:color w:val="auto"/>
          <w:kern w:val="0"/>
          <w:highlight w:val="none"/>
        </w:rPr>
        <w:t>.3材料与工程设备的接收与拒收</w:t>
      </w:r>
      <w:bookmarkEnd w:id="230"/>
    </w:p>
    <w:bookmarkEnd w:id="231"/>
    <w:bookmarkEnd w:id="232"/>
    <w:bookmarkEnd w:id="233"/>
    <w:p w14:paraId="6DA2234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63ABD76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发包人提供的材料和工程设备的规格、数量或质量不符合合同约定的，或因发包人原因导致交货日期延误或交货地点变更等情况的，按照第16.1款〔发包人违约〕约定办理。</w:t>
      </w:r>
    </w:p>
    <w:p w14:paraId="29103E1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8.3.2 承包人采购的材料和工程设备，应保证产品质量合格，承包人应在材料和工程设备到货前24小时通知监理人检验。承</w:t>
      </w:r>
      <w:bookmarkStart w:id="234" w:name="_Toc250655469"/>
      <w:r>
        <w:rPr>
          <w:rFonts w:hint="eastAsia" w:ascii="宋体" w:hAnsi="宋体" w:eastAsia="宋体" w:cs="宋体"/>
          <w:b w:val="0"/>
          <w:bCs w:val="0"/>
          <w:color w:val="auto"/>
          <w:kern w:val="0"/>
          <w:highlight w:val="none"/>
        </w:rPr>
        <w:t>包人进行永久设备、材料的制造和生产的，应符合相关质量标准，并向监理人提交材料的样本以及有关资料，并应在使用该材料或工程设备之前获得监理人同意。</w:t>
      </w:r>
    </w:p>
    <w:bookmarkEnd w:id="234"/>
    <w:p w14:paraId="10A70F9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04DB67FE">
      <w:pPr>
        <w:spacing w:line="360" w:lineRule="auto"/>
        <w:ind w:firstLine="420" w:firstLineChars="200"/>
        <w:rPr>
          <w:rFonts w:hint="eastAsia" w:ascii="宋体" w:hAnsi="宋体" w:eastAsia="宋体" w:cs="宋体"/>
          <w:b w:val="0"/>
          <w:bCs w:val="0"/>
          <w:color w:val="auto"/>
          <w:kern w:val="0"/>
          <w:highlight w:val="none"/>
        </w:rPr>
      </w:pPr>
      <w:bookmarkStart w:id="235" w:name="_Toc351203556"/>
      <w:r>
        <w:rPr>
          <w:rFonts w:hint="eastAsia" w:ascii="宋体" w:hAnsi="宋体" w:eastAsia="宋体" w:cs="宋体"/>
          <w:b w:val="0"/>
          <w:bCs w:val="0"/>
          <w:color w:val="auto"/>
          <w:kern w:val="0"/>
          <w:highlight w:val="none"/>
        </w:rPr>
        <w:t>8</w:t>
      </w:r>
      <w:bookmarkStart w:id="236" w:name="_Toc337558780"/>
      <w:bookmarkStart w:id="237" w:name="_Toc296503062"/>
      <w:bookmarkStart w:id="238" w:name="_Toc296346563"/>
      <w:r>
        <w:rPr>
          <w:rFonts w:hint="eastAsia" w:ascii="宋体" w:hAnsi="宋体" w:eastAsia="宋体" w:cs="宋体"/>
          <w:b w:val="0"/>
          <w:bCs w:val="0"/>
          <w:color w:val="auto"/>
          <w:kern w:val="0"/>
          <w:highlight w:val="none"/>
        </w:rPr>
        <w:t>.4材料与工程设备的保管与使用</w:t>
      </w:r>
      <w:bookmarkEnd w:id="235"/>
    </w:p>
    <w:bookmarkEnd w:id="236"/>
    <w:bookmarkEnd w:id="237"/>
    <w:bookmarkEnd w:id="238"/>
    <w:p w14:paraId="637BD11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8.4.1 发包人供应材料与工程设备的保管与使用</w:t>
      </w:r>
    </w:p>
    <w:p w14:paraId="6002D57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7D9BAAD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发包人供应的材料和工程设备使用前，由承包人负责检验，检验费用由发包人承担，不合格的不得使用。</w:t>
      </w:r>
    </w:p>
    <w:p w14:paraId="0321A8F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8.4.2 承包人采购材料与工程设备的保管与使用</w:t>
      </w:r>
    </w:p>
    <w:p w14:paraId="0DCC79D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13D1FF8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发包人或监理人发现承包人使用不符合设计或有关标准要求的材料和工程设备时，有权要求承包人进行修复、拆除或重新采购，由此增加的费用和（或）延误的工期，由承包人承担。</w:t>
      </w:r>
    </w:p>
    <w:p w14:paraId="70348E51">
      <w:pPr>
        <w:spacing w:line="360" w:lineRule="auto"/>
        <w:ind w:firstLine="420" w:firstLineChars="200"/>
        <w:rPr>
          <w:rFonts w:hint="eastAsia" w:ascii="宋体" w:hAnsi="宋体" w:eastAsia="宋体" w:cs="宋体"/>
          <w:b w:val="0"/>
          <w:bCs w:val="0"/>
          <w:color w:val="auto"/>
          <w:kern w:val="0"/>
          <w:highlight w:val="none"/>
        </w:rPr>
      </w:pPr>
      <w:bookmarkStart w:id="239" w:name="_Toc351203557"/>
      <w:r>
        <w:rPr>
          <w:rFonts w:hint="eastAsia" w:ascii="宋体" w:hAnsi="宋体" w:eastAsia="宋体" w:cs="宋体"/>
          <w:b w:val="0"/>
          <w:bCs w:val="0"/>
          <w:color w:val="auto"/>
          <w:kern w:val="0"/>
          <w:highlight w:val="none"/>
        </w:rPr>
        <w:t>8.5禁止使用不合格的材料和工程设备</w:t>
      </w:r>
      <w:bookmarkEnd w:id="239"/>
    </w:p>
    <w:p w14:paraId="71CC192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8.5.1 监理人有权拒绝承包人提供的不合格材料或工程设备，并要求承包人立即进行更换。监理人应在更换后再次进行检查和检验，由此增加的费用和（或）延误的工期由承包人承担。</w:t>
      </w:r>
    </w:p>
    <w:p w14:paraId="3721ECD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8.5.2 监理人发现承包人使用了不合格的材料和工程设备，承包人应按照监理人的指示立即改正，并禁止在工程中继续使用不合格的材料和工程设备。</w:t>
      </w:r>
    </w:p>
    <w:p w14:paraId="1D497BF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8.5.3 发包人提供的材料或工程设备不符合合同要求的，承包人有权拒绝，并可要求发包人更换，由此增加的费用和（或）延误的工期由发包人承担，并支付承包人合理的利润。</w:t>
      </w:r>
    </w:p>
    <w:p w14:paraId="66E0D418">
      <w:pPr>
        <w:spacing w:line="360" w:lineRule="auto"/>
        <w:ind w:firstLine="420" w:firstLineChars="200"/>
        <w:rPr>
          <w:rFonts w:hint="eastAsia" w:ascii="宋体" w:hAnsi="宋体" w:eastAsia="宋体" w:cs="宋体"/>
          <w:b w:val="0"/>
          <w:bCs w:val="0"/>
          <w:color w:val="auto"/>
          <w:kern w:val="0"/>
          <w:highlight w:val="none"/>
        </w:rPr>
      </w:pPr>
      <w:bookmarkStart w:id="240" w:name="_Toc351203558"/>
      <w:r>
        <w:rPr>
          <w:rFonts w:hint="eastAsia" w:ascii="宋体" w:hAnsi="宋体" w:eastAsia="宋体" w:cs="宋体"/>
          <w:b w:val="0"/>
          <w:bCs w:val="0"/>
          <w:color w:val="auto"/>
          <w:kern w:val="0"/>
          <w:highlight w:val="none"/>
        </w:rPr>
        <w:t>8.6 样品</w:t>
      </w:r>
      <w:bookmarkEnd w:id="240"/>
    </w:p>
    <w:p w14:paraId="464B353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8.6.1</w:t>
      </w:r>
      <w:r>
        <w:rPr>
          <w:rFonts w:hint="eastAsia" w:ascii="宋体" w:hAnsi="宋体" w:eastAsia="宋体" w:cs="宋体"/>
          <w:b w:val="0"/>
          <w:bCs w:val="0"/>
          <w:color w:val="auto"/>
          <w:kern w:val="0"/>
          <w:highlight w:val="none"/>
        </w:rPr>
        <w:tab/>
      </w:r>
      <w:r>
        <w:rPr>
          <w:rFonts w:hint="eastAsia" w:ascii="宋体" w:hAnsi="宋体" w:eastAsia="宋体" w:cs="宋体"/>
          <w:b w:val="0"/>
          <w:bCs w:val="0"/>
          <w:color w:val="auto"/>
          <w:kern w:val="0"/>
          <w:highlight w:val="none"/>
        </w:rPr>
        <w:t>样品的报送与封存</w:t>
      </w:r>
    </w:p>
    <w:p w14:paraId="4C97A49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需要承包人报送样品的材料或工程设备，样品的种类、名称、规格、数量等要求均应在专用合同条款中约定。样品的报送程序如下：</w:t>
      </w:r>
    </w:p>
    <w:p w14:paraId="6B86535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5DDC52D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6A88FEC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（3）经发包人和监理人审批确认的样品应按约定的方法封样，封存的样品作为检验工程相关部分的标准之一。承包人在施工过程中不得使用与样品不符的材料或工程设备。</w:t>
      </w:r>
    </w:p>
    <w:p w14:paraId="3F2D7F0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6E5A151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8.6.2 样品的保管</w:t>
      </w:r>
    </w:p>
    <w:p w14:paraId="206CD10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经批准的样品应由监理人负责封存于现场，承包人应在现场为保存样品提供适当和固定的场所并保持适当和良好的存储环境条件。</w:t>
      </w:r>
    </w:p>
    <w:p w14:paraId="00AD73FD">
      <w:pPr>
        <w:spacing w:line="360" w:lineRule="auto"/>
        <w:ind w:firstLine="420" w:firstLineChars="200"/>
        <w:rPr>
          <w:rFonts w:hint="eastAsia" w:ascii="宋体" w:hAnsi="宋体" w:eastAsia="宋体" w:cs="宋体"/>
          <w:b w:val="0"/>
          <w:bCs w:val="0"/>
          <w:color w:val="auto"/>
          <w:kern w:val="0"/>
          <w:highlight w:val="none"/>
        </w:rPr>
      </w:pPr>
      <w:bookmarkStart w:id="241" w:name="_Toc351203559"/>
      <w:r>
        <w:rPr>
          <w:rFonts w:hint="eastAsia" w:ascii="宋体" w:hAnsi="宋体" w:eastAsia="宋体" w:cs="宋体"/>
          <w:b w:val="0"/>
          <w:bCs w:val="0"/>
          <w:color w:val="auto"/>
          <w:kern w:val="0"/>
          <w:highlight w:val="none"/>
        </w:rPr>
        <w:t>8.7材料与工程设备的替代</w:t>
      </w:r>
      <w:bookmarkEnd w:id="241"/>
    </w:p>
    <w:p w14:paraId="67E7D8E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8.7.1 出现下列情况需要使用替代材料和工程设备的，承包人应按照第8.7.2项约定的程序执行：</w:t>
      </w:r>
    </w:p>
    <w:p w14:paraId="78F044E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（1）基准日期后生效的法律规定禁止使用的；</w:t>
      </w:r>
    </w:p>
    <w:p w14:paraId="380F443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（2）发包人要求使用替代品的；</w:t>
      </w:r>
    </w:p>
    <w:p w14:paraId="1C34B24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（3）因其他原因必须使用替代品的。</w:t>
      </w:r>
    </w:p>
    <w:p w14:paraId="2736287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8.7.2 承包人应在使用替代材料和工程设备28天前书面通知监理人，并附下列文件：</w:t>
      </w:r>
    </w:p>
    <w:p w14:paraId="7349C77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（1）被替代的材料和工程设备的名称、数量、规格、型号、品牌、性能、价格及其他相关资料；</w:t>
      </w:r>
    </w:p>
    <w:p w14:paraId="4CA7368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（2）替代品的名称、数量、规格、型号、品牌、性能、价格及其他相关资料；</w:t>
      </w:r>
    </w:p>
    <w:p w14:paraId="6D176EA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（3）替代品与被替代产品之间的差异以及使用替代品可能对工程产生的影响；</w:t>
      </w:r>
    </w:p>
    <w:p w14:paraId="42156D0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（4）替代品与被替代产品的价格差异；</w:t>
      </w:r>
    </w:p>
    <w:p w14:paraId="46C6FF5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（5）使用替代品的理由和原因说明；</w:t>
      </w:r>
    </w:p>
    <w:p w14:paraId="022E3C8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（6）监理人要求的其他文件。</w:t>
      </w:r>
    </w:p>
    <w:p w14:paraId="2B7D789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监理人应在收到通知后14天内向承包人发出经发包人签认的书面指示；监理人逾期发出书面指示的，视为发包人和监理人同意使用替代品。</w:t>
      </w:r>
    </w:p>
    <w:p w14:paraId="6CB8AD6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76DBB9C1">
      <w:pPr>
        <w:spacing w:line="360" w:lineRule="auto"/>
        <w:ind w:firstLine="420" w:firstLineChars="200"/>
        <w:rPr>
          <w:rFonts w:hint="eastAsia" w:ascii="宋体" w:hAnsi="宋体" w:eastAsia="宋体" w:cs="宋体"/>
          <w:b w:val="0"/>
          <w:bCs w:val="0"/>
          <w:color w:val="auto"/>
          <w:kern w:val="0"/>
          <w:highlight w:val="none"/>
        </w:rPr>
      </w:pPr>
      <w:bookmarkStart w:id="242" w:name="_Toc351203560"/>
      <w:r>
        <w:rPr>
          <w:rFonts w:hint="eastAsia" w:ascii="宋体" w:hAnsi="宋体" w:eastAsia="宋体" w:cs="宋体"/>
          <w:b w:val="0"/>
          <w:bCs w:val="0"/>
          <w:color w:val="auto"/>
          <w:kern w:val="0"/>
          <w:highlight w:val="none"/>
        </w:rPr>
        <w:t>8.8施工设备和临时设施</w:t>
      </w:r>
      <w:bookmarkEnd w:id="242"/>
    </w:p>
    <w:p w14:paraId="5EA5920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8.8.1 承包人提供的施工设备和临时设施</w:t>
      </w:r>
    </w:p>
    <w:p w14:paraId="2AA0ABD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28B1793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除专用合同条款另有约定外，承包人应自行承担修建临时设施的费用，需要临时占地的，应由发包人办理申请手续并承担相应费用。</w:t>
      </w:r>
    </w:p>
    <w:p w14:paraId="39C9E22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8.8.2发包人提供的施工设备和临时设施</w:t>
      </w:r>
    </w:p>
    <w:p w14:paraId="4D6A632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发包人提供的施工设备或临时设施在专用合同条款中约定。</w:t>
      </w:r>
    </w:p>
    <w:p w14:paraId="20C6604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8.8.3要求承包人增加或更换施工设备</w:t>
      </w:r>
    </w:p>
    <w:p w14:paraId="69D8BE2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4A0FB927">
      <w:pPr>
        <w:spacing w:line="360" w:lineRule="auto"/>
        <w:ind w:firstLine="420" w:firstLineChars="200"/>
        <w:rPr>
          <w:rFonts w:hint="eastAsia" w:ascii="宋体" w:hAnsi="宋体" w:eastAsia="宋体" w:cs="宋体"/>
          <w:b w:val="0"/>
          <w:bCs w:val="0"/>
          <w:color w:val="auto"/>
          <w:kern w:val="0"/>
          <w:highlight w:val="none"/>
        </w:rPr>
      </w:pPr>
      <w:bookmarkStart w:id="243" w:name="_Toc351203561"/>
      <w:r>
        <w:rPr>
          <w:rFonts w:hint="eastAsia" w:ascii="宋体" w:hAnsi="宋体" w:eastAsia="宋体" w:cs="宋体"/>
          <w:b w:val="0"/>
          <w:bCs w:val="0"/>
          <w:color w:val="auto"/>
          <w:kern w:val="0"/>
          <w:highlight w:val="none"/>
        </w:rPr>
        <w:t>8</w:t>
      </w:r>
      <w:bookmarkStart w:id="244" w:name="_Toc296503063"/>
      <w:bookmarkStart w:id="245" w:name="_Toc337558781"/>
      <w:bookmarkStart w:id="246" w:name="_Toc296346564"/>
      <w:r>
        <w:rPr>
          <w:rFonts w:hint="eastAsia" w:ascii="宋体" w:hAnsi="宋体" w:eastAsia="宋体" w:cs="宋体"/>
          <w:b w:val="0"/>
          <w:bCs w:val="0"/>
          <w:color w:val="auto"/>
          <w:kern w:val="0"/>
          <w:highlight w:val="none"/>
        </w:rPr>
        <w:t>.9材料与设备专用</w:t>
      </w:r>
      <w:bookmarkEnd w:id="243"/>
      <w:r>
        <w:rPr>
          <w:rFonts w:hint="eastAsia" w:ascii="宋体" w:hAnsi="宋体" w:eastAsia="宋体" w:cs="宋体"/>
          <w:b w:val="0"/>
          <w:bCs w:val="0"/>
          <w:color w:val="auto"/>
          <w:kern w:val="0"/>
          <w:highlight w:val="none"/>
        </w:rPr>
        <w:t>要求</w:t>
      </w:r>
    </w:p>
    <w:bookmarkEnd w:id="244"/>
    <w:bookmarkEnd w:id="245"/>
    <w:bookmarkEnd w:id="246"/>
    <w:p w14:paraId="3E764DF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225"/>
      <w:r>
        <w:rPr>
          <w:rFonts w:hint="eastAsia" w:ascii="宋体" w:hAnsi="宋体" w:eastAsia="宋体" w:cs="宋体"/>
          <w:b w:val="0"/>
          <w:bCs w:val="0"/>
          <w:color w:val="auto"/>
          <w:kern w:val="0"/>
          <w:highlight w:val="none"/>
        </w:rPr>
        <w:t>经发包人批准，承包人可以根据施工进度计划撤走闲置的施工设备和其他物品。</w:t>
      </w:r>
    </w:p>
    <w:p w14:paraId="20B7B1CE">
      <w:pPr>
        <w:spacing w:line="360" w:lineRule="auto"/>
        <w:ind w:firstLine="420" w:firstLineChars="200"/>
        <w:rPr>
          <w:rFonts w:hint="eastAsia" w:ascii="宋体" w:hAnsi="宋体" w:eastAsia="宋体" w:cs="宋体"/>
          <w:b w:val="0"/>
          <w:bCs w:val="0"/>
          <w:color w:val="auto"/>
          <w:kern w:val="0"/>
          <w:highlight w:val="none"/>
        </w:rPr>
      </w:pPr>
      <w:bookmarkStart w:id="247" w:name="_Toc351203562"/>
      <w:r>
        <w:rPr>
          <w:rFonts w:hint="eastAsia" w:ascii="宋体" w:hAnsi="宋体" w:eastAsia="宋体" w:cs="宋体"/>
          <w:b w:val="0"/>
          <w:bCs w:val="0"/>
          <w:color w:val="auto"/>
          <w:kern w:val="0"/>
          <w:highlight w:val="none"/>
        </w:rPr>
        <w:t>9</w:t>
      </w:r>
      <w:bookmarkStart w:id="248" w:name="_Toc337558782"/>
      <w:bookmarkStart w:id="249" w:name="_Toc296503083"/>
      <w:bookmarkStart w:id="250" w:name="_Toc296346584"/>
      <w:r>
        <w:rPr>
          <w:rFonts w:hint="eastAsia" w:ascii="宋体" w:hAnsi="宋体" w:eastAsia="宋体" w:cs="宋体"/>
          <w:b w:val="0"/>
          <w:bCs w:val="0"/>
          <w:color w:val="auto"/>
          <w:kern w:val="0"/>
          <w:highlight w:val="none"/>
        </w:rPr>
        <w:t>. 试验与检验</w:t>
      </w:r>
      <w:bookmarkEnd w:id="247"/>
    </w:p>
    <w:bookmarkEnd w:id="248"/>
    <w:p w14:paraId="4438A4A1">
      <w:pPr>
        <w:spacing w:line="360" w:lineRule="auto"/>
        <w:ind w:firstLine="420" w:firstLineChars="200"/>
        <w:rPr>
          <w:rFonts w:hint="eastAsia" w:ascii="宋体" w:hAnsi="宋体" w:eastAsia="宋体" w:cs="宋体"/>
          <w:b w:val="0"/>
          <w:bCs w:val="0"/>
          <w:color w:val="auto"/>
          <w:kern w:val="0"/>
          <w:highlight w:val="none"/>
        </w:rPr>
      </w:pPr>
      <w:bookmarkStart w:id="251" w:name="_Toc351203563"/>
      <w:r>
        <w:rPr>
          <w:rFonts w:hint="eastAsia" w:ascii="宋体" w:hAnsi="宋体" w:eastAsia="宋体" w:cs="宋体"/>
          <w:b w:val="0"/>
          <w:bCs w:val="0"/>
          <w:color w:val="auto"/>
          <w:kern w:val="0"/>
          <w:highlight w:val="none"/>
        </w:rPr>
        <w:t>9</w:t>
      </w:r>
      <w:bookmarkStart w:id="252" w:name="_Toc337558783"/>
      <w:r>
        <w:rPr>
          <w:rFonts w:hint="eastAsia" w:ascii="宋体" w:hAnsi="宋体" w:eastAsia="宋体" w:cs="宋体"/>
          <w:b w:val="0"/>
          <w:bCs w:val="0"/>
          <w:color w:val="auto"/>
          <w:kern w:val="0"/>
          <w:highlight w:val="none"/>
        </w:rPr>
        <w:t>.1试验设备与试验人员</w:t>
      </w:r>
      <w:bookmarkEnd w:id="251"/>
    </w:p>
    <w:bookmarkEnd w:id="252"/>
    <w:p w14:paraId="59F4D7E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3D62EE4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9.1.2 承包人应按专用合同条款的约定提供试验设备、取样装置、试验场所和试验条件，并向监理人提交相应进场计划表。</w:t>
      </w:r>
    </w:p>
    <w:p w14:paraId="3367977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承包人配置的试验设备要符合相应试验规程的要求并经过具有资质的检测单位检测，且在正式使用该试验设备前，需要经过监理人与承包人共同校定。</w:t>
      </w:r>
    </w:p>
    <w:p w14:paraId="222CE9C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9.1.3 承包人应向监理人提交试验人员的名单及其岗位、资格等证明资料，试验人员必须能够熟练进行相应的检测试验，承包人对试验人员的试验程序和试验结果的正确性负责。</w:t>
      </w:r>
    </w:p>
    <w:p w14:paraId="1C408806">
      <w:pPr>
        <w:spacing w:line="360" w:lineRule="auto"/>
        <w:ind w:firstLine="420" w:firstLineChars="200"/>
        <w:rPr>
          <w:rFonts w:hint="eastAsia" w:ascii="宋体" w:hAnsi="宋体" w:eastAsia="宋体" w:cs="宋体"/>
          <w:b w:val="0"/>
          <w:bCs w:val="0"/>
          <w:color w:val="auto"/>
          <w:kern w:val="0"/>
          <w:highlight w:val="none"/>
        </w:rPr>
      </w:pPr>
      <w:bookmarkStart w:id="253" w:name="_Toc351203564"/>
      <w:r>
        <w:rPr>
          <w:rFonts w:hint="eastAsia" w:ascii="宋体" w:hAnsi="宋体" w:eastAsia="宋体" w:cs="宋体"/>
          <w:b w:val="0"/>
          <w:bCs w:val="0"/>
          <w:color w:val="auto"/>
          <w:kern w:val="0"/>
          <w:highlight w:val="none"/>
        </w:rPr>
        <w:t>9</w:t>
      </w:r>
      <w:bookmarkStart w:id="254" w:name="_Toc337558784"/>
      <w:r>
        <w:rPr>
          <w:rFonts w:hint="eastAsia" w:ascii="宋体" w:hAnsi="宋体" w:eastAsia="宋体" w:cs="宋体"/>
          <w:b w:val="0"/>
          <w:bCs w:val="0"/>
          <w:color w:val="auto"/>
          <w:kern w:val="0"/>
          <w:highlight w:val="none"/>
        </w:rPr>
        <w:t>.2取样</w:t>
      </w:r>
      <w:bookmarkEnd w:id="253"/>
    </w:p>
    <w:bookmarkEnd w:id="254"/>
    <w:p w14:paraId="3D47FA1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试验属于自检性质的，承包人可以单独取样。试验属于监理人抽检性质的，可由监理人取样，也可由承包人的试验人员在监理人的监督下取样。</w:t>
      </w:r>
    </w:p>
    <w:p w14:paraId="42892642">
      <w:pPr>
        <w:spacing w:line="360" w:lineRule="auto"/>
        <w:ind w:firstLine="420" w:firstLineChars="200"/>
        <w:rPr>
          <w:rFonts w:hint="eastAsia" w:ascii="宋体" w:hAnsi="宋体" w:eastAsia="宋体" w:cs="宋体"/>
          <w:b w:val="0"/>
          <w:bCs w:val="0"/>
          <w:color w:val="auto"/>
          <w:kern w:val="0"/>
          <w:highlight w:val="none"/>
        </w:rPr>
      </w:pPr>
      <w:bookmarkStart w:id="255" w:name="_Toc351203565"/>
      <w:r>
        <w:rPr>
          <w:rFonts w:hint="eastAsia" w:ascii="宋体" w:hAnsi="宋体" w:eastAsia="宋体" w:cs="宋体"/>
          <w:b w:val="0"/>
          <w:bCs w:val="0"/>
          <w:color w:val="auto"/>
          <w:kern w:val="0"/>
          <w:highlight w:val="none"/>
        </w:rPr>
        <w:t>9</w:t>
      </w:r>
      <w:bookmarkStart w:id="256" w:name="_Toc337558785"/>
      <w:r>
        <w:rPr>
          <w:rFonts w:hint="eastAsia" w:ascii="宋体" w:hAnsi="宋体" w:eastAsia="宋体" w:cs="宋体"/>
          <w:b w:val="0"/>
          <w:bCs w:val="0"/>
          <w:color w:val="auto"/>
          <w:kern w:val="0"/>
          <w:highlight w:val="none"/>
        </w:rPr>
        <w:t>.3材料、工程设备和工程的试验和检验</w:t>
      </w:r>
      <w:bookmarkEnd w:id="255"/>
    </w:p>
    <w:bookmarkEnd w:id="256"/>
    <w:p w14:paraId="71AB4D3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11E8364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022385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5C10C366">
      <w:pPr>
        <w:spacing w:line="360" w:lineRule="auto"/>
        <w:ind w:firstLine="420" w:firstLineChars="200"/>
        <w:rPr>
          <w:rFonts w:hint="eastAsia" w:ascii="宋体" w:hAnsi="宋体" w:eastAsia="宋体" w:cs="宋体"/>
          <w:b w:val="0"/>
          <w:bCs w:val="0"/>
          <w:color w:val="auto"/>
          <w:kern w:val="0"/>
          <w:highlight w:val="none"/>
        </w:rPr>
      </w:pPr>
      <w:bookmarkStart w:id="257" w:name="_Toc351203566"/>
      <w:r>
        <w:rPr>
          <w:rFonts w:hint="eastAsia" w:ascii="宋体" w:hAnsi="宋体" w:eastAsia="宋体" w:cs="宋体"/>
          <w:b w:val="0"/>
          <w:bCs w:val="0"/>
          <w:color w:val="auto"/>
          <w:kern w:val="0"/>
          <w:highlight w:val="none"/>
        </w:rPr>
        <w:t>9</w:t>
      </w:r>
      <w:bookmarkStart w:id="258" w:name="_Toc337558786"/>
      <w:r>
        <w:rPr>
          <w:rFonts w:hint="eastAsia" w:ascii="宋体" w:hAnsi="宋体" w:eastAsia="宋体" w:cs="宋体"/>
          <w:b w:val="0"/>
          <w:bCs w:val="0"/>
          <w:color w:val="auto"/>
          <w:kern w:val="0"/>
          <w:highlight w:val="none"/>
        </w:rPr>
        <w:t>.4现场工艺试验</w:t>
      </w:r>
      <w:bookmarkEnd w:id="257"/>
    </w:p>
    <w:bookmarkEnd w:id="258"/>
    <w:p w14:paraId="1E39219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承包人应按合同约定或监理人指示进行现场工艺试验。对大型的现场工艺试验，监理人认为必要时，承包人应根据监理人提出的工艺试验要求，编制工艺试验措施计划，报送监理人审查。</w:t>
      </w:r>
      <w:bookmarkStart w:id="259" w:name="_Toc351203567"/>
    </w:p>
    <w:p w14:paraId="0650705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w:t>
      </w:r>
      <w:bookmarkStart w:id="260" w:name="_Toc337558787"/>
      <w:r>
        <w:rPr>
          <w:rFonts w:hint="eastAsia" w:ascii="宋体" w:hAnsi="宋体" w:eastAsia="宋体" w:cs="宋体"/>
          <w:b w:val="0"/>
          <w:bCs w:val="0"/>
          <w:color w:val="auto"/>
          <w:kern w:val="0"/>
          <w:highlight w:val="none"/>
        </w:rPr>
        <w:t>0. 变更</w:t>
      </w:r>
      <w:bookmarkEnd w:id="249"/>
      <w:bookmarkEnd w:id="250"/>
      <w:bookmarkEnd w:id="259"/>
    </w:p>
    <w:bookmarkEnd w:id="260"/>
    <w:p w14:paraId="7703BA2F">
      <w:pPr>
        <w:spacing w:line="360" w:lineRule="auto"/>
        <w:ind w:firstLine="420" w:firstLineChars="200"/>
        <w:rPr>
          <w:rFonts w:hint="eastAsia" w:ascii="宋体" w:hAnsi="宋体" w:eastAsia="宋体" w:cs="宋体"/>
          <w:b w:val="0"/>
          <w:bCs w:val="0"/>
          <w:color w:val="auto"/>
          <w:kern w:val="0"/>
          <w:highlight w:val="none"/>
        </w:rPr>
      </w:pPr>
      <w:bookmarkStart w:id="261" w:name="_Toc351203568"/>
      <w:r>
        <w:rPr>
          <w:rFonts w:hint="eastAsia" w:ascii="宋体" w:hAnsi="宋体" w:eastAsia="宋体" w:cs="宋体"/>
          <w:b w:val="0"/>
          <w:bCs w:val="0"/>
          <w:color w:val="auto"/>
          <w:kern w:val="0"/>
          <w:highlight w:val="none"/>
        </w:rPr>
        <w:t>1</w:t>
      </w:r>
      <w:bookmarkStart w:id="262" w:name="_Toc296503084"/>
      <w:bookmarkStart w:id="263" w:name="_Toc296346585"/>
      <w:bookmarkStart w:id="264" w:name="_Toc337558788"/>
      <w:r>
        <w:rPr>
          <w:rFonts w:hint="eastAsia" w:ascii="宋体" w:hAnsi="宋体" w:eastAsia="宋体" w:cs="宋体"/>
          <w:b w:val="0"/>
          <w:bCs w:val="0"/>
          <w:color w:val="auto"/>
          <w:kern w:val="0"/>
          <w:highlight w:val="none"/>
        </w:rPr>
        <w:t>0.1变更的范围</w:t>
      </w:r>
      <w:bookmarkEnd w:id="261"/>
    </w:p>
    <w:bookmarkEnd w:id="262"/>
    <w:bookmarkEnd w:id="263"/>
    <w:bookmarkEnd w:id="264"/>
    <w:p w14:paraId="63DD251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除专用合同条款另有约定外，合同履行过程中发生以下情形的，应按照本条约定进行变更：</w:t>
      </w:r>
    </w:p>
    <w:p w14:paraId="23D49BD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（1）增加或减少合同中任何工作，或追加额外的工作；</w:t>
      </w:r>
    </w:p>
    <w:p w14:paraId="75DC540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（2）取消合同中任何工作，但转由他人实施的工作除外；</w:t>
      </w:r>
    </w:p>
    <w:p w14:paraId="31E4A8C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（3）改变合同中任何工作的质量标准或其他特性；</w:t>
      </w:r>
    </w:p>
    <w:p w14:paraId="7628F1F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（4）改变工程的基线、标高、位置和尺寸；</w:t>
      </w:r>
    </w:p>
    <w:p w14:paraId="471AFC8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（5）改变工程的时间安排或实施顺序。</w:t>
      </w:r>
    </w:p>
    <w:p w14:paraId="43DC587F">
      <w:pPr>
        <w:spacing w:line="360" w:lineRule="auto"/>
        <w:ind w:firstLine="420" w:firstLineChars="200"/>
        <w:rPr>
          <w:rFonts w:hint="eastAsia" w:ascii="宋体" w:hAnsi="宋体" w:eastAsia="宋体" w:cs="宋体"/>
          <w:b w:val="0"/>
          <w:bCs w:val="0"/>
          <w:color w:val="auto"/>
          <w:kern w:val="0"/>
          <w:highlight w:val="none"/>
        </w:rPr>
      </w:pPr>
      <w:bookmarkStart w:id="265" w:name="_Toc351203569"/>
      <w:r>
        <w:rPr>
          <w:rFonts w:hint="eastAsia" w:ascii="宋体" w:hAnsi="宋体" w:eastAsia="宋体" w:cs="宋体"/>
          <w:b w:val="0"/>
          <w:bCs w:val="0"/>
          <w:color w:val="auto"/>
          <w:kern w:val="0"/>
          <w:highlight w:val="none"/>
        </w:rPr>
        <w:t>1</w:t>
      </w:r>
      <w:bookmarkStart w:id="266" w:name="_Toc337558789"/>
      <w:bookmarkStart w:id="267" w:name="_Toc296503085"/>
      <w:bookmarkStart w:id="268" w:name="_Toc296346586"/>
      <w:r>
        <w:rPr>
          <w:rFonts w:hint="eastAsia" w:ascii="宋体" w:hAnsi="宋体" w:eastAsia="宋体" w:cs="宋体"/>
          <w:b w:val="0"/>
          <w:bCs w:val="0"/>
          <w:color w:val="auto"/>
          <w:kern w:val="0"/>
          <w:highlight w:val="none"/>
        </w:rPr>
        <w:t>0.2变更权</w:t>
      </w:r>
      <w:bookmarkEnd w:id="265"/>
    </w:p>
    <w:bookmarkEnd w:id="266"/>
    <w:bookmarkEnd w:id="267"/>
    <w:bookmarkEnd w:id="268"/>
    <w:p w14:paraId="09AA32D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5EC8D79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涉及设计变更的，应由设计人提供变更后的图纸和说明。如变更超过原设计标准或批准的建设规模时，发包人应及时办理规划、设计变更等审批手续。</w:t>
      </w:r>
    </w:p>
    <w:p w14:paraId="61010F80">
      <w:pPr>
        <w:spacing w:line="360" w:lineRule="auto"/>
        <w:ind w:firstLine="420" w:firstLineChars="200"/>
        <w:rPr>
          <w:rFonts w:hint="eastAsia" w:ascii="宋体" w:hAnsi="宋体" w:eastAsia="宋体" w:cs="宋体"/>
          <w:b w:val="0"/>
          <w:bCs w:val="0"/>
          <w:color w:val="auto"/>
          <w:kern w:val="0"/>
          <w:highlight w:val="none"/>
        </w:rPr>
      </w:pPr>
      <w:bookmarkStart w:id="269" w:name="_Toc351203570"/>
      <w:r>
        <w:rPr>
          <w:rFonts w:hint="eastAsia" w:ascii="宋体" w:hAnsi="宋体" w:eastAsia="宋体" w:cs="宋体"/>
          <w:b w:val="0"/>
          <w:bCs w:val="0"/>
          <w:color w:val="auto"/>
          <w:kern w:val="0"/>
          <w:highlight w:val="none"/>
        </w:rPr>
        <w:t>1</w:t>
      </w:r>
      <w:bookmarkStart w:id="270" w:name="_Toc296503086"/>
      <w:bookmarkStart w:id="271" w:name="_Toc337558790"/>
      <w:bookmarkStart w:id="272" w:name="_Toc296346587"/>
      <w:r>
        <w:rPr>
          <w:rFonts w:hint="eastAsia" w:ascii="宋体" w:hAnsi="宋体" w:eastAsia="宋体" w:cs="宋体"/>
          <w:b w:val="0"/>
          <w:bCs w:val="0"/>
          <w:color w:val="auto"/>
          <w:kern w:val="0"/>
          <w:highlight w:val="none"/>
        </w:rPr>
        <w:t>0.3变更程序</w:t>
      </w:r>
      <w:bookmarkEnd w:id="269"/>
    </w:p>
    <w:bookmarkEnd w:id="270"/>
    <w:bookmarkEnd w:id="271"/>
    <w:bookmarkEnd w:id="272"/>
    <w:p w14:paraId="4EB9071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10.3.1 发包人提出变更</w:t>
      </w:r>
    </w:p>
    <w:p w14:paraId="4DE1352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发包人提出变更的，应通过监理人向承包人发出变更指示，变更指示应说明计划变更的工程范围和变更的内容。</w:t>
      </w:r>
    </w:p>
    <w:p w14:paraId="3DBFACF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10.3.2 监理人提出变更建议</w:t>
      </w:r>
    </w:p>
    <w:p w14:paraId="61F357E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0C02755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10.3.3 变更执行</w:t>
      </w:r>
    </w:p>
    <w:p w14:paraId="6EFD6D2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6A4B38F6">
      <w:pPr>
        <w:spacing w:line="360" w:lineRule="auto"/>
        <w:ind w:firstLine="420" w:firstLineChars="200"/>
        <w:rPr>
          <w:rFonts w:hint="eastAsia" w:ascii="宋体" w:hAnsi="宋体" w:eastAsia="宋体" w:cs="宋体"/>
          <w:b w:val="0"/>
          <w:bCs w:val="0"/>
          <w:color w:val="auto"/>
          <w:kern w:val="0"/>
          <w:highlight w:val="none"/>
        </w:rPr>
      </w:pPr>
      <w:bookmarkStart w:id="273" w:name="_Toc351203571"/>
      <w:r>
        <w:rPr>
          <w:rFonts w:hint="eastAsia" w:ascii="宋体" w:hAnsi="宋体" w:eastAsia="宋体" w:cs="宋体"/>
          <w:b w:val="0"/>
          <w:bCs w:val="0"/>
          <w:color w:val="auto"/>
          <w:kern w:val="0"/>
          <w:highlight w:val="none"/>
        </w:rPr>
        <w:t>1</w:t>
      </w:r>
      <w:bookmarkStart w:id="274" w:name="_Toc337558791"/>
      <w:bookmarkStart w:id="275" w:name="_Toc296346588"/>
      <w:bookmarkStart w:id="276" w:name="_Toc296503087"/>
      <w:r>
        <w:rPr>
          <w:rFonts w:hint="eastAsia" w:ascii="宋体" w:hAnsi="宋体" w:eastAsia="宋体" w:cs="宋体"/>
          <w:b w:val="0"/>
          <w:bCs w:val="0"/>
          <w:color w:val="auto"/>
          <w:kern w:val="0"/>
          <w:highlight w:val="none"/>
        </w:rPr>
        <w:t>0.4变更估价</w:t>
      </w:r>
      <w:bookmarkEnd w:id="273"/>
    </w:p>
    <w:bookmarkEnd w:id="274"/>
    <w:bookmarkEnd w:id="275"/>
    <w:bookmarkEnd w:id="276"/>
    <w:p w14:paraId="1D0CC0A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10.4.1 变更估价原则</w:t>
      </w:r>
    </w:p>
    <w:p w14:paraId="5D6B4F1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除专用合同条款另有约定外，变更估价按照本款约定处理：</w:t>
      </w:r>
    </w:p>
    <w:p w14:paraId="4C3AA12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（1）已标价工程量清单或预算书有相同项目的，按照相同项目单价认定；</w:t>
      </w:r>
    </w:p>
    <w:p w14:paraId="6EA5608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（2）已标价工程量清单或预算书中无相同项目，但有类似项目的，参照类似项目的单价认定；</w:t>
      </w:r>
    </w:p>
    <w:p w14:paraId="358E268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67EBFBC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10.4.2 变更估价程序</w:t>
      </w:r>
    </w:p>
    <w:p w14:paraId="48A3331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063F89F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因变更引起的价格调整应计入最近一期的进度款中支付。</w:t>
      </w:r>
    </w:p>
    <w:p w14:paraId="485D6AE1">
      <w:pPr>
        <w:spacing w:line="360" w:lineRule="auto"/>
        <w:ind w:firstLine="420" w:firstLineChars="200"/>
        <w:rPr>
          <w:rFonts w:hint="eastAsia" w:ascii="宋体" w:hAnsi="宋体" w:eastAsia="宋体" w:cs="宋体"/>
          <w:b w:val="0"/>
          <w:bCs w:val="0"/>
          <w:color w:val="auto"/>
          <w:kern w:val="0"/>
          <w:highlight w:val="none"/>
        </w:rPr>
      </w:pPr>
      <w:bookmarkStart w:id="277" w:name="_Toc351203572"/>
      <w:r>
        <w:rPr>
          <w:rFonts w:hint="eastAsia" w:ascii="宋体" w:hAnsi="宋体" w:eastAsia="宋体" w:cs="宋体"/>
          <w:b w:val="0"/>
          <w:bCs w:val="0"/>
          <w:color w:val="auto"/>
          <w:kern w:val="0"/>
          <w:highlight w:val="none"/>
        </w:rPr>
        <w:t>1</w:t>
      </w:r>
      <w:bookmarkStart w:id="278" w:name="_Toc296346595"/>
      <w:bookmarkStart w:id="279" w:name="_Toc337558792"/>
      <w:bookmarkStart w:id="280" w:name="_Toc296503094"/>
      <w:r>
        <w:rPr>
          <w:rFonts w:hint="eastAsia" w:ascii="宋体" w:hAnsi="宋体" w:eastAsia="宋体" w:cs="宋体"/>
          <w:b w:val="0"/>
          <w:bCs w:val="0"/>
          <w:color w:val="auto"/>
          <w:kern w:val="0"/>
          <w:highlight w:val="none"/>
        </w:rPr>
        <w:t>0.5承包人的合理化建议</w:t>
      </w:r>
      <w:bookmarkEnd w:id="277"/>
    </w:p>
    <w:bookmarkEnd w:id="278"/>
    <w:bookmarkEnd w:id="279"/>
    <w:bookmarkEnd w:id="280"/>
    <w:p w14:paraId="380EB11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承包人提出合理化建议的，应向监理人提交合理化建议说明，说明建议的内容和理由，以及实施该建议对合同价格和工期的影响。</w:t>
      </w:r>
    </w:p>
    <w:p w14:paraId="41F52F9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6158AEB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合理化建议降低了合同价格或者提高了工程经济效益的，发包人可对承包人给予奖励，奖励的方法和金额在专用合同条款中约定。</w:t>
      </w:r>
    </w:p>
    <w:p w14:paraId="609DDCA0">
      <w:pPr>
        <w:spacing w:line="360" w:lineRule="auto"/>
        <w:ind w:firstLine="420" w:firstLineChars="200"/>
        <w:rPr>
          <w:rFonts w:hint="eastAsia" w:ascii="宋体" w:hAnsi="宋体" w:eastAsia="宋体" w:cs="宋体"/>
          <w:b w:val="0"/>
          <w:bCs w:val="0"/>
          <w:color w:val="auto"/>
          <w:kern w:val="0"/>
          <w:highlight w:val="none"/>
        </w:rPr>
      </w:pPr>
      <w:bookmarkStart w:id="281" w:name="_Toc351203573"/>
      <w:r>
        <w:rPr>
          <w:rFonts w:hint="eastAsia" w:ascii="宋体" w:hAnsi="宋体" w:eastAsia="宋体" w:cs="宋体"/>
          <w:b w:val="0"/>
          <w:bCs w:val="0"/>
          <w:color w:val="auto"/>
          <w:kern w:val="0"/>
          <w:highlight w:val="none"/>
        </w:rPr>
        <w:t>1</w:t>
      </w:r>
      <w:bookmarkStart w:id="282" w:name="_Toc337558793"/>
      <w:r>
        <w:rPr>
          <w:rFonts w:hint="eastAsia" w:ascii="宋体" w:hAnsi="宋体" w:eastAsia="宋体" w:cs="宋体"/>
          <w:b w:val="0"/>
          <w:bCs w:val="0"/>
          <w:color w:val="auto"/>
          <w:kern w:val="0"/>
          <w:highlight w:val="none"/>
        </w:rPr>
        <w:t>0.6变更引起的工期调整</w:t>
      </w:r>
      <w:bookmarkEnd w:id="281"/>
      <w:r>
        <w:rPr>
          <w:rFonts w:hint="eastAsia" w:ascii="宋体" w:hAnsi="宋体" w:eastAsia="宋体" w:cs="宋体"/>
          <w:b w:val="0"/>
          <w:bCs w:val="0"/>
          <w:color w:val="auto"/>
          <w:kern w:val="0"/>
          <w:highlight w:val="none"/>
        </w:rPr>
        <w:t xml:space="preserve"> </w:t>
      </w:r>
      <w:bookmarkEnd w:id="282"/>
      <w:r>
        <w:rPr>
          <w:rFonts w:hint="eastAsia" w:ascii="宋体" w:hAnsi="宋体" w:eastAsia="宋体" w:cs="宋体"/>
          <w:b w:val="0"/>
          <w:bCs w:val="0"/>
          <w:color w:val="auto"/>
          <w:kern w:val="0"/>
          <w:highlight w:val="none"/>
        </w:rPr>
        <w:t xml:space="preserve">  </w:t>
      </w:r>
    </w:p>
    <w:p w14:paraId="208348C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因变更引起工期变化的，合同当事人均可要求调整合同工期，由合同当事人按照第4.4款〔商定或确定〕并参考工程所在地的工期定额标准确定增减工期天数。</w:t>
      </w:r>
    </w:p>
    <w:p w14:paraId="102BC12A">
      <w:pPr>
        <w:spacing w:line="360" w:lineRule="auto"/>
        <w:ind w:firstLine="420" w:firstLineChars="200"/>
        <w:rPr>
          <w:rFonts w:hint="eastAsia" w:ascii="宋体" w:hAnsi="宋体" w:eastAsia="宋体" w:cs="宋体"/>
          <w:b w:val="0"/>
          <w:bCs w:val="0"/>
          <w:color w:val="auto"/>
          <w:kern w:val="0"/>
          <w:highlight w:val="none"/>
        </w:rPr>
      </w:pPr>
      <w:bookmarkStart w:id="283" w:name="_Toc351203574"/>
      <w:r>
        <w:rPr>
          <w:rFonts w:hint="eastAsia" w:ascii="宋体" w:hAnsi="宋体" w:eastAsia="宋体" w:cs="宋体"/>
          <w:b w:val="0"/>
          <w:bCs w:val="0"/>
          <w:color w:val="auto"/>
          <w:kern w:val="0"/>
          <w:highlight w:val="none"/>
        </w:rPr>
        <w:t>10.7暂估价</w:t>
      </w:r>
      <w:bookmarkEnd w:id="283"/>
    </w:p>
    <w:p w14:paraId="248AA1E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暂估价专业分包工程、服务、材料和工程设备的明细由合同当事人在专用合同条款中约定。</w:t>
      </w:r>
    </w:p>
    <w:p w14:paraId="27DE90F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10.7.1 依法必须招标的暂估价项目</w:t>
      </w:r>
    </w:p>
    <w:p w14:paraId="511A96B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对于依法必须招标的暂估价项目，采取以下第1种方式确定。合同当事人也可以在专用合同条款中选择其他招标方式。</w:t>
      </w:r>
    </w:p>
    <w:p w14:paraId="12AE479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第1种方式：对于依法必须招标的暂估价项目，由承包人招标，对该暂估价项目的确认和批准按照以下约定执行：</w:t>
      </w:r>
    </w:p>
    <w:p w14:paraId="001192C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06A371A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142FDEF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07FFDB6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3AB467C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10.7.2不属于依法必须招标的暂估价项目</w:t>
      </w:r>
    </w:p>
    <w:p w14:paraId="6E313B4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除专用合同条款另有约定外，对于不属于依法必须招标的暂估价项目，采取以下第1种方式确定： </w:t>
      </w:r>
    </w:p>
    <w:p w14:paraId="79CC52F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第1种方式：对于不属于依法必须招标的暂估价项目，按本项约定确认和批准：</w:t>
      </w:r>
    </w:p>
    <w:p w14:paraId="60E1441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3F53E4F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（2）发包人认为承包人确定的供应商、分包人无法满足工程质量或合同要求的，发包人可以要求承包人重新确定暂估价项目的供应商、分包人;</w:t>
      </w:r>
    </w:p>
    <w:p w14:paraId="70041A5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（3）承包人应当在签订暂估价合同后7天内，将暂估价合同副本报送发包人留存。</w:t>
      </w:r>
    </w:p>
    <w:p w14:paraId="7430241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第2种方式：承包人按照第10.7.1项〔依法必须招标的暂估价项目〕约定的第1种方式确定暂估价项目。</w:t>
      </w:r>
    </w:p>
    <w:p w14:paraId="62C4A3F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第3种方式：承包人直接实施的暂估价项目</w:t>
      </w:r>
    </w:p>
    <w:p w14:paraId="600DED3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承包人具备实施暂估价项目的资格和条件的，经发包人和承包人协商一致后，可由承包人自行实施暂估价项目，合同当事人可以在专用合同条款约定具体事项。</w:t>
      </w:r>
    </w:p>
    <w:p w14:paraId="22EF783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70C9FE05">
      <w:pPr>
        <w:spacing w:line="360" w:lineRule="auto"/>
        <w:ind w:firstLine="420" w:firstLineChars="200"/>
        <w:rPr>
          <w:rFonts w:hint="eastAsia" w:ascii="宋体" w:hAnsi="宋体" w:eastAsia="宋体" w:cs="宋体"/>
          <w:b w:val="0"/>
          <w:bCs w:val="0"/>
          <w:color w:val="auto"/>
          <w:kern w:val="0"/>
          <w:highlight w:val="none"/>
        </w:rPr>
      </w:pPr>
      <w:bookmarkStart w:id="284" w:name="_Toc351203575"/>
      <w:r>
        <w:rPr>
          <w:rFonts w:hint="eastAsia" w:ascii="宋体" w:hAnsi="宋体" w:eastAsia="宋体" w:cs="宋体"/>
          <w:b w:val="0"/>
          <w:bCs w:val="0"/>
          <w:color w:val="auto"/>
          <w:kern w:val="0"/>
          <w:highlight w:val="none"/>
        </w:rPr>
        <w:t>1</w:t>
      </w:r>
      <w:bookmarkStart w:id="285" w:name="_Toc337558794"/>
      <w:bookmarkStart w:id="286" w:name="_Toc322522561"/>
      <w:bookmarkStart w:id="287" w:name="_Toc296346591"/>
      <w:bookmarkStart w:id="288" w:name="_Toc296503090"/>
      <w:r>
        <w:rPr>
          <w:rFonts w:hint="eastAsia" w:ascii="宋体" w:hAnsi="宋体" w:eastAsia="宋体" w:cs="宋体"/>
          <w:b w:val="0"/>
          <w:bCs w:val="0"/>
          <w:color w:val="auto"/>
          <w:kern w:val="0"/>
          <w:highlight w:val="none"/>
        </w:rPr>
        <w:t>0.8暂列金额</w:t>
      </w:r>
      <w:bookmarkEnd w:id="284"/>
    </w:p>
    <w:bookmarkEnd w:id="285"/>
    <w:p w14:paraId="6122B7F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暂列金额应按照发包人的要求使用，发包人的要求应通过监理人发出。合同当事人可以在专用合同条款中协商确定有关事项。</w:t>
      </w:r>
    </w:p>
    <w:bookmarkEnd w:id="286"/>
    <w:bookmarkEnd w:id="287"/>
    <w:bookmarkEnd w:id="288"/>
    <w:p w14:paraId="1AF538B4">
      <w:pPr>
        <w:spacing w:line="360" w:lineRule="auto"/>
        <w:ind w:firstLine="420" w:firstLineChars="200"/>
        <w:rPr>
          <w:rFonts w:hint="eastAsia" w:ascii="宋体" w:hAnsi="宋体" w:eastAsia="宋体" w:cs="宋体"/>
          <w:b w:val="0"/>
          <w:bCs w:val="0"/>
          <w:color w:val="auto"/>
          <w:kern w:val="0"/>
          <w:highlight w:val="none"/>
        </w:rPr>
      </w:pPr>
      <w:bookmarkStart w:id="289" w:name="_Toc351203576"/>
      <w:r>
        <w:rPr>
          <w:rFonts w:hint="eastAsia" w:ascii="宋体" w:hAnsi="宋体" w:eastAsia="宋体" w:cs="宋体"/>
          <w:b w:val="0"/>
          <w:bCs w:val="0"/>
          <w:color w:val="auto"/>
          <w:kern w:val="0"/>
          <w:highlight w:val="none"/>
        </w:rPr>
        <w:t>1</w:t>
      </w:r>
      <w:bookmarkStart w:id="290" w:name="_Toc337558796"/>
      <w:bookmarkStart w:id="291" w:name="_Toc296346592"/>
      <w:bookmarkStart w:id="292" w:name="_Toc296503091"/>
      <w:r>
        <w:rPr>
          <w:rFonts w:hint="eastAsia" w:ascii="宋体" w:hAnsi="宋体" w:eastAsia="宋体" w:cs="宋体"/>
          <w:b w:val="0"/>
          <w:bCs w:val="0"/>
          <w:color w:val="auto"/>
          <w:kern w:val="0"/>
          <w:highlight w:val="none"/>
        </w:rPr>
        <w:t>0.9计日工</w:t>
      </w:r>
      <w:bookmarkEnd w:id="289"/>
      <w:r>
        <w:rPr>
          <w:rFonts w:hint="eastAsia" w:ascii="宋体" w:hAnsi="宋体" w:eastAsia="宋体" w:cs="宋体"/>
          <w:b w:val="0"/>
          <w:bCs w:val="0"/>
          <w:color w:val="auto"/>
          <w:kern w:val="0"/>
          <w:highlight w:val="none"/>
        </w:rPr>
        <w:t xml:space="preserve"> </w:t>
      </w:r>
      <w:bookmarkEnd w:id="290"/>
      <w:bookmarkEnd w:id="291"/>
      <w:bookmarkEnd w:id="292"/>
    </w:p>
    <w:p w14:paraId="5607CAC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598A782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采用计日工计价的任何一项工作，承包人应在该项工作实施过程中，每天提交以下报表和有关凭证报送监理人审查：</w:t>
      </w:r>
    </w:p>
    <w:p w14:paraId="19E7A77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（1）工作名称、内容和数量；</w:t>
      </w:r>
    </w:p>
    <w:p w14:paraId="74A7FE1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（2）投入该工作的所有人员的姓名、专业、工种、级别和耗用工时；</w:t>
      </w:r>
    </w:p>
    <w:p w14:paraId="488EF72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（3）投入该工作的材料类别和数量；</w:t>
      </w:r>
    </w:p>
    <w:p w14:paraId="57A2451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（4）投入该工作的施工设备型号、台数和耗用台时；</w:t>
      </w:r>
    </w:p>
    <w:p w14:paraId="00DAE8B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（5）其他有关资料和凭证。</w:t>
      </w:r>
    </w:p>
    <w:p w14:paraId="055B565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 计日工由承包人汇总后，列入最近一期进度付款申请单，由监理人审查并经发包人批准后列入进度付款。</w:t>
      </w:r>
    </w:p>
    <w:p w14:paraId="633F8EB1">
      <w:pPr>
        <w:spacing w:line="360" w:lineRule="auto"/>
        <w:ind w:firstLine="420" w:firstLineChars="200"/>
        <w:rPr>
          <w:rFonts w:hint="eastAsia" w:ascii="宋体" w:hAnsi="宋体" w:eastAsia="宋体" w:cs="宋体"/>
          <w:b w:val="0"/>
          <w:bCs w:val="0"/>
          <w:color w:val="auto"/>
          <w:kern w:val="0"/>
          <w:highlight w:val="none"/>
        </w:rPr>
      </w:pPr>
      <w:bookmarkStart w:id="293" w:name="_Toc351203577"/>
      <w:r>
        <w:rPr>
          <w:rFonts w:hint="eastAsia" w:ascii="宋体" w:hAnsi="宋体" w:eastAsia="宋体" w:cs="宋体"/>
          <w:b w:val="0"/>
          <w:bCs w:val="0"/>
          <w:color w:val="auto"/>
          <w:kern w:val="0"/>
          <w:highlight w:val="none"/>
        </w:rPr>
        <w:t>11. 价格调整</w:t>
      </w:r>
      <w:bookmarkEnd w:id="293"/>
    </w:p>
    <w:p w14:paraId="4E8D3464">
      <w:pPr>
        <w:spacing w:line="360" w:lineRule="auto"/>
        <w:ind w:firstLine="420" w:firstLineChars="200"/>
        <w:rPr>
          <w:rFonts w:hint="eastAsia" w:ascii="宋体" w:hAnsi="宋体" w:eastAsia="宋体" w:cs="宋体"/>
          <w:b w:val="0"/>
          <w:bCs w:val="0"/>
          <w:color w:val="auto"/>
          <w:kern w:val="0"/>
          <w:highlight w:val="none"/>
        </w:rPr>
      </w:pPr>
      <w:bookmarkStart w:id="294" w:name="_Toc351203578"/>
      <w:bookmarkStart w:id="295" w:name="_Toc296503092"/>
      <w:bookmarkStart w:id="296" w:name="_Toc296346593"/>
      <w:bookmarkStart w:id="297" w:name="_Toc337558797"/>
      <w:r>
        <w:rPr>
          <w:rFonts w:hint="eastAsia" w:ascii="宋体" w:hAnsi="宋体" w:eastAsia="宋体" w:cs="宋体"/>
          <w:b w:val="0"/>
          <w:bCs w:val="0"/>
          <w:color w:val="auto"/>
          <w:kern w:val="0"/>
          <w:highlight w:val="none"/>
        </w:rPr>
        <w:t>11.1市场价格波动引起的调整</w:t>
      </w:r>
      <w:bookmarkEnd w:id="294"/>
    </w:p>
    <w:bookmarkEnd w:id="295"/>
    <w:bookmarkEnd w:id="296"/>
    <w:bookmarkEnd w:id="297"/>
    <w:p w14:paraId="1A75891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除专用合同条款另有约定外，市场价格波动超过合同当事人约定的范围，合同价格应当调整。合同当事人可以在专用合同条款中约定选择以下一种方式对合同价格进行调整：</w:t>
      </w:r>
    </w:p>
    <w:p w14:paraId="6225F56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第1种方式：采用价格指数进行价格调整。</w:t>
      </w:r>
    </w:p>
    <w:p w14:paraId="386CAD4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（1）价格调整公式</w:t>
      </w:r>
    </w:p>
    <w:p w14:paraId="75053C6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因人工、材料和设备等价格波动影响合同价格时，根据专用合同条款中约定的数据，按以下公式计算差额并调整合同价格：</w:t>
      </w:r>
    </w:p>
    <w:p w14:paraId="5E47630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object>
          <v:shape id="_x0000_i1025" o:spt="75" type="#_x0000_t75" style="height:43.9pt;width:359.8pt;" o:ole="t" filled="f" o:preferrelative="t" stroked="f" coordsize="21600,21600">
            <v:path/>
            <v:fill on="f" focussize="0,0"/>
            <v:stroke on="f" joinstyle="miter"/>
            <v:imagedata r:id="rId95" o:title="8"/>
            <o:lock v:ext="edit" aspectratio="t"/>
            <w10:wrap type="none"/>
            <w10:anchorlock/>
          </v:shape>
          <o:OLEObject Type="Embed" ProgID="Package" ShapeID="_x0000_i1025" DrawAspect="Content" ObjectID="_1468075725" r:id="rId94">
            <o:LockedField>false</o:LockedField>
          </o:OLEObject>
        </w:object>
      </w:r>
    </w:p>
    <w:p w14:paraId="6BDEA11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公式中：ΔP——需调整的价格差额；</w:t>
      </w:r>
    </w:p>
    <w:p w14:paraId="6D88737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object>
          <v:shape id="_x0000_i1026" o:spt="75" type="#_x0000_t75" style="height:17.95pt;width:17.95pt;" o:ole="t" filled="f" o:preferrelative="t" stroked="f" coordsize="21600,21600">
            <v:path/>
            <v:fill on="f" focussize="0,0"/>
            <v:stroke on="f" joinstyle="miter"/>
            <v:imagedata r:id="rId97" o:title="10"/>
            <o:lock v:ext="edit" aspectratio="t"/>
            <w10:wrap type="none"/>
            <w10:anchorlock/>
          </v:shape>
          <o:OLEObject Type="Embed" ProgID="Package" ShapeID="_x0000_i1026" DrawAspect="Content" ObjectID="_1468075726" r:id="rId96">
            <o:LockedField>false</o:LockedField>
          </o:OLEObject>
        </w:object>
      </w:r>
      <w:r>
        <w:rPr>
          <w:rFonts w:hint="eastAsia" w:ascii="宋体" w:hAnsi="宋体" w:eastAsia="宋体" w:cs="宋体"/>
          <w:b w:val="0"/>
          <w:bCs w:val="0"/>
          <w:color w:val="auto"/>
          <w:kern w:val="0"/>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2FD5E8A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A——定值权重（即不调部分的权重）；</w:t>
      </w:r>
    </w:p>
    <w:p w14:paraId="63E483A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object>
          <v:shape id="_x0000_i1027" o:spt="75" type="#_x0000_t75" style="height:21.05pt;width:101pt;" o:ole="t" filled="f" o:preferrelative="t" stroked="f" coordsize="21600,21600">
            <v:path/>
            <v:fill on="f" focussize="0,0"/>
            <v:stroke on="f" joinstyle="miter"/>
            <v:imagedata r:id="rId99" o:title="12"/>
            <o:lock v:ext="edit" aspectratio="t"/>
            <w10:wrap type="none"/>
            <w10:anchorlock/>
          </v:shape>
          <o:OLEObject Type="Embed" ProgID="Package" ShapeID="_x0000_i1027" DrawAspect="Content" ObjectID="_1468075727" r:id="rId98">
            <o:LockedField>false</o:LockedField>
          </o:OLEObject>
        </w:object>
      </w:r>
      <w:r>
        <w:rPr>
          <w:rFonts w:hint="eastAsia" w:ascii="宋体" w:hAnsi="宋体" w:eastAsia="宋体" w:cs="宋体"/>
          <w:b w:val="0"/>
          <w:bCs w:val="0"/>
          <w:color w:val="auto"/>
          <w:kern w:val="0"/>
          <w:highlight w:val="none"/>
        </w:rPr>
        <w:t>——各可调因子的变值权重（即可调部分的权重），为各可调因子在签约合同价中所占的比例；</w:t>
      </w:r>
    </w:p>
    <w:p w14:paraId="76EC4F5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object>
          <v:shape id="_x0000_i1028" o:spt="75" type="#_x0000_t75" style="height:20.6pt;width:102pt;" o:ole="t" filled="f" o:preferrelative="t" stroked="f" coordsize="21600,21600">
            <v:path/>
            <v:fill on="f" focussize="0,0"/>
            <v:stroke on="f" joinstyle="miter"/>
            <v:imagedata r:id="rId101" o:title="14"/>
            <o:lock v:ext="edit" aspectratio="t"/>
            <w10:wrap type="none"/>
            <w10:anchorlock/>
          </v:shape>
          <o:OLEObject Type="Embed" ProgID="Package" ShapeID="_x0000_i1028" DrawAspect="Content" ObjectID="_1468075728" r:id="rId100">
            <o:LockedField>false</o:LockedField>
          </o:OLEObject>
        </w:object>
      </w:r>
      <w:r>
        <w:rPr>
          <w:rFonts w:hint="eastAsia" w:ascii="宋体" w:hAnsi="宋体" w:eastAsia="宋体" w:cs="宋体"/>
          <w:b w:val="0"/>
          <w:bCs w:val="0"/>
          <w:color w:val="auto"/>
          <w:kern w:val="0"/>
          <w:highlight w:val="none"/>
        </w:rPr>
        <w:t>——各可调因子的现行价格指数，指约定的付款证书相关周期最后一天的前42天的各可调因子的价格指数；</w:t>
      </w:r>
    </w:p>
    <w:p w14:paraId="689DCFE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object>
          <v:shape id="_x0000_i1029" o:spt="75" type="#_x0000_t75" style="height:20.2pt;width:107.95pt;" o:ole="t" filled="f" o:preferrelative="t" stroked="f" coordsize="21600,21600">
            <v:path/>
            <v:fill on="f" focussize="0,0"/>
            <v:stroke on="f" joinstyle="miter"/>
            <v:imagedata r:id="rId103" o:title="16"/>
            <o:lock v:ext="edit" aspectratio="t"/>
            <w10:wrap type="none"/>
            <w10:anchorlock/>
          </v:shape>
          <o:OLEObject Type="Embed" ProgID="Package" ShapeID="_x0000_i1029" DrawAspect="Content" ObjectID="_1468075729" r:id="rId102">
            <o:LockedField>false</o:LockedField>
          </o:OLEObject>
        </w:object>
      </w:r>
      <w:r>
        <w:rPr>
          <w:rFonts w:hint="eastAsia" w:ascii="宋体" w:hAnsi="宋体" w:eastAsia="宋体" w:cs="宋体"/>
          <w:b w:val="0"/>
          <w:bCs w:val="0"/>
          <w:color w:val="auto"/>
          <w:kern w:val="0"/>
          <w:highlight w:val="none"/>
        </w:rPr>
        <w:t>——各可调因子的基本价格指数，指基准日期的各可调因子的价格指数。</w:t>
      </w:r>
    </w:p>
    <w:p w14:paraId="7EC2B44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7EF922A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（2）暂时确定调整差额</w:t>
      </w:r>
    </w:p>
    <w:p w14:paraId="06F0CF6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在计算调整差额时无现行价格指数的，合同当事人同意暂用前次价格指数计算。实际价格指数有调整的，合同当事人进行相应调整。</w:t>
      </w:r>
    </w:p>
    <w:p w14:paraId="3528F2B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（3）权重的调整</w:t>
      </w:r>
    </w:p>
    <w:p w14:paraId="14BD19A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因变更导致合同约定的权重不合理时，按照第4.4款〔商定或确定〕执行。</w:t>
      </w:r>
    </w:p>
    <w:p w14:paraId="101E393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（4）因承包人原因工期延误后的价格调整</w:t>
      </w:r>
    </w:p>
    <w:p w14:paraId="0D2D37A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780EF9D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第2种方式：采用造价信息进行价格调整。</w:t>
      </w:r>
    </w:p>
    <w:p w14:paraId="71A799C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739E0C8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03F4457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（2）材料、工程设备价格变化的价款调整按照发包人提供的基准价格，按以下风险范围规定执行:</w:t>
      </w:r>
    </w:p>
    <w:p w14:paraId="0DD6B3E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005FB26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019A23E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③承包人在已标价工程量清单或预算书中载明材料单价等于基准价格的：除专用合同条款另有约定外，合同履行期间材料单价涨跌幅以基准价格为基础超过±5%时，其超过部分据实调整。</w:t>
      </w:r>
    </w:p>
    <w:p w14:paraId="157567D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20B545B2">
      <w:pPr>
        <w:spacing w:line="360" w:lineRule="auto"/>
        <w:ind w:firstLine="420" w:firstLineChars="200"/>
        <w:rPr>
          <w:rFonts w:hint="eastAsia" w:ascii="宋体" w:hAnsi="宋体" w:eastAsia="宋体" w:cs="宋体"/>
          <w:b w:val="0"/>
          <w:bCs w:val="0"/>
          <w:color w:val="auto"/>
          <w:kern w:val="0"/>
          <w:highlight w:val="none"/>
        </w:rPr>
      </w:pPr>
      <w:bookmarkStart w:id="298" w:name="OLE_LINK3"/>
      <w:r>
        <w:rPr>
          <w:rFonts w:hint="eastAsia" w:ascii="宋体" w:hAnsi="宋体" w:eastAsia="宋体" w:cs="宋体"/>
          <w:b w:val="0"/>
          <w:bCs w:val="0"/>
          <w:color w:val="auto"/>
          <w:kern w:val="0"/>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3C42930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（3）施工机械台班单价或施工机械使用费发生变化超过省级或行业建设主管部门或其授权的工程造价管理机构规定的范围时，按规定调整合同价格。</w:t>
      </w:r>
    </w:p>
    <w:p w14:paraId="52099B9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第3种方式：专用合同条款约定的其他方式。</w:t>
      </w:r>
    </w:p>
    <w:p w14:paraId="4A004FC6">
      <w:pPr>
        <w:spacing w:line="360" w:lineRule="auto"/>
        <w:ind w:firstLine="420" w:firstLineChars="200"/>
        <w:rPr>
          <w:rFonts w:hint="eastAsia" w:ascii="宋体" w:hAnsi="宋体" w:eastAsia="宋体" w:cs="宋体"/>
          <w:b w:val="0"/>
          <w:bCs w:val="0"/>
          <w:color w:val="auto"/>
          <w:kern w:val="0"/>
          <w:highlight w:val="none"/>
        </w:rPr>
      </w:pPr>
      <w:bookmarkStart w:id="299" w:name="_Toc351203579"/>
      <w:bookmarkStart w:id="300" w:name="_Toc296346594"/>
      <w:bookmarkStart w:id="301" w:name="_Toc296503093"/>
      <w:bookmarkStart w:id="302" w:name="_Toc337558798"/>
      <w:r>
        <w:rPr>
          <w:rFonts w:hint="eastAsia" w:ascii="宋体" w:hAnsi="宋体" w:eastAsia="宋体" w:cs="宋体"/>
          <w:b w:val="0"/>
          <w:bCs w:val="0"/>
          <w:color w:val="auto"/>
          <w:kern w:val="0"/>
          <w:highlight w:val="none"/>
        </w:rPr>
        <w:t>11.2法律变化引起的调整</w:t>
      </w:r>
      <w:bookmarkEnd w:id="299"/>
    </w:p>
    <w:bookmarkEnd w:id="300"/>
    <w:bookmarkEnd w:id="301"/>
    <w:bookmarkEnd w:id="302"/>
    <w:p w14:paraId="07E66A3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0F08791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因法律变化引起的合同价格和工期调整，合同当事人无法达成一致的，由总监理工程师按第4.4款〔商定或确定〕的约定处理。</w:t>
      </w:r>
    </w:p>
    <w:p w14:paraId="75822AD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因承包人原因造成工期延误，在工期延误期间出现法律变化的，由此增加的费用和（或）延误的工期由承包人承担。</w:t>
      </w:r>
    </w:p>
    <w:p w14:paraId="4B63BF4A">
      <w:pPr>
        <w:spacing w:line="360" w:lineRule="auto"/>
        <w:ind w:firstLine="420" w:firstLineChars="200"/>
        <w:rPr>
          <w:rFonts w:hint="eastAsia" w:ascii="宋体" w:hAnsi="宋体" w:eastAsia="宋体" w:cs="宋体"/>
          <w:b w:val="0"/>
          <w:bCs w:val="0"/>
          <w:color w:val="auto"/>
          <w:kern w:val="0"/>
          <w:highlight w:val="none"/>
        </w:rPr>
      </w:pPr>
      <w:bookmarkStart w:id="303" w:name="_Toc351203580"/>
      <w:bookmarkStart w:id="304" w:name="_Toc337558799"/>
      <w:bookmarkStart w:id="305" w:name="_Toc296503096"/>
      <w:bookmarkStart w:id="306" w:name="_Toc296346597"/>
      <w:r>
        <w:rPr>
          <w:rFonts w:hint="eastAsia" w:ascii="宋体" w:hAnsi="宋体" w:eastAsia="宋体" w:cs="宋体"/>
          <w:b w:val="0"/>
          <w:bCs w:val="0"/>
          <w:color w:val="auto"/>
          <w:kern w:val="0"/>
          <w:highlight w:val="none"/>
        </w:rPr>
        <w:t>12. 合同价格、计量与支付</w:t>
      </w:r>
      <w:bookmarkEnd w:id="303"/>
    </w:p>
    <w:bookmarkEnd w:id="304"/>
    <w:p w14:paraId="46A287B0">
      <w:pPr>
        <w:spacing w:line="360" w:lineRule="auto"/>
        <w:ind w:firstLine="420" w:firstLineChars="200"/>
        <w:rPr>
          <w:rFonts w:hint="eastAsia" w:ascii="宋体" w:hAnsi="宋体" w:eastAsia="宋体" w:cs="宋体"/>
          <w:b w:val="0"/>
          <w:bCs w:val="0"/>
          <w:color w:val="auto"/>
          <w:kern w:val="0"/>
          <w:highlight w:val="none"/>
        </w:rPr>
      </w:pPr>
      <w:bookmarkStart w:id="307" w:name="_Toc351203581"/>
      <w:bookmarkStart w:id="308" w:name="_Toc337558800"/>
      <w:r>
        <w:rPr>
          <w:rFonts w:hint="eastAsia" w:ascii="宋体" w:hAnsi="宋体" w:eastAsia="宋体" w:cs="宋体"/>
          <w:b w:val="0"/>
          <w:bCs w:val="0"/>
          <w:color w:val="auto"/>
          <w:kern w:val="0"/>
          <w:highlight w:val="none"/>
        </w:rPr>
        <w:t>12.1 合同价</w:t>
      </w:r>
      <w:bookmarkEnd w:id="305"/>
      <w:bookmarkEnd w:id="306"/>
      <w:r>
        <w:rPr>
          <w:rFonts w:hint="eastAsia" w:ascii="宋体" w:hAnsi="宋体" w:eastAsia="宋体" w:cs="宋体"/>
          <w:b w:val="0"/>
          <w:bCs w:val="0"/>
          <w:color w:val="auto"/>
          <w:kern w:val="0"/>
          <w:highlight w:val="none"/>
        </w:rPr>
        <w:t>格形式</w:t>
      </w:r>
      <w:bookmarkEnd w:id="307"/>
    </w:p>
    <w:bookmarkEnd w:id="308"/>
    <w:p w14:paraId="695056C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发包人和承包人应在合同协议书中选择下列一种合同价格形式： </w:t>
      </w:r>
    </w:p>
    <w:p w14:paraId="1C6591D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1.单价合同</w:t>
      </w:r>
    </w:p>
    <w:p w14:paraId="33BAF96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14:paraId="398C602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2.总价合同</w:t>
      </w:r>
    </w:p>
    <w:p w14:paraId="10EB73D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43AFC9C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3.其它价格形式</w:t>
      </w:r>
    </w:p>
    <w:p w14:paraId="1629883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合同当事人可在专用合同条款中约定其他合同价格形式。</w:t>
      </w:r>
    </w:p>
    <w:p w14:paraId="48665AC6">
      <w:pPr>
        <w:spacing w:line="360" w:lineRule="auto"/>
        <w:ind w:firstLine="420" w:firstLineChars="200"/>
        <w:rPr>
          <w:rFonts w:hint="eastAsia" w:ascii="宋体" w:hAnsi="宋体" w:eastAsia="宋体" w:cs="宋体"/>
          <w:b w:val="0"/>
          <w:bCs w:val="0"/>
          <w:color w:val="auto"/>
          <w:kern w:val="0"/>
          <w:highlight w:val="none"/>
        </w:rPr>
      </w:pPr>
      <w:bookmarkStart w:id="309" w:name="_Toc296503097"/>
      <w:bookmarkStart w:id="310" w:name="_Toc296346598"/>
      <w:bookmarkStart w:id="311" w:name="_Toc351203582"/>
      <w:bookmarkStart w:id="312" w:name="_Toc337558801"/>
      <w:r>
        <w:rPr>
          <w:rFonts w:hint="eastAsia" w:ascii="宋体" w:hAnsi="宋体" w:eastAsia="宋体" w:cs="宋体"/>
          <w:b w:val="0"/>
          <w:bCs w:val="0"/>
          <w:color w:val="auto"/>
          <w:kern w:val="0"/>
          <w:highlight w:val="none"/>
        </w:rPr>
        <w:t>12.2预</w:t>
      </w:r>
      <w:bookmarkEnd w:id="309"/>
      <w:bookmarkEnd w:id="310"/>
      <w:bookmarkStart w:id="313" w:name="_Toc296503100"/>
      <w:bookmarkStart w:id="314" w:name="_Toc296346601"/>
      <w:r>
        <w:rPr>
          <w:rFonts w:hint="eastAsia" w:ascii="宋体" w:hAnsi="宋体" w:eastAsia="宋体" w:cs="宋体"/>
          <w:b w:val="0"/>
          <w:bCs w:val="0"/>
          <w:color w:val="auto"/>
          <w:kern w:val="0"/>
          <w:highlight w:val="none"/>
        </w:rPr>
        <w:t>付款</w:t>
      </w:r>
      <w:bookmarkEnd w:id="311"/>
    </w:p>
    <w:bookmarkEnd w:id="312"/>
    <w:bookmarkEnd w:id="313"/>
    <w:bookmarkEnd w:id="314"/>
    <w:p w14:paraId="3DDA392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12.2.1预付款的支付</w:t>
      </w:r>
    </w:p>
    <w:p w14:paraId="5AC795E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预付款的支付按照专用合同条款约定执行，但至迟应在开工通知载明的开工日期7天前支付。预付款应当用于材料、工程设备、施工设备的采购及修建临时工程、组织施工队伍进场等。</w:t>
      </w:r>
    </w:p>
    <w:p w14:paraId="260DFE6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除专用合同条款另有约定外，预付款在进度付款中同比例扣回。</w:t>
      </w:r>
      <w:bookmarkEnd w:id="298"/>
      <w:r>
        <w:rPr>
          <w:rFonts w:hint="eastAsia" w:ascii="宋体" w:hAnsi="宋体" w:eastAsia="宋体" w:cs="宋体"/>
          <w:b w:val="0"/>
          <w:bCs w:val="0"/>
          <w:color w:val="auto"/>
          <w:kern w:val="0"/>
          <w:highlight w:val="none"/>
        </w:rPr>
        <w:t>在颁发工程接收证书前，提前解除合同的，尚未扣完的预付款应与合同价款一并结算。</w:t>
      </w:r>
    </w:p>
    <w:p w14:paraId="703FA72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发包人逾期支付预付款超过7天的，承包人有权向发包人发出要求预付的催告通知，发包人收到通知后7天内仍未支付的，承包人有权暂停施工，并按第16.1.1项〔发包人违约的情形〕执行。</w:t>
      </w:r>
    </w:p>
    <w:p w14:paraId="0770FE0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12.2.2 预付款担保</w:t>
      </w:r>
    </w:p>
    <w:p w14:paraId="35FB886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16E3AA7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发包人在工程款中逐期扣回预付款后，预付款担保额度应相应减少，但剩余的预付款担保金额不得低于未被扣回的预付款金额。</w:t>
      </w:r>
    </w:p>
    <w:p w14:paraId="4E630B7B">
      <w:pPr>
        <w:spacing w:line="360" w:lineRule="auto"/>
        <w:ind w:firstLine="420" w:firstLineChars="200"/>
        <w:rPr>
          <w:rFonts w:hint="eastAsia" w:ascii="宋体" w:hAnsi="宋体" w:eastAsia="宋体" w:cs="宋体"/>
          <w:b w:val="0"/>
          <w:bCs w:val="0"/>
          <w:color w:val="auto"/>
          <w:kern w:val="0"/>
          <w:highlight w:val="none"/>
        </w:rPr>
      </w:pPr>
      <w:bookmarkStart w:id="315" w:name="_Toc351203583"/>
      <w:bookmarkStart w:id="316" w:name="_Toc337558802"/>
      <w:r>
        <w:rPr>
          <w:rFonts w:hint="eastAsia" w:ascii="宋体" w:hAnsi="宋体" w:eastAsia="宋体" w:cs="宋体"/>
          <w:b w:val="0"/>
          <w:bCs w:val="0"/>
          <w:color w:val="auto"/>
          <w:kern w:val="0"/>
          <w:highlight w:val="none"/>
        </w:rPr>
        <w:t>12.3计量</w:t>
      </w:r>
      <w:bookmarkEnd w:id="315"/>
    </w:p>
    <w:bookmarkEnd w:id="316"/>
    <w:p w14:paraId="2C7748D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12.3.1 计量原则</w:t>
      </w:r>
    </w:p>
    <w:p w14:paraId="3705054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工程量计量按照合同约定的工程量计算规则、图纸及变更指示等进行计量。工程量计算规则应以相关的国家标准、行业标准等为依据，由合同当事人在专用合同条款中约定。</w:t>
      </w:r>
    </w:p>
    <w:p w14:paraId="487D280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12.3.2 计量周期</w:t>
      </w:r>
    </w:p>
    <w:p w14:paraId="7CFF9AC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除专用合同条款另有约定外，工程量的计量按月进行。</w:t>
      </w:r>
    </w:p>
    <w:p w14:paraId="2E26A90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12.3.3 单价合同的计量</w:t>
      </w:r>
    </w:p>
    <w:p w14:paraId="16C4E3C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除专用合同条款另有约定外，单价合同的计量按照本项约定执行：</w:t>
      </w:r>
    </w:p>
    <w:p w14:paraId="04C5634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（1）承包人应于每月25日向监理人报送上月20日至当月19日已完成的工程量报告，并附具进度付款申请单、已完成工程量报表和有关资料。</w:t>
      </w:r>
    </w:p>
    <w:p w14:paraId="6445041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223376D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（3）监理人未在收到承包人提交的工程量报表后的7天内完成审核的，承包人报送的工程量报告中的工程量视为承包人实际完成的工程量，据此计算工程价款。</w:t>
      </w:r>
    </w:p>
    <w:p w14:paraId="46E9DE6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12.3.4 总价合同的计量</w:t>
      </w:r>
    </w:p>
    <w:p w14:paraId="0FA65CA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除专用合同条款另有约定外，按月计量支付的总价合同，按照本项约定执行：</w:t>
      </w:r>
    </w:p>
    <w:p w14:paraId="2CE9A5D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（1）承包人应于每月25日向监理人报送上月20日至当月19日已完成的工程量报告，并附具进度付款申请单、已完成工程量报表和有关资料。</w:t>
      </w:r>
    </w:p>
    <w:p w14:paraId="0AED512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6EE8781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（3）监理人未在收到承包人提交的工程量报表后的7天内完成复核的，承包人提交的工程量报告中的工程量视为承包人实际完成的工程量。</w:t>
      </w:r>
    </w:p>
    <w:p w14:paraId="18AC237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12.3.5 总价合同采用支付分解表计量支付的，可以按照第12.3.4项〔总价合同的计量〕约定进行计量，但合同价款按照支付分解表进行支付。</w:t>
      </w:r>
    </w:p>
    <w:p w14:paraId="02F1772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12.3.6 其他价格形式合同的计量</w:t>
      </w:r>
    </w:p>
    <w:p w14:paraId="78CDF6D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合同当事人可在专用合同条款中约定其他价格形式合同的计量方式和程序。</w:t>
      </w:r>
    </w:p>
    <w:p w14:paraId="5BF054B1">
      <w:pPr>
        <w:spacing w:line="360" w:lineRule="auto"/>
        <w:ind w:firstLine="420" w:firstLineChars="200"/>
        <w:rPr>
          <w:rFonts w:hint="eastAsia" w:ascii="宋体" w:hAnsi="宋体" w:eastAsia="宋体" w:cs="宋体"/>
          <w:b w:val="0"/>
          <w:bCs w:val="0"/>
          <w:color w:val="auto"/>
          <w:kern w:val="0"/>
          <w:highlight w:val="none"/>
        </w:rPr>
      </w:pPr>
      <w:bookmarkStart w:id="317" w:name="_Toc296503101"/>
      <w:bookmarkStart w:id="318" w:name="_Toc296346602"/>
      <w:bookmarkStart w:id="319" w:name="_Toc351203584"/>
      <w:bookmarkStart w:id="320" w:name="_Toc337558803"/>
      <w:r>
        <w:rPr>
          <w:rFonts w:hint="eastAsia" w:ascii="宋体" w:hAnsi="宋体" w:eastAsia="宋体" w:cs="宋体"/>
          <w:b w:val="0"/>
          <w:bCs w:val="0"/>
          <w:color w:val="auto"/>
          <w:kern w:val="0"/>
          <w:highlight w:val="none"/>
        </w:rPr>
        <w:t>12.4工程进度款支</w:t>
      </w:r>
      <w:bookmarkEnd w:id="317"/>
      <w:bookmarkEnd w:id="318"/>
      <w:r>
        <w:rPr>
          <w:rFonts w:hint="eastAsia" w:ascii="宋体" w:hAnsi="宋体" w:eastAsia="宋体" w:cs="宋体"/>
          <w:b w:val="0"/>
          <w:bCs w:val="0"/>
          <w:color w:val="auto"/>
          <w:kern w:val="0"/>
          <w:highlight w:val="none"/>
        </w:rPr>
        <w:t>付</w:t>
      </w:r>
      <w:bookmarkEnd w:id="319"/>
    </w:p>
    <w:bookmarkEnd w:id="320"/>
    <w:p w14:paraId="03D0FD6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12.4.1 付款周期</w:t>
      </w:r>
    </w:p>
    <w:p w14:paraId="36F4FDB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除专用合同条款另有约定外，付款周期应按照第12.3.2项〔计量周期〕的约定与计量周期保持一致。</w:t>
      </w:r>
    </w:p>
    <w:p w14:paraId="4848218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12.4.2 进度付款申请单的编制</w:t>
      </w:r>
    </w:p>
    <w:p w14:paraId="75EDC85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除专用合同条款另有约定外，进度付款申请单应包括下列内容：</w:t>
      </w:r>
    </w:p>
    <w:p w14:paraId="66173E7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（1）截至本次付款周期已完成工作对应的金额；</w:t>
      </w:r>
    </w:p>
    <w:p w14:paraId="3DF07A5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（2）根据第10条〔变更〕应增加和扣减的变更金额；</w:t>
      </w:r>
    </w:p>
    <w:p w14:paraId="2A2CAEE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（3）根据第12.2款〔预付款〕约定应支付的预付款和扣减的返还预付款；</w:t>
      </w:r>
    </w:p>
    <w:p w14:paraId="6CA2501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（4）根据第15.3款〔质量保证金〕约定应扣减的质量保证金；</w:t>
      </w:r>
    </w:p>
    <w:p w14:paraId="23A7DE7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（5）根据第19条〔索赔〕应增加和扣减的索赔金额；</w:t>
      </w:r>
    </w:p>
    <w:p w14:paraId="7EC1111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（6）对已签发的进度款支付证书中出现错误的修正，应在本次进度付款中支付或扣除的金额；</w:t>
      </w:r>
    </w:p>
    <w:p w14:paraId="000BD74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（7）根据合同约定应增加和扣减的其他金额。</w:t>
      </w:r>
    </w:p>
    <w:p w14:paraId="3FE83D7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12.4.3 进度付款申请单的提交</w:t>
      </w:r>
    </w:p>
    <w:p w14:paraId="53B02FF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（1）单价合同进度付款申请单的提交</w:t>
      </w:r>
    </w:p>
    <w:p w14:paraId="6370B1D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6215080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（2）总价合同进度付款申请单的提交</w:t>
      </w:r>
    </w:p>
    <w:p w14:paraId="352CAFF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总价合同按月计量支付的，承包人按照第12.3.4项〔总价合同的计量〕约定的时间按月向监理人提交进度付款申请单，并附上已完成工程量报表和有关资料。</w:t>
      </w:r>
    </w:p>
    <w:p w14:paraId="21F469F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总价合同按支付分解表支付的，承包人应按照第12.4.6项〔支付分解表〕及第12.4.2项〔进度付款申请单的编制〕的约定向监理人提交进度付款申请单。</w:t>
      </w:r>
    </w:p>
    <w:p w14:paraId="1DDA366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（3）其他价格形式合同的进度付款申请单的提交</w:t>
      </w:r>
    </w:p>
    <w:p w14:paraId="7D32C1E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合同当事人可在专用合同条款中约定其他价格形式合同的进度付款申请单的编制和提交程序。</w:t>
      </w:r>
    </w:p>
    <w:p w14:paraId="075B5F6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12.4.4 进度款审核和支付</w:t>
      </w:r>
    </w:p>
    <w:p w14:paraId="49FA2E1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5D75F4F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6F692C9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233DC86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（3）发包人签发进度款支付证书或临时进度款支付证书，不表明发包人已同意、批准或接受了承包人完成的相应部分的工作。</w:t>
      </w:r>
    </w:p>
    <w:p w14:paraId="1719DD4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12.4.5 进度付款的修正</w:t>
      </w:r>
    </w:p>
    <w:p w14:paraId="7AAD5EA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在对已签发的进度款支付证书进行阶段汇总和复核中发现错误、遗漏或重复的，发包人和承包人均有权提出修正申请。经发包人和承包人同意的修正，应在下期进度付款中支付或扣除。</w:t>
      </w:r>
    </w:p>
    <w:p w14:paraId="7560B71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12.4.6 支付分解表</w:t>
      </w:r>
    </w:p>
    <w:p w14:paraId="05EF352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1.支付分解表的编制要求</w:t>
      </w:r>
    </w:p>
    <w:p w14:paraId="322EF7B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（1）支付分解表中所列的每期付款金额，应为第12.4.2项〔进度付款申请单的编制〕第（1）目的估算金额；</w:t>
      </w:r>
    </w:p>
    <w:p w14:paraId="122B041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（2）实际进度与施工进度计划不一致的，合同当事人可按照第4.4款〔商定或确定〕修改支付分解表；</w:t>
      </w:r>
    </w:p>
    <w:p w14:paraId="40A1699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（3）不采用支付分解表的，承包人应向发包人和监理人提交按季度编制的支付估算分解表，用于支付参考。</w:t>
      </w:r>
    </w:p>
    <w:p w14:paraId="43D7208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2.总价合同支付分解表的编制与审批</w:t>
      </w:r>
    </w:p>
    <w:p w14:paraId="4A27230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5559862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（2）监理人应在收到支付分解表后7天内完成审核并报送发包人。发包人应在收到经监理人审核的支付分解表后7天内完成审批，经发包人批准的支付分解表为有约束力的支付分解表。</w:t>
      </w:r>
    </w:p>
    <w:p w14:paraId="41C8162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    （3）发包人逾期未完成支付分解表审批的，也未及时要求承包人进行修正和提供补充资料的，则承包人提交的支付分解表视为已经获得发包人批准。</w:t>
      </w:r>
    </w:p>
    <w:p w14:paraId="14C5747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3.单价合同的总价项目支付分解表的编制与审批</w:t>
      </w:r>
    </w:p>
    <w:p w14:paraId="703AD97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6E4E410C">
      <w:pPr>
        <w:spacing w:line="360" w:lineRule="auto"/>
        <w:ind w:firstLine="420" w:firstLineChars="200"/>
        <w:rPr>
          <w:rFonts w:hint="eastAsia" w:ascii="宋体" w:hAnsi="宋体" w:eastAsia="宋体" w:cs="宋体"/>
          <w:b w:val="0"/>
          <w:bCs w:val="0"/>
          <w:color w:val="auto"/>
          <w:kern w:val="0"/>
          <w:highlight w:val="none"/>
        </w:rPr>
      </w:pPr>
      <w:bookmarkStart w:id="321" w:name="_Toc351203585"/>
      <w:r>
        <w:rPr>
          <w:rFonts w:hint="eastAsia" w:ascii="宋体" w:hAnsi="宋体" w:eastAsia="宋体" w:cs="宋体"/>
          <w:b w:val="0"/>
          <w:bCs w:val="0"/>
          <w:color w:val="auto"/>
          <w:kern w:val="0"/>
          <w:highlight w:val="none"/>
        </w:rPr>
        <w:t>12.5支付账户</w:t>
      </w:r>
      <w:bookmarkEnd w:id="321"/>
    </w:p>
    <w:p w14:paraId="06D9921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发包人应将合同价款支付至合同协议书中约定的承包人账户。</w:t>
      </w:r>
    </w:p>
    <w:p w14:paraId="2E095917">
      <w:pPr>
        <w:spacing w:line="360" w:lineRule="auto"/>
        <w:ind w:firstLine="420" w:firstLineChars="200"/>
        <w:rPr>
          <w:rFonts w:hint="eastAsia" w:ascii="宋体" w:hAnsi="宋体" w:eastAsia="宋体" w:cs="宋体"/>
          <w:b w:val="0"/>
          <w:bCs w:val="0"/>
          <w:color w:val="auto"/>
          <w:kern w:val="0"/>
          <w:highlight w:val="none"/>
        </w:rPr>
      </w:pPr>
      <w:bookmarkStart w:id="322" w:name="_Toc351203586"/>
      <w:bookmarkStart w:id="323" w:name="_Toc337558804"/>
      <w:bookmarkStart w:id="324" w:name="_Toc322522574"/>
      <w:bookmarkStart w:id="325" w:name="_Toc296503106"/>
      <w:bookmarkStart w:id="326" w:name="_Toc296346607"/>
      <w:r>
        <w:rPr>
          <w:rFonts w:hint="eastAsia" w:ascii="宋体" w:hAnsi="宋体" w:eastAsia="宋体" w:cs="宋体"/>
          <w:b w:val="0"/>
          <w:bCs w:val="0"/>
          <w:color w:val="auto"/>
          <w:kern w:val="0"/>
          <w:highlight w:val="none"/>
        </w:rPr>
        <w:t>13. 验收和工程试车</w:t>
      </w:r>
      <w:bookmarkEnd w:id="322"/>
    </w:p>
    <w:bookmarkEnd w:id="323"/>
    <w:bookmarkEnd w:id="324"/>
    <w:bookmarkEnd w:id="325"/>
    <w:bookmarkEnd w:id="326"/>
    <w:p w14:paraId="73BF33D7">
      <w:pPr>
        <w:spacing w:line="360" w:lineRule="auto"/>
        <w:ind w:firstLine="420" w:firstLineChars="200"/>
        <w:rPr>
          <w:rFonts w:hint="eastAsia" w:ascii="宋体" w:hAnsi="宋体" w:eastAsia="宋体" w:cs="宋体"/>
          <w:b w:val="0"/>
          <w:bCs w:val="0"/>
          <w:color w:val="auto"/>
          <w:kern w:val="0"/>
          <w:highlight w:val="none"/>
        </w:rPr>
      </w:pPr>
      <w:bookmarkStart w:id="327" w:name="_Toc351203587"/>
      <w:bookmarkStart w:id="328" w:name="_Toc337558805"/>
      <w:bookmarkStart w:id="329" w:name="_Toc296503110"/>
      <w:bookmarkStart w:id="330" w:name="_Toc296346611"/>
      <w:r>
        <w:rPr>
          <w:rFonts w:hint="eastAsia" w:ascii="宋体" w:hAnsi="宋体" w:eastAsia="宋体" w:cs="宋体"/>
          <w:b w:val="0"/>
          <w:bCs w:val="0"/>
          <w:color w:val="auto"/>
          <w:kern w:val="0"/>
          <w:highlight w:val="none"/>
        </w:rPr>
        <w:t>13.1分部分项工程验收</w:t>
      </w:r>
      <w:bookmarkEnd w:id="327"/>
    </w:p>
    <w:bookmarkEnd w:id="328"/>
    <w:p w14:paraId="13A41A3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13.1.1 分部分项工程质量应符合国家有关工程施工验收规范、标准及合同约定，承包人应按照施工组织设计的要求完成分部分项工程施工。</w:t>
      </w:r>
    </w:p>
    <w:p w14:paraId="1FA0AFC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13.1.2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089538C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分部分项工程的验收资料应当作为竣工资料的组成部分。</w:t>
      </w:r>
    </w:p>
    <w:p w14:paraId="12CD0B8F">
      <w:pPr>
        <w:spacing w:line="360" w:lineRule="auto"/>
        <w:ind w:firstLine="420" w:firstLineChars="200"/>
        <w:rPr>
          <w:rFonts w:hint="eastAsia" w:ascii="宋体" w:hAnsi="宋体" w:eastAsia="宋体" w:cs="宋体"/>
          <w:b w:val="0"/>
          <w:bCs w:val="0"/>
          <w:color w:val="auto"/>
          <w:kern w:val="0"/>
          <w:highlight w:val="none"/>
        </w:rPr>
      </w:pPr>
      <w:bookmarkStart w:id="331" w:name="_Toc351203588"/>
      <w:bookmarkStart w:id="332" w:name="_Toc337558806"/>
      <w:r>
        <w:rPr>
          <w:rFonts w:hint="eastAsia" w:ascii="宋体" w:hAnsi="宋体" w:eastAsia="宋体" w:cs="宋体"/>
          <w:b w:val="0"/>
          <w:bCs w:val="0"/>
          <w:color w:val="auto"/>
          <w:kern w:val="0"/>
          <w:highlight w:val="none"/>
        </w:rPr>
        <w:t>13.2竣工验收</w:t>
      </w:r>
      <w:bookmarkEnd w:id="331"/>
    </w:p>
    <w:bookmarkEnd w:id="329"/>
    <w:bookmarkEnd w:id="330"/>
    <w:bookmarkEnd w:id="332"/>
    <w:p w14:paraId="3F6A415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13.2.1竣工验收条件</w:t>
      </w:r>
    </w:p>
    <w:p w14:paraId="693A869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工程具备以下条件的，承包人可以申请竣工验收：</w:t>
      </w:r>
    </w:p>
    <w:p w14:paraId="722CFBF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（1）除发包人同意的甩项工作和缺陷修补工作外，合同范围内的全部工程以及有关工作，包括合同要求的试验、试运行以及检验均已完成，并符合合同要求；</w:t>
      </w:r>
    </w:p>
    <w:p w14:paraId="5E42F0E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（2）已按合同约定编制了甩项工作和缺陷修补工作清单以及相应的施工计划；</w:t>
      </w:r>
    </w:p>
    <w:p w14:paraId="06E513B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（3）已按合同约定的内容和份数备齐竣工资料。</w:t>
      </w:r>
    </w:p>
    <w:p w14:paraId="2B33DA0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13.2.2竣工验收程序</w:t>
      </w:r>
    </w:p>
    <w:p w14:paraId="79478D9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除专用合同条款另有约定外，承包人申请竣工验收的，应当按照以下程序进行：</w:t>
      </w:r>
    </w:p>
    <w:p w14:paraId="15891B5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2A627F0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17CA501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（3）竣工验收合格的，发包人应在验收合格后14天内向承包人签发工程接收证书。发包人无正当理由逾期不颁发工程接收证书的，自验收合格后第15天起视为已颁发工程接收证书。</w:t>
      </w:r>
    </w:p>
    <w:p w14:paraId="61147A9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4AC9D18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651766C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4A2FD4B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13.2.3竣工日期</w:t>
      </w:r>
    </w:p>
    <w:p w14:paraId="278DC50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333" w:name="#go14"/>
      <w:bookmarkEnd w:id="333"/>
      <w:r>
        <w:rPr>
          <w:rFonts w:hint="eastAsia" w:ascii="宋体" w:hAnsi="宋体" w:eastAsia="宋体" w:cs="宋体"/>
          <w:b w:val="0"/>
          <w:bCs w:val="0"/>
          <w:color w:val="auto"/>
          <w:kern w:val="0"/>
          <w:highlight w:val="none"/>
        </w:rPr>
        <w:t>收申请报告的日期为实际竣工日期；工程未经竣工验收，发包人擅自使用的，以转移占有工程之日为实际竣工日期。</w:t>
      </w:r>
    </w:p>
    <w:p w14:paraId="3D3EF3A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13.2.4 拒绝接收全部或部分工程</w:t>
      </w:r>
    </w:p>
    <w:p w14:paraId="03622EC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3CD4306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13.2.5 移交、接收全部与部分工程</w:t>
      </w:r>
    </w:p>
    <w:p w14:paraId="3487A29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除专用合同条款另有约定外，合同当事人应当在颁发工程接收证书后7天内完成工程的移交。</w:t>
      </w:r>
    </w:p>
    <w:p w14:paraId="3374737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6DD7EEA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382248F7">
      <w:pPr>
        <w:spacing w:line="360" w:lineRule="auto"/>
        <w:ind w:firstLine="420" w:firstLineChars="200"/>
        <w:rPr>
          <w:rFonts w:hint="eastAsia" w:ascii="宋体" w:hAnsi="宋体" w:eastAsia="宋体" w:cs="宋体"/>
          <w:b w:val="0"/>
          <w:bCs w:val="0"/>
          <w:color w:val="auto"/>
          <w:kern w:val="0"/>
          <w:highlight w:val="none"/>
        </w:rPr>
      </w:pPr>
      <w:bookmarkStart w:id="334" w:name="_Toc351203589"/>
      <w:bookmarkStart w:id="335" w:name="_Toc337558807"/>
      <w:bookmarkStart w:id="336" w:name="_Toc296346612"/>
      <w:bookmarkStart w:id="337" w:name="_Toc296503111"/>
      <w:r>
        <w:rPr>
          <w:rFonts w:hint="eastAsia" w:ascii="宋体" w:hAnsi="宋体" w:eastAsia="宋体" w:cs="宋体"/>
          <w:b w:val="0"/>
          <w:bCs w:val="0"/>
          <w:color w:val="auto"/>
          <w:kern w:val="0"/>
          <w:highlight w:val="none"/>
        </w:rPr>
        <w:t>13.3工程试车</w:t>
      </w:r>
      <w:bookmarkEnd w:id="334"/>
    </w:p>
    <w:bookmarkEnd w:id="335"/>
    <w:bookmarkEnd w:id="336"/>
    <w:bookmarkEnd w:id="337"/>
    <w:p w14:paraId="318AE59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13.3.1试车程序</w:t>
      </w:r>
    </w:p>
    <w:p w14:paraId="256647B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工程需要试车的，除专用合同条款另有约定外，试车内容应与承包人承包范围相一致，试车费用由承包人承担。工程试车应按如下程序进行：</w:t>
      </w:r>
    </w:p>
    <w:p w14:paraId="52B36D1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3DFB303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26CD380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1D03AB4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13.3.2 试车中的责任</w:t>
      </w:r>
    </w:p>
    <w:p w14:paraId="142042A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5F78216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2887D23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13.3.3 投料试车</w:t>
      </w:r>
    </w:p>
    <w:p w14:paraId="0D3653A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如需进行投料试车的，发包人应在工程竣工验收后组织投料试车。发包人要求在工程竣工验收前进行或需要承包人配合时，应征得承包人同意，并在专用合同条款中约定有关事项。</w:t>
      </w:r>
    </w:p>
    <w:p w14:paraId="5DF9BD3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379FB6E8">
      <w:pPr>
        <w:spacing w:line="360" w:lineRule="auto"/>
        <w:ind w:firstLine="420" w:firstLineChars="200"/>
        <w:rPr>
          <w:rFonts w:hint="eastAsia" w:ascii="宋体" w:hAnsi="宋体" w:eastAsia="宋体" w:cs="宋体"/>
          <w:b w:val="0"/>
          <w:bCs w:val="0"/>
          <w:color w:val="auto"/>
          <w:kern w:val="0"/>
          <w:highlight w:val="none"/>
        </w:rPr>
      </w:pPr>
      <w:bookmarkStart w:id="338" w:name="_Toc351203590"/>
      <w:bookmarkStart w:id="339" w:name="_Toc337558808"/>
      <w:r>
        <w:rPr>
          <w:rFonts w:hint="eastAsia" w:ascii="宋体" w:hAnsi="宋体" w:eastAsia="宋体" w:cs="宋体"/>
          <w:b w:val="0"/>
          <w:bCs w:val="0"/>
          <w:color w:val="auto"/>
          <w:kern w:val="0"/>
          <w:highlight w:val="none"/>
        </w:rPr>
        <w:t>13.4提前交付单位工程的验收</w:t>
      </w:r>
      <w:bookmarkEnd w:id="338"/>
    </w:p>
    <w:bookmarkEnd w:id="339"/>
    <w:p w14:paraId="4BD35F6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13.4.1 发包人需要在工程竣工前使用单位工程的，或承包人提出提前交付已经竣工的单位工程且经发包人同意的，可进行单位工程验收，验收的程序按照第13.2款〔竣工验收〕的约定进行。</w:t>
      </w:r>
    </w:p>
    <w:p w14:paraId="04896AB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5F2D38C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13.4.2 发包人要求在工程竣工前交付单位工程，由此导致承包人费用增加和（或）工期延误的，由发包人承担由此增加的费用和（或）延误的工期，并支付承包人合理的利润。</w:t>
      </w:r>
    </w:p>
    <w:p w14:paraId="4A55C815">
      <w:pPr>
        <w:spacing w:line="360" w:lineRule="auto"/>
        <w:ind w:firstLine="420" w:firstLineChars="200"/>
        <w:rPr>
          <w:rFonts w:hint="eastAsia" w:ascii="宋体" w:hAnsi="宋体" w:eastAsia="宋体" w:cs="宋体"/>
          <w:b w:val="0"/>
          <w:bCs w:val="0"/>
          <w:color w:val="auto"/>
          <w:kern w:val="0"/>
          <w:highlight w:val="none"/>
        </w:rPr>
      </w:pPr>
      <w:bookmarkStart w:id="340" w:name="_Toc351203591"/>
      <w:r>
        <w:rPr>
          <w:rFonts w:hint="eastAsia" w:ascii="宋体" w:hAnsi="宋体" w:eastAsia="宋体" w:cs="宋体"/>
          <w:b w:val="0"/>
          <w:bCs w:val="0"/>
          <w:color w:val="auto"/>
          <w:kern w:val="0"/>
          <w:highlight w:val="none"/>
        </w:rPr>
        <w:t>13.5 施工期运行</w:t>
      </w:r>
      <w:bookmarkEnd w:id="340"/>
    </w:p>
    <w:p w14:paraId="3471B5D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43C3E7F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13.5.2 在施工期运行中发现工程或工程设备损坏或存在缺陷的，由承包人按第15.2款〔缺陷责任期〕约定进行修复。</w:t>
      </w:r>
    </w:p>
    <w:p w14:paraId="193ECF84">
      <w:pPr>
        <w:spacing w:line="360" w:lineRule="auto"/>
        <w:ind w:firstLine="420" w:firstLineChars="200"/>
        <w:rPr>
          <w:rFonts w:hint="eastAsia" w:ascii="宋体" w:hAnsi="宋体" w:eastAsia="宋体" w:cs="宋体"/>
          <w:b w:val="0"/>
          <w:bCs w:val="0"/>
          <w:color w:val="auto"/>
          <w:kern w:val="0"/>
          <w:highlight w:val="none"/>
        </w:rPr>
      </w:pPr>
      <w:bookmarkStart w:id="341" w:name="_Toc296503112"/>
      <w:bookmarkStart w:id="342" w:name="_Toc296346613"/>
      <w:bookmarkStart w:id="343" w:name="_Toc351203592"/>
      <w:bookmarkStart w:id="344" w:name="_Toc337558809"/>
      <w:r>
        <w:rPr>
          <w:rFonts w:hint="eastAsia" w:ascii="宋体" w:hAnsi="宋体" w:eastAsia="宋体" w:cs="宋体"/>
          <w:b w:val="0"/>
          <w:bCs w:val="0"/>
          <w:color w:val="auto"/>
          <w:kern w:val="0"/>
          <w:highlight w:val="none"/>
        </w:rPr>
        <w:t>13.6 竣工退</w:t>
      </w:r>
      <w:bookmarkEnd w:id="341"/>
      <w:bookmarkEnd w:id="342"/>
      <w:r>
        <w:rPr>
          <w:rFonts w:hint="eastAsia" w:ascii="宋体" w:hAnsi="宋体" w:eastAsia="宋体" w:cs="宋体"/>
          <w:b w:val="0"/>
          <w:bCs w:val="0"/>
          <w:color w:val="auto"/>
          <w:kern w:val="0"/>
          <w:highlight w:val="none"/>
        </w:rPr>
        <w:t>场</w:t>
      </w:r>
      <w:bookmarkEnd w:id="343"/>
    </w:p>
    <w:bookmarkEnd w:id="344"/>
    <w:p w14:paraId="6D1BCE0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13.6.1 竣工退场</w:t>
      </w:r>
    </w:p>
    <w:p w14:paraId="1AC84AC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颁发工程接收证书后，承包人应按以下要求对施工现场进行清理：</w:t>
      </w:r>
    </w:p>
    <w:p w14:paraId="704FCC6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（1）施工现场内残留的垃圾已全部清除出场；</w:t>
      </w:r>
    </w:p>
    <w:p w14:paraId="4D75E36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（2）临时工程已拆除，场地已进行清理、平整或复原；</w:t>
      </w:r>
    </w:p>
    <w:p w14:paraId="5DA3AC6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（3）按合同约定应撤离的人员、承包人施工设备和剩余的材料，包括废弃的施工设备和材料，已按计划撤离施工现场；</w:t>
      </w:r>
    </w:p>
    <w:p w14:paraId="7C11D25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（4）施工现场周边及其附近道路、河道的施工堆积物，已全部清理；</w:t>
      </w:r>
    </w:p>
    <w:p w14:paraId="3622972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（5）施工现场其他场地清理工作已全部完成。</w:t>
      </w:r>
    </w:p>
    <w:p w14:paraId="4FDF77E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62B75BC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13.6.2 地表还原</w:t>
      </w:r>
    </w:p>
    <w:p w14:paraId="622393C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6E8A4479">
      <w:pPr>
        <w:spacing w:line="360" w:lineRule="auto"/>
        <w:ind w:firstLine="420" w:firstLineChars="200"/>
        <w:rPr>
          <w:rFonts w:hint="eastAsia" w:ascii="宋体" w:hAnsi="宋体" w:eastAsia="宋体" w:cs="宋体"/>
          <w:b w:val="0"/>
          <w:bCs w:val="0"/>
          <w:color w:val="auto"/>
          <w:kern w:val="0"/>
          <w:highlight w:val="none"/>
        </w:rPr>
      </w:pPr>
      <w:bookmarkStart w:id="345" w:name="_Toc351203593"/>
      <w:bookmarkStart w:id="346" w:name="_Toc337558810"/>
      <w:bookmarkStart w:id="347" w:name="_Toc296503113"/>
      <w:bookmarkStart w:id="348" w:name="_Toc296346614"/>
      <w:r>
        <w:rPr>
          <w:rFonts w:hint="eastAsia" w:ascii="宋体" w:hAnsi="宋体" w:eastAsia="宋体" w:cs="宋体"/>
          <w:b w:val="0"/>
          <w:bCs w:val="0"/>
          <w:color w:val="auto"/>
          <w:kern w:val="0"/>
          <w:highlight w:val="none"/>
        </w:rPr>
        <w:t>14. 竣工结算</w:t>
      </w:r>
      <w:bookmarkEnd w:id="345"/>
    </w:p>
    <w:bookmarkEnd w:id="346"/>
    <w:p w14:paraId="17112393">
      <w:pPr>
        <w:spacing w:line="360" w:lineRule="auto"/>
        <w:ind w:firstLine="420" w:firstLineChars="200"/>
        <w:rPr>
          <w:rFonts w:hint="eastAsia" w:ascii="宋体" w:hAnsi="宋体" w:eastAsia="宋体" w:cs="宋体"/>
          <w:b w:val="0"/>
          <w:bCs w:val="0"/>
          <w:color w:val="auto"/>
          <w:kern w:val="0"/>
          <w:highlight w:val="none"/>
        </w:rPr>
      </w:pPr>
      <w:bookmarkStart w:id="349" w:name="_Toc351203594"/>
      <w:bookmarkStart w:id="350" w:name="_Toc337558811"/>
      <w:r>
        <w:rPr>
          <w:rFonts w:hint="eastAsia" w:ascii="宋体" w:hAnsi="宋体" w:eastAsia="宋体" w:cs="宋体"/>
          <w:b w:val="0"/>
          <w:bCs w:val="0"/>
          <w:color w:val="auto"/>
          <w:kern w:val="0"/>
          <w:highlight w:val="none"/>
        </w:rPr>
        <w:t>14.1 竣工结算申请</w:t>
      </w:r>
      <w:bookmarkEnd w:id="349"/>
    </w:p>
    <w:bookmarkEnd w:id="350"/>
    <w:p w14:paraId="4306E78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承包人应在工程竣工验收合格后28天内向发包人和监理人提交竣工结算申请单，并提交完整的结算资料，有关竣工结算申请单的资料清单和份数等要求由合同当事人在专用合同条款中约定。</w:t>
      </w:r>
    </w:p>
    <w:p w14:paraId="04FACB5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除专用合同条款另有约定外，竣工结算申请单应包括以下内容：</w:t>
      </w:r>
    </w:p>
    <w:p w14:paraId="47B4283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（1）竣工结算合同价格；</w:t>
      </w:r>
    </w:p>
    <w:p w14:paraId="3AED554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（2）发包人已支付承包人的款项；</w:t>
      </w:r>
    </w:p>
    <w:p w14:paraId="2BA5704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（3）应扣留的质量保证金。已缴纳履约保证金的或提供其他工程质量担保方式的除外； </w:t>
      </w:r>
    </w:p>
    <w:p w14:paraId="33C4796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（4）发包人应支付承包人的合同价款。</w:t>
      </w:r>
    </w:p>
    <w:p w14:paraId="5198502F">
      <w:pPr>
        <w:spacing w:line="360" w:lineRule="auto"/>
        <w:ind w:firstLine="420" w:firstLineChars="200"/>
        <w:rPr>
          <w:rFonts w:hint="eastAsia" w:ascii="宋体" w:hAnsi="宋体" w:eastAsia="宋体" w:cs="宋体"/>
          <w:b w:val="0"/>
          <w:bCs w:val="0"/>
          <w:color w:val="auto"/>
          <w:kern w:val="0"/>
          <w:highlight w:val="none"/>
        </w:rPr>
      </w:pPr>
      <w:bookmarkStart w:id="351" w:name="_Toc351203595"/>
      <w:bookmarkStart w:id="352" w:name="_Toc337558812"/>
      <w:r>
        <w:rPr>
          <w:rFonts w:hint="eastAsia" w:ascii="宋体" w:hAnsi="宋体" w:eastAsia="宋体" w:cs="宋体"/>
          <w:b w:val="0"/>
          <w:bCs w:val="0"/>
          <w:color w:val="auto"/>
          <w:kern w:val="0"/>
          <w:highlight w:val="none"/>
        </w:rPr>
        <w:t>14.2 竣工结算审核</w:t>
      </w:r>
      <w:bookmarkEnd w:id="351"/>
    </w:p>
    <w:bookmarkEnd w:id="352"/>
    <w:p w14:paraId="68B8263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14:paraId="7590459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395BB86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4756ABA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2390F67A">
      <w:pPr>
        <w:spacing w:line="360" w:lineRule="auto"/>
        <w:ind w:firstLine="420" w:firstLineChars="200"/>
        <w:rPr>
          <w:rFonts w:hint="eastAsia" w:ascii="宋体" w:hAnsi="宋体" w:eastAsia="宋体" w:cs="宋体"/>
          <w:b w:val="0"/>
          <w:bCs w:val="0"/>
          <w:color w:val="auto"/>
          <w:kern w:val="0"/>
          <w:highlight w:val="none"/>
        </w:rPr>
      </w:pPr>
      <w:bookmarkStart w:id="353" w:name="_Toc351203596"/>
      <w:bookmarkStart w:id="354" w:name="_Toc337558813"/>
      <w:r>
        <w:rPr>
          <w:rFonts w:hint="eastAsia" w:ascii="宋体" w:hAnsi="宋体" w:eastAsia="宋体" w:cs="宋体"/>
          <w:b w:val="0"/>
          <w:bCs w:val="0"/>
          <w:color w:val="auto"/>
          <w:kern w:val="0"/>
          <w:highlight w:val="none"/>
        </w:rPr>
        <w:t>14.3 甩项竣工协议</w:t>
      </w:r>
      <w:bookmarkEnd w:id="353"/>
    </w:p>
    <w:bookmarkEnd w:id="354"/>
    <w:p w14:paraId="4D400F2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14:paraId="46E90D84">
      <w:pPr>
        <w:spacing w:line="360" w:lineRule="auto"/>
        <w:ind w:firstLine="420" w:firstLineChars="200"/>
        <w:rPr>
          <w:rFonts w:hint="eastAsia" w:ascii="宋体" w:hAnsi="宋体" w:eastAsia="宋体" w:cs="宋体"/>
          <w:b w:val="0"/>
          <w:bCs w:val="0"/>
          <w:color w:val="auto"/>
          <w:kern w:val="0"/>
          <w:highlight w:val="none"/>
        </w:rPr>
      </w:pPr>
      <w:bookmarkStart w:id="355" w:name="_Toc351203597"/>
      <w:bookmarkStart w:id="356" w:name="_Toc337558814"/>
      <w:r>
        <w:rPr>
          <w:rFonts w:hint="eastAsia" w:ascii="宋体" w:hAnsi="宋体" w:eastAsia="宋体" w:cs="宋体"/>
          <w:b w:val="0"/>
          <w:bCs w:val="0"/>
          <w:color w:val="auto"/>
          <w:kern w:val="0"/>
          <w:highlight w:val="none"/>
        </w:rPr>
        <w:t>14.4 最终结清</w:t>
      </w:r>
      <w:bookmarkEnd w:id="355"/>
    </w:p>
    <w:bookmarkEnd w:id="356"/>
    <w:p w14:paraId="478597A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14.4.1 最终结清申请单</w:t>
      </w:r>
    </w:p>
    <w:p w14:paraId="3CE4AE5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（1）除专用合同条款另有约定外，承包人应在缺陷责任期终止证书颁发后7天内，按专用合同条款约定的份数向发包人提交最终结清申请单，并提供相关证明材料。</w:t>
      </w:r>
    </w:p>
    <w:p w14:paraId="4541A51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除专用合同条款另有约定外，最终结清申请单应列明质量保证金、应扣除的质量保证金、缺陷责任期内发生的增减费用。</w:t>
      </w:r>
    </w:p>
    <w:p w14:paraId="2BE1D6D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（2）发包人对最终结清申请单内容有异议的，有权要求承包人进行修正和提供补充资料，承包人应向发包人提交修正后的最终结清申请单。</w:t>
      </w:r>
    </w:p>
    <w:p w14:paraId="16932BA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14.4.2 最终结清证书和支付</w:t>
      </w:r>
    </w:p>
    <w:p w14:paraId="36CC6DF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2E56213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3CA0B5F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（3）承包人对发包人颁发的最终结清证书有异议的，按第20条〔争议解决〕的约定办理。</w:t>
      </w:r>
    </w:p>
    <w:p w14:paraId="6325A285">
      <w:pPr>
        <w:spacing w:line="360" w:lineRule="auto"/>
        <w:ind w:firstLine="420" w:firstLineChars="200"/>
        <w:rPr>
          <w:rFonts w:hint="eastAsia" w:ascii="宋体" w:hAnsi="宋体" w:eastAsia="宋体" w:cs="宋体"/>
          <w:b w:val="0"/>
          <w:bCs w:val="0"/>
          <w:color w:val="auto"/>
          <w:kern w:val="0"/>
          <w:highlight w:val="none"/>
        </w:rPr>
      </w:pPr>
      <w:bookmarkStart w:id="357" w:name="_Toc351203598"/>
      <w:bookmarkStart w:id="358" w:name="_Toc337558815"/>
      <w:r>
        <w:rPr>
          <w:rFonts w:hint="eastAsia" w:ascii="宋体" w:hAnsi="宋体" w:eastAsia="宋体" w:cs="宋体"/>
          <w:b w:val="0"/>
          <w:bCs w:val="0"/>
          <w:color w:val="auto"/>
          <w:kern w:val="0"/>
          <w:highlight w:val="none"/>
        </w:rPr>
        <w:t>15. 缺陷责任与保修</w:t>
      </w:r>
      <w:bookmarkEnd w:id="357"/>
    </w:p>
    <w:bookmarkEnd w:id="347"/>
    <w:bookmarkEnd w:id="348"/>
    <w:bookmarkEnd w:id="358"/>
    <w:p w14:paraId="3804A3E3">
      <w:pPr>
        <w:spacing w:line="360" w:lineRule="auto"/>
        <w:ind w:firstLine="420" w:firstLineChars="200"/>
        <w:rPr>
          <w:rFonts w:hint="eastAsia" w:ascii="宋体" w:hAnsi="宋体" w:eastAsia="宋体" w:cs="宋体"/>
          <w:b w:val="0"/>
          <w:bCs w:val="0"/>
          <w:color w:val="auto"/>
          <w:kern w:val="0"/>
          <w:highlight w:val="none"/>
        </w:rPr>
      </w:pPr>
      <w:bookmarkStart w:id="359" w:name="_Toc351203599"/>
      <w:bookmarkStart w:id="360" w:name="_Toc337558816"/>
      <w:bookmarkStart w:id="361" w:name="_Toc296503114"/>
      <w:bookmarkStart w:id="362" w:name="_Toc296346615"/>
      <w:r>
        <w:rPr>
          <w:rFonts w:hint="eastAsia" w:ascii="宋体" w:hAnsi="宋体" w:eastAsia="宋体" w:cs="宋体"/>
          <w:b w:val="0"/>
          <w:bCs w:val="0"/>
          <w:color w:val="auto"/>
          <w:kern w:val="0"/>
          <w:highlight w:val="none"/>
        </w:rPr>
        <w:t>15.1 工程保修的原则</w:t>
      </w:r>
      <w:bookmarkEnd w:id="359"/>
    </w:p>
    <w:bookmarkEnd w:id="360"/>
    <w:p w14:paraId="5C6A4B7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在工程移交发包人后，因承包人原因产生的质量缺陷，承包人应承担质量缺陷责任和保修义务。缺陷责任期届满，承包人仍应按合同约定的工程各部位保修年限承担保修义务。</w:t>
      </w:r>
    </w:p>
    <w:p w14:paraId="79C68285">
      <w:pPr>
        <w:spacing w:line="360" w:lineRule="auto"/>
        <w:ind w:firstLine="420" w:firstLineChars="200"/>
        <w:rPr>
          <w:rFonts w:hint="eastAsia" w:ascii="宋体" w:hAnsi="宋体" w:eastAsia="宋体" w:cs="宋体"/>
          <w:b w:val="0"/>
          <w:bCs w:val="0"/>
          <w:color w:val="auto"/>
          <w:kern w:val="0"/>
          <w:highlight w:val="none"/>
        </w:rPr>
      </w:pPr>
      <w:bookmarkStart w:id="363" w:name="_Toc351203600"/>
      <w:bookmarkStart w:id="364" w:name="_Toc337558817"/>
      <w:r>
        <w:rPr>
          <w:rFonts w:hint="eastAsia" w:ascii="宋体" w:hAnsi="宋体" w:eastAsia="宋体" w:cs="宋体"/>
          <w:b w:val="0"/>
          <w:bCs w:val="0"/>
          <w:color w:val="auto"/>
          <w:kern w:val="0"/>
          <w:highlight w:val="none"/>
        </w:rPr>
        <w:t>15.2 缺陷责任期</w:t>
      </w:r>
      <w:bookmarkEnd w:id="361"/>
      <w:bookmarkEnd w:id="362"/>
      <w:bookmarkEnd w:id="363"/>
    </w:p>
    <w:bookmarkEnd w:id="364"/>
    <w:p w14:paraId="6093CF7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15.2.1 缺陷责任期从工程通过竣工验收之日起计算，合同当事人应在专用合同条款约定缺陷责任期的具体期限，但该期限最长不超过24个月。</w:t>
      </w:r>
    </w:p>
    <w:p w14:paraId="7E1D283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6A60F7F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包人延长缺陷责任期，并应在原缺陷责任期届满前发出延长通知。但缺陷责任期（含延长部分）最长不能超过24个月。</w:t>
      </w:r>
    </w:p>
    <w:p w14:paraId="05B455F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由他人原因造成的缺陷，发包人负责组织维修，承包人不承担费用，且发包人不得从保证金中扣除费用。</w:t>
      </w:r>
    </w:p>
    <w:p w14:paraId="4C7D784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15.2.3 任何一项缺陷或损坏修复后，经检查证明其影响了工程或工程设备的使用性能，承包人应重新进行合同约定的试验和试运行，试验和试运行的全部费用应由责任方承担。</w:t>
      </w:r>
    </w:p>
    <w:p w14:paraId="28EE37B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0CB4FC2E">
      <w:pPr>
        <w:spacing w:line="360" w:lineRule="auto"/>
        <w:ind w:firstLine="420" w:firstLineChars="200"/>
        <w:rPr>
          <w:rFonts w:hint="eastAsia" w:ascii="宋体" w:hAnsi="宋体" w:eastAsia="宋体" w:cs="宋体"/>
          <w:b w:val="0"/>
          <w:bCs w:val="0"/>
          <w:color w:val="auto"/>
          <w:kern w:val="0"/>
          <w:highlight w:val="none"/>
        </w:rPr>
      </w:pPr>
      <w:bookmarkStart w:id="365" w:name="_Toc351203601"/>
      <w:bookmarkStart w:id="366" w:name="_Toc337558818"/>
      <w:bookmarkStart w:id="367" w:name="_Toc296346616"/>
      <w:bookmarkStart w:id="368" w:name="_Toc296503115"/>
      <w:r>
        <w:rPr>
          <w:rFonts w:hint="eastAsia" w:ascii="宋体" w:hAnsi="宋体" w:eastAsia="宋体" w:cs="宋体"/>
          <w:b w:val="0"/>
          <w:bCs w:val="0"/>
          <w:color w:val="auto"/>
          <w:kern w:val="0"/>
          <w:highlight w:val="none"/>
        </w:rPr>
        <w:t>15.3 质量保证金</w:t>
      </w:r>
      <w:bookmarkEnd w:id="365"/>
    </w:p>
    <w:bookmarkEnd w:id="366"/>
    <w:p w14:paraId="531DC4E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经合同当事人协商一致扣留质量保证金的，应在专用合同条款中予以明确。</w:t>
      </w:r>
    </w:p>
    <w:p w14:paraId="03EEEE1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在工程项目竣工前，承包人已经提供履约担保的，发包人不得同时预留工程质量保证金。</w:t>
      </w:r>
    </w:p>
    <w:p w14:paraId="007E1A3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15.3.1 承包人提供质量保证金的方式</w:t>
      </w:r>
    </w:p>
    <w:p w14:paraId="61865A9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承包人提供质量保证金有以下三种方式：</w:t>
      </w:r>
    </w:p>
    <w:p w14:paraId="69DDE53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（1）质量保证金保函； </w:t>
      </w:r>
    </w:p>
    <w:p w14:paraId="4954B27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（2）相应比例的工程款；</w:t>
      </w:r>
    </w:p>
    <w:p w14:paraId="5BF5C70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（3）双方约定的其他方式。</w:t>
      </w:r>
    </w:p>
    <w:p w14:paraId="6C68657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除专用合同条款另有约定外，质量保证金原则上采用上述第（1）种方式。</w:t>
      </w:r>
    </w:p>
    <w:p w14:paraId="29CF601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15.3.2 质量保证金的扣留</w:t>
      </w:r>
    </w:p>
    <w:p w14:paraId="43FBC7B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质量保证金的扣留有以下三种方式：</w:t>
      </w:r>
    </w:p>
    <w:p w14:paraId="74C0503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（1）在支付工程进度款时逐次扣留，在此情形下，质量保证金的计算基数不包括预付款的支付、扣回以及价格调整的金额；</w:t>
      </w:r>
    </w:p>
    <w:p w14:paraId="406B64C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（2）工</w:t>
      </w:r>
      <w:bookmarkStart w:id="369" w:name="#go6"/>
      <w:bookmarkEnd w:id="369"/>
      <w:r>
        <w:rPr>
          <w:rFonts w:hint="eastAsia" w:ascii="宋体" w:hAnsi="宋体" w:eastAsia="宋体" w:cs="宋体"/>
          <w:b w:val="0"/>
          <w:bCs w:val="0"/>
          <w:color w:val="auto"/>
          <w:kern w:val="0"/>
          <w:highlight w:val="none"/>
        </w:rPr>
        <w:t>程竣工结算时一次性扣留质量保证金；</w:t>
      </w:r>
    </w:p>
    <w:p w14:paraId="0890982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（3）双方约定的其他扣留方式。</w:t>
      </w:r>
    </w:p>
    <w:p w14:paraId="5276F07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除专用合同条款另有约定外，质量保证金的扣留原则上采用上述第（1）种方式。</w:t>
      </w:r>
    </w:p>
    <w:p w14:paraId="62026C3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w:t>
      </w:r>
      <w:bookmarkStart w:id="370" w:name="#go4"/>
      <w:bookmarkEnd w:id="370"/>
      <w:r>
        <w:rPr>
          <w:rFonts w:hint="eastAsia" w:ascii="宋体" w:hAnsi="宋体" w:eastAsia="宋体" w:cs="宋体"/>
          <w:b w:val="0"/>
          <w:bCs w:val="0"/>
          <w:color w:val="auto"/>
          <w:kern w:val="0"/>
          <w:highlight w:val="none"/>
        </w:rPr>
        <w:t>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364311F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发包人在退还质量保证金的同时按照中国人民银行发布的同期同类贷款基准利率支付利息。</w:t>
      </w:r>
    </w:p>
    <w:p w14:paraId="2E3A826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15.3.3 质量保证金的退还</w:t>
      </w:r>
    </w:p>
    <w:p w14:paraId="0FA3829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缺陷责任期内，承包人认真履行合同约定的责任，到期后，承包人可向发包人申请返还保证金。</w:t>
      </w:r>
    </w:p>
    <w:p w14:paraId="7BD722C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5FE4E93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发包人和承包人对保证金预留、返还以及工程维修质量、费用有争议的，按本合同第20条约定的争议和纠纷解决程序处理。</w:t>
      </w:r>
    </w:p>
    <w:p w14:paraId="17C417E4">
      <w:pPr>
        <w:spacing w:line="360" w:lineRule="auto"/>
        <w:ind w:firstLine="420" w:firstLineChars="200"/>
        <w:rPr>
          <w:rFonts w:hint="eastAsia" w:ascii="宋体" w:hAnsi="宋体" w:eastAsia="宋体" w:cs="宋体"/>
          <w:b w:val="0"/>
          <w:bCs w:val="0"/>
          <w:color w:val="auto"/>
          <w:kern w:val="0"/>
          <w:highlight w:val="none"/>
        </w:rPr>
      </w:pPr>
      <w:bookmarkStart w:id="371" w:name="_Toc351203602"/>
      <w:bookmarkStart w:id="372" w:name="_Toc337558819"/>
      <w:r>
        <w:rPr>
          <w:rFonts w:hint="eastAsia" w:ascii="宋体" w:hAnsi="宋体" w:eastAsia="宋体" w:cs="宋体"/>
          <w:b w:val="0"/>
          <w:bCs w:val="0"/>
          <w:color w:val="auto"/>
          <w:kern w:val="0"/>
          <w:highlight w:val="none"/>
        </w:rPr>
        <w:t>15.4 保修</w:t>
      </w:r>
      <w:bookmarkEnd w:id="371"/>
    </w:p>
    <w:bookmarkEnd w:id="367"/>
    <w:bookmarkEnd w:id="368"/>
    <w:bookmarkEnd w:id="372"/>
    <w:p w14:paraId="5675759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15.4.1保修责任</w:t>
      </w:r>
    </w:p>
    <w:p w14:paraId="412148D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464AA7E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发包人未经竣工验收擅自使用工程的，保修期自转移占有之日起算。</w:t>
      </w:r>
    </w:p>
    <w:p w14:paraId="4E416A6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15.4.2 修复费用</w:t>
      </w:r>
    </w:p>
    <w:p w14:paraId="59B3531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保修期内，修复的费用按照以下约定处理：</w:t>
      </w:r>
    </w:p>
    <w:p w14:paraId="6FA7C41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（1）保修期内，因承包人原因造成工程的缺陷、损坏，承包人应负责修复，并承担修复的费用以及因工程的缺陷、损坏造成的人身伤害和财产损失；</w:t>
      </w:r>
    </w:p>
    <w:p w14:paraId="18C98C3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（2）保修期内，因发包人使用不当造成工程的缺陷、损坏，可以委托承包人修复，但发包人应承担修复的费用，并支付承包人合理利润；</w:t>
      </w:r>
    </w:p>
    <w:p w14:paraId="284408E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（3）因其他原因造成工程的缺陷、损坏，可以委托承包人修复，发包人应承担修复的费用，并支付承包人合理的利润，因工程的缺陷、损坏造成的人身伤害和财产损失由责任方承担。</w:t>
      </w:r>
    </w:p>
    <w:p w14:paraId="2447350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15.4.3 修复通知</w:t>
      </w:r>
    </w:p>
    <w:p w14:paraId="39840C9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0B3C66C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15.4.4 未能修复</w:t>
      </w:r>
    </w:p>
    <w:p w14:paraId="48E53C0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393CDB8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15.4.5 承包人出入权</w:t>
      </w:r>
    </w:p>
    <w:p w14:paraId="180BC62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16DF3207">
      <w:pPr>
        <w:spacing w:line="360" w:lineRule="auto"/>
        <w:ind w:firstLine="420" w:firstLineChars="200"/>
        <w:rPr>
          <w:rFonts w:hint="eastAsia" w:ascii="宋体" w:hAnsi="宋体" w:eastAsia="宋体" w:cs="宋体"/>
          <w:b w:val="0"/>
          <w:bCs w:val="0"/>
          <w:color w:val="auto"/>
          <w:kern w:val="0"/>
          <w:highlight w:val="none"/>
        </w:rPr>
      </w:pPr>
      <w:bookmarkStart w:id="373" w:name="_Toc351203603"/>
      <w:bookmarkStart w:id="374" w:name="_Toc337558820"/>
      <w:r>
        <w:rPr>
          <w:rFonts w:hint="eastAsia" w:ascii="宋体" w:hAnsi="宋体" w:eastAsia="宋体" w:cs="宋体"/>
          <w:b w:val="0"/>
          <w:bCs w:val="0"/>
          <w:color w:val="auto"/>
          <w:kern w:val="0"/>
          <w:highlight w:val="none"/>
        </w:rPr>
        <w:t>16. 违约</w:t>
      </w:r>
      <w:bookmarkEnd w:id="373"/>
    </w:p>
    <w:bookmarkEnd w:id="374"/>
    <w:p w14:paraId="32305F28">
      <w:pPr>
        <w:spacing w:line="360" w:lineRule="auto"/>
        <w:ind w:firstLine="420" w:firstLineChars="200"/>
        <w:rPr>
          <w:rFonts w:hint="eastAsia" w:ascii="宋体" w:hAnsi="宋体" w:eastAsia="宋体" w:cs="宋体"/>
          <w:b w:val="0"/>
          <w:bCs w:val="0"/>
          <w:color w:val="auto"/>
          <w:kern w:val="0"/>
          <w:highlight w:val="none"/>
        </w:rPr>
      </w:pPr>
      <w:bookmarkStart w:id="375" w:name="_Toc296346630"/>
      <w:bookmarkStart w:id="376" w:name="_Toc296503129"/>
      <w:bookmarkStart w:id="377" w:name="_Toc351203604"/>
      <w:bookmarkStart w:id="378" w:name="_Toc337558821"/>
      <w:r>
        <w:rPr>
          <w:rFonts w:hint="eastAsia" w:ascii="宋体" w:hAnsi="宋体" w:eastAsia="宋体" w:cs="宋体"/>
          <w:b w:val="0"/>
          <w:bCs w:val="0"/>
          <w:color w:val="auto"/>
          <w:kern w:val="0"/>
          <w:highlight w:val="none"/>
        </w:rPr>
        <w:t>16.1 发</w:t>
      </w:r>
      <w:bookmarkEnd w:id="375"/>
      <w:bookmarkEnd w:id="376"/>
      <w:r>
        <w:rPr>
          <w:rFonts w:hint="eastAsia" w:ascii="宋体" w:hAnsi="宋体" w:eastAsia="宋体" w:cs="宋体"/>
          <w:b w:val="0"/>
          <w:bCs w:val="0"/>
          <w:color w:val="auto"/>
          <w:kern w:val="0"/>
          <w:highlight w:val="none"/>
        </w:rPr>
        <w:t>包人违约</w:t>
      </w:r>
      <w:bookmarkEnd w:id="377"/>
    </w:p>
    <w:bookmarkEnd w:id="378"/>
    <w:p w14:paraId="2314FC4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16.1.1 发包人违约的情形</w:t>
      </w:r>
    </w:p>
    <w:p w14:paraId="58EBA9C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在合同履行过程中发生的下列情形，属于发包人违约：</w:t>
      </w:r>
    </w:p>
    <w:p w14:paraId="01F8F3A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（1）因发包人原因未能在计划开工日期前7天内下达开工通知的；</w:t>
      </w:r>
    </w:p>
    <w:p w14:paraId="3BE3F6F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（2）因发包人原因未能按合同约定支付合同价款的；</w:t>
      </w:r>
    </w:p>
    <w:p w14:paraId="5FB6EB9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（3）发包人违反第10.1款〔变更的范围〕第（2）项约定，自行实施被取消的工作或转由他人实施的；</w:t>
      </w:r>
    </w:p>
    <w:p w14:paraId="0B5B638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（4）发包人提供的材料、工程设备的规格、数量或质量不符合合同约定，或因发包人原因导致交货日期延误或交货地点变更等情况的；</w:t>
      </w:r>
    </w:p>
    <w:p w14:paraId="4E0F737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（5）因发包人违反合同约定造成暂停施工的；</w:t>
      </w:r>
    </w:p>
    <w:p w14:paraId="4A768F9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（6）发包人无正当理由没有在约定期限内发出复工指示，导致承包人无法复工的；</w:t>
      </w:r>
    </w:p>
    <w:p w14:paraId="0BA066E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（7）发包人明确表示或者以其行为表明不履行合同主要义务的；</w:t>
      </w:r>
    </w:p>
    <w:p w14:paraId="7C483DA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（8）发包人未能按照合同约定履行其他义务的。</w:t>
      </w:r>
    </w:p>
    <w:p w14:paraId="21472F6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33FC08B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16.1.2 发包人违约的责任</w:t>
      </w:r>
    </w:p>
    <w:p w14:paraId="696A28C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发包人应承担因其违约给承包人增加的费用和（或）延误的工期，并支付承包人合理的利润。此外，合同当事人可在专用合同条款中另行约定发包人违约责任的承担方式和计算方法。</w:t>
      </w:r>
    </w:p>
    <w:p w14:paraId="0FC9D56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16.1.3 因发包人违约解除合同</w:t>
      </w:r>
    </w:p>
    <w:p w14:paraId="2CC6718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7B340E7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16.1.4 因发包人违约解除合同后的付款</w:t>
      </w:r>
    </w:p>
    <w:p w14:paraId="6C229FA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承包人按照本款约定解除合同的，发包人应在解除合同后28天内支付下列款项，并解除履约担保：</w:t>
      </w:r>
    </w:p>
    <w:p w14:paraId="7324808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（1）合同解除前所完成工作的价款；</w:t>
      </w:r>
    </w:p>
    <w:p w14:paraId="69785AB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（2）承包人为工程施工订购并已付款的材料、工程设备和其他物品的价款；</w:t>
      </w:r>
    </w:p>
    <w:p w14:paraId="53B0442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（3）承包人撤离施工现场以及遣散承包人人员的款项；</w:t>
      </w:r>
    </w:p>
    <w:p w14:paraId="3C4A9F6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（4）按照合同约定在合同解除前应支付的违约金；</w:t>
      </w:r>
    </w:p>
    <w:p w14:paraId="1357844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（5）按照合同约定应当支付给承包人的其他款项；</w:t>
      </w:r>
    </w:p>
    <w:p w14:paraId="5556792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（6）按照合同约定应退还的质量保证金；</w:t>
      </w:r>
    </w:p>
    <w:p w14:paraId="4B762C1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（7）因解除合同给承包人造成的损失。</w:t>
      </w:r>
    </w:p>
    <w:p w14:paraId="5A96536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合同当事人未能就解除合同后的结清达成一致的，按照第20条〔争议解决〕的约定处理。</w:t>
      </w:r>
    </w:p>
    <w:p w14:paraId="1B6C9D7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承包人应妥善做好已完工程和与工程有关的已购材料、工程设备的保护和移交工作，并将施工设备和人员撤出施工现场，发包人应为承包人撤出提供必要条件。</w:t>
      </w:r>
    </w:p>
    <w:p w14:paraId="22EE8FFA">
      <w:pPr>
        <w:spacing w:line="360" w:lineRule="auto"/>
        <w:ind w:firstLine="420" w:firstLineChars="200"/>
        <w:rPr>
          <w:rFonts w:hint="eastAsia" w:ascii="宋体" w:hAnsi="宋体" w:eastAsia="宋体" w:cs="宋体"/>
          <w:b w:val="0"/>
          <w:bCs w:val="0"/>
          <w:color w:val="auto"/>
          <w:kern w:val="0"/>
          <w:highlight w:val="none"/>
        </w:rPr>
      </w:pPr>
      <w:bookmarkStart w:id="379" w:name="_Toc351203605"/>
      <w:bookmarkStart w:id="380" w:name="_Toc296346632"/>
      <w:bookmarkStart w:id="381" w:name="_Toc337558822"/>
      <w:bookmarkStart w:id="382" w:name="_Toc296503131"/>
      <w:r>
        <w:rPr>
          <w:rFonts w:hint="eastAsia" w:ascii="宋体" w:hAnsi="宋体" w:eastAsia="宋体" w:cs="宋体"/>
          <w:b w:val="0"/>
          <w:bCs w:val="0"/>
          <w:color w:val="auto"/>
          <w:kern w:val="0"/>
          <w:highlight w:val="none"/>
        </w:rPr>
        <w:t>16.2 承包人违约</w:t>
      </w:r>
      <w:bookmarkEnd w:id="379"/>
    </w:p>
    <w:bookmarkEnd w:id="380"/>
    <w:bookmarkEnd w:id="381"/>
    <w:bookmarkEnd w:id="382"/>
    <w:p w14:paraId="4898662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16.2.1 承包人违约的情形</w:t>
      </w:r>
    </w:p>
    <w:p w14:paraId="3FD29DC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在合同履行过程中发生的下列情形，属于承包人违约：</w:t>
      </w:r>
    </w:p>
    <w:p w14:paraId="6FED9F5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（1）承包人违反合同约定进行转包或违法分包的；</w:t>
      </w:r>
    </w:p>
    <w:p w14:paraId="5972851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（2）承包人违反合同约定采购和使用不合格的材料和工程设备的；</w:t>
      </w:r>
    </w:p>
    <w:p w14:paraId="29714F1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（3）因承包人原因导致工程质量不符合合同要求的； </w:t>
      </w:r>
    </w:p>
    <w:p w14:paraId="4A4D397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（4）承包人违反第8.9款〔材料与设备专用要求〕的约定，未经批准，私自将已按照合同约定进入施工现场的材料或设备撤离施工现场的；</w:t>
      </w:r>
    </w:p>
    <w:p w14:paraId="3A76C00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（5）承包人未能按施工进度计划及时完成合同约定的工作，造成工期延误的；</w:t>
      </w:r>
    </w:p>
    <w:p w14:paraId="6718FE0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（6）承包人在缺陷责任期及保修期内，未能在合理期限对工程缺陷进行修复，或拒绝按发包人要求进行修复的；</w:t>
      </w:r>
    </w:p>
    <w:p w14:paraId="467EC91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（7）承包人明确表示或者以其行为表明不履行合同主要义务的；</w:t>
      </w:r>
    </w:p>
    <w:p w14:paraId="49883FA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（8）承包人未能按照合同约定履行其他义务的。</w:t>
      </w:r>
    </w:p>
    <w:p w14:paraId="5D2F266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承包人发生除本项第（7）目约定以外的其他违约情况时，监理人可向承包人发出整改通知，要求其在指定的期限内改正。</w:t>
      </w:r>
    </w:p>
    <w:p w14:paraId="00A16CB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16.2.2 承包人违约的责任</w:t>
      </w:r>
    </w:p>
    <w:p w14:paraId="302F340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承包人应承担因其违约行为而增加的费用和（或）延误的工期。此外，合同当事人可在专用合同条款中另行约定承包人违约责任的承担方式和计算方法。</w:t>
      </w:r>
    </w:p>
    <w:p w14:paraId="3ADD9B6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16.2.3 因承包人违约解除合同</w:t>
      </w:r>
    </w:p>
    <w:p w14:paraId="3B66B98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19BEB86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16.2.4因承包人违约解除合同后的处理</w:t>
      </w:r>
    </w:p>
    <w:p w14:paraId="0164D54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因承包人原因导致合同解除的，则合同当事人应在合同解除后28天内完成估价、付款和清算，并按以下约定执行：</w:t>
      </w:r>
    </w:p>
    <w:p w14:paraId="7871380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（1）合同解除后，按第4.4款〔商定或确定〕商定或确定承包人实际完成工作对应的合同价款，以及承包人已提供的材料、工程设备、施工设备和临时工程等的价值；</w:t>
      </w:r>
    </w:p>
    <w:p w14:paraId="5076F84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（2）合同解除后，承包人应支付的违约金；</w:t>
      </w:r>
    </w:p>
    <w:p w14:paraId="51457F7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（3）合同解除后，因解除合同给发包人造成的损失；</w:t>
      </w:r>
    </w:p>
    <w:p w14:paraId="60C7EA0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（4）合同解除后，承包人应按照发包人要求和监理人的指示完成现场的清理和撤离；</w:t>
      </w:r>
    </w:p>
    <w:p w14:paraId="053215C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（5）发包人和承包人应在合同解除后进行清算，出具最终结清付款证书，结清全部款项。</w:t>
      </w:r>
    </w:p>
    <w:p w14:paraId="6DD30C5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5AD1087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16.2.5采购合同权益转让</w:t>
      </w:r>
    </w:p>
    <w:p w14:paraId="56753DE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5A4EF52A">
      <w:pPr>
        <w:spacing w:line="360" w:lineRule="auto"/>
        <w:ind w:firstLine="420" w:firstLineChars="200"/>
        <w:rPr>
          <w:rFonts w:hint="eastAsia" w:ascii="宋体" w:hAnsi="宋体" w:eastAsia="宋体" w:cs="宋体"/>
          <w:b w:val="0"/>
          <w:bCs w:val="0"/>
          <w:color w:val="auto"/>
          <w:kern w:val="0"/>
          <w:highlight w:val="none"/>
        </w:rPr>
      </w:pPr>
      <w:bookmarkStart w:id="383" w:name="_Toc351203606"/>
      <w:r>
        <w:rPr>
          <w:rFonts w:hint="eastAsia" w:ascii="宋体" w:hAnsi="宋体" w:eastAsia="宋体" w:cs="宋体"/>
          <w:b w:val="0"/>
          <w:bCs w:val="0"/>
          <w:color w:val="auto"/>
          <w:kern w:val="0"/>
          <w:highlight w:val="none"/>
        </w:rPr>
        <w:t>16.3 第三人造成的违约</w:t>
      </w:r>
      <w:bookmarkEnd w:id="383"/>
    </w:p>
    <w:p w14:paraId="035B3D1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在履行合同过程中，一方当事人因第三人的原因造成违约的，应当向对方当事人承担违约责任。一方当事人和第三人之间的纠纷，依照法律规定或者按照约定解决。</w:t>
      </w:r>
    </w:p>
    <w:p w14:paraId="67FC2BFF">
      <w:pPr>
        <w:spacing w:line="360" w:lineRule="auto"/>
        <w:ind w:firstLine="420" w:firstLineChars="200"/>
        <w:rPr>
          <w:rFonts w:hint="eastAsia" w:ascii="宋体" w:hAnsi="宋体" w:eastAsia="宋体" w:cs="宋体"/>
          <w:b w:val="0"/>
          <w:bCs w:val="0"/>
          <w:color w:val="auto"/>
          <w:kern w:val="0"/>
          <w:highlight w:val="none"/>
        </w:rPr>
      </w:pPr>
      <w:bookmarkStart w:id="384" w:name="_Toc351203607"/>
      <w:bookmarkStart w:id="385" w:name="_Toc296503116"/>
      <w:bookmarkStart w:id="386" w:name="_Toc337558823"/>
      <w:bookmarkStart w:id="387" w:name="_Toc296346617"/>
      <w:r>
        <w:rPr>
          <w:rFonts w:hint="eastAsia" w:ascii="宋体" w:hAnsi="宋体" w:eastAsia="宋体" w:cs="宋体"/>
          <w:b w:val="0"/>
          <w:bCs w:val="0"/>
          <w:color w:val="auto"/>
          <w:kern w:val="0"/>
          <w:highlight w:val="none"/>
        </w:rPr>
        <w:t>17. 不可抗力</w:t>
      </w:r>
      <w:bookmarkEnd w:id="384"/>
      <w:r>
        <w:rPr>
          <w:rFonts w:hint="eastAsia" w:ascii="宋体" w:hAnsi="宋体" w:eastAsia="宋体" w:cs="宋体"/>
          <w:b w:val="0"/>
          <w:bCs w:val="0"/>
          <w:color w:val="auto"/>
          <w:kern w:val="0"/>
          <w:highlight w:val="none"/>
        </w:rPr>
        <w:t xml:space="preserve"> </w:t>
      </w:r>
      <w:bookmarkEnd w:id="385"/>
      <w:bookmarkEnd w:id="386"/>
      <w:bookmarkEnd w:id="387"/>
    </w:p>
    <w:p w14:paraId="77F3F552">
      <w:pPr>
        <w:spacing w:line="360" w:lineRule="auto"/>
        <w:ind w:firstLine="420" w:firstLineChars="200"/>
        <w:rPr>
          <w:rFonts w:hint="eastAsia" w:ascii="宋体" w:hAnsi="宋体" w:eastAsia="宋体" w:cs="宋体"/>
          <w:b w:val="0"/>
          <w:bCs w:val="0"/>
          <w:color w:val="auto"/>
          <w:kern w:val="0"/>
          <w:highlight w:val="none"/>
        </w:rPr>
      </w:pPr>
      <w:bookmarkStart w:id="388" w:name="_Toc351203608"/>
      <w:bookmarkStart w:id="389" w:name="_Toc296503117"/>
      <w:bookmarkStart w:id="390" w:name="_Toc337558824"/>
      <w:bookmarkStart w:id="391" w:name="_Toc296346618"/>
      <w:r>
        <w:rPr>
          <w:rFonts w:hint="eastAsia" w:ascii="宋体" w:hAnsi="宋体" w:eastAsia="宋体" w:cs="宋体"/>
          <w:b w:val="0"/>
          <w:bCs w:val="0"/>
          <w:color w:val="auto"/>
          <w:kern w:val="0"/>
          <w:highlight w:val="none"/>
        </w:rPr>
        <w:t>17.1 不可抗力的确认</w:t>
      </w:r>
      <w:bookmarkEnd w:id="388"/>
    </w:p>
    <w:bookmarkEnd w:id="389"/>
    <w:bookmarkEnd w:id="390"/>
    <w:bookmarkEnd w:id="391"/>
    <w:p w14:paraId="764437B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581DB33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22AE94D0">
      <w:pPr>
        <w:spacing w:line="360" w:lineRule="auto"/>
        <w:ind w:firstLine="420" w:firstLineChars="200"/>
        <w:rPr>
          <w:rFonts w:hint="eastAsia" w:ascii="宋体" w:hAnsi="宋体" w:eastAsia="宋体" w:cs="宋体"/>
          <w:b w:val="0"/>
          <w:bCs w:val="0"/>
          <w:color w:val="auto"/>
          <w:kern w:val="0"/>
          <w:highlight w:val="none"/>
        </w:rPr>
      </w:pPr>
      <w:bookmarkStart w:id="392" w:name="_Toc351203609"/>
      <w:bookmarkStart w:id="393" w:name="_Toc296503118"/>
      <w:bookmarkStart w:id="394" w:name="_Toc296346619"/>
      <w:bookmarkStart w:id="395" w:name="_Toc337558825"/>
      <w:r>
        <w:rPr>
          <w:rFonts w:hint="eastAsia" w:ascii="宋体" w:hAnsi="宋体" w:eastAsia="宋体" w:cs="宋体"/>
          <w:b w:val="0"/>
          <w:bCs w:val="0"/>
          <w:color w:val="auto"/>
          <w:kern w:val="0"/>
          <w:highlight w:val="none"/>
        </w:rPr>
        <w:t>17.2 不可抗力的通知</w:t>
      </w:r>
      <w:bookmarkEnd w:id="392"/>
    </w:p>
    <w:bookmarkEnd w:id="393"/>
    <w:bookmarkEnd w:id="394"/>
    <w:bookmarkEnd w:id="395"/>
    <w:p w14:paraId="30F17EE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合同一方当事人遇到不可抗力事件，使其履行合同义务受到阻碍时，应立即通知合同另一方当事人和监理人，书面说明不可抗力和受阻碍的详细情况，并提供必要的证明。</w:t>
      </w:r>
    </w:p>
    <w:p w14:paraId="2AFD297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07B99CB0">
      <w:pPr>
        <w:spacing w:line="360" w:lineRule="auto"/>
        <w:ind w:firstLine="420" w:firstLineChars="200"/>
        <w:rPr>
          <w:rFonts w:hint="eastAsia" w:ascii="宋体" w:hAnsi="宋体" w:eastAsia="宋体" w:cs="宋体"/>
          <w:b w:val="0"/>
          <w:bCs w:val="0"/>
          <w:color w:val="auto"/>
          <w:kern w:val="0"/>
          <w:highlight w:val="none"/>
        </w:rPr>
      </w:pPr>
      <w:bookmarkStart w:id="396" w:name="_Toc351203610"/>
      <w:bookmarkStart w:id="397" w:name="_Toc296346620"/>
      <w:bookmarkStart w:id="398" w:name="_Toc296503119"/>
      <w:bookmarkStart w:id="399" w:name="_Toc337558826"/>
      <w:r>
        <w:rPr>
          <w:rFonts w:hint="eastAsia" w:ascii="宋体" w:hAnsi="宋体" w:eastAsia="宋体" w:cs="宋体"/>
          <w:b w:val="0"/>
          <w:bCs w:val="0"/>
          <w:color w:val="auto"/>
          <w:kern w:val="0"/>
          <w:highlight w:val="none"/>
        </w:rPr>
        <w:t>17.3 不可抗力后果的承担</w:t>
      </w:r>
      <w:bookmarkEnd w:id="396"/>
    </w:p>
    <w:bookmarkEnd w:id="397"/>
    <w:bookmarkEnd w:id="398"/>
    <w:bookmarkEnd w:id="399"/>
    <w:p w14:paraId="572F945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17.3.1 不可抗力引起的后果及造成的损失由合同当事人按照法律规定及合同约定各自承担。不可抗力发生前已完成的工程应当按照合同约定进行计量支付。</w:t>
      </w:r>
    </w:p>
    <w:p w14:paraId="7D7D5EE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17.3.2 不可抗力导致的人员伤亡、财产损失、费用增加和（或）工期延误等后果，由合同当事人按以下原则承担：</w:t>
      </w:r>
    </w:p>
    <w:p w14:paraId="4B8BAE4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（1）永久工程、已运至施工现场的材料和工程设备的损坏，以及因工程损坏造成的第三人人员伤亡和财产损失由发包人承担；</w:t>
      </w:r>
    </w:p>
    <w:p w14:paraId="78B5E75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（2）承包人施工设备的损坏由承包人承担；</w:t>
      </w:r>
    </w:p>
    <w:p w14:paraId="67E25C9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（3）发包人和承包人承担各自人员伤亡和财产的损失；</w:t>
      </w:r>
    </w:p>
    <w:p w14:paraId="4C692C3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5AE1B22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（5）因不可抗力引起或将引起工期延误，发包人要求赶工的，由此增加的赶工费用由发包人承担；</w:t>
      </w:r>
    </w:p>
    <w:p w14:paraId="5BF3883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（6）承包人在停工期间按照发包人要求照管、清理和修复工程的费用由发包人承担。</w:t>
      </w:r>
    </w:p>
    <w:p w14:paraId="519CBE7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不可抗力发生后，合同当事人均应采取措施尽量避免和减少损失的扩大，任何一方当事人没有采取有效措施导致损失扩大的，应对扩大的损失承担责任。</w:t>
      </w:r>
    </w:p>
    <w:p w14:paraId="4D87C92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因合同一方迟延履行合同义务，在迟延履行期间遭遇不可抗力的，不免除其违约责任。</w:t>
      </w:r>
    </w:p>
    <w:p w14:paraId="64CB14BD">
      <w:pPr>
        <w:spacing w:line="360" w:lineRule="auto"/>
        <w:ind w:firstLine="420" w:firstLineChars="200"/>
        <w:rPr>
          <w:rFonts w:hint="eastAsia" w:ascii="宋体" w:hAnsi="宋体" w:eastAsia="宋体" w:cs="宋体"/>
          <w:b w:val="0"/>
          <w:bCs w:val="0"/>
          <w:color w:val="auto"/>
          <w:kern w:val="0"/>
          <w:highlight w:val="none"/>
        </w:rPr>
      </w:pPr>
      <w:bookmarkStart w:id="400" w:name="_Toc351203611"/>
      <w:bookmarkStart w:id="401" w:name="_Toc337558827"/>
      <w:r>
        <w:rPr>
          <w:rFonts w:hint="eastAsia" w:ascii="宋体" w:hAnsi="宋体" w:eastAsia="宋体" w:cs="宋体"/>
          <w:b w:val="0"/>
          <w:bCs w:val="0"/>
          <w:color w:val="auto"/>
          <w:kern w:val="0"/>
          <w:highlight w:val="none"/>
        </w:rPr>
        <w:t>17.4 因不可抗力解除合同</w:t>
      </w:r>
      <w:bookmarkEnd w:id="400"/>
    </w:p>
    <w:bookmarkEnd w:id="401"/>
    <w:p w14:paraId="5B2715F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516FBFF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（1）合同解除前承包人已完成工作的价款；</w:t>
      </w:r>
    </w:p>
    <w:p w14:paraId="49628B8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（2）承包人为工程订购的并已交付给承包人，或承包人有责任接受交付的材料、工程设备和其他物品的价款；</w:t>
      </w:r>
    </w:p>
    <w:p w14:paraId="5B64DB0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（3）发包人要求承包人退货或解除订货合同而产生的费用，或因不能退货或解除合同而产生的损失；</w:t>
      </w:r>
    </w:p>
    <w:p w14:paraId="42F85BF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（4）承包人撤离施工现场以及遣散承包人人员的费用；</w:t>
      </w:r>
    </w:p>
    <w:p w14:paraId="37347E1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（5）按照合同约定在合同解除前应支付给承包人的其他款项；</w:t>
      </w:r>
    </w:p>
    <w:p w14:paraId="13B2D23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（6）扣减承包人按照合同约定应向发包人支付的款项；</w:t>
      </w:r>
    </w:p>
    <w:p w14:paraId="1642250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（7）双方商定或确定的其他款项。</w:t>
      </w:r>
    </w:p>
    <w:p w14:paraId="3A7B301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除专用合同条款另有约定外，合同解除后，发包人应在商定或确定上述款项后28天内完成上述款项的支付。</w:t>
      </w:r>
    </w:p>
    <w:p w14:paraId="5206CE9D">
      <w:pPr>
        <w:spacing w:line="360" w:lineRule="auto"/>
        <w:ind w:firstLine="420" w:firstLineChars="200"/>
        <w:rPr>
          <w:rFonts w:hint="eastAsia" w:ascii="宋体" w:hAnsi="宋体" w:eastAsia="宋体" w:cs="宋体"/>
          <w:b w:val="0"/>
          <w:bCs w:val="0"/>
          <w:color w:val="auto"/>
          <w:kern w:val="0"/>
          <w:highlight w:val="none"/>
        </w:rPr>
      </w:pPr>
      <w:bookmarkStart w:id="402" w:name="_Toc351203612"/>
      <w:bookmarkStart w:id="403" w:name="_Toc296346621"/>
      <w:bookmarkStart w:id="404" w:name="_Toc296503120"/>
      <w:bookmarkStart w:id="405" w:name="_Toc337558828"/>
      <w:r>
        <w:rPr>
          <w:rFonts w:hint="eastAsia" w:ascii="宋体" w:hAnsi="宋体" w:eastAsia="宋体" w:cs="宋体"/>
          <w:b w:val="0"/>
          <w:bCs w:val="0"/>
          <w:color w:val="auto"/>
          <w:kern w:val="0"/>
          <w:highlight w:val="none"/>
        </w:rPr>
        <w:t>18. 保险</w:t>
      </w:r>
      <w:bookmarkEnd w:id="402"/>
    </w:p>
    <w:bookmarkEnd w:id="403"/>
    <w:bookmarkEnd w:id="404"/>
    <w:bookmarkEnd w:id="405"/>
    <w:p w14:paraId="49613D0B">
      <w:pPr>
        <w:spacing w:line="360" w:lineRule="auto"/>
        <w:ind w:firstLine="420" w:firstLineChars="200"/>
        <w:rPr>
          <w:rFonts w:hint="eastAsia" w:ascii="宋体" w:hAnsi="宋体" w:eastAsia="宋体" w:cs="宋体"/>
          <w:b w:val="0"/>
          <w:bCs w:val="0"/>
          <w:color w:val="auto"/>
          <w:kern w:val="0"/>
          <w:highlight w:val="none"/>
        </w:rPr>
      </w:pPr>
      <w:bookmarkStart w:id="406" w:name="_Toc351203613"/>
      <w:bookmarkStart w:id="407" w:name="_Toc296346622"/>
      <w:bookmarkStart w:id="408" w:name="_Toc296503121"/>
      <w:bookmarkStart w:id="409" w:name="_Toc337558829"/>
      <w:r>
        <w:rPr>
          <w:rFonts w:hint="eastAsia" w:ascii="宋体" w:hAnsi="宋体" w:eastAsia="宋体" w:cs="宋体"/>
          <w:b w:val="0"/>
          <w:bCs w:val="0"/>
          <w:color w:val="auto"/>
          <w:kern w:val="0"/>
          <w:highlight w:val="none"/>
        </w:rPr>
        <w:t>18.1 工程保险</w:t>
      </w:r>
      <w:bookmarkEnd w:id="406"/>
    </w:p>
    <w:bookmarkEnd w:id="407"/>
    <w:bookmarkEnd w:id="408"/>
    <w:bookmarkEnd w:id="409"/>
    <w:p w14:paraId="4F25210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除专用合同条款另有约定外，发包人应投保建筑工程一切险或安装工程一切险；发包人委托承包人投保的，因投保产生的保险费和其他相关费用由发包人承担。</w:t>
      </w:r>
    </w:p>
    <w:p w14:paraId="2CA18203">
      <w:pPr>
        <w:spacing w:line="360" w:lineRule="auto"/>
        <w:ind w:firstLine="420" w:firstLineChars="200"/>
        <w:rPr>
          <w:rFonts w:hint="eastAsia" w:ascii="宋体" w:hAnsi="宋体" w:eastAsia="宋体" w:cs="宋体"/>
          <w:b w:val="0"/>
          <w:bCs w:val="0"/>
          <w:color w:val="auto"/>
          <w:kern w:val="0"/>
          <w:highlight w:val="none"/>
        </w:rPr>
      </w:pPr>
      <w:bookmarkStart w:id="410" w:name="_Toc351203614"/>
      <w:bookmarkStart w:id="411" w:name="_Toc296503122"/>
      <w:bookmarkStart w:id="412" w:name="_Toc337558830"/>
      <w:bookmarkStart w:id="413" w:name="_Toc296346623"/>
      <w:r>
        <w:rPr>
          <w:rFonts w:hint="eastAsia" w:ascii="宋体" w:hAnsi="宋体" w:eastAsia="宋体" w:cs="宋体"/>
          <w:b w:val="0"/>
          <w:bCs w:val="0"/>
          <w:color w:val="auto"/>
          <w:kern w:val="0"/>
          <w:highlight w:val="none"/>
        </w:rPr>
        <w:t>18.2 工伤保险</w:t>
      </w:r>
      <w:bookmarkEnd w:id="410"/>
    </w:p>
    <w:bookmarkEnd w:id="411"/>
    <w:bookmarkEnd w:id="412"/>
    <w:bookmarkEnd w:id="413"/>
    <w:p w14:paraId="641D959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18.2.1 发包人应依照法律规定参加工伤保险，并为在施工现场的全部员工办理工伤保险，缴纳工伤保险费，并要求监理人及由发包人为履行合同聘请的第三方依法参加工伤保险。</w:t>
      </w:r>
    </w:p>
    <w:p w14:paraId="1137926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18.2.2 承包人应依照法律规定参加工伤保险，并为其履行合同的全部员工办理工伤保险，缴纳工伤保险费，并要求分包人及由承包人为履行合同聘请的第三方依法参加工伤保险。</w:t>
      </w:r>
    </w:p>
    <w:p w14:paraId="12ABBAD1">
      <w:pPr>
        <w:spacing w:line="360" w:lineRule="auto"/>
        <w:ind w:firstLine="420" w:firstLineChars="200"/>
        <w:rPr>
          <w:rFonts w:hint="eastAsia" w:ascii="宋体" w:hAnsi="宋体" w:eastAsia="宋体" w:cs="宋体"/>
          <w:b w:val="0"/>
          <w:bCs w:val="0"/>
          <w:color w:val="auto"/>
          <w:kern w:val="0"/>
          <w:highlight w:val="none"/>
        </w:rPr>
      </w:pPr>
      <w:bookmarkStart w:id="414" w:name="_Toc351203615"/>
      <w:bookmarkStart w:id="415" w:name="_Toc296503125"/>
      <w:bookmarkStart w:id="416" w:name="_Toc296346626"/>
      <w:bookmarkStart w:id="417" w:name="_Toc337558831"/>
      <w:r>
        <w:rPr>
          <w:rFonts w:hint="eastAsia" w:ascii="宋体" w:hAnsi="宋体" w:eastAsia="宋体" w:cs="宋体"/>
          <w:b w:val="0"/>
          <w:bCs w:val="0"/>
          <w:color w:val="auto"/>
          <w:kern w:val="0"/>
          <w:highlight w:val="none"/>
        </w:rPr>
        <w:t>18.3其他保险</w:t>
      </w:r>
      <w:bookmarkEnd w:id="414"/>
    </w:p>
    <w:bookmarkEnd w:id="415"/>
    <w:bookmarkEnd w:id="416"/>
    <w:bookmarkEnd w:id="417"/>
    <w:p w14:paraId="4BB9681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发包人和承包人可以为其施工现场的全部人员办理意外伤害保险并支付保险费，包括其员工及为履行合同聘请的第三方的人员，具体事项由合同当事人在专用合同条款约定。</w:t>
      </w:r>
    </w:p>
    <w:p w14:paraId="7AC56461">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除专用合同条款另有约定外，承包人应为其施工设备等办理财产保险。</w:t>
      </w:r>
    </w:p>
    <w:p w14:paraId="3B6F0E1E">
      <w:pPr>
        <w:spacing w:line="360" w:lineRule="auto"/>
        <w:ind w:firstLine="420" w:firstLineChars="200"/>
        <w:rPr>
          <w:rFonts w:hint="eastAsia" w:ascii="宋体" w:hAnsi="宋体" w:eastAsia="宋体" w:cs="宋体"/>
          <w:b w:val="0"/>
          <w:bCs w:val="0"/>
          <w:color w:val="auto"/>
          <w:kern w:val="0"/>
          <w:highlight w:val="none"/>
        </w:rPr>
      </w:pPr>
      <w:bookmarkStart w:id="418" w:name="_Toc351203616"/>
      <w:r>
        <w:rPr>
          <w:rFonts w:hint="eastAsia" w:ascii="宋体" w:hAnsi="宋体" w:eastAsia="宋体" w:cs="宋体"/>
          <w:b w:val="0"/>
          <w:bCs w:val="0"/>
          <w:color w:val="auto"/>
          <w:kern w:val="0"/>
          <w:highlight w:val="none"/>
        </w:rPr>
        <w:t>18.4持续保险</w:t>
      </w:r>
      <w:bookmarkEnd w:id="418"/>
    </w:p>
    <w:p w14:paraId="739A4AA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合同当事人应与保险人保持联系，使保险人能够随时了解工程实施中的变动，并确保按保险合同条款要求持续保险。</w:t>
      </w:r>
    </w:p>
    <w:p w14:paraId="727FED22">
      <w:pPr>
        <w:spacing w:line="360" w:lineRule="auto"/>
        <w:ind w:firstLine="420" w:firstLineChars="200"/>
        <w:rPr>
          <w:rFonts w:hint="eastAsia" w:ascii="宋体" w:hAnsi="宋体" w:eastAsia="宋体" w:cs="宋体"/>
          <w:b w:val="0"/>
          <w:bCs w:val="0"/>
          <w:color w:val="auto"/>
          <w:kern w:val="0"/>
          <w:highlight w:val="none"/>
        </w:rPr>
      </w:pPr>
      <w:bookmarkStart w:id="419" w:name="_Toc351203617"/>
      <w:bookmarkStart w:id="420" w:name="_Toc337558832"/>
      <w:bookmarkStart w:id="421" w:name="_Toc296503126"/>
      <w:bookmarkStart w:id="422" w:name="_Toc296346627"/>
      <w:r>
        <w:rPr>
          <w:rFonts w:hint="eastAsia" w:ascii="宋体" w:hAnsi="宋体" w:eastAsia="宋体" w:cs="宋体"/>
          <w:b w:val="0"/>
          <w:bCs w:val="0"/>
          <w:color w:val="auto"/>
          <w:kern w:val="0"/>
          <w:highlight w:val="none"/>
        </w:rPr>
        <w:t>18.5 保险凭证</w:t>
      </w:r>
      <w:bookmarkEnd w:id="419"/>
    </w:p>
    <w:bookmarkEnd w:id="420"/>
    <w:bookmarkEnd w:id="421"/>
    <w:bookmarkEnd w:id="422"/>
    <w:p w14:paraId="628CDD0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合同当事人应及时向另一方当事人提交其已投保的各项保险的凭证和保险单复印件。</w:t>
      </w:r>
    </w:p>
    <w:p w14:paraId="3EBD605B">
      <w:pPr>
        <w:spacing w:line="360" w:lineRule="auto"/>
        <w:ind w:firstLine="420" w:firstLineChars="200"/>
        <w:rPr>
          <w:rFonts w:hint="eastAsia" w:ascii="宋体" w:hAnsi="宋体" w:eastAsia="宋体" w:cs="宋体"/>
          <w:b w:val="0"/>
          <w:bCs w:val="0"/>
          <w:color w:val="auto"/>
          <w:kern w:val="0"/>
          <w:highlight w:val="none"/>
        </w:rPr>
      </w:pPr>
      <w:bookmarkStart w:id="423" w:name="_Toc351203618"/>
      <w:bookmarkStart w:id="424" w:name="_Toc337558833"/>
      <w:bookmarkStart w:id="425" w:name="_Toc296346628"/>
      <w:bookmarkStart w:id="426" w:name="_Toc296503127"/>
      <w:r>
        <w:rPr>
          <w:rFonts w:hint="eastAsia" w:ascii="宋体" w:hAnsi="宋体" w:eastAsia="宋体" w:cs="宋体"/>
          <w:b w:val="0"/>
          <w:bCs w:val="0"/>
          <w:color w:val="auto"/>
          <w:kern w:val="0"/>
          <w:highlight w:val="none"/>
        </w:rPr>
        <w:t>18.6 未按约定投保的补救</w:t>
      </w:r>
      <w:bookmarkEnd w:id="423"/>
    </w:p>
    <w:bookmarkEnd w:id="424"/>
    <w:bookmarkEnd w:id="425"/>
    <w:bookmarkEnd w:id="426"/>
    <w:p w14:paraId="70137FD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18.6.1发包人未按合同约定办理保险，或未能使保险持续有效的，则承包人可代为办理，所需费用由发包人承担。发包人未按合同约定办理保险，导致未能得到足额赔偿的，由发包人负责补足。</w:t>
      </w:r>
    </w:p>
    <w:p w14:paraId="6D4073E5">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18.6.2承包人未按合同约定办理保险，或未能使保险持续有效的，则发包人可代为办理，所需费用由承包人承担。承包人未按合同约定办理保险，导致未能得到足额赔偿的，由承包人负责补足。</w:t>
      </w:r>
    </w:p>
    <w:p w14:paraId="29FC8E78">
      <w:pPr>
        <w:spacing w:line="360" w:lineRule="auto"/>
        <w:ind w:firstLine="420" w:firstLineChars="200"/>
        <w:rPr>
          <w:rFonts w:hint="eastAsia" w:ascii="宋体" w:hAnsi="宋体" w:eastAsia="宋体" w:cs="宋体"/>
          <w:b w:val="0"/>
          <w:bCs w:val="0"/>
          <w:color w:val="auto"/>
          <w:kern w:val="0"/>
          <w:highlight w:val="none"/>
        </w:rPr>
      </w:pPr>
      <w:bookmarkStart w:id="427" w:name="_Toc351203619"/>
      <w:bookmarkStart w:id="428" w:name="_Toc337558834"/>
      <w:r>
        <w:rPr>
          <w:rFonts w:hint="eastAsia" w:ascii="宋体" w:hAnsi="宋体" w:eastAsia="宋体" w:cs="宋体"/>
          <w:b w:val="0"/>
          <w:bCs w:val="0"/>
          <w:color w:val="auto"/>
          <w:kern w:val="0"/>
          <w:highlight w:val="none"/>
        </w:rPr>
        <w:t>18.7 通知义务</w:t>
      </w:r>
      <w:bookmarkEnd w:id="427"/>
    </w:p>
    <w:bookmarkEnd w:id="428"/>
    <w:p w14:paraId="59141D1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13931C8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保险事故发生时，投保人应按照保险合同规定的条件和期限及时向保险人报告。发包人和承包人应当在知道保险事故发生后及时通知对方。</w:t>
      </w:r>
    </w:p>
    <w:p w14:paraId="18AA8BDD">
      <w:pPr>
        <w:spacing w:line="360" w:lineRule="auto"/>
        <w:ind w:firstLine="420" w:firstLineChars="200"/>
        <w:rPr>
          <w:rFonts w:hint="eastAsia" w:ascii="宋体" w:hAnsi="宋体" w:eastAsia="宋体" w:cs="宋体"/>
          <w:b w:val="0"/>
          <w:bCs w:val="0"/>
          <w:color w:val="auto"/>
          <w:kern w:val="0"/>
          <w:highlight w:val="none"/>
        </w:rPr>
      </w:pPr>
      <w:bookmarkStart w:id="429" w:name="_Toc351203620"/>
      <w:bookmarkStart w:id="430" w:name="_Toc296346641"/>
      <w:bookmarkStart w:id="431" w:name="_Toc337558835"/>
      <w:bookmarkStart w:id="432" w:name="_Toc296503140"/>
      <w:r>
        <w:rPr>
          <w:rFonts w:hint="eastAsia" w:ascii="宋体" w:hAnsi="宋体" w:eastAsia="宋体" w:cs="宋体"/>
          <w:b w:val="0"/>
          <w:bCs w:val="0"/>
          <w:color w:val="auto"/>
          <w:kern w:val="0"/>
          <w:highlight w:val="none"/>
        </w:rPr>
        <w:t>19. 索赔</w:t>
      </w:r>
      <w:bookmarkEnd w:id="429"/>
    </w:p>
    <w:bookmarkEnd w:id="430"/>
    <w:bookmarkEnd w:id="431"/>
    <w:bookmarkEnd w:id="432"/>
    <w:p w14:paraId="4ECF6BC2">
      <w:pPr>
        <w:spacing w:line="360" w:lineRule="auto"/>
        <w:ind w:firstLine="420" w:firstLineChars="200"/>
        <w:rPr>
          <w:rFonts w:hint="eastAsia" w:ascii="宋体" w:hAnsi="宋体" w:eastAsia="宋体" w:cs="宋体"/>
          <w:b w:val="0"/>
          <w:bCs w:val="0"/>
          <w:color w:val="auto"/>
          <w:kern w:val="0"/>
          <w:highlight w:val="none"/>
        </w:rPr>
      </w:pPr>
      <w:bookmarkStart w:id="433" w:name="_Toc351203621"/>
      <w:bookmarkStart w:id="434" w:name="_Toc296346642"/>
      <w:bookmarkStart w:id="435" w:name="_Toc337558836"/>
      <w:bookmarkStart w:id="436" w:name="_Toc296503141"/>
      <w:r>
        <w:rPr>
          <w:rFonts w:hint="eastAsia" w:ascii="宋体" w:hAnsi="宋体" w:eastAsia="宋体" w:cs="宋体"/>
          <w:b w:val="0"/>
          <w:bCs w:val="0"/>
          <w:color w:val="auto"/>
          <w:kern w:val="0"/>
          <w:highlight w:val="none"/>
        </w:rPr>
        <w:t>19.1承包人的索赔</w:t>
      </w:r>
      <w:bookmarkEnd w:id="433"/>
    </w:p>
    <w:bookmarkEnd w:id="434"/>
    <w:bookmarkEnd w:id="435"/>
    <w:bookmarkEnd w:id="436"/>
    <w:p w14:paraId="2CE089D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根据合同约定，承包人认为有权得到追加付款和（或）延长工期的，应按以下程序向发包人提出索赔：</w:t>
      </w:r>
    </w:p>
    <w:p w14:paraId="351EF967">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63A91FA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（2）承包人应在发出索赔意向通知书后28天内，向监理人正式递交索赔报告；索赔报告应详细说明索赔理由以及要求追加的付款金额和（或）延长的工期，并附必要的记录和证明材料；</w:t>
      </w:r>
    </w:p>
    <w:p w14:paraId="0E39AAF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（3）索赔事件具有持续影响的，承包人应按合理时间间隔继续递交延续索赔通知，说明持续影响的实际情况和记录，列出累计的追加付款金额和（或）工期延长天数；</w:t>
      </w:r>
    </w:p>
    <w:p w14:paraId="53124E6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（4）在索赔事件影响结束后28天内，承包人应向监理人递交最终索赔报告，说明最终要求索赔的追加付款金额和（或）延长的工期，并附必要的记录和证明材料。</w:t>
      </w:r>
    </w:p>
    <w:p w14:paraId="6F44E630">
      <w:pPr>
        <w:spacing w:line="360" w:lineRule="auto"/>
        <w:ind w:firstLine="420" w:firstLineChars="200"/>
        <w:rPr>
          <w:rFonts w:hint="eastAsia" w:ascii="宋体" w:hAnsi="宋体" w:eastAsia="宋体" w:cs="宋体"/>
          <w:b w:val="0"/>
          <w:bCs w:val="0"/>
          <w:color w:val="auto"/>
          <w:kern w:val="0"/>
          <w:highlight w:val="none"/>
        </w:rPr>
      </w:pPr>
      <w:bookmarkStart w:id="437" w:name="_Toc351203622"/>
      <w:bookmarkStart w:id="438" w:name="_Toc296503142"/>
      <w:bookmarkStart w:id="439" w:name="_Toc296346643"/>
      <w:bookmarkStart w:id="440" w:name="_Toc337558837"/>
      <w:r>
        <w:rPr>
          <w:rFonts w:hint="eastAsia" w:ascii="宋体" w:hAnsi="宋体" w:eastAsia="宋体" w:cs="宋体"/>
          <w:b w:val="0"/>
          <w:bCs w:val="0"/>
          <w:color w:val="auto"/>
          <w:kern w:val="0"/>
          <w:highlight w:val="none"/>
        </w:rPr>
        <w:t>19.2 对承包人索赔的处理</w:t>
      </w:r>
      <w:bookmarkEnd w:id="437"/>
    </w:p>
    <w:bookmarkEnd w:id="438"/>
    <w:bookmarkEnd w:id="439"/>
    <w:bookmarkEnd w:id="440"/>
    <w:p w14:paraId="319EE1C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对承包人索赔的处理如下：</w:t>
      </w:r>
    </w:p>
    <w:p w14:paraId="192817A6">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（1）监理人应在收到索赔报告后14天内完成审查并报送发包人。监理人对索赔报告存在异议的，有权要求承包人提交全部原始记录副本；</w:t>
      </w:r>
    </w:p>
    <w:p w14:paraId="0E650EAD">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（2）发包人应在监理人收到索赔报告或有关索赔的进一步证明材料后的28天内，由监理人向承包人出具经发包人签认的索赔处理结果。发包人逾期答复的，则视为认可承包人的索赔要求；</w:t>
      </w:r>
    </w:p>
    <w:p w14:paraId="6C8A08D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（3）承包人接受索赔处理结果的，索赔款项在当期进度款中进行支付；承包人不接受索赔处理结果的，按照第20条〔争议解决〕约定处理。</w:t>
      </w:r>
    </w:p>
    <w:p w14:paraId="534059A3">
      <w:pPr>
        <w:spacing w:line="360" w:lineRule="auto"/>
        <w:ind w:firstLine="420" w:firstLineChars="200"/>
        <w:rPr>
          <w:rFonts w:hint="eastAsia" w:ascii="宋体" w:hAnsi="宋体" w:eastAsia="宋体" w:cs="宋体"/>
          <w:b w:val="0"/>
          <w:bCs w:val="0"/>
          <w:color w:val="auto"/>
          <w:kern w:val="0"/>
          <w:highlight w:val="none"/>
        </w:rPr>
      </w:pPr>
      <w:bookmarkStart w:id="441" w:name="_Toc351203623"/>
      <w:bookmarkStart w:id="442" w:name="_Toc296346644"/>
      <w:bookmarkStart w:id="443" w:name="_Toc296503143"/>
      <w:bookmarkStart w:id="444" w:name="_Toc337558838"/>
      <w:r>
        <w:rPr>
          <w:rFonts w:hint="eastAsia" w:ascii="宋体" w:hAnsi="宋体" w:eastAsia="宋体" w:cs="宋体"/>
          <w:b w:val="0"/>
          <w:bCs w:val="0"/>
          <w:color w:val="auto"/>
          <w:kern w:val="0"/>
          <w:highlight w:val="none"/>
        </w:rPr>
        <w:t>19.3发包人的索赔</w:t>
      </w:r>
      <w:bookmarkEnd w:id="441"/>
    </w:p>
    <w:bookmarkEnd w:id="442"/>
    <w:bookmarkEnd w:id="443"/>
    <w:bookmarkEnd w:id="444"/>
    <w:p w14:paraId="48DBB72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根据合同约定，发包人认为有权得到赔付金额和（或）延长缺陷责任期的，监理人应向承包人发出通知并附有详细的证明。</w:t>
      </w:r>
    </w:p>
    <w:p w14:paraId="29F60CF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2152992D">
      <w:pPr>
        <w:spacing w:line="360" w:lineRule="auto"/>
        <w:ind w:firstLine="420" w:firstLineChars="200"/>
        <w:rPr>
          <w:rFonts w:hint="eastAsia" w:ascii="宋体" w:hAnsi="宋体" w:eastAsia="宋体" w:cs="宋体"/>
          <w:b w:val="0"/>
          <w:bCs w:val="0"/>
          <w:color w:val="auto"/>
          <w:kern w:val="0"/>
          <w:highlight w:val="none"/>
        </w:rPr>
      </w:pPr>
      <w:bookmarkStart w:id="445" w:name="_Toc351203624"/>
      <w:bookmarkStart w:id="446" w:name="_Toc296503144"/>
      <w:bookmarkStart w:id="447" w:name="_Toc337558839"/>
      <w:bookmarkStart w:id="448" w:name="_Toc296346645"/>
      <w:r>
        <w:rPr>
          <w:rFonts w:hint="eastAsia" w:ascii="宋体" w:hAnsi="宋体" w:eastAsia="宋体" w:cs="宋体"/>
          <w:b w:val="0"/>
          <w:bCs w:val="0"/>
          <w:color w:val="auto"/>
          <w:kern w:val="0"/>
          <w:highlight w:val="none"/>
        </w:rPr>
        <w:t>19.4 对发包人索赔的处理</w:t>
      </w:r>
      <w:bookmarkEnd w:id="445"/>
    </w:p>
    <w:bookmarkEnd w:id="446"/>
    <w:bookmarkEnd w:id="447"/>
    <w:bookmarkEnd w:id="448"/>
    <w:p w14:paraId="0D9308F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对发包人索赔的处理如下：</w:t>
      </w:r>
    </w:p>
    <w:p w14:paraId="7520F05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（1）承包人收到发包人提交的索赔报告后，应及时审查索赔报告的内容、查验发包人证明材料；</w:t>
      </w:r>
    </w:p>
    <w:p w14:paraId="14B5489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（2）承包人应在收到索赔报告或有关索赔的进一步证明材料后28天内，将索赔处理结果答复发包人。如果承包人未在上述期限内作出答复的，则视为对发包人索赔要求的认可；</w:t>
      </w:r>
    </w:p>
    <w:p w14:paraId="5CB1EA4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（3）承包人接受索赔处理结果的，发包人可从应支付给承包人的合同价款中扣除赔付的金额或延长缺陷责任期；发包人不接受索赔处理结果的，按第20条〔争议解决〕约定处理。</w:t>
      </w:r>
    </w:p>
    <w:p w14:paraId="1C6DC4EA">
      <w:pPr>
        <w:spacing w:line="360" w:lineRule="auto"/>
        <w:ind w:firstLine="420" w:firstLineChars="200"/>
        <w:rPr>
          <w:rFonts w:hint="eastAsia" w:ascii="宋体" w:hAnsi="宋体" w:eastAsia="宋体" w:cs="宋体"/>
          <w:b w:val="0"/>
          <w:bCs w:val="0"/>
          <w:color w:val="auto"/>
          <w:kern w:val="0"/>
          <w:highlight w:val="none"/>
        </w:rPr>
      </w:pPr>
      <w:bookmarkStart w:id="449" w:name="_Toc351203625"/>
      <w:r>
        <w:rPr>
          <w:rFonts w:hint="eastAsia" w:ascii="宋体" w:hAnsi="宋体" w:eastAsia="宋体" w:cs="宋体"/>
          <w:b w:val="0"/>
          <w:bCs w:val="0"/>
          <w:color w:val="auto"/>
          <w:kern w:val="0"/>
          <w:highlight w:val="none"/>
        </w:rPr>
        <w:t>19.5 提出索赔的期限</w:t>
      </w:r>
      <w:bookmarkEnd w:id="449"/>
    </w:p>
    <w:p w14:paraId="6D43464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（1）承包人按第14.2款〔竣工结算审核〕约定接收竣工付款证书后，应被视为已无权再提出在工程接收证书颁发前所发生的任何索赔。</w:t>
      </w:r>
    </w:p>
    <w:p w14:paraId="46E313C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（2）承包人按第14.4款〔最终结清〕提交的最终结清申请单中，只限于提出工程接收证书颁发后发生的索赔。提出索赔的期限自接受最终结清证书时终止。</w:t>
      </w:r>
    </w:p>
    <w:p w14:paraId="34445F7E">
      <w:pPr>
        <w:spacing w:line="360" w:lineRule="auto"/>
        <w:ind w:firstLine="420" w:firstLineChars="200"/>
        <w:rPr>
          <w:rFonts w:hint="eastAsia" w:ascii="宋体" w:hAnsi="宋体" w:eastAsia="宋体" w:cs="宋体"/>
          <w:b w:val="0"/>
          <w:bCs w:val="0"/>
          <w:color w:val="auto"/>
          <w:kern w:val="0"/>
          <w:highlight w:val="none"/>
        </w:rPr>
      </w:pPr>
      <w:bookmarkStart w:id="450" w:name="_Toc351203626"/>
      <w:r>
        <w:rPr>
          <w:rFonts w:hint="eastAsia" w:ascii="宋体" w:hAnsi="宋体" w:eastAsia="宋体" w:cs="宋体"/>
          <w:b w:val="0"/>
          <w:bCs w:val="0"/>
          <w:color w:val="auto"/>
          <w:kern w:val="0"/>
          <w:highlight w:val="none"/>
        </w:rPr>
        <w:t>20</w:t>
      </w:r>
      <w:bookmarkStart w:id="451" w:name="_Toc337558840"/>
      <w:bookmarkStart w:id="452" w:name="_Toc296346647"/>
      <w:bookmarkStart w:id="453" w:name="_Toc296503146"/>
      <w:r>
        <w:rPr>
          <w:rFonts w:hint="eastAsia" w:ascii="宋体" w:hAnsi="宋体" w:eastAsia="宋体" w:cs="宋体"/>
          <w:b w:val="0"/>
          <w:bCs w:val="0"/>
          <w:color w:val="auto"/>
          <w:kern w:val="0"/>
          <w:highlight w:val="none"/>
        </w:rPr>
        <w:t>. 争议解决</w:t>
      </w:r>
      <w:bookmarkEnd w:id="450"/>
    </w:p>
    <w:bookmarkEnd w:id="451"/>
    <w:bookmarkEnd w:id="452"/>
    <w:bookmarkEnd w:id="453"/>
    <w:p w14:paraId="591A5470">
      <w:pPr>
        <w:spacing w:line="360" w:lineRule="auto"/>
        <w:ind w:firstLine="420" w:firstLineChars="200"/>
        <w:rPr>
          <w:rFonts w:hint="eastAsia" w:ascii="宋体" w:hAnsi="宋体" w:eastAsia="宋体" w:cs="宋体"/>
          <w:b w:val="0"/>
          <w:bCs w:val="0"/>
          <w:color w:val="auto"/>
          <w:kern w:val="0"/>
          <w:highlight w:val="none"/>
        </w:rPr>
      </w:pPr>
      <w:bookmarkStart w:id="454" w:name="_Toc351203627"/>
      <w:bookmarkStart w:id="455" w:name="_Toc296346648"/>
      <w:bookmarkStart w:id="456" w:name="_Toc337558841"/>
      <w:bookmarkStart w:id="457" w:name="_Toc296503147"/>
      <w:r>
        <w:rPr>
          <w:rFonts w:hint="eastAsia" w:ascii="宋体" w:hAnsi="宋体" w:eastAsia="宋体" w:cs="宋体"/>
          <w:b w:val="0"/>
          <w:bCs w:val="0"/>
          <w:color w:val="auto"/>
          <w:kern w:val="0"/>
          <w:highlight w:val="none"/>
        </w:rPr>
        <w:t>20.1和解</w:t>
      </w:r>
      <w:bookmarkEnd w:id="454"/>
    </w:p>
    <w:bookmarkEnd w:id="455"/>
    <w:bookmarkEnd w:id="456"/>
    <w:bookmarkEnd w:id="457"/>
    <w:p w14:paraId="1FCD3C7E">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合同当事人可以就争议自行和解，自行和解达成协议的经双方签字并盖章后作为合同补充文件，双方均应遵照执行。</w:t>
      </w:r>
    </w:p>
    <w:p w14:paraId="185CD142">
      <w:pPr>
        <w:spacing w:line="360" w:lineRule="auto"/>
        <w:ind w:firstLine="420" w:firstLineChars="200"/>
        <w:rPr>
          <w:rFonts w:hint="eastAsia" w:ascii="宋体" w:hAnsi="宋体" w:eastAsia="宋体" w:cs="宋体"/>
          <w:b w:val="0"/>
          <w:bCs w:val="0"/>
          <w:color w:val="auto"/>
          <w:kern w:val="0"/>
          <w:highlight w:val="none"/>
        </w:rPr>
      </w:pPr>
      <w:bookmarkStart w:id="458" w:name="_Toc351203628"/>
      <w:r>
        <w:rPr>
          <w:rFonts w:hint="eastAsia" w:ascii="宋体" w:hAnsi="宋体" w:eastAsia="宋体" w:cs="宋体"/>
          <w:b w:val="0"/>
          <w:bCs w:val="0"/>
          <w:color w:val="auto"/>
          <w:kern w:val="0"/>
          <w:highlight w:val="none"/>
        </w:rPr>
        <w:t>20</w:t>
      </w:r>
      <w:bookmarkStart w:id="459" w:name="_Toc337558842"/>
      <w:bookmarkStart w:id="460" w:name="_Toc296346649"/>
      <w:bookmarkStart w:id="461" w:name="_Toc296503148"/>
      <w:r>
        <w:rPr>
          <w:rFonts w:hint="eastAsia" w:ascii="宋体" w:hAnsi="宋体" w:eastAsia="宋体" w:cs="宋体"/>
          <w:b w:val="0"/>
          <w:bCs w:val="0"/>
          <w:color w:val="auto"/>
          <w:kern w:val="0"/>
          <w:highlight w:val="none"/>
        </w:rPr>
        <w:t>.2调解</w:t>
      </w:r>
      <w:bookmarkEnd w:id="458"/>
    </w:p>
    <w:bookmarkEnd w:id="459"/>
    <w:bookmarkEnd w:id="460"/>
    <w:bookmarkEnd w:id="461"/>
    <w:p w14:paraId="7AE44A80">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合同当事人可以就争议请求建设行政主管部门、行业协会或其他第三方进行调解，调解达成协议的，经双方签字并盖章后作为合同补充文件，双方均应遵照执行。</w:t>
      </w:r>
    </w:p>
    <w:p w14:paraId="79266403">
      <w:pPr>
        <w:spacing w:line="360" w:lineRule="auto"/>
        <w:ind w:firstLine="420" w:firstLineChars="200"/>
        <w:rPr>
          <w:rFonts w:hint="eastAsia" w:ascii="宋体" w:hAnsi="宋体" w:eastAsia="宋体" w:cs="宋体"/>
          <w:b w:val="0"/>
          <w:bCs w:val="0"/>
          <w:color w:val="auto"/>
          <w:kern w:val="0"/>
          <w:highlight w:val="none"/>
        </w:rPr>
      </w:pPr>
      <w:bookmarkStart w:id="462" w:name="_Toc351203629"/>
      <w:bookmarkStart w:id="463" w:name="_Toc296503149"/>
      <w:bookmarkStart w:id="464" w:name="_Toc337558843"/>
      <w:bookmarkStart w:id="465" w:name="_Toc296346650"/>
      <w:r>
        <w:rPr>
          <w:rFonts w:hint="eastAsia" w:ascii="宋体" w:hAnsi="宋体" w:eastAsia="宋体" w:cs="宋体"/>
          <w:b w:val="0"/>
          <w:bCs w:val="0"/>
          <w:color w:val="auto"/>
          <w:kern w:val="0"/>
          <w:highlight w:val="none"/>
        </w:rPr>
        <w:t>20.3争议评审</w:t>
      </w:r>
      <w:bookmarkEnd w:id="462"/>
    </w:p>
    <w:bookmarkEnd w:id="463"/>
    <w:bookmarkEnd w:id="464"/>
    <w:bookmarkEnd w:id="465"/>
    <w:p w14:paraId="1D07A0C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合同当事人在专用合同条款中约定采取争议评审方式解决争议以及评审规则，并按下列约定执行： </w:t>
      </w:r>
    </w:p>
    <w:p w14:paraId="7E68A789">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20.3.1 争议评审小组的确定</w:t>
      </w:r>
    </w:p>
    <w:p w14:paraId="3DCA21C3">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合同当事人可以共同选择一名或三名争议评审员，组成争议评审小组。除专用合同条款另有约定外，合同当事人应当自合同签订后28天内，或者争议发生后14天内，选定争议评审员。</w:t>
      </w:r>
    </w:p>
    <w:p w14:paraId="3F255C3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6D19EB7F">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除专用合同条款另有约定外，评审员报酬由发包人和承包人各承担一半。</w:t>
      </w:r>
    </w:p>
    <w:p w14:paraId="178C5BAA">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20.3.2 争议评审小组的决定</w:t>
      </w:r>
    </w:p>
    <w:p w14:paraId="66C87FB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55481E2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20.3.3 争议评审小组决定的效力</w:t>
      </w:r>
    </w:p>
    <w:p w14:paraId="6B94330B">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争议评审小组作出的书面决定经合同当事人签字确认后，对双方具有约束力，双方应遵照执行。</w:t>
      </w:r>
    </w:p>
    <w:p w14:paraId="407950C4">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任何一方当事人不接受争议评审小组决定或不履行争议评审小组决定的，双方可选择采用其他争议解决方式。</w:t>
      </w:r>
    </w:p>
    <w:p w14:paraId="208CB52F">
      <w:pPr>
        <w:spacing w:line="360" w:lineRule="auto"/>
        <w:ind w:firstLine="420" w:firstLineChars="200"/>
        <w:rPr>
          <w:rFonts w:hint="eastAsia" w:ascii="宋体" w:hAnsi="宋体" w:eastAsia="宋体" w:cs="宋体"/>
          <w:b w:val="0"/>
          <w:bCs w:val="0"/>
          <w:color w:val="auto"/>
          <w:kern w:val="0"/>
          <w:highlight w:val="none"/>
        </w:rPr>
      </w:pPr>
      <w:bookmarkStart w:id="466" w:name="_Toc351203630"/>
      <w:bookmarkStart w:id="467" w:name="_Toc337558844"/>
      <w:bookmarkStart w:id="468" w:name="_Toc296346651"/>
      <w:bookmarkStart w:id="469" w:name="_Toc296503150"/>
      <w:r>
        <w:rPr>
          <w:rFonts w:hint="eastAsia" w:ascii="宋体" w:hAnsi="宋体" w:eastAsia="宋体" w:cs="宋体"/>
          <w:b w:val="0"/>
          <w:bCs w:val="0"/>
          <w:color w:val="auto"/>
          <w:kern w:val="0"/>
          <w:highlight w:val="none"/>
        </w:rPr>
        <w:t>20.4仲裁或诉讼</w:t>
      </w:r>
      <w:bookmarkEnd w:id="466"/>
    </w:p>
    <w:bookmarkEnd w:id="467"/>
    <w:bookmarkEnd w:id="468"/>
    <w:bookmarkEnd w:id="469"/>
    <w:p w14:paraId="5DC3146C">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因合同及合同有关事项产生的争议，合同当事人可以在专用合同条款中约定以下一种方式解决争议：</w:t>
      </w:r>
    </w:p>
    <w:p w14:paraId="2280BB08">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（1）向约定的仲裁委员会申请仲裁；</w:t>
      </w:r>
    </w:p>
    <w:p w14:paraId="00A1EDA2">
      <w:pPr>
        <w:spacing w:line="360" w:lineRule="auto"/>
        <w:ind w:firstLine="420" w:firstLineChars="200"/>
        <w:rPr>
          <w:rFonts w:hint="eastAsia" w:ascii="宋体" w:hAnsi="宋体" w:eastAsia="宋体" w:cs="宋体"/>
          <w:b w:val="0"/>
          <w:bCs w:val="0"/>
          <w:color w:val="auto"/>
          <w:kern w:val="0"/>
          <w:highlight w:val="none"/>
        </w:rPr>
      </w:pPr>
      <w:r>
        <w:rPr>
          <w:rFonts w:hint="eastAsia" w:ascii="宋体" w:hAnsi="宋体" w:eastAsia="宋体" w:cs="宋体"/>
          <w:b w:val="0"/>
          <w:bCs w:val="0"/>
          <w:color w:val="auto"/>
          <w:kern w:val="0"/>
          <w:highlight w:val="none"/>
        </w:rPr>
        <w:t>（2）向有管辖权的人民法院起诉。</w:t>
      </w:r>
    </w:p>
    <w:p w14:paraId="73E964D1">
      <w:pPr>
        <w:spacing w:line="360" w:lineRule="auto"/>
        <w:ind w:firstLine="420" w:firstLineChars="200"/>
        <w:rPr>
          <w:rFonts w:hint="eastAsia" w:ascii="宋体" w:hAnsi="宋体" w:eastAsia="宋体" w:cs="宋体"/>
          <w:b w:val="0"/>
          <w:bCs w:val="0"/>
          <w:color w:val="auto"/>
          <w:kern w:val="0"/>
          <w:highlight w:val="none"/>
        </w:rPr>
      </w:pPr>
      <w:bookmarkStart w:id="470" w:name="_Toc351203631"/>
      <w:bookmarkStart w:id="471" w:name="_Toc296346653"/>
      <w:bookmarkStart w:id="472" w:name="_Toc337558845"/>
      <w:bookmarkStart w:id="473" w:name="_Toc296503152"/>
      <w:r>
        <w:rPr>
          <w:rFonts w:hint="eastAsia" w:ascii="宋体" w:hAnsi="宋体" w:eastAsia="宋体" w:cs="宋体"/>
          <w:b w:val="0"/>
          <w:bCs w:val="0"/>
          <w:color w:val="auto"/>
          <w:kern w:val="0"/>
          <w:highlight w:val="none"/>
        </w:rPr>
        <w:t>20.5争议解决条款效力</w:t>
      </w:r>
      <w:bookmarkEnd w:id="470"/>
    </w:p>
    <w:bookmarkEnd w:id="471"/>
    <w:bookmarkEnd w:id="472"/>
    <w:bookmarkEnd w:id="473"/>
    <w:p w14:paraId="6A0FF79B">
      <w:pPr>
        <w:spacing w:line="360" w:lineRule="auto"/>
        <w:ind w:firstLine="420" w:firstLineChars="200"/>
        <w:rPr>
          <w:rFonts w:hint="eastAsia" w:ascii="宋体" w:hAnsi="宋体" w:eastAsia="宋体" w:cs="宋体"/>
          <w:b/>
          <w:bCs/>
          <w:color w:val="auto"/>
          <w:kern w:val="0"/>
          <w:highlight w:val="none"/>
        </w:rPr>
      </w:pPr>
      <w:r>
        <w:rPr>
          <w:rFonts w:hint="eastAsia" w:ascii="宋体" w:hAnsi="宋体" w:eastAsia="宋体" w:cs="宋体"/>
          <w:b w:val="0"/>
          <w:bCs w:val="0"/>
          <w:color w:val="auto"/>
          <w:kern w:val="0"/>
          <w:highlight w:val="none"/>
        </w:rPr>
        <w:t>合同有关争议解决的条款独立存在，合同的变更、解除、终止、无效或者被撤销均不影响其效力。</w:t>
      </w:r>
    </w:p>
    <w:p w14:paraId="70442B39">
      <w:pPr>
        <w:rPr>
          <w:rFonts w:hint="eastAsia" w:ascii="宋体" w:hAnsi="宋体" w:eastAsia="宋体" w:cs="宋体"/>
          <w:color w:val="auto"/>
          <w:sz w:val="30"/>
          <w:szCs w:val="30"/>
          <w:highlight w:val="none"/>
        </w:rPr>
      </w:pPr>
      <w:bookmarkStart w:id="474" w:name="_Toc1204138598"/>
      <w:bookmarkStart w:id="475" w:name="_Toc389065257"/>
      <w:bookmarkStart w:id="476" w:name="_Toc78449779"/>
      <w:bookmarkStart w:id="477" w:name="_Toc407135193"/>
      <w:bookmarkStart w:id="478" w:name="_Toc704444909"/>
      <w:r>
        <w:rPr>
          <w:rFonts w:hint="eastAsia" w:ascii="宋体" w:hAnsi="宋体" w:eastAsia="宋体" w:cs="宋体"/>
          <w:color w:val="auto"/>
          <w:sz w:val="30"/>
          <w:szCs w:val="30"/>
          <w:highlight w:val="none"/>
        </w:rPr>
        <w:br w:type="page"/>
      </w:r>
    </w:p>
    <w:p w14:paraId="171F0A1A">
      <w:pPr>
        <w:pStyle w:val="2"/>
        <w:keepNext w:val="0"/>
        <w:keepLines w:val="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第三部分 专用合同条款</w:t>
      </w:r>
      <w:bookmarkEnd w:id="43"/>
      <w:bookmarkEnd w:id="44"/>
      <w:bookmarkEnd w:id="45"/>
      <w:bookmarkEnd w:id="474"/>
      <w:bookmarkEnd w:id="475"/>
      <w:bookmarkEnd w:id="476"/>
      <w:bookmarkEnd w:id="477"/>
      <w:bookmarkEnd w:id="478"/>
    </w:p>
    <w:p w14:paraId="4FFEC67E">
      <w:pPr>
        <w:pStyle w:val="3"/>
        <w:rPr>
          <w:rFonts w:hint="eastAsia" w:ascii="宋体" w:hAnsi="宋体" w:eastAsia="宋体" w:cs="宋体"/>
          <w:color w:val="auto"/>
          <w:highlight w:val="none"/>
        </w:rPr>
      </w:pPr>
      <w:bookmarkStart w:id="479" w:name="_Toc1516097295"/>
      <w:bookmarkStart w:id="480" w:name="_Toc373478339"/>
      <w:bookmarkStart w:id="481" w:name="_Toc373227692"/>
      <w:bookmarkStart w:id="482" w:name="_Toc78449780"/>
      <w:bookmarkStart w:id="483" w:name="_Toc1013968286"/>
      <w:bookmarkStart w:id="484" w:name="_Toc351203633"/>
      <w:bookmarkStart w:id="485" w:name="_Toc389065258"/>
      <w:bookmarkStart w:id="486" w:name="_Toc407135194"/>
      <w:r>
        <w:rPr>
          <w:rFonts w:hint="eastAsia" w:ascii="宋体" w:hAnsi="宋体" w:eastAsia="宋体" w:cs="宋体"/>
          <w:color w:val="auto"/>
          <w:highlight w:val="none"/>
        </w:rPr>
        <w:t>1</w:t>
      </w:r>
      <w:bookmarkStart w:id="487" w:name="_Toc297048342"/>
      <w:bookmarkStart w:id="488" w:name="_Toc296346657"/>
      <w:bookmarkStart w:id="489" w:name="_Toc292559361"/>
      <w:bookmarkStart w:id="490" w:name="_Toc297120456"/>
      <w:bookmarkStart w:id="491" w:name="_Toc296890984"/>
      <w:bookmarkStart w:id="492" w:name="_Toc292559866"/>
      <w:bookmarkStart w:id="493" w:name="_Toc296891196"/>
      <w:bookmarkStart w:id="494" w:name="_Toc296944495"/>
      <w:bookmarkStart w:id="495" w:name="_Toc296347155"/>
      <w:bookmarkStart w:id="496" w:name="_Toc296503156"/>
      <w:r>
        <w:rPr>
          <w:rFonts w:hint="eastAsia" w:ascii="宋体" w:hAnsi="宋体" w:eastAsia="宋体" w:cs="宋体"/>
          <w:color w:val="auto"/>
          <w:highlight w:val="none"/>
        </w:rPr>
        <w:t>. 一般约定</w:t>
      </w:r>
      <w:bookmarkEnd w:id="479"/>
      <w:bookmarkEnd w:id="480"/>
      <w:bookmarkEnd w:id="481"/>
      <w:bookmarkEnd w:id="482"/>
      <w:bookmarkEnd w:id="483"/>
      <w:bookmarkEnd w:id="484"/>
      <w:bookmarkEnd w:id="485"/>
      <w:bookmarkEnd w:id="486"/>
    </w:p>
    <w:bookmarkEnd w:id="487"/>
    <w:bookmarkEnd w:id="488"/>
    <w:bookmarkEnd w:id="489"/>
    <w:bookmarkEnd w:id="490"/>
    <w:bookmarkEnd w:id="491"/>
    <w:bookmarkEnd w:id="492"/>
    <w:bookmarkEnd w:id="493"/>
    <w:bookmarkEnd w:id="494"/>
    <w:bookmarkEnd w:id="495"/>
    <w:bookmarkEnd w:id="496"/>
    <w:p w14:paraId="6374DDE6">
      <w:pPr>
        <w:pStyle w:val="4"/>
        <w:rPr>
          <w:rFonts w:hint="eastAsia" w:ascii="宋体" w:hAnsi="宋体" w:eastAsia="宋体" w:cs="宋体"/>
          <w:color w:val="auto"/>
          <w:highlight w:val="none"/>
        </w:rPr>
      </w:pPr>
      <w:bookmarkStart w:id="497" w:name="_Toc389065259"/>
      <w:bookmarkStart w:id="498" w:name="_Toc155697041"/>
      <w:bookmarkStart w:id="499" w:name="_Toc1618220701"/>
      <w:bookmarkStart w:id="500" w:name="_Toc407135195"/>
      <w:bookmarkStart w:id="501" w:name="_Toc373478340"/>
      <w:bookmarkStart w:id="502" w:name="_Toc78449781"/>
      <w:bookmarkStart w:id="503" w:name="_Toc373227693"/>
      <w:r>
        <w:rPr>
          <w:rFonts w:hint="eastAsia" w:ascii="宋体" w:hAnsi="宋体" w:eastAsia="宋体" w:cs="宋体"/>
          <w:color w:val="auto"/>
          <w:highlight w:val="none"/>
        </w:rPr>
        <w:t>1.1 词语定义</w:t>
      </w:r>
      <w:bookmarkEnd w:id="497"/>
      <w:bookmarkEnd w:id="498"/>
      <w:bookmarkEnd w:id="499"/>
      <w:bookmarkEnd w:id="500"/>
      <w:bookmarkEnd w:id="501"/>
      <w:bookmarkEnd w:id="502"/>
      <w:bookmarkEnd w:id="503"/>
    </w:p>
    <w:p w14:paraId="3B0BB6CB">
      <w:pPr>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1.1.1 合同</w:t>
      </w:r>
    </w:p>
    <w:p w14:paraId="5870A0D8">
      <w:pPr>
        <w:pStyle w:val="6"/>
        <w:spacing w:before="157" w:line="36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1.1.1.10 其他合同文件包括：</w:t>
      </w:r>
      <w:r>
        <w:rPr>
          <w:rFonts w:hint="eastAsia" w:ascii="宋体" w:hAnsi="宋体" w:eastAsia="宋体" w:cs="宋体"/>
          <w:spacing w:val="2"/>
          <w:sz w:val="21"/>
          <w:szCs w:val="21"/>
          <w:u w:val="single" w:color="auto"/>
        </w:rPr>
        <w:t>双方约定的与工程施工有关的具有合同约束力的文件或书</w:t>
      </w:r>
      <w:r>
        <w:rPr>
          <w:rFonts w:hint="eastAsia" w:ascii="宋体" w:hAnsi="宋体" w:eastAsia="宋体" w:cs="宋体"/>
          <w:sz w:val="21"/>
          <w:szCs w:val="21"/>
          <w:u w:val="single" w:color="auto"/>
        </w:rPr>
        <w:t>面</w:t>
      </w:r>
      <w:r>
        <w:rPr>
          <w:rFonts w:hint="eastAsia" w:ascii="宋体" w:hAnsi="宋体" w:eastAsia="宋体" w:cs="宋体"/>
          <w:sz w:val="21"/>
          <w:szCs w:val="21"/>
          <w:u w:val="single" w:color="auto"/>
          <w:lang w:eastAsia="zh-CN"/>
        </w:rPr>
        <w:t>协议</w:t>
      </w:r>
      <w:r>
        <w:rPr>
          <w:rFonts w:hint="eastAsia" w:ascii="宋体" w:hAnsi="宋体" w:eastAsia="宋体" w:cs="宋体"/>
          <w:color w:val="auto"/>
          <w:highlight w:val="none"/>
        </w:rPr>
        <w:t>。</w:t>
      </w:r>
    </w:p>
    <w:p w14:paraId="658739E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1.1.2 合同当事人及其他相关方</w:t>
      </w:r>
    </w:p>
    <w:p w14:paraId="02E2F859">
      <w:pPr>
        <w:spacing w:line="360" w:lineRule="auto"/>
        <w:ind w:firstLine="420" w:firstLineChars="200"/>
        <w:outlineLvl w:val="0"/>
        <w:rPr>
          <w:rFonts w:hint="eastAsia" w:ascii="宋体" w:hAnsi="宋体" w:eastAsia="宋体" w:cs="宋体"/>
          <w:color w:val="000000"/>
          <w:highlight w:val="none"/>
        </w:rPr>
      </w:pPr>
      <w:r>
        <w:rPr>
          <w:rFonts w:hint="eastAsia" w:ascii="宋体" w:hAnsi="宋体" w:eastAsia="宋体" w:cs="宋体"/>
          <w:color w:val="000000"/>
          <w:highlight w:val="none"/>
        </w:rPr>
        <w:t>1.1.2.4 监理人：</w:t>
      </w:r>
    </w:p>
    <w:p w14:paraId="0C25EE1D">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名    称：</w:t>
      </w:r>
      <w:r>
        <w:rPr>
          <w:rFonts w:hint="eastAsia" w:ascii="宋体" w:hAnsi="宋体" w:eastAsia="宋体" w:cs="宋体"/>
          <w:color w:val="000000"/>
          <w:highlight w:val="none"/>
          <w:u w:val="single"/>
        </w:rPr>
        <w:t>发包人安排并通知到位</w:t>
      </w:r>
      <w:r>
        <w:rPr>
          <w:rFonts w:ascii="宋体" w:hAnsi="宋体" w:eastAsia="宋体" w:cs="宋体"/>
          <w:color w:val="000000"/>
          <w:highlight w:val="none"/>
        </w:rPr>
        <w:t>(由发包人补充填写)</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w:t>
      </w:r>
    </w:p>
    <w:p w14:paraId="2EDA38CD">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资质类别和等级：</w:t>
      </w:r>
      <w:r>
        <w:rPr>
          <w:rFonts w:ascii="宋体" w:hAnsi="宋体" w:eastAsia="宋体" w:cs="宋体"/>
          <w:color w:val="000000"/>
          <w:highlight w:val="none"/>
        </w:rPr>
        <w:t>XXX(由发包人补充填写)</w:t>
      </w:r>
      <w:r>
        <w:rPr>
          <w:rFonts w:hint="eastAsia" w:ascii="宋体" w:hAnsi="宋体" w:eastAsia="宋体" w:cs="宋体"/>
          <w:color w:val="000000"/>
          <w:highlight w:val="none"/>
        </w:rPr>
        <w:t>；</w:t>
      </w:r>
    </w:p>
    <w:p w14:paraId="424AF82A">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联系电话：</w:t>
      </w:r>
      <w:r>
        <w:rPr>
          <w:rFonts w:hint="eastAsia" w:ascii="宋体" w:hAnsi="宋体" w:eastAsia="宋体" w:cs="宋体"/>
          <w:color w:val="000000"/>
          <w:spacing w:val="13"/>
          <w:u w:val="single"/>
        </w:rPr>
        <w:t>详见监理合同</w:t>
      </w:r>
      <w:r>
        <w:rPr>
          <w:rFonts w:ascii="宋体" w:hAnsi="宋体" w:eastAsia="宋体" w:cs="宋体"/>
          <w:color w:val="000000"/>
          <w:highlight w:val="none"/>
        </w:rPr>
        <w:t>(由发包人补充填写)</w:t>
      </w:r>
      <w:r>
        <w:rPr>
          <w:rFonts w:hint="eastAsia" w:ascii="宋体" w:hAnsi="宋体" w:eastAsia="宋体" w:cs="宋体"/>
          <w:color w:val="000000"/>
          <w:highlight w:val="none"/>
        </w:rPr>
        <w:t>；</w:t>
      </w:r>
    </w:p>
    <w:p w14:paraId="763954A6">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电子信箱：</w:t>
      </w:r>
      <w:r>
        <w:rPr>
          <w:rFonts w:hint="eastAsia" w:ascii="宋体" w:hAnsi="宋体" w:eastAsia="宋体" w:cs="宋体"/>
          <w:color w:val="000000"/>
          <w:spacing w:val="13"/>
          <w:u w:val="single"/>
        </w:rPr>
        <w:t>详见监理合同</w:t>
      </w:r>
      <w:r>
        <w:rPr>
          <w:rFonts w:ascii="宋体" w:hAnsi="宋体" w:eastAsia="宋体" w:cs="宋体"/>
          <w:color w:val="000000"/>
          <w:highlight w:val="none"/>
        </w:rPr>
        <w:t>(由发包人补充填写)</w:t>
      </w:r>
      <w:r>
        <w:rPr>
          <w:rFonts w:hint="eastAsia" w:ascii="宋体" w:hAnsi="宋体" w:eastAsia="宋体" w:cs="宋体"/>
          <w:color w:val="000000"/>
          <w:highlight w:val="none"/>
        </w:rPr>
        <w:t>；</w:t>
      </w:r>
    </w:p>
    <w:p w14:paraId="1A47673A">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通信地址：</w:t>
      </w:r>
      <w:r>
        <w:rPr>
          <w:rFonts w:hint="eastAsia" w:ascii="宋体" w:hAnsi="宋体" w:eastAsia="宋体" w:cs="宋体"/>
          <w:color w:val="000000"/>
          <w:spacing w:val="13"/>
          <w:u w:val="single"/>
        </w:rPr>
        <w:t>详见监理合同</w:t>
      </w:r>
      <w:r>
        <w:rPr>
          <w:rFonts w:ascii="宋体" w:hAnsi="宋体" w:eastAsia="宋体" w:cs="宋体"/>
          <w:color w:val="000000"/>
          <w:highlight w:val="none"/>
        </w:rPr>
        <w:t>(由发包人补充填写)</w:t>
      </w:r>
      <w:r>
        <w:rPr>
          <w:rFonts w:hint="eastAsia" w:ascii="宋体" w:hAnsi="宋体" w:eastAsia="宋体" w:cs="宋体"/>
          <w:color w:val="000000"/>
          <w:highlight w:val="none"/>
        </w:rPr>
        <w:t>。</w:t>
      </w:r>
    </w:p>
    <w:p w14:paraId="5239863E">
      <w:pPr>
        <w:spacing w:line="360" w:lineRule="auto"/>
        <w:ind w:firstLine="420" w:firstLineChars="200"/>
        <w:outlineLvl w:val="0"/>
        <w:rPr>
          <w:rFonts w:hint="eastAsia" w:ascii="宋体" w:hAnsi="宋体" w:eastAsia="宋体" w:cs="宋体"/>
          <w:color w:val="000000"/>
          <w:highlight w:val="none"/>
        </w:rPr>
      </w:pPr>
      <w:r>
        <w:rPr>
          <w:rFonts w:hint="eastAsia" w:ascii="宋体" w:hAnsi="宋体" w:eastAsia="宋体" w:cs="宋体"/>
          <w:color w:val="000000"/>
          <w:highlight w:val="none"/>
        </w:rPr>
        <w:t>1.1.2.5 设计人：</w:t>
      </w:r>
    </w:p>
    <w:p w14:paraId="1486C62D">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名    称：</w:t>
      </w:r>
      <w:r>
        <w:rPr>
          <w:rFonts w:hint="eastAsia" w:ascii="宋体" w:hAnsi="宋体" w:eastAsia="宋体" w:cs="宋体"/>
          <w:color w:val="000000"/>
          <w:highlight w:val="none"/>
          <w:u w:val="single"/>
        </w:rPr>
        <w:t xml:space="preserve"> 发包人安排并通知到位</w:t>
      </w:r>
      <w:r>
        <w:rPr>
          <w:rFonts w:ascii="宋体" w:hAnsi="宋体" w:eastAsia="宋体" w:cs="宋体"/>
          <w:color w:val="000000"/>
          <w:highlight w:val="none"/>
        </w:rPr>
        <w:t>(由发包人补充填写)</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w:t>
      </w:r>
    </w:p>
    <w:p w14:paraId="2C3B9702">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资质类别和等级：</w:t>
      </w:r>
      <w:r>
        <w:rPr>
          <w:rFonts w:hint="eastAsia" w:ascii="宋体" w:hAnsi="宋体" w:eastAsia="宋体" w:cs="宋体"/>
          <w:color w:val="000000"/>
          <w:spacing w:val="37"/>
          <w:u w:val="single"/>
        </w:rPr>
        <w:t>详见设计合同</w:t>
      </w:r>
      <w:r>
        <w:rPr>
          <w:rFonts w:ascii="宋体" w:hAnsi="宋体" w:eastAsia="宋体" w:cs="宋体"/>
          <w:color w:val="000000"/>
          <w:highlight w:val="none"/>
        </w:rPr>
        <w:t>(由发包人补充填写)</w:t>
      </w:r>
      <w:r>
        <w:rPr>
          <w:rFonts w:hint="eastAsia" w:ascii="宋体" w:hAnsi="宋体" w:eastAsia="宋体" w:cs="宋体"/>
          <w:color w:val="000000"/>
          <w:highlight w:val="none"/>
        </w:rPr>
        <w:t>；</w:t>
      </w:r>
    </w:p>
    <w:p w14:paraId="2942E153">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联系电话：</w:t>
      </w:r>
      <w:r>
        <w:rPr>
          <w:rFonts w:hint="eastAsia" w:ascii="宋体" w:hAnsi="宋体" w:eastAsia="宋体" w:cs="宋体"/>
          <w:color w:val="000000"/>
          <w:spacing w:val="37"/>
          <w:u w:val="single"/>
        </w:rPr>
        <w:t>详见设计合同</w:t>
      </w:r>
      <w:r>
        <w:rPr>
          <w:rFonts w:ascii="宋体" w:hAnsi="宋体" w:eastAsia="宋体" w:cs="宋体"/>
          <w:color w:val="000000"/>
          <w:highlight w:val="none"/>
        </w:rPr>
        <w:t>(由发包人补充填写)</w:t>
      </w:r>
      <w:r>
        <w:rPr>
          <w:rFonts w:hint="eastAsia" w:ascii="宋体" w:hAnsi="宋体" w:eastAsia="宋体" w:cs="宋体"/>
          <w:color w:val="000000"/>
          <w:highlight w:val="none"/>
        </w:rPr>
        <w:t>；</w:t>
      </w:r>
    </w:p>
    <w:p w14:paraId="02127FB1">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电子信箱：</w:t>
      </w:r>
      <w:r>
        <w:rPr>
          <w:rFonts w:hint="eastAsia" w:ascii="宋体" w:hAnsi="宋体" w:eastAsia="宋体" w:cs="宋体"/>
          <w:color w:val="000000"/>
          <w:spacing w:val="37"/>
          <w:u w:val="single"/>
        </w:rPr>
        <w:t>详见设计合同</w:t>
      </w:r>
      <w:r>
        <w:rPr>
          <w:rFonts w:ascii="宋体" w:hAnsi="宋体" w:eastAsia="宋体" w:cs="宋体"/>
          <w:color w:val="000000"/>
          <w:highlight w:val="none"/>
        </w:rPr>
        <w:t>(由发包人补充填写)</w:t>
      </w:r>
      <w:r>
        <w:rPr>
          <w:rFonts w:hint="eastAsia" w:ascii="宋体" w:hAnsi="宋体" w:eastAsia="宋体" w:cs="宋体"/>
          <w:color w:val="000000"/>
          <w:highlight w:val="none"/>
        </w:rPr>
        <w:t>；</w:t>
      </w:r>
    </w:p>
    <w:p w14:paraId="65742D76">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通信地址：</w:t>
      </w:r>
      <w:r>
        <w:rPr>
          <w:rFonts w:hint="eastAsia" w:ascii="宋体" w:hAnsi="宋体" w:eastAsia="宋体" w:cs="宋体"/>
          <w:color w:val="000000"/>
          <w:spacing w:val="37"/>
          <w:u w:val="single"/>
        </w:rPr>
        <w:t>详见设计合同</w:t>
      </w:r>
      <w:r>
        <w:rPr>
          <w:rFonts w:ascii="宋体" w:hAnsi="宋体" w:eastAsia="宋体" w:cs="宋体"/>
          <w:color w:val="000000"/>
          <w:highlight w:val="none"/>
        </w:rPr>
        <w:t>(由发包人补充填写)</w:t>
      </w:r>
      <w:r>
        <w:rPr>
          <w:rFonts w:hint="eastAsia" w:ascii="宋体" w:hAnsi="宋体" w:eastAsia="宋体" w:cs="宋体"/>
          <w:color w:val="000000"/>
          <w:highlight w:val="none"/>
        </w:rPr>
        <w:t>。</w:t>
      </w:r>
    </w:p>
    <w:p w14:paraId="4ED7019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1.1.3 工程和设备</w:t>
      </w:r>
    </w:p>
    <w:p w14:paraId="3F0A41AC">
      <w:pPr>
        <w:spacing w:line="360" w:lineRule="auto"/>
        <w:ind w:firstLine="420" w:firstLineChars="200"/>
        <w:outlineLvl w:val="0"/>
        <w:rPr>
          <w:rFonts w:hint="eastAsia" w:ascii="宋体" w:hAnsi="宋体" w:eastAsia="宋体" w:cs="宋体"/>
          <w:color w:val="auto"/>
          <w:highlight w:val="none"/>
        </w:rPr>
      </w:pPr>
      <w:r>
        <w:rPr>
          <w:rFonts w:hint="eastAsia" w:ascii="宋体" w:hAnsi="宋体" w:eastAsia="宋体" w:cs="宋体"/>
          <w:color w:val="auto"/>
          <w:highlight w:val="none"/>
        </w:rPr>
        <w:t>1.1.3.7 作为施工现场组成部分的其他场所包括：</w:t>
      </w:r>
      <w:r>
        <w:rPr>
          <w:rFonts w:hint="eastAsia" w:ascii="宋体" w:hAnsi="宋体" w:eastAsia="宋体" w:cs="宋体"/>
          <w:color w:val="auto"/>
          <w:highlight w:val="none"/>
          <w:u w:val="single"/>
          <w:lang w:val="en-US" w:eastAsia="zh-CN"/>
        </w:rPr>
        <w:t>指用于合同工程施工的场所，以及在合同中指定作为施工场地组成部分的其他场所，包括永久占地和临时占地</w:t>
      </w:r>
      <w:r>
        <w:rPr>
          <w:rFonts w:hint="eastAsia" w:ascii="宋体" w:hAnsi="宋体" w:eastAsia="宋体" w:cs="宋体"/>
          <w:color w:val="auto"/>
          <w:highlight w:val="none"/>
        </w:rPr>
        <w:t>。</w:t>
      </w:r>
    </w:p>
    <w:p w14:paraId="40C7D620">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1.1.3.9 永久占地包括：</w:t>
      </w:r>
      <w:r>
        <w:rPr>
          <w:rFonts w:hint="eastAsia" w:ascii="宋体" w:hAnsi="宋体" w:eastAsia="宋体" w:cs="宋体"/>
          <w:color w:val="auto"/>
          <w:kern w:val="0"/>
          <w:highlight w:val="none"/>
          <w:u w:val="single"/>
        </w:rPr>
        <w:t>依据选址图、设计图纸或其他文件规定的范围</w:t>
      </w:r>
      <w:r>
        <w:rPr>
          <w:rFonts w:hint="eastAsia" w:ascii="宋体" w:hAnsi="宋体" w:eastAsia="宋体" w:cs="宋体"/>
          <w:color w:val="auto"/>
          <w:kern w:val="0"/>
          <w:highlight w:val="none"/>
        </w:rPr>
        <w:t>。</w:t>
      </w:r>
    </w:p>
    <w:p w14:paraId="088A2F01">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kern w:val="0"/>
          <w:highlight w:val="none"/>
        </w:rPr>
        <w:t>1.1.3.10 临时占地包括：</w:t>
      </w:r>
      <w:r>
        <w:rPr>
          <w:rFonts w:hint="eastAsia" w:ascii="宋体" w:hAnsi="宋体" w:eastAsia="宋体" w:cs="宋体"/>
          <w:color w:val="auto"/>
          <w:kern w:val="0"/>
          <w:highlight w:val="none"/>
          <w:u w:val="single"/>
        </w:rPr>
        <w:t>根据施工现场双方约定</w:t>
      </w:r>
      <w:r>
        <w:rPr>
          <w:rFonts w:hint="eastAsia" w:ascii="宋体" w:hAnsi="宋体" w:eastAsia="宋体" w:cs="宋体"/>
          <w:color w:val="auto"/>
          <w:kern w:val="0"/>
          <w:highlight w:val="none"/>
        </w:rPr>
        <w:t>。</w:t>
      </w:r>
    </w:p>
    <w:p w14:paraId="7E157E56">
      <w:pPr>
        <w:pStyle w:val="4"/>
        <w:rPr>
          <w:rFonts w:hint="eastAsia" w:ascii="宋体" w:hAnsi="宋体" w:eastAsia="宋体" w:cs="宋体"/>
          <w:color w:val="auto"/>
          <w:highlight w:val="none"/>
        </w:rPr>
      </w:pPr>
      <w:bookmarkStart w:id="504" w:name="_Toc407135196"/>
      <w:bookmarkStart w:id="505" w:name="_Toc1182598796"/>
      <w:bookmarkStart w:id="506" w:name="_Toc1162259329"/>
      <w:bookmarkStart w:id="507" w:name="_Toc373478341"/>
      <w:bookmarkStart w:id="508" w:name="_Toc78449782"/>
      <w:bookmarkStart w:id="509" w:name="_Toc389065260"/>
      <w:bookmarkStart w:id="510" w:name="_Toc373227694"/>
      <w:r>
        <w:rPr>
          <w:rFonts w:hint="eastAsia" w:ascii="宋体" w:hAnsi="宋体" w:eastAsia="宋体" w:cs="宋体"/>
          <w:color w:val="auto"/>
          <w:highlight w:val="none"/>
        </w:rPr>
        <w:t>1.3 法律</w:t>
      </w:r>
      <w:bookmarkEnd w:id="504"/>
      <w:bookmarkEnd w:id="505"/>
      <w:bookmarkEnd w:id="506"/>
      <w:bookmarkEnd w:id="507"/>
      <w:bookmarkEnd w:id="508"/>
      <w:bookmarkEnd w:id="509"/>
      <w:bookmarkEnd w:id="510"/>
    </w:p>
    <w:p w14:paraId="4E298CB9">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适用于合同的其他规范性文件：</w:t>
      </w:r>
      <w:r>
        <w:rPr>
          <w:rFonts w:hint="eastAsia" w:ascii="宋体" w:hAnsi="宋体" w:eastAsia="宋体" w:cs="宋体"/>
          <w:color w:val="auto"/>
          <w:highlight w:val="none"/>
          <w:u w:val="single"/>
        </w:rPr>
        <w:t>适用于合同的其他规范性文件： 《建筑法》、《招投标法》、《民法典》、《建筑工程质量管理条例》、本地区的行业标准或规范等</w:t>
      </w:r>
      <w:r>
        <w:rPr>
          <w:rFonts w:hint="eastAsia" w:ascii="宋体" w:hAnsi="宋体" w:eastAsia="宋体" w:cs="宋体"/>
          <w:color w:val="auto"/>
          <w:highlight w:val="none"/>
        </w:rPr>
        <w:t>。</w:t>
      </w:r>
    </w:p>
    <w:p w14:paraId="24C47118">
      <w:pPr>
        <w:pStyle w:val="4"/>
        <w:rPr>
          <w:rFonts w:hint="eastAsia" w:ascii="宋体" w:hAnsi="宋体" w:eastAsia="宋体" w:cs="宋体"/>
          <w:color w:val="auto"/>
          <w:highlight w:val="none"/>
        </w:rPr>
      </w:pPr>
      <w:bookmarkStart w:id="511" w:name="_Toc1569433547"/>
      <w:bookmarkStart w:id="512" w:name="_Toc407135197"/>
      <w:bookmarkStart w:id="513" w:name="_Toc78449783"/>
      <w:bookmarkStart w:id="514" w:name="_Toc373227695"/>
      <w:bookmarkStart w:id="515" w:name="_Toc389065261"/>
      <w:bookmarkStart w:id="516" w:name="_Toc373478342"/>
      <w:bookmarkStart w:id="517" w:name="_Toc1694357896"/>
      <w:r>
        <w:rPr>
          <w:rFonts w:hint="eastAsia" w:ascii="宋体" w:hAnsi="宋体" w:eastAsia="宋体" w:cs="宋体"/>
          <w:color w:val="auto"/>
          <w:highlight w:val="none"/>
        </w:rPr>
        <w:t>1.4 标准和规范</w:t>
      </w:r>
      <w:bookmarkEnd w:id="511"/>
      <w:bookmarkEnd w:id="512"/>
      <w:bookmarkEnd w:id="513"/>
      <w:bookmarkEnd w:id="514"/>
      <w:bookmarkEnd w:id="515"/>
      <w:bookmarkEnd w:id="516"/>
      <w:bookmarkEnd w:id="517"/>
    </w:p>
    <w:p w14:paraId="688C0C6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1.4.1 适用于工程的标准规范包括：</w:t>
      </w:r>
      <w:r>
        <w:rPr>
          <w:rFonts w:hint="eastAsia" w:ascii="宋体" w:hAnsi="宋体" w:eastAsia="宋体" w:cs="宋体"/>
          <w:color w:val="auto"/>
          <w:highlight w:val="none"/>
          <w:u w:val="single"/>
        </w:rPr>
        <w:t>《建筑工程施工质理验收统一标准》、《建筑工程管理条例》等与本工程施工、验收相关的规范</w:t>
      </w:r>
      <w:r>
        <w:rPr>
          <w:rFonts w:hint="eastAsia" w:ascii="宋体" w:hAnsi="宋体" w:eastAsia="宋体" w:cs="宋体"/>
          <w:color w:val="auto"/>
          <w:highlight w:val="none"/>
        </w:rPr>
        <w:t>。</w:t>
      </w:r>
    </w:p>
    <w:p w14:paraId="4C4BB161">
      <w:pPr>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1.4.2 发包人提供国外标准、规范的名称：</w:t>
      </w:r>
      <w:r>
        <w:rPr>
          <w:rFonts w:hint="eastAsia" w:ascii="宋体" w:hAnsi="宋体" w:eastAsia="宋体" w:cs="宋体"/>
          <w:color w:val="auto"/>
          <w:highlight w:val="none"/>
          <w:u w:val="single"/>
          <w:lang w:eastAsia="zh-CN"/>
        </w:rPr>
        <w:t>无</w:t>
      </w:r>
      <w:r>
        <w:rPr>
          <w:rFonts w:hint="eastAsia" w:ascii="宋体" w:hAnsi="宋体" w:eastAsia="宋体" w:cs="宋体"/>
          <w:color w:val="auto"/>
          <w:highlight w:val="none"/>
        </w:rPr>
        <w:t>；</w:t>
      </w:r>
    </w:p>
    <w:p w14:paraId="2EA82945">
      <w:pPr>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发包人提供国外标准、规范的份数：</w:t>
      </w:r>
      <w:r>
        <w:rPr>
          <w:rFonts w:hint="eastAsia" w:ascii="宋体" w:hAnsi="宋体" w:eastAsia="宋体" w:cs="宋体"/>
          <w:color w:val="auto"/>
          <w:kern w:val="0"/>
          <w:highlight w:val="none"/>
          <w:u w:val="single"/>
          <w:lang w:eastAsia="zh-CN"/>
        </w:rPr>
        <w:t>无</w:t>
      </w:r>
      <w:r>
        <w:rPr>
          <w:rFonts w:hint="eastAsia" w:ascii="宋体" w:hAnsi="宋体" w:eastAsia="宋体" w:cs="宋体"/>
          <w:color w:val="auto"/>
          <w:kern w:val="0"/>
          <w:highlight w:val="none"/>
        </w:rPr>
        <w:t>；</w:t>
      </w:r>
    </w:p>
    <w:p w14:paraId="1B1758D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kern w:val="0"/>
          <w:highlight w:val="none"/>
        </w:rPr>
        <w:t>发包人提供国外标准、规范的名称：</w:t>
      </w:r>
      <w:r>
        <w:rPr>
          <w:rFonts w:hint="eastAsia" w:ascii="宋体" w:hAnsi="宋体" w:eastAsia="宋体" w:cs="宋体"/>
          <w:color w:val="auto"/>
          <w:kern w:val="0"/>
          <w:highlight w:val="none"/>
          <w:u w:val="single"/>
          <w:lang w:eastAsia="zh-CN"/>
        </w:rPr>
        <w:t>无</w:t>
      </w:r>
      <w:r>
        <w:rPr>
          <w:rFonts w:hint="eastAsia" w:ascii="宋体" w:hAnsi="宋体" w:eastAsia="宋体" w:cs="宋体"/>
          <w:color w:val="auto"/>
          <w:kern w:val="0"/>
          <w:highlight w:val="none"/>
        </w:rPr>
        <w:t>。</w:t>
      </w:r>
    </w:p>
    <w:p w14:paraId="03F9A8B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1.4.3 发包人对工程的技术标准和功能要求的特殊要求： </w:t>
      </w:r>
      <w:r>
        <w:rPr>
          <w:rFonts w:hint="eastAsia" w:ascii="宋体" w:hAnsi="宋体" w:eastAsia="宋体" w:cs="宋体"/>
          <w:color w:val="auto"/>
          <w:highlight w:val="none"/>
          <w:u w:val="single"/>
        </w:rPr>
        <w:t>施工图纸、涉及本工程的施工及验收规范等</w:t>
      </w:r>
      <w:r>
        <w:rPr>
          <w:rFonts w:hint="eastAsia" w:ascii="宋体" w:hAnsi="宋体" w:eastAsia="宋体" w:cs="宋体"/>
          <w:color w:val="auto"/>
          <w:highlight w:val="none"/>
        </w:rPr>
        <w:t>。</w:t>
      </w:r>
    </w:p>
    <w:p w14:paraId="24508200">
      <w:pPr>
        <w:pStyle w:val="4"/>
        <w:rPr>
          <w:rFonts w:hint="eastAsia" w:ascii="宋体" w:hAnsi="宋体" w:eastAsia="宋体" w:cs="宋体"/>
          <w:color w:val="auto"/>
          <w:highlight w:val="none"/>
        </w:rPr>
      </w:pPr>
      <w:bookmarkStart w:id="518" w:name="_Toc389065262"/>
      <w:bookmarkStart w:id="519" w:name="_Toc24431861"/>
      <w:bookmarkStart w:id="520" w:name="_Toc78449784"/>
      <w:bookmarkStart w:id="521" w:name="_Toc188277238"/>
      <w:bookmarkStart w:id="522" w:name="_Toc373227696"/>
      <w:bookmarkStart w:id="523" w:name="_Toc407135198"/>
      <w:bookmarkStart w:id="524" w:name="_Toc373478343"/>
      <w:r>
        <w:rPr>
          <w:rFonts w:hint="eastAsia" w:ascii="宋体" w:hAnsi="宋体" w:eastAsia="宋体" w:cs="宋体"/>
          <w:color w:val="auto"/>
          <w:highlight w:val="none"/>
        </w:rPr>
        <w:t>1.5 合同文件的优先顺序</w:t>
      </w:r>
      <w:bookmarkEnd w:id="518"/>
      <w:bookmarkEnd w:id="519"/>
      <w:bookmarkEnd w:id="520"/>
      <w:bookmarkEnd w:id="521"/>
      <w:bookmarkEnd w:id="522"/>
      <w:bookmarkEnd w:id="523"/>
      <w:bookmarkEnd w:id="524"/>
    </w:p>
    <w:p w14:paraId="1AE0FD96">
      <w:pPr>
        <w:spacing w:line="360" w:lineRule="auto"/>
        <w:ind w:firstLine="420" w:firstLineChars="200"/>
        <w:rPr>
          <w:rFonts w:hint="eastAsia" w:ascii="宋体" w:hAnsi="宋体" w:eastAsia="宋体" w:cs="宋体"/>
          <w:color w:val="000000"/>
          <w:kern w:val="0"/>
          <w:highlight w:val="none"/>
        </w:rPr>
      </w:pPr>
      <w:r>
        <w:rPr>
          <w:rFonts w:hint="eastAsia" w:ascii="宋体" w:hAnsi="宋体" w:eastAsia="宋体" w:cs="宋体"/>
          <w:color w:val="000000"/>
          <w:kern w:val="0"/>
          <w:highlight w:val="none"/>
        </w:rPr>
        <w:t>（</w:t>
      </w:r>
      <w:r>
        <w:rPr>
          <w:rFonts w:hint="eastAsia" w:ascii="宋体" w:hAnsi="宋体" w:eastAsia="宋体" w:cs="宋体"/>
          <w:color w:val="000000"/>
          <w:kern w:val="0"/>
          <w:highlight w:val="none"/>
          <w:lang w:val="en-US" w:eastAsia="zh-CN"/>
        </w:rPr>
        <w:t>1</w:t>
      </w:r>
      <w:r>
        <w:rPr>
          <w:rFonts w:hint="eastAsia" w:ascii="宋体" w:hAnsi="宋体" w:eastAsia="宋体" w:cs="宋体"/>
          <w:color w:val="000000"/>
          <w:kern w:val="0"/>
          <w:highlight w:val="none"/>
        </w:rPr>
        <w:t>）合同协议书；</w:t>
      </w:r>
    </w:p>
    <w:p w14:paraId="6678095A">
      <w:pPr>
        <w:spacing w:line="360" w:lineRule="auto"/>
        <w:ind w:firstLine="420" w:firstLineChars="200"/>
        <w:rPr>
          <w:rFonts w:hint="eastAsia" w:ascii="宋体" w:hAnsi="宋体" w:eastAsia="宋体" w:cs="宋体"/>
          <w:color w:val="000000"/>
          <w:kern w:val="0"/>
          <w:highlight w:val="none"/>
        </w:rPr>
      </w:pPr>
      <w:bookmarkStart w:id="525" w:name="bookmark916"/>
      <w:bookmarkEnd w:id="525"/>
      <w:r>
        <w:rPr>
          <w:rFonts w:hint="eastAsia" w:ascii="宋体" w:hAnsi="宋体" w:eastAsia="宋体" w:cs="宋体"/>
          <w:color w:val="000000"/>
          <w:kern w:val="0"/>
          <w:highlight w:val="none"/>
        </w:rPr>
        <w:t>（</w:t>
      </w:r>
      <w:r>
        <w:rPr>
          <w:rFonts w:hint="eastAsia" w:ascii="宋体" w:hAnsi="宋体" w:eastAsia="宋体" w:cs="宋体"/>
          <w:color w:val="000000"/>
          <w:kern w:val="0"/>
          <w:highlight w:val="none"/>
          <w:lang w:val="en-US" w:eastAsia="zh-CN"/>
        </w:rPr>
        <w:t>2</w:t>
      </w:r>
      <w:r>
        <w:rPr>
          <w:rFonts w:hint="eastAsia" w:ascii="宋体" w:hAnsi="宋体" w:eastAsia="宋体" w:cs="宋体"/>
          <w:color w:val="000000"/>
          <w:kern w:val="0"/>
          <w:highlight w:val="none"/>
        </w:rPr>
        <w:t>）专用合同条款；</w:t>
      </w:r>
    </w:p>
    <w:p w14:paraId="4E2737F3">
      <w:pPr>
        <w:spacing w:line="360" w:lineRule="auto"/>
        <w:ind w:firstLine="420" w:firstLineChars="200"/>
        <w:rPr>
          <w:rFonts w:hint="eastAsia" w:ascii="宋体" w:hAnsi="宋体" w:eastAsia="宋体" w:cs="宋体"/>
          <w:color w:val="000000"/>
          <w:kern w:val="0"/>
          <w:highlight w:val="none"/>
        </w:rPr>
      </w:pPr>
      <w:bookmarkStart w:id="526" w:name="bookmark917"/>
      <w:bookmarkEnd w:id="526"/>
      <w:r>
        <w:rPr>
          <w:rFonts w:hint="eastAsia" w:ascii="宋体" w:hAnsi="宋体" w:eastAsia="宋体" w:cs="宋体"/>
          <w:color w:val="000000"/>
          <w:kern w:val="0"/>
          <w:highlight w:val="none"/>
        </w:rPr>
        <w:t>（</w:t>
      </w:r>
      <w:r>
        <w:rPr>
          <w:rFonts w:hint="eastAsia" w:ascii="宋体" w:hAnsi="宋体" w:eastAsia="宋体" w:cs="宋体"/>
          <w:color w:val="000000"/>
          <w:kern w:val="0"/>
          <w:highlight w:val="none"/>
          <w:lang w:val="en-US" w:eastAsia="zh-CN"/>
        </w:rPr>
        <w:t>3</w:t>
      </w:r>
      <w:r>
        <w:rPr>
          <w:rFonts w:hint="eastAsia" w:ascii="宋体" w:hAnsi="宋体" w:eastAsia="宋体" w:cs="宋体"/>
          <w:color w:val="000000"/>
          <w:kern w:val="0"/>
          <w:highlight w:val="none"/>
        </w:rPr>
        <w:t>）通用合同条款；</w:t>
      </w:r>
    </w:p>
    <w:p w14:paraId="52D8B54C">
      <w:pPr>
        <w:spacing w:line="360" w:lineRule="auto"/>
        <w:ind w:firstLine="420" w:firstLineChars="200"/>
        <w:rPr>
          <w:rFonts w:hint="eastAsia" w:ascii="宋体" w:hAnsi="宋体" w:eastAsia="宋体" w:cs="宋体"/>
          <w:color w:val="000000"/>
          <w:kern w:val="0"/>
          <w:highlight w:val="none"/>
        </w:rPr>
      </w:pPr>
      <w:bookmarkStart w:id="527" w:name="bookmark918"/>
      <w:bookmarkEnd w:id="527"/>
      <w:r>
        <w:rPr>
          <w:rFonts w:hint="eastAsia" w:ascii="宋体" w:hAnsi="宋体" w:eastAsia="宋体" w:cs="宋体"/>
          <w:color w:val="000000"/>
          <w:kern w:val="0"/>
          <w:highlight w:val="none"/>
        </w:rPr>
        <w:t>（</w:t>
      </w:r>
      <w:r>
        <w:rPr>
          <w:rFonts w:hint="eastAsia" w:ascii="宋体" w:hAnsi="宋体" w:eastAsia="宋体" w:cs="宋体"/>
          <w:color w:val="000000"/>
          <w:kern w:val="0"/>
          <w:highlight w:val="none"/>
          <w:lang w:val="en-US" w:eastAsia="zh-CN"/>
        </w:rPr>
        <w:t>4</w:t>
      </w:r>
      <w:r>
        <w:rPr>
          <w:rFonts w:hint="eastAsia" w:ascii="宋体" w:hAnsi="宋体" w:eastAsia="宋体" w:cs="宋体"/>
          <w:color w:val="000000"/>
          <w:kern w:val="0"/>
          <w:highlight w:val="none"/>
        </w:rPr>
        <w:t>）技术标准和要求；</w:t>
      </w:r>
    </w:p>
    <w:p w14:paraId="2F5B8D03">
      <w:pPr>
        <w:spacing w:line="360" w:lineRule="auto"/>
        <w:ind w:firstLine="420" w:firstLineChars="200"/>
        <w:rPr>
          <w:rFonts w:hint="eastAsia" w:ascii="宋体" w:hAnsi="宋体" w:eastAsia="宋体" w:cs="宋体"/>
          <w:color w:val="000000"/>
          <w:kern w:val="0"/>
          <w:highlight w:val="none"/>
        </w:rPr>
      </w:pPr>
      <w:bookmarkStart w:id="528" w:name="bookmark919"/>
      <w:bookmarkEnd w:id="528"/>
      <w:r>
        <w:rPr>
          <w:rFonts w:hint="eastAsia" w:ascii="宋体" w:hAnsi="宋体" w:eastAsia="宋体" w:cs="宋体"/>
          <w:color w:val="000000"/>
          <w:kern w:val="0"/>
          <w:highlight w:val="none"/>
        </w:rPr>
        <w:t>（</w:t>
      </w:r>
      <w:r>
        <w:rPr>
          <w:rFonts w:hint="eastAsia" w:ascii="宋体" w:hAnsi="宋体" w:eastAsia="宋体" w:cs="宋体"/>
          <w:color w:val="000000"/>
          <w:kern w:val="0"/>
          <w:highlight w:val="none"/>
          <w:lang w:val="en-US" w:eastAsia="zh-CN"/>
        </w:rPr>
        <w:t>5</w:t>
      </w:r>
      <w:r>
        <w:rPr>
          <w:rFonts w:hint="eastAsia" w:ascii="宋体" w:hAnsi="宋体" w:eastAsia="宋体" w:cs="宋体"/>
          <w:color w:val="000000"/>
          <w:kern w:val="0"/>
          <w:highlight w:val="none"/>
        </w:rPr>
        <w:t>）已标价工程量清单；</w:t>
      </w:r>
    </w:p>
    <w:p w14:paraId="1C178455">
      <w:pPr>
        <w:spacing w:line="360" w:lineRule="auto"/>
        <w:ind w:firstLine="420" w:firstLineChars="200"/>
        <w:rPr>
          <w:rFonts w:hint="eastAsia" w:ascii="宋体" w:hAnsi="宋体" w:eastAsia="宋体" w:cs="宋体"/>
          <w:color w:val="000000"/>
          <w:kern w:val="0"/>
          <w:highlight w:val="none"/>
        </w:rPr>
      </w:pPr>
      <w:bookmarkStart w:id="529" w:name="bookmark920"/>
      <w:bookmarkEnd w:id="529"/>
      <w:r>
        <w:rPr>
          <w:rFonts w:hint="eastAsia" w:ascii="宋体" w:hAnsi="宋体" w:eastAsia="宋体" w:cs="宋体"/>
          <w:color w:val="000000"/>
          <w:kern w:val="0"/>
          <w:highlight w:val="none"/>
        </w:rPr>
        <w:t>（</w:t>
      </w:r>
      <w:r>
        <w:rPr>
          <w:rFonts w:hint="eastAsia" w:ascii="宋体" w:hAnsi="宋体" w:eastAsia="宋体" w:cs="宋体"/>
          <w:color w:val="000000"/>
          <w:kern w:val="0"/>
          <w:highlight w:val="none"/>
          <w:lang w:val="en-US" w:eastAsia="zh-CN"/>
        </w:rPr>
        <w:t>6</w:t>
      </w:r>
      <w:r>
        <w:rPr>
          <w:rFonts w:hint="eastAsia" w:ascii="宋体" w:hAnsi="宋体" w:eastAsia="宋体" w:cs="宋体"/>
          <w:color w:val="000000"/>
          <w:kern w:val="0"/>
          <w:highlight w:val="none"/>
        </w:rPr>
        <w:t>）</w:t>
      </w:r>
      <w:r>
        <w:rPr>
          <w:rFonts w:hint="eastAsia" w:ascii="宋体" w:hAnsi="宋体" w:eastAsia="宋体" w:cs="宋体"/>
          <w:color w:val="000000"/>
          <w:kern w:val="0"/>
          <w:highlight w:val="none"/>
          <w:lang w:eastAsia="zh-CN"/>
        </w:rPr>
        <w:t>图纸</w:t>
      </w:r>
      <w:r>
        <w:rPr>
          <w:rFonts w:hint="eastAsia" w:ascii="宋体" w:hAnsi="宋体" w:eastAsia="宋体" w:cs="宋体"/>
          <w:color w:val="000000"/>
          <w:kern w:val="0"/>
          <w:highlight w:val="none"/>
        </w:rPr>
        <w:t>；</w:t>
      </w:r>
    </w:p>
    <w:p w14:paraId="6A9A93BA">
      <w:pPr>
        <w:spacing w:line="360" w:lineRule="auto"/>
        <w:ind w:firstLine="420" w:firstLineChars="200"/>
        <w:rPr>
          <w:rFonts w:hint="eastAsia" w:ascii="宋体" w:hAnsi="宋体" w:eastAsia="宋体" w:cs="宋体"/>
          <w:color w:val="000000"/>
          <w:kern w:val="0"/>
          <w:highlight w:val="none"/>
        </w:rPr>
      </w:pPr>
      <w:bookmarkStart w:id="530" w:name="bookmark921"/>
      <w:bookmarkEnd w:id="530"/>
      <w:r>
        <w:rPr>
          <w:rFonts w:hint="eastAsia" w:ascii="宋体" w:hAnsi="宋体" w:eastAsia="宋体" w:cs="宋体"/>
          <w:color w:val="000000"/>
          <w:kern w:val="0"/>
          <w:highlight w:val="none"/>
        </w:rPr>
        <w:t>（</w:t>
      </w:r>
      <w:r>
        <w:rPr>
          <w:rFonts w:hint="eastAsia" w:ascii="宋体" w:hAnsi="宋体" w:eastAsia="宋体" w:cs="宋体"/>
          <w:color w:val="000000"/>
          <w:kern w:val="0"/>
          <w:highlight w:val="none"/>
          <w:lang w:val="en-US" w:eastAsia="zh-CN"/>
        </w:rPr>
        <w:t>7</w:t>
      </w:r>
      <w:r>
        <w:rPr>
          <w:rFonts w:hint="eastAsia" w:ascii="宋体" w:hAnsi="宋体" w:eastAsia="宋体" w:cs="宋体"/>
          <w:color w:val="000000"/>
          <w:kern w:val="0"/>
          <w:highlight w:val="none"/>
        </w:rPr>
        <w:t>）</w:t>
      </w:r>
      <w:r>
        <w:rPr>
          <w:rFonts w:hint="eastAsia" w:ascii="宋体" w:hAnsi="宋体" w:eastAsia="宋体" w:cs="宋体"/>
          <w:color w:val="000000"/>
          <w:kern w:val="0"/>
          <w:highlight w:val="none"/>
          <w:u w:val="none"/>
        </w:rPr>
        <w:t>其他合同文件</w:t>
      </w:r>
      <w:r>
        <w:rPr>
          <w:rFonts w:hint="eastAsia" w:ascii="宋体" w:hAnsi="宋体" w:eastAsia="宋体" w:cs="宋体"/>
          <w:color w:val="000000"/>
          <w:kern w:val="0"/>
          <w:highlight w:val="none"/>
        </w:rPr>
        <w:t>；</w:t>
      </w:r>
    </w:p>
    <w:p w14:paraId="714AA469">
      <w:pPr>
        <w:autoSpaceDE/>
        <w:autoSpaceDN/>
        <w:adjustRightInd/>
        <w:spacing w:line="360" w:lineRule="auto"/>
        <w:ind w:firstLine="420" w:firstLineChars="200"/>
        <w:jc w:val="left"/>
        <w:rPr>
          <w:rFonts w:hint="eastAsia" w:ascii="宋体" w:hAnsi="宋体" w:eastAsia="宋体" w:cs="宋体"/>
          <w:color w:val="auto"/>
          <w:kern w:val="0"/>
          <w:highlight w:val="none"/>
          <w:u w:val="none"/>
        </w:rPr>
      </w:pPr>
      <w:bookmarkStart w:id="531" w:name="bookmark922"/>
      <w:bookmarkEnd w:id="531"/>
      <w:r>
        <w:rPr>
          <w:rFonts w:hint="eastAsia" w:ascii="宋体" w:hAnsi="宋体" w:eastAsia="宋体" w:cs="宋体"/>
          <w:color w:val="auto"/>
          <w:kern w:val="0"/>
          <w:highlight w:val="none"/>
          <w:u w:val="none"/>
          <w:lang w:val="en-US" w:eastAsia="zh-CN"/>
        </w:rPr>
        <w:t>（8）《建设工程工程量清单计价规范（GB5050-2013）》及其广西实施细则及《关于建筑业实施营业税改征增值税后广西壮族自治区建设工程计价依据调整的通知》（桂建标〔2016〕17 号）、《建设工程工程量清单计算规范（GB5854~50862-2013）》及其广西实施细则（修订本） (适用于实行工程量清单计价的项目) ；</w:t>
      </w:r>
    </w:p>
    <w:p w14:paraId="3638BDB3">
      <w:pPr>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上述各项合同文件包括合同当事人就该项合同文件所作出的补充和修改，属于同一类内容的文件，应以最新签署的为准（违反招标文件实质性内容的约定除外）。专用合同条款及其附件须经合同当事人签字或盖章。</w:t>
      </w:r>
    </w:p>
    <w:p w14:paraId="6CA969FB">
      <w:pPr>
        <w:pStyle w:val="4"/>
        <w:rPr>
          <w:rFonts w:hint="eastAsia" w:ascii="宋体" w:hAnsi="宋体" w:eastAsia="宋体" w:cs="宋体"/>
          <w:color w:val="auto"/>
          <w:highlight w:val="none"/>
        </w:rPr>
      </w:pPr>
      <w:bookmarkStart w:id="532" w:name="_Toc1537247101"/>
      <w:bookmarkStart w:id="533" w:name="_Toc1531480704"/>
      <w:bookmarkStart w:id="534" w:name="_Toc373478344"/>
      <w:bookmarkStart w:id="535" w:name="_Toc78449785"/>
      <w:bookmarkStart w:id="536" w:name="_Toc373227697"/>
      <w:bookmarkStart w:id="537" w:name="_Toc389065263"/>
      <w:bookmarkStart w:id="538" w:name="_Toc407135199"/>
      <w:r>
        <w:rPr>
          <w:rFonts w:hint="eastAsia" w:ascii="宋体" w:hAnsi="宋体" w:eastAsia="宋体" w:cs="宋体"/>
          <w:color w:val="auto"/>
          <w:highlight w:val="none"/>
        </w:rPr>
        <w:t>1.6 图纸和承包人文件</w:t>
      </w:r>
      <w:bookmarkEnd w:id="532"/>
      <w:bookmarkEnd w:id="533"/>
      <w:bookmarkEnd w:id="534"/>
      <w:bookmarkEnd w:id="535"/>
      <w:bookmarkEnd w:id="536"/>
      <w:bookmarkEnd w:id="537"/>
      <w:bookmarkEnd w:id="538"/>
      <w:r>
        <w:rPr>
          <w:rFonts w:hint="eastAsia" w:ascii="宋体" w:hAnsi="宋体" w:eastAsia="宋体" w:cs="宋体"/>
          <w:color w:val="auto"/>
          <w:highlight w:val="none"/>
        </w:rPr>
        <w:tab/>
      </w:r>
    </w:p>
    <w:p w14:paraId="281E1AA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1.6.1 图纸的提供</w:t>
      </w:r>
    </w:p>
    <w:p w14:paraId="6B45856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发包人向承包人提供图纸的期限：</w:t>
      </w:r>
      <w:r>
        <w:rPr>
          <w:rFonts w:hint="eastAsia" w:ascii="宋体" w:hAnsi="宋体" w:eastAsia="宋体" w:cs="宋体"/>
          <w:color w:val="000000"/>
          <w:szCs w:val="21"/>
          <w:u w:val="single"/>
        </w:rPr>
        <w:t>合同</w:t>
      </w:r>
      <w:r>
        <w:rPr>
          <w:rFonts w:hint="eastAsia" w:ascii="宋体" w:hAnsi="宋体" w:eastAsia="宋体" w:cs="宋体"/>
          <w:color w:val="000000"/>
          <w:szCs w:val="21"/>
          <w:u w:val="single"/>
          <w:lang w:eastAsia="zh-CN"/>
        </w:rPr>
        <w:t>生效后</w:t>
      </w:r>
      <w:r>
        <w:rPr>
          <w:rFonts w:hint="eastAsia" w:ascii="宋体" w:hAnsi="宋体" w:eastAsia="宋体" w:cs="宋体"/>
          <w:color w:val="000000"/>
          <w:szCs w:val="21"/>
          <w:u w:val="single"/>
          <w:lang w:val="en-US" w:eastAsia="zh-CN"/>
        </w:rPr>
        <w:t>5日内</w:t>
      </w:r>
      <w:r>
        <w:rPr>
          <w:rFonts w:hint="eastAsia" w:ascii="宋体" w:hAnsi="宋体" w:eastAsia="宋体" w:cs="宋体"/>
          <w:color w:val="auto"/>
          <w:highlight w:val="none"/>
        </w:rPr>
        <w:t>；</w:t>
      </w:r>
    </w:p>
    <w:p w14:paraId="001ADA1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发包人向承包人提供图纸的数量：</w:t>
      </w:r>
      <w:r>
        <w:rPr>
          <w:rFonts w:hint="eastAsia" w:ascii="宋体" w:hAnsi="宋体" w:eastAsia="宋体" w:cs="宋体"/>
          <w:color w:val="auto"/>
          <w:highlight w:val="none"/>
          <w:u w:val="single"/>
          <w:lang w:val="en-US" w:eastAsia="zh-CN"/>
        </w:rPr>
        <w:t>一式2</w:t>
      </w:r>
      <w:r>
        <w:rPr>
          <w:rFonts w:hint="eastAsia" w:ascii="宋体" w:hAnsi="宋体" w:eastAsia="宋体" w:cs="宋体"/>
          <w:color w:val="auto"/>
          <w:highlight w:val="none"/>
        </w:rPr>
        <w:t>套（承包人需要增加图纸套数的，发包人应代为复制，复制费用由承包人承担）；</w:t>
      </w:r>
    </w:p>
    <w:p w14:paraId="28BB493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发包人向承包人提供图纸的内容：</w:t>
      </w:r>
      <w:r>
        <w:rPr>
          <w:rFonts w:hint="eastAsia" w:ascii="宋体" w:hAnsi="宋体" w:eastAsia="宋体" w:cs="宋体"/>
          <w:color w:val="auto"/>
          <w:highlight w:val="none"/>
          <w:u w:val="single"/>
        </w:rPr>
        <w:t>详见施工图纸</w:t>
      </w:r>
      <w:r>
        <w:rPr>
          <w:rFonts w:hint="eastAsia" w:ascii="宋体" w:hAnsi="宋体" w:eastAsia="宋体" w:cs="宋体"/>
          <w:color w:val="auto"/>
          <w:highlight w:val="none"/>
        </w:rPr>
        <w:t>。</w:t>
      </w:r>
    </w:p>
    <w:p w14:paraId="541F976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1.6.4 承包人文件</w:t>
      </w:r>
    </w:p>
    <w:p w14:paraId="3FD37CA8">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需要由承包人提供的文件，包括：</w:t>
      </w:r>
      <w:r>
        <w:rPr>
          <w:rFonts w:hint="eastAsia" w:ascii="宋体" w:hAnsi="宋体" w:eastAsia="宋体" w:cs="宋体"/>
          <w:color w:val="auto"/>
          <w:highlight w:val="none"/>
          <w:u w:val="single"/>
        </w:rPr>
        <w:t>除专用合同条款约定的由承包人提供的设计文件外，本项约定的其他应由承包人提供的文件，包括必要的加工图和大样图，均不是合同计量与支付的依据文件。由承包人提供的文件范围：工程建设项目竣工验收前，承包人应根据合同工作内容要求， 分别整理竣工验收资料（含竣工图），汇总为完整的建设项目竣工资料报发包人（费用由承包人负责</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rPr>
        <w:t>；</w:t>
      </w:r>
    </w:p>
    <w:p w14:paraId="38F3172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承包人提供的文件的期限为：</w:t>
      </w:r>
      <w:r>
        <w:rPr>
          <w:rFonts w:hint="eastAsia" w:ascii="宋体" w:hAnsi="宋体" w:eastAsia="宋体" w:cs="宋体"/>
          <w:color w:val="000000"/>
          <w:szCs w:val="21"/>
          <w:highlight w:val="none"/>
          <w:u w:val="single"/>
        </w:rPr>
        <w:t>竣工验收正式通过后</w:t>
      </w:r>
      <w:r>
        <w:rPr>
          <w:rFonts w:hint="eastAsia" w:ascii="宋体" w:hAnsi="宋体" w:eastAsia="宋体" w:cs="宋体"/>
          <w:color w:val="000000"/>
          <w:szCs w:val="21"/>
          <w:highlight w:val="none"/>
          <w:u w:val="single"/>
          <w:lang w:val="en-US" w:eastAsia="zh-CN"/>
        </w:rPr>
        <w:t>30天内</w:t>
      </w:r>
      <w:r>
        <w:rPr>
          <w:rFonts w:hint="eastAsia" w:ascii="宋体" w:hAnsi="宋体" w:eastAsia="宋体" w:cs="宋体"/>
          <w:color w:val="auto"/>
          <w:highlight w:val="none"/>
        </w:rPr>
        <w:t>；</w:t>
      </w:r>
    </w:p>
    <w:p w14:paraId="33827C4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承包人提供的文件的数量为：</w:t>
      </w:r>
      <w:r>
        <w:rPr>
          <w:rFonts w:hint="eastAsia" w:ascii="宋体" w:hAnsi="宋体" w:eastAsia="宋体" w:cs="宋体"/>
          <w:color w:val="auto"/>
          <w:highlight w:val="none"/>
          <w:u w:val="single"/>
          <w:lang w:eastAsia="zh-CN"/>
        </w:rPr>
        <w:t>按需提供</w:t>
      </w:r>
      <w:r>
        <w:rPr>
          <w:rFonts w:hint="eastAsia" w:ascii="宋体" w:hAnsi="宋体" w:eastAsia="宋体" w:cs="宋体"/>
          <w:color w:val="auto"/>
          <w:highlight w:val="none"/>
        </w:rPr>
        <w:t>；</w:t>
      </w:r>
    </w:p>
    <w:p w14:paraId="2C8E8B4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承包人提供的文件的形式为：</w:t>
      </w:r>
      <w:r>
        <w:rPr>
          <w:rFonts w:hint="eastAsia" w:ascii="宋体" w:hAnsi="宋体" w:eastAsia="宋体" w:cs="宋体"/>
          <w:color w:val="auto"/>
          <w:highlight w:val="none"/>
          <w:u w:val="single"/>
          <w:lang w:eastAsia="zh-CN"/>
        </w:rPr>
        <w:t>纸质版本</w:t>
      </w:r>
      <w:r>
        <w:rPr>
          <w:rFonts w:hint="eastAsia" w:ascii="宋体" w:hAnsi="宋体" w:eastAsia="宋体" w:cs="宋体"/>
          <w:color w:val="auto"/>
          <w:highlight w:val="none"/>
        </w:rPr>
        <w:t>；</w:t>
      </w:r>
    </w:p>
    <w:p w14:paraId="7A74E58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其他约定：</w:t>
      </w:r>
      <w:r>
        <w:rPr>
          <w:rFonts w:hint="eastAsia" w:ascii="宋体" w:hAnsi="宋体" w:eastAsia="宋体" w:cs="宋体"/>
          <w:color w:val="auto"/>
          <w:highlight w:val="none"/>
          <w:u w:val="single"/>
        </w:rPr>
        <w:t>承包人按国家、地方的工程竣工验收有关规定，向发包人提交完整的竣工资料、 竣工图及竣工验收报告；由监理工程师负责审核并组织竣工验收。承包人提交的工程文件（档 案）、竣工资料、竣工图必须满足国家、地方（含城建档案管理部门等）相关规范、规定，否则，监理单位及发包人均有权拒绝竣工验收及结算，承包人因此逾期交付的，发包人有权按本合同的相关条款追究其违约责任</w:t>
      </w:r>
      <w:r>
        <w:rPr>
          <w:rFonts w:hint="eastAsia" w:ascii="宋体" w:hAnsi="宋体" w:eastAsia="宋体" w:cs="宋体"/>
          <w:color w:val="auto"/>
          <w:highlight w:val="none"/>
        </w:rPr>
        <w:t>；</w:t>
      </w:r>
    </w:p>
    <w:p w14:paraId="35D9043A">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auto"/>
          <w:highlight w:val="none"/>
        </w:rPr>
        <w:t>发包人审批承包人文件</w:t>
      </w:r>
      <w:r>
        <w:rPr>
          <w:rFonts w:hint="eastAsia" w:ascii="宋体" w:hAnsi="宋体" w:eastAsia="宋体" w:cs="宋体"/>
          <w:color w:val="000000"/>
          <w:highlight w:val="none"/>
        </w:rPr>
        <w:t>的期限：</w:t>
      </w:r>
      <w:r>
        <w:rPr>
          <w:rFonts w:hint="eastAsia" w:ascii="宋体" w:hAnsi="宋体" w:eastAsia="宋体" w:cs="宋体"/>
          <w:color w:val="000000"/>
          <w:u w:val="single"/>
          <w:lang w:eastAsia="zh-CN"/>
        </w:rPr>
        <w:t>收到后</w:t>
      </w:r>
      <w:r>
        <w:rPr>
          <w:rFonts w:hint="eastAsia" w:ascii="宋体" w:hAnsi="宋体" w:eastAsia="宋体" w:cs="宋体"/>
          <w:color w:val="000000"/>
          <w:u w:val="single"/>
          <w:lang w:val="en-US" w:eastAsia="zh-CN"/>
        </w:rPr>
        <w:t>30天内</w:t>
      </w:r>
      <w:r>
        <w:rPr>
          <w:rFonts w:hint="eastAsia" w:ascii="宋体" w:hAnsi="宋体" w:eastAsia="宋体" w:cs="宋体"/>
          <w:color w:val="000000"/>
          <w:highlight w:val="none"/>
        </w:rPr>
        <w:t>。</w:t>
      </w:r>
    </w:p>
    <w:p w14:paraId="187F70CF">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1.6.5 现场图纸准备</w:t>
      </w:r>
    </w:p>
    <w:p w14:paraId="4B3F5AF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关于现场图纸准备的约定：</w:t>
      </w:r>
      <w:r>
        <w:rPr>
          <w:rFonts w:hint="eastAsia" w:ascii="宋体" w:hAnsi="宋体" w:eastAsia="宋体" w:cs="宋体"/>
          <w:color w:val="000000"/>
          <w:szCs w:val="21"/>
          <w:highlight w:val="none"/>
          <w:u w:val="single"/>
          <w:lang w:eastAsia="zh-CN"/>
        </w:rPr>
        <w:t>开工前</w:t>
      </w:r>
      <w:r>
        <w:rPr>
          <w:rFonts w:hint="eastAsia" w:ascii="宋体" w:hAnsi="宋体" w:eastAsia="宋体" w:cs="宋体"/>
          <w:color w:val="000000"/>
          <w:szCs w:val="21"/>
          <w:highlight w:val="none"/>
          <w:u w:val="single"/>
          <w:lang w:val="en-US" w:eastAsia="zh-CN"/>
        </w:rPr>
        <w:t>7天完成图纸会审</w:t>
      </w:r>
      <w:r>
        <w:rPr>
          <w:rFonts w:hint="eastAsia" w:ascii="宋体" w:hAnsi="宋体" w:eastAsia="宋体" w:cs="宋体"/>
          <w:color w:val="auto"/>
          <w:highlight w:val="none"/>
        </w:rPr>
        <w:t>。</w:t>
      </w:r>
    </w:p>
    <w:p w14:paraId="6F57DEE9">
      <w:pPr>
        <w:pStyle w:val="4"/>
        <w:rPr>
          <w:rFonts w:hint="eastAsia" w:ascii="宋体" w:hAnsi="宋体" w:eastAsia="宋体" w:cs="宋体"/>
          <w:color w:val="auto"/>
          <w:highlight w:val="none"/>
        </w:rPr>
      </w:pPr>
      <w:bookmarkStart w:id="539" w:name="_Toc110523719"/>
      <w:bookmarkStart w:id="540" w:name="_Toc389065264"/>
      <w:bookmarkStart w:id="541" w:name="_Toc1944260835"/>
      <w:bookmarkStart w:id="542" w:name="_Toc373227698"/>
      <w:bookmarkStart w:id="543" w:name="_Toc373478345"/>
      <w:bookmarkStart w:id="544" w:name="_Toc407135200"/>
      <w:bookmarkStart w:id="545" w:name="_Toc78449786"/>
      <w:r>
        <w:rPr>
          <w:rFonts w:hint="eastAsia" w:ascii="宋体" w:hAnsi="宋体" w:eastAsia="宋体" w:cs="宋体"/>
          <w:color w:val="auto"/>
          <w:highlight w:val="none"/>
        </w:rPr>
        <w:t>1.7 联络</w:t>
      </w:r>
      <w:bookmarkEnd w:id="539"/>
      <w:bookmarkEnd w:id="540"/>
      <w:bookmarkEnd w:id="541"/>
      <w:bookmarkEnd w:id="542"/>
      <w:bookmarkEnd w:id="543"/>
      <w:bookmarkEnd w:id="544"/>
      <w:bookmarkEnd w:id="545"/>
    </w:p>
    <w:p w14:paraId="11C5CE13">
      <w:pPr>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1.7.1发包人和承包人应当在</w:t>
      </w:r>
      <w:r>
        <w:rPr>
          <w:rFonts w:hint="eastAsia" w:ascii="宋体" w:hAnsi="宋体" w:eastAsia="宋体" w:cs="宋体"/>
          <w:color w:val="auto"/>
          <w:highlight w:val="none"/>
          <w:u w:val="single"/>
          <w:lang w:val="en-US" w:eastAsia="zh-CN"/>
        </w:rPr>
        <w:t>7</w:t>
      </w:r>
      <w:r>
        <w:rPr>
          <w:rFonts w:hint="eastAsia" w:ascii="宋体" w:hAnsi="宋体" w:eastAsia="宋体" w:cs="宋体"/>
          <w:color w:val="auto"/>
          <w:kern w:val="0"/>
          <w:highlight w:val="none"/>
        </w:rPr>
        <w:t>天内将与合同有关的通知、批准、证明、证书、指示、指令、要求、请求、同意、意见、确定和决定等书面函件送达对方当事人。</w:t>
      </w:r>
    </w:p>
    <w:p w14:paraId="19E1F916">
      <w:pPr>
        <w:spacing w:line="360" w:lineRule="auto"/>
        <w:ind w:firstLine="420" w:firstLineChars="200"/>
        <w:rPr>
          <w:rFonts w:hint="eastAsia" w:ascii="宋体" w:hAnsi="宋体" w:eastAsia="宋体" w:cs="宋体"/>
          <w:color w:val="000000"/>
          <w:kern w:val="0"/>
          <w:highlight w:val="none"/>
        </w:rPr>
      </w:pPr>
      <w:r>
        <w:rPr>
          <w:rFonts w:hint="eastAsia" w:ascii="宋体" w:hAnsi="宋体" w:eastAsia="宋体" w:cs="宋体"/>
          <w:color w:val="000000"/>
          <w:kern w:val="0"/>
          <w:highlight w:val="none"/>
        </w:rPr>
        <w:t>1.7.2 发包人接收文件的地点：</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u w:val="single"/>
        </w:rPr>
        <w:t xml:space="preserve">  </w:t>
      </w:r>
      <w:r>
        <w:rPr>
          <w:rFonts w:hint="eastAsia" w:ascii="宋体" w:hAnsi="宋体" w:eastAsia="宋体" w:cs="宋体"/>
          <w:color w:val="000000"/>
          <w:kern w:val="0"/>
          <w:highlight w:val="none"/>
        </w:rPr>
        <w:t>；</w:t>
      </w:r>
    </w:p>
    <w:p w14:paraId="2D176A04">
      <w:pPr>
        <w:spacing w:line="360" w:lineRule="auto"/>
        <w:ind w:firstLine="420" w:firstLineChars="200"/>
        <w:rPr>
          <w:rFonts w:hint="eastAsia" w:ascii="宋体" w:hAnsi="宋体" w:eastAsia="宋体" w:cs="宋体"/>
          <w:color w:val="000000"/>
          <w:kern w:val="0"/>
          <w:highlight w:val="none"/>
        </w:rPr>
      </w:pPr>
      <w:r>
        <w:rPr>
          <w:rFonts w:hint="eastAsia" w:ascii="宋体" w:hAnsi="宋体" w:eastAsia="宋体" w:cs="宋体"/>
          <w:color w:val="000000"/>
          <w:kern w:val="0"/>
          <w:highlight w:val="none"/>
        </w:rPr>
        <w:t>发包人指定的接收人为：</w:t>
      </w:r>
      <w:r>
        <w:rPr>
          <w:rFonts w:hint="eastAsia" w:ascii="宋体" w:hAnsi="宋体" w:eastAsia="宋体" w:cs="宋体"/>
          <w:color w:val="000000"/>
          <w:u w:val="single"/>
        </w:rPr>
        <w:t>发包人现场代表</w:t>
      </w:r>
      <w:r>
        <w:rPr>
          <w:rFonts w:hint="eastAsia" w:ascii="宋体" w:hAnsi="宋体" w:eastAsia="宋体" w:cs="宋体"/>
          <w:color w:val="000000"/>
          <w:u w:val="single"/>
          <w:lang w:val="en-US" w:eastAsia="zh-CN"/>
        </w:rPr>
        <w:t xml:space="preserve">     </w:t>
      </w:r>
      <w:r>
        <w:rPr>
          <w:rFonts w:hint="eastAsia" w:ascii="宋体" w:hAnsi="宋体" w:eastAsia="宋体" w:cs="宋体"/>
          <w:color w:val="000000"/>
          <w:kern w:val="0"/>
          <w:highlight w:val="none"/>
        </w:rPr>
        <w:t>。</w:t>
      </w:r>
    </w:p>
    <w:p w14:paraId="48654D3A">
      <w:pPr>
        <w:spacing w:line="360" w:lineRule="auto"/>
        <w:ind w:firstLine="420" w:firstLineChars="200"/>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承包人接收文件的地点：</w:t>
      </w:r>
      <w:r>
        <w:rPr>
          <w:rFonts w:hint="eastAsia" w:ascii="宋体" w:hAnsi="宋体" w:eastAsia="宋体" w:cs="宋体"/>
          <w:color w:val="000000"/>
          <w:highlight w:val="none"/>
          <w:u w:val="single"/>
        </w:rPr>
        <w:t xml:space="preserve">   由承包人指定  </w:t>
      </w:r>
      <w:r>
        <w:rPr>
          <w:rFonts w:hint="eastAsia" w:ascii="宋体" w:hAnsi="宋体" w:eastAsia="宋体" w:cs="宋体"/>
          <w:color w:val="000000"/>
          <w:kern w:val="0"/>
          <w:highlight w:val="none"/>
        </w:rPr>
        <w:t>；</w:t>
      </w:r>
    </w:p>
    <w:p w14:paraId="37821547">
      <w:pPr>
        <w:spacing w:line="360" w:lineRule="auto"/>
        <w:ind w:firstLine="420" w:firstLineChars="200"/>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承包人指定的接收人为：</w:t>
      </w:r>
      <w:r>
        <w:rPr>
          <w:rFonts w:hint="eastAsia" w:ascii="宋体" w:hAnsi="宋体" w:eastAsia="宋体" w:cs="宋体"/>
          <w:color w:val="000000"/>
          <w:highlight w:val="none"/>
          <w:u w:val="single"/>
        </w:rPr>
        <w:t xml:space="preserve">   由承包人指定  </w:t>
      </w:r>
      <w:r>
        <w:rPr>
          <w:rFonts w:hint="eastAsia" w:ascii="宋体" w:hAnsi="宋体" w:eastAsia="宋体" w:cs="宋体"/>
          <w:color w:val="000000"/>
          <w:kern w:val="0"/>
          <w:highlight w:val="none"/>
        </w:rPr>
        <w:t>。</w:t>
      </w:r>
    </w:p>
    <w:p w14:paraId="6A1A2AE1">
      <w:pPr>
        <w:spacing w:line="360" w:lineRule="auto"/>
        <w:ind w:firstLine="420" w:firstLineChars="200"/>
        <w:rPr>
          <w:rFonts w:hint="eastAsia" w:ascii="宋体" w:hAnsi="宋体" w:eastAsia="宋体" w:cs="宋体"/>
          <w:color w:val="000000"/>
          <w:kern w:val="0"/>
          <w:highlight w:val="none"/>
        </w:rPr>
      </w:pPr>
      <w:r>
        <w:rPr>
          <w:rFonts w:hint="eastAsia" w:ascii="宋体" w:hAnsi="宋体" w:eastAsia="宋体" w:cs="宋体"/>
          <w:color w:val="000000"/>
          <w:kern w:val="0"/>
          <w:highlight w:val="none"/>
        </w:rPr>
        <w:t>监理人接收文件的地点：</w:t>
      </w:r>
      <w:r>
        <w:rPr>
          <w:rFonts w:hint="eastAsia" w:ascii="宋体" w:hAnsi="宋体" w:eastAsia="宋体" w:cs="宋体"/>
          <w:color w:val="000000"/>
          <w:highlight w:val="none"/>
          <w:u w:val="single"/>
        </w:rPr>
        <w:t xml:space="preserve">  由监理人指定  </w:t>
      </w:r>
      <w:r>
        <w:rPr>
          <w:rFonts w:hint="eastAsia" w:ascii="宋体" w:hAnsi="宋体" w:eastAsia="宋体" w:cs="宋体"/>
          <w:color w:val="000000"/>
          <w:kern w:val="0"/>
          <w:highlight w:val="none"/>
        </w:rPr>
        <w:t>；</w:t>
      </w:r>
    </w:p>
    <w:p w14:paraId="5F4C26C7">
      <w:pPr>
        <w:spacing w:line="360" w:lineRule="auto"/>
        <w:ind w:firstLine="420" w:firstLineChars="200"/>
        <w:rPr>
          <w:rFonts w:hint="eastAsia" w:ascii="宋体" w:hAnsi="宋体" w:eastAsia="宋体" w:cs="宋体"/>
          <w:color w:val="000000"/>
          <w:kern w:val="0"/>
          <w:highlight w:val="none"/>
        </w:rPr>
      </w:pPr>
      <w:r>
        <w:rPr>
          <w:rFonts w:hint="eastAsia" w:ascii="宋体" w:hAnsi="宋体" w:eastAsia="宋体" w:cs="宋体"/>
          <w:color w:val="000000"/>
          <w:kern w:val="0"/>
          <w:highlight w:val="none"/>
        </w:rPr>
        <w:t>监理人指定的接收人为：</w:t>
      </w:r>
      <w:r>
        <w:rPr>
          <w:rFonts w:hint="eastAsia" w:ascii="宋体" w:hAnsi="宋体" w:eastAsia="宋体" w:cs="宋体"/>
          <w:color w:val="000000"/>
          <w:highlight w:val="none"/>
          <w:u w:val="single"/>
        </w:rPr>
        <w:t xml:space="preserve">  由监理人指定  </w:t>
      </w:r>
      <w:r>
        <w:rPr>
          <w:rFonts w:hint="eastAsia" w:ascii="宋体" w:hAnsi="宋体" w:eastAsia="宋体" w:cs="宋体"/>
          <w:color w:val="000000"/>
          <w:kern w:val="0"/>
          <w:highlight w:val="none"/>
        </w:rPr>
        <w:t>。</w:t>
      </w:r>
    </w:p>
    <w:p w14:paraId="425E311C">
      <w:pPr>
        <w:pStyle w:val="4"/>
        <w:rPr>
          <w:rFonts w:hint="eastAsia" w:ascii="宋体" w:hAnsi="宋体" w:eastAsia="宋体" w:cs="宋体"/>
          <w:color w:val="auto"/>
          <w:highlight w:val="none"/>
        </w:rPr>
      </w:pPr>
      <w:bookmarkStart w:id="546" w:name="_Toc78449787"/>
      <w:bookmarkStart w:id="547" w:name="_Toc389065265"/>
      <w:bookmarkStart w:id="548" w:name="_Toc373478346"/>
      <w:bookmarkStart w:id="549" w:name="_Toc373227699"/>
      <w:bookmarkStart w:id="550" w:name="_Toc1387231545"/>
      <w:bookmarkStart w:id="551" w:name="_Toc407135201"/>
      <w:bookmarkStart w:id="552" w:name="_Toc224348539"/>
      <w:r>
        <w:rPr>
          <w:rFonts w:hint="eastAsia" w:ascii="宋体" w:hAnsi="宋体" w:eastAsia="宋体" w:cs="宋体"/>
          <w:color w:val="auto"/>
          <w:highlight w:val="none"/>
        </w:rPr>
        <w:t>1.10 交通运输</w:t>
      </w:r>
      <w:bookmarkEnd w:id="546"/>
      <w:bookmarkEnd w:id="547"/>
      <w:bookmarkEnd w:id="548"/>
      <w:bookmarkEnd w:id="549"/>
      <w:bookmarkEnd w:id="550"/>
      <w:bookmarkEnd w:id="551"/>
      <w:bookmarkEnd w:id="552"/>
    </w:p>
    <w:p w14:paraId="151DCFD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w:t>
      </w:r>
      <w:bookmarkStart w:id="553" w:name="_Toc300934943"/>
      <w:bookmarkStart w:id="554" w:name="_Toc318581155"/>
      <w:bookmarkStart w:id="555" w:name="_Toc304295521"/>
      <w:bookmarkStart w:id="556" w:name="_Toc312677986"/>
      <w:bookmarkStart w:id="557" w:name="_Toc303539100"/>
      <w:r>
        <w:rPr>
          <w:rFonts w:hint="eastAsia" w:ascii="宋体" w:hAnsi="宋体" w:eastAsia="宋体" w:cs="宋体"/>
          <w:color w:val="auto"/>
          <w:highlight w:val="none"/>
        </w:rPr>
        <w:t>.10.1 出入现场的权利</w:t>
      </w:r>
    </w:p>
    <w:p w14:paraId="62A30478">
      <w:pPr>
        <w:spacing w:line="36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关于出入现场的权利的约定：</w:t>
      </w:r>
      <w:r>
        <w:rPr>
          <w:rFonts w:hint="eastAsia" w:ascii="宋体" w:hAnsi="宋体" w:eastAsia="宋体" w:cs="宋体"/>
          <w:color w:val="auto"/>
          <w:highlight w:val="none"/>
          <w:u w:val="single"/>
        </w:rPr>
        <w:t>双方协商</w:t>
      </w:r>
      <w:r>
        <w:rPr>
          <w:rFonts w:hint="eastAsia" w:ascii="宋体" w:hAnsi="宋体" w:eastAsia="宋体" w:cs="宋体"/>
          <w:color w:val="auto"/>
          <w:highlight w:val="none"/>
        </w:rPr>
        <w:t>。</w:t>
      </w:r>
    </w:p>
    <w:bookmarkEnd w:id="553"/>
    <w:bookmarkEnd w:id="554"/>
    <w:bookmarkEnd w:id="555"/>
    <w:bookmarkEnd w:id="556"/>
    <w:bookmarkEnd w:id="557"/>
    <w:p w14:paraId="0E3A4ECC">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w:t>
      </w:r>
      <w:bookmarkStart w:id="558" w:name="_Toc318581156"/>
      <w:bookmarkStart w:id="559" w:name="_Toc300934944"/>
      <w:bookmarkStart w:id="560" w:name="_Toc304295522"/>
      <w:bookmarkStart w:id="561" w:name="_Toc303539101"/>
      <w:bookmarkStart w:id="562" w:name="_Toc312677987"/>
      <w:r>
        <w:rPr>
          <w:rFonts w:hint="eastAsia" w:ascii="宋体" w:hAnsi="宋体" w:eastAsia="宋体" w:cs="宋体"/>
          <w:color w:val="auto"/>
          <w:highlight w:val="none"/>
        </w:rPr>
        <w:t>.10.3 场内交通</w:t>
      </w:r>
    </w:p>
    <w:p w14:paraId="5CE2CA7F">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关于场外交通和场内交通的边界的约定：</w:t>
      </w:r>
      <w:r>
        <w:rPr>
          <w:rFonts w:hint="eastAsia" w:ascii="宋体" w:hAnsi="宋体" w:eastAsia="宋体" w:cs="宋体"/>
          <w:color w:val="auto"/>
          <w:highlight w:val="none"/>
          <w:u w:val="single"/>
        </w:rPr>
        <w:t>承包人负责修建、维修、养护和管理其他场内临时道路及其他设施。建设单位和监理人可以为实现合同目的使用承包人修建的场内临时道路及其他设施</w:t>
      </w:r>
      <w:r>
        <w:rPr>
          <w:rFonts w:hint="eastAsia" w:ascii="宋体" w:hAnsi="宋体" w:eastAsia="宋体" w:cs="宋体"/>
          <w:color w:val="auto"/>
          <w:highlight w:val="none"/>
        </w:rPr>
        <w:t>。</w:t>
      </w:r>
    </w:p>
    <w:p w14:paraId="5B8E90D5">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关于发包人向承包人免费提供满足工程施工需要的场内道路和交通设施的约定：</w:t>
      </w:r>
      <w:r>
        <w:rPr>
          <w:rFonts w:hint="eastAsia" w:ascii="宋体" w:hAnsi="宋体" w:eastAsia="宋体" w:cs="宋体"/>
          <w:color w:val="auto"/>
          <w:highlight w:val="none"/>
          <w:u w:val="single"/>
        </w:rPr>
        <w:t>红线范围 内施工道路均由承包人负责修建，若损坏应负责及时修复。 承包人负责修建、维修、养护和管理施工现场所需的其他场内临时道路交通及其他设施</w:t>
      </w:r>
      <w:r>
        <w:rPr>
          <w:rFonts w:hint="eastAsia" w:ascii="宋体" w:hAnsi="宋体" w:eastAsia="宋体" w:cs="宋体"/>
          <w:color w:val="auto"/>
          <w:highlight w:val="none"/>
        </w:rPr>
        <w:t>。</w:t>
      </w:r>
      <w:bookmarkEnd w:id="558"/>
      <w:bookmarkEnd w:id="559"/>
      <w:bookmarkEnd w:id="560"/>
      <w:bookmarkEnd w:id="561"/>
      <w:bookmarkEnd w:id="562"/>
      <w:bookmarkStart w:id="563" w:name="_Toc318581157"/>
    </w:p>
    <w:p w14:paraId="51D43968">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1.10.4 超大件和超重件的运输</w:t>
      </w:r>
    </w:p>
    <w:p w14:paraId="229BAED5">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运输超大件或超重件所需的道路和桥梁临时加固改造费用和其他有关费用由</w:t>
      </w:r>
      <w:r>
        <w:rPr>
          <w:rFonts w:hint="eastAsia" w:ascii="宋体" w:hAnsi="宋体" w:eastAsia="宋体" w:cs="宋体"/>
          <w:color w:val="auto"/>
          <w:highlight w:val="none"/>
          <w:u w:val="single"/>
          <w:lang w:eastAsia="zh-CN"/>
        </w:rPr>
        <w:t>承包人</w:t>
      </w:r>
      <w:r>
        <w:rPr>
          <w:rFonts w:hint="eastAsia" w:ascii="宋体" w:hAnsi="宋体" w:eastAsia="宋体" w:cs="宋体"/>
          <w:color w:val="auto"/>
          <w:highlight w:val="none"/>
        </w:rPr>
        <w:t>承担。</w:t>
      </w:r>
    </w:p>
    <w:bookmarkEnd w:id="563"/>
    <w:p w14:paraId="0760C21A">
      <w:pPr>
        <w:pStyle w:val="4"/>
        <w:rPr>
          <w:rFonts w:hint="eastAsia" w:ascii="宋体" w:hAnsi="宋体" w:eastAsia="宋体" w:cs="宋体"/>
          <w:color w:val="auto"/>
          <w:highlight w:val="none"/>
        </w:rPr>
      </w:pPr>
      <w:bookmarkStart w:id="564" w:name="_Toc512841653"/>
      <w:bookmarkStart w:id="565" w:name="_Toc1495098807"/>
      <w:bookmarkStart w:id="566" w:name="_Toc389065266"/>
      <w:bookmarkStart w:id="567" w:name="_Toc373478347"/>
      <w:bookmarkStart w:id="568" w:name="_Toc407135202"/>
      <w:bookmarkStart w:id="569" w:name="_Toc78449788"/>
      <w:bookmarkStart w:id="570" w:name="_Toc373227700"/>
      <w:r>
        <w:rPr>
          <w:rFonts w:hint="eastAsia" w:ascii="宋体" w:hAnsi="宋体" w:eastAsia="宋体" w:cs="宋体"/>
          <w:color w:val="auto"/>
          <w:highlight w:val="none"/>
        </w:rPr>
        <w:t>1.11 知识产权</w:t>
      </w:r>
      <w:bookmarkEnd w:id="564"/>
      <w:bookmarkEnd w:id="565"/>
      <w:bookmarkEnd w:id="566"/>
      <w:bookmarkEnd w:id="567"/>
      <w:bookmarkEnd w:id="568"/>
      <w:bookmarkEnd w:id="569"/>
      <w:bookmarkEnd w:id="570"/>
    </w:p>
    <w:p w14:paraId="6C34F86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1.11.1 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auto"/>
          <w:highlight w:val="none"/>
          <w:u w:val="single"/>
          <w:lang w:eastAsia="zh-CN"/>
        </w:rPr>
        <w:t>发包人</w:t>
      </w:r>
      <w:r>
        <w:rPr>
          <w:rFonts w:hint="eastAsia" w:ascii="宋体" w:hAnsi="宋体" w:eastAsia="宋体" w:cs="宋体"/>
          <w:color w:val="auto"/>
          <w:highlight w:val="none"/>
        </w:rPr>
        <w:t>。</w:t>
      </w:r>
    </w:p>
    <w:p w14:paraId="3A06D83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关于发包人提供的上述文件的使用限制的要求：</w:t>
      </w:r>
      <w:r>
        <w:rPr>
          <w:rFonts w:hint="eastAsia" w:ascii="宋体" w:hAnsi="宋体" w:eastAsia="宋体" w:cs="宋体"/>
          <w:sz w:val="21"/>
          <w:szCs w:val="21"/>
          <w:u w:val="single" w:color="auto"/>
        </w:rPr>
        <w:t>仅限于工程施工</w:t>
      </w:r>
      <w:r>
        <w:rPr>
          <w:rFonts w:hint="eastAsia" w:ascii="宋体" w:hAnsi="宋体" w:eastAsia="宋体" w:cs="宋体"/>
          <w:spacing w:val="-1"/>
          <w:sz w:val="21"/>
          <w:szCs w:val="21"/>
          <w:u w:val="single" w:color="auto"/>
        </w:rPr>
        <w:t>和竣工验收使用</w:t>
      </w:r>
      <w:r>
        <w:rPr>
          <w:rFonts w:hint="eastAsia" w:ascii="宋体" w:hAnsi="宋体" w:eastAsia="宋体" w:cs="宋体"/>
          <w:color w:val="auto"/>
          <w:highlight w:val="none"/>
        </w:rPr>
        <w:t>。</w:t>
      </w:r>
    </w:p>
    <w:p w14:paraId="535682F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1.11.2 关于承包人为实施工程所编制文件的著作权的归属：</w:t>
      </w:r>
      <w:r>
        <w:rPr>
          <w:rFonts w:hint="eastAsia" w:ascii="宋体" w:hAnsi="宋体" w:eastAsia="宋体" w:cs="宋体"/>
          <w:color w:val="auto"/>
          <w:highlight w:val="none"/>
          <w:u w:val="single"/>
          <w:lang w:eastAsia="zh-CN"/>
        </w:rPr>
        <w:t>承包人</w:t>
      </w:r>
      <w:r>
        <w:rPr>
          <w:rFonts w:hint="eastAsia" w:ascii="宋体" w:hAnsi="宋体" w:eastAsia="宋体" w:cs="宋体"/>
          <w:color w:val="auto"/>
          <w:highlight w:val="none"/>
        </w:rPr>
        <w:t>。</w:t>
      </w:r>
    </w:p>
    <w:p w14:paraId="6FDC319F">
      <w:pPr>
        <w:spacing w:line="36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关于承包人提供的上述文件的使用限制的要求：</w:t>
      </w:r>
      <w:r>
        <w:rPr>
          <w:rFonts w:hint="eastAsia" w:ascii="宋体" w:hAnsi="宋体" w:eastAsia="宋体" w:cs="宋体"/>
          <w:sz w:val="21"/>
          <w:szCs w:val="21"/>
          <w:u w:val="single" w:color="auto"/>
        </w:rPr>
        <w:t>在施工期间对发</w:t>
      </w:r>
      <w:r>
        <w:rPr>
          <w:rFonts w:hint="eastAsia" w:ascii="宋体" w:hAnsi="宋体" w:eastAsia="宋体" w:cs="宋体"/>
          <w:spacing w:val="-1"/>
          <w:sz w:val="21"/>
          <w:szCs w:val="21"/>
          <w:u w:val="single" w:color="auto"/>
        </w:rPr>
        <w:t>包人免费使用</w:t>
      </w:r>
      <w:r>
        <w:rPr>
          <w:rFonts w:hint="eastAsia" w:ascii="宋体" w:hAnsi="宋体" w:eastAsia="宋体" w:cs="宋体"/>
          <w:color w:val="auto"/>
          <w:highlight w:val="none"/>
        </w:rPr>
        <w:t>。</w:t>
      </w:r>
    </w:p>
    <w:p w14:paraId="5BFC3C86">
      <w:pPr>
        <w:spacing w:line="36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1.11.4 承包人在施工过程中所采用的专利、专有技术、技术秘密的使用费的承担方式：</w:t>
      </w:r>
    </w:p>
    <w:p w14:paraId="2D7BB92A">
      <w:pPr>
        <w:spacing w:line="360" w:lineRule="auto"/>
        <w:rPr>
          <w:rFonts w:hint="eastAsia" w:ascii="宋体" w:hAnsi="宋体" w:eastAsia="宋体" w:cs="宋体"/>
          <w:color w:val="auto"/>
          <w:kern w:val="0"/>
          <w:highlight w:val="none"/>
        </w:rPr>
      </w:pPr>
      <w:r>
        <w:rPr>
          <w:rFonts w:hint="eastAsia" w:ascii="宋体" w:hAnsi="宋体" w:eastAsia="宋体" w:cs="宋体"/>
          <w:color w:val="auto"/>
          <w:highlight w:val="none"/>
          <w:u w:val="single"/>
          <w:lang w:eastAsia="zh-CN"/>
        </w:rPr>
        <w:t>承包人自行承担</w:t>
      </w:r>
      <w:r>
        <w:rPr>
          <w:rFonts w:hint="eastAsia" w:ascii="宋体" w:hAnsi="宋体" w:eastAsia="宋体" w:cs="宋体"/>
          <w:color w:val="auto"/>
          <w:kern w:val="0"/>
          <w:highlight w:val="none"/>
        </w:rPr>
        <w:t>。</w:t>
      </w:r>
    </w:p>
    <w:p w14:paraId="314D1BF0">
      <w:pPr>
        <w:pStyle w:val="4"/>
        <w:rPr>
          <w:rFonts w:hint="eastAsia" w:ascii="宋体" w:hAnsi="宋体" w:eastAsia="宋体" w:cs="宋体"/>
          <w:color w:val="auto"/>
          <w:highlight w:val="none"/>
        </w:rPr>
      </w:pPr>
      <w:bookmarkStart w:id="571" w:name="_Toc373478348"/>
      <w:bookmarkStart w:id="572" w:name="_Toc1194977599"/>
      <w:bookmarkStart w:id="573" w:name="_Toc267680563"/>
      <w:bookmarkStart w:id="574" w:name="_Toc407135203"/>
      <w:bookmarkStart w:id="575" w:name="_Toc373227701"/>
      <w:bookmarkStart w:id="576" w:name="_Toc389065267"/>
      <w:bookmarkStart w:id="577" w:name="_Toc78449789"/>
      <w:r>
        <w:rPr>
          <w:rFonts w:hint="eastAsia" w:ascii="宋体" w:hAnsi="宋体" w:eastAsia="宋体" w:cs="宋体"/>
          <w:color w:val="auto"/>
          <w:highlight w:val="none"/>
        </w:rPr>
        <w:t>1.13工程量清单错误的修正</w:t>
      </w:r>
      <w:bookmarkEnd w:id="571"/>
      <w:bookmarkEnd w:id="572"/>
      <w:bookmarkEnd w:id="573"/>
      <w:bookmarkEnd w:id="574"/>
      <w:bookmarkEnd w:id="575"/>
      <w:bookmarkEnd w:id="576"/>
      <w:bookmarkEnd w:id="577"/>
    </w:p>
    <w:p w14:paraId="5052623F">
      <w:pPr>
        <w:spacing w:line="360" w:lineRule="auto"/>
        <w:ind w:firstLine="420" w:firstLineChars="200"/>
        <w:rPr>
          <w:rFonts w:hint="eastAsia" w:ascii="宋体" w:hAnsi="宋体" w:eastAsia="宋体" w:cs="宋体"/>
          <w:color w:val="auto"/>
          <w:highlight w:val="none"/>
        </w:rPr>
      </w:pPr>
      <w:bookmarkStart w:id="578" w:name="_Toc351203634"/>
      <w:bookmarkStart w:id="579" w:name="_Toc373227702"/>
      <w:bookmarkStart w:id="580" w:name="_Toc143780453"/>
      <w:bookmarkStart w:id="581" w:name="_Toc1415467590"/>
      <w:bookmarkStart w:id="582" w:name="_Toc389065268"/>
      <w:bookmarkStart w:id="583" w:name="_Toc373478349"/>
      <w:bookmarkStart w:id="584" w:name="_Toc78449790"/>
      <w:bookmarkStart w:id="585" w:name="_Toc407135204"/>
      <w:r>
        <w:rPr>
          <w:rFonts w:hint="eastAsia" w:ascii="宋体" w:hAnsi="宋体" w:eastAsia="宋体" w:cs="宋体"/>
          <w:color w:val="auto"/>
          <w:highlight w:val="none"/>
        </w:rPr>
        <w:t>出现工程量清单工程量偏差时，是否调整</w:t>
      </w:r>
      <w:r>
        <w:rPr>
          <w:rFonts w:hint="eastAsia" w:ascii="宋体" w:hAnsi="宋体" w:cs="宋体"/>
          <w:color w:val="auto"/>
          <w:highlight w:val="none"/>
          <w:lang w:val="en-US" w:eastAsia="zh-CN"/>
        </w:rPr>
        <w:t>对应清单单价</w:t>
      </w:r>
      <w:r>
        <w:rPr>
          <w:rFonts w:hint="eastAsia" w:ascii="宋体" w:hAnsi="宋体" w:eastAsia="宋体" w:cs="宋体"/>
          <w:color w:val="auto"/>
          <w:highlight w:val="none"/>
        </w:rPr>
        <w:t>：</w:t>
      </w:r>
      <w:r>
        <w:rPr>
          <w:rFonts w:hint="eastAsia" w:ascii="宋体" w:hAnsi="宋体" w:cs="宋体"/>
          <w:color w:val="auto"/>
          <w:highlight w:val="none"/>
          <w:u w:val="single"/>
          <w:lang w:eastAsia="zh-CN"/>
        </w:rPr>
        <w:t>□</w:t>
      </w:r>
      <w:r>
        <w:rPr>
          <w:rFonts w:hint="eastAsia" w:ascii="宋体" w:hAnsi="宋体" w:eastAsia="宋体" w:cs="宋体"/>
          <w:color w:val="auto"/>
          <w:highlight w:val="none"/>
          <w:u w:val="single"/>
        </w:rPr>
        <w:t xml:space="preserve">是  </w:t>
      </w:r>
      <w:r>
        <w:rPr>
          <w:rFonts w:hint="eastAsia" w:ascii="宋体" w:hAnsi="宋体" w:cs="宋体"/>
          <w:color w:val="auto"/>
          <w:highlight w:val="none"/>
          <w:u w:val="single"/>
          <w:lang w:eastAsia="zh-CN"/>
        </w:rPr>
        <w:t>☑</w:t>
      </w:r>
      <w:r>
        <w:rPr>
          <w:rFonts w:hint="eastAsia" w:ascii="宋体" w:hAnsi="宋体" w:eastAsia="宋体" w:cs="宋体"/>
          <w:color w:val="auto"/>
          <w:highlight w:val="none"/>
          <w:u w:val="single"/>
        </w:rPr>
        <w:t>否</w:t>
      </w:r>
      <w:r>
        <w:rPr>
          <w:rFonts w:hint="eastAsia" w:ascii="宋体" w:hAnsi="宋体" w:eastAsia="宋体" w:cs="宋体"/>
          <w:color w:val="auto"/>
          <w:kern w:val="0"/>
          <w:highlight w:val="none"/>
        </w:rPr>
        <w:t>。</w:t>
      </w:r>
    </w:p>
    <w:p w14:paraId="079B4FB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允许调整</w:t>
      </w:r>
      <w:r>
        <w:rPr>
          <w:rFonts w:hint="eastAsia" w:ascii="宋体" w:hAnsi="宋体" w:cs="宋体"/>
          <w:color w:val="auto"/>
          <w:highlight w:val="none"/>
          <w:lang w:val="en-US" w:eastAsia="zh-CN"/>
        </w:rPr>
        <w:t>清单单价</w:t>
      </w:r>
      <w:r>
        <w:rPr>
          <w:rFonts w:hint="eastAsia" w:ascii="宋体" w:hAnsi="宋体" w:eastAsia="宋体" w:cs="宋体"/>
          <w:color w:val="auto"/>
          <w:highlight w:val="none"/>
        </w:rPr>
        <w:t>的工程量偏差范围及其调整办法：</w:t>
      </w:r>
    </w:p>
    <w:p w14:paraId="2C6EAC76">
      <w:pPr>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 xml:space="preserve"> 除严重不平衡报价外，无论分部分项工程量清单项目中的工程量变化多少均不调整    </w:t>
      </w:r>
      <w:r>
        <w:rPr>
          <w:rFonts w:hint="eastAsia" w:ascii="宋体" w:hAnsi="宋体" w:eastAsia="宋体" w:cs="宋体"/>
          <w:color w:val="auto"/>
          <w:kern w:val="0"/>
          <w:highlight w:val="none"/>
        </w:rPr>
        <w:t>。</w:t>
      </w:r>
    </w:p>
    <w:p w14:paraId="46D903A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cs="宋体"/>
          <w:color w:val="auto"/>
          <w:highlight w:val="none"/>
          <w:lang w:eastAsia="zh-CN"/>
        </w:rPr>
        <w:t>□</w:t>
      </w:r>
      <w:r>
        <w:rPr>
          <w:rFonts w:hint="eastAsia" w:ascii="宋体" w:hAnsi="宋体" w:eastAsia="宋体" w:cs="宋体"/>
          <w:color w:val="auto"/>
          <w:highlight w:val="none"/>
          <w:u w:val="single"/>
        </w:rPr>
        <w:t>承包人实际完成的某单项清单项目工程量与招标工程量清单工程量偏差超过</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%且该单项清单造价超过合同总价</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%以上的，超过后增加部分工程量或减少后剩余部分工程量的综合单价按以下方法调整：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p>
    <w:p w14:paraId="1080D193">
      <w:pPr>
        <w:pStyle w:val="3"/>
        <w:rPr>
          <w:rFonts w:hint="eastAsia" w:ascii="宋体" w:hAnsi="宋体" w:eastAsia="宋体" w:cs="宋体"/>
          <w:color w:val="auto"/>
          <w:highlight w:val="none"/>
        </w:rPr>
      </w:pPr>
      <w:r>
        <w:rPr>
          <w:rFonts w:hint="eastAsia" w:ascii="宋体" w:hAnsi="宋体" w:eastAsia="宋体" w:cs="宋体"/>
          <w:color w:val="auto"/>
          <w:highlight w:val="none"/>
        </w:rPr>
        <w:t>2</w:t>
      </w:r>
      <w:bookmarkStart w:id="586" w:name="_Toc296890985"/>
      <w:bookmarkStart w:id="587" w:name="_Toc297120457"/>
      <w:bookmarkStart w:id="588" w:name="_Toc296346658"/>
      <w:bookmarkStart w:id="589" w:name="_Toc292559867"/>
      <w:bookmarkStart w:id="590" w:name="_Toc296891197"/>
      <w:bookmarkStart w:id="591" w:name="_Toc296503157"/>
      <w:bookmarkStart w:id="592" w:name="_Toc296347156"/>
      <w:bookmarkStart w:id="593" w:name="_Toc297048343"/>
      <w:bookmarkStart w:id="594" w:name="_Toc296944496"/>
      <w:bookmarkStart w:id="595" w:name="_Toc292559362"/>
      <w:r>
        <w:rPr>
          <w:rFonts w:hint="eastAsia" w:ascii="宋体" w:hAnsi="宋体" w:eastAsia="宋体" w:cs="宋体"/>
          <w:color w:val="auto"/>
          <w:highlight w:val="none"/>
        </w:rPr>
        <w:t>. 发包人</w:t>
      </w:r>
      <w:bookmarkEnd w:id="578"/>
      <w:bookmarkEnd w:id="579"/>
      <w:bookmarkEnd w:id="580"/>
      <w:bookmarkEnd w:id="581"/>
      <w:bookmarkEnd w:id="582"/>
      <w:bookmarkEnd w:id="583"/>
      <w:bookmarkEnd w:id="584"/>
      <w:bookmarkEnd w:id="585"/>
    </w:p>
    <w:bookmarkEnd w:id="586"/>
    <w:bookmarkEnd w:id="587"/>
    <w:bookmarkEnd w:id="588"/>
    <w:bookmarkEnd w:id="589"/>
    <w:bookmarkEnd w:id="590"/>
    <w:bookmarkEnd w:id="591"/>
    <w:bookmarkEnd w:id="592"/>
    <w:bookmarkEnd w:id="593"/>
    <w:bookmarkEnd w:id="594"/>
    <w:bookmarkEnd w:id="595"/>
    <w:p w14:paraId="7CE4CB75">
      <w:pPr>
        <w:pStyle w:val="4"/>
        <w:rPr>
          <w:rFonts w:hint="eastAsia" w:ascii="宋体" w:hAnsi="宋体" w:eastAsia="宋体" w:cs="宋体"/>
          <w:color w:val="auto"/>
          <w:highlight w:val="none"/>
          <w:lang w:eastAsia="zh-CN"/>
        </w:rPr>
      </w:pPr>
      <w:bookmarkStart w:id="596" w:name="_Toc373478350"/>
      <w:bookmarkStart w:id="597" w:name="_Toc389065269"/>
      <w:bookmarkStart w:id="598" w:name="_Toc971240048"/>
      <w:bookmarkStart w:id="599" w:name="_Toc78449791"/>
      <w:bookmarkStart w:id="600" w:name="_Toc373227703"/>
      <w:bookmarkStart w:id="601" w:name="_Toc547644210"/>
      <w:bookmarkStart w:id="602" w:name="_Toc407135205"/>
      <w:r>
        <w:rPr>
          <w:rFonts w:hint="eastAsia" w:ascii="宋体" w:hAnsi="宋体" w:eastAsia="宋体" w:cs="宋体"/>
          <w:color w:val="auto"/>
          <w:highlight w:val="none"/>
        </w:rPr>
        <w:t>2.2 发包人代表</w:t>
      </w:r>
      <w:bookmarkEnd w:id="596"/>
      <w:bookmarkEnd w:id="597"/>
      <w:bookmarkEnd w:id="598"/>
      <w:bookmarkEnd w:id="599"/>
      <w:bookmarkEnd w:id="600"/>
      <w:bookmarkEnd w:id="601"/>
      <w:bookmarkEnd w:id="602"/>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发包人通知到位</w:t>
      </w:r>
      <w:r>
        <w:rPr>
          <w:rFonts w:hint="eastAsia" w:ascii="宋体" w:hAnsi="宋体" w:eastAsia="宋体" w:cs="宋体"/>
          <w:color w:val="auto"/>
          <w:highlight w:val="none"/>
          <w:lang w:eastAsia="zh-CN"/>
        </w:rPr>
        <w:t>）</w:t>
      </w:r>
    </w:p>
    <w:p w14:paraId="4B9A81ED">
      <w:pPr>
        <w:spacing w:line="360" w:lineRule="auto"/>
        <w:ind w:firstLine="420" w:firstLineChars="200"/>
        <w:rPr>
          <w:rFonts w:ascii="宋体" w:hAnsi="宋体" w:eastAsia="宋体" w:cs="宋体"/>
          <w:color w:val="auto"/>
          <w:highlight w:val="none"/>
          <w:u w:val="single"/>
          <w:lang w:val="en-US" w:eastAsia="zh-CN"/>
        </w:rPr>
      </w:pPr>
      <w:r>
        <w:rPr>
          <w:rFonts w:hint="eastAsia" w:ascii="宋体" w:hAnsi="宋体" w:eastAsia="宋体" w:cs="宋体"/>
          <w:color w:val="auto"/>
          <w:highlight w:val="none"/>
        </w:rPr>
        <w:t>发包人代表：</w:t>
      </w:r>
      <w:r>
        <w:rPr>
          <w:rFonts w:hint="eastAsia" w:ascii="宋体" w:hAnsi="宋体" w:cs="宋体"/>
          <w:color w:val="auto"/>
          <w:highlight w:val="none"/>
          <w:u w:val="single"/>
          <w:lang w:val="en-US" w:eastAsia="zh-CN"/>
        </w:rPr>
        <w:t xml:space="preserve">                 ；</w:t>
      </w:r>
      <w:r>
        <w:rPr>
          <w:rFonts w:ascii="宋体" w:hAnsi="宋体" w:eastAsia="宋体" w:cs="宋体"/>
          <w:color w:val="000000"/>
          <w:highlight w:val="none"/>
        </w:rPr>
        <w:t>(由发包人补充填写)</w:t>
      </w:r>
    </w:p>
    <w:p w14:paraId="0A83CDB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联系电话：</w:t>
      </w:r>
      <w:r>
        <w:rPr>
          <w:rFonts w:hint="eastAsia" w:ascii="宋体" w:hAnsi="宋体" w:eastAsia="宋体" w:cs="宋体"/>
          <w:highlight w:val="none"/>
          <w:u w:val="single"/>
          <w:lang w:val="en-US" w:eastAsia="zh-CN"/>
        </w:rPr>
        <w:t xml:space="preserve">                    </w:t>
      </w:r>
      <w:r>
        <w:rPr>
          <w:rFonts w:hint="eastAsia" w:ascii="宋体" w:hAnsi="宋体" w:eastAsia="宋体" w:cs="宋体"/>
          <w:color w:val="auto"/>
          <w:highlight w:val="none"/>
        </w:rPr>
        <w:t>；</w:t>
      </w:r>
      <w:r>
        <w:rPr>
          <w:rFonts w:ascii="宋体" w:hAnsi="宋体" w:eastAsia="宋体" w:cs="宋体"/>
          <w:color w:val="000000"/>
          <w:highlight w:val="none"/>
        </w:rPr>
        <w:t>(由发包人补充填写)</w:t>
      </w:r>
    </w:p>
    <w:p w14:paraId="578A396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电子信箱：</w:t>
      </w:r>
      <w:r>
        <w:rPr>
          <w:rFonts w:hint="eastAsia" w:ascii="宋体" w:hAnsi="宋体" w:eastAsia="宋体" w:cs="宋体"/>
          <w:color w:val="auto"/>
          <w:highlight w:val="none"/>
          <w:u w:val="single"/>
        </w:rPr>
        <w:t></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w:t>
      </w:r>
      <w:r>
        <w:rPr>
          <w:rFonts w:ascii="宋体" w:hAnsi="宋体" w:eastAsia="宋体" w:cs="宋体"/>
          <w:color w:val="000000"/>
          <w:highlight w:val="none"/>
        </w:rPr>
        <w:t>(由发包人补充填写)</w:t>
      </w:r>
    </w:p>
    <w:p w14:paraId="49F6055E">
      <w:pPr>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通信地址：</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val="en-US" w:eastAsia="zh-CN"/>
        </w:rPr>
        <w:t>。</w:t>
      </w:r>
      <w:r>
        <w:rPr>
          <w:rFonts w:ascii="宋体" w:hAnsi="宋体" w:eastAsia="宋体" w:cs="宋体"/>
          <w:color w:val="000000"/>
          <w:highlight w:val="none"/>
        </w:rPr>
        <w:t>(由发包人补充填写)</w:t>
      </w:r>
      <w:r>
        <w:rPr>
          <w:rFonts w:hint="eastAsia" w:ascii="宋体" w:hAnsi="宋体" w:eastAsia="宋体" w:cs="宋体"/>
          <w:color w:val="auto"/>
          <w:highlight w:val="none"/>
          <w:lang w:val="en-US" w:eastAsia="zh-CN"/>
        </w:rPr>
        <w:t xml:space="preserve"> </w:t>
      </w:r>
    </w:p>
    <w:p w14:paraId="052EC866">
      <w:pPr>
        <w:spacing w:line="36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发包人对发包人代表的授权范围如下：</w:t>
      </w:r>
      <w:r>
        <w:rPr>
          <w:rFonts w:hint="eastAsia" w:ascii="宋体" w:hAnsi="宋体" w:eastAsia="宋体" w:cs="宋体"/>
          <w:color w:val="000000"/>
          <w:sz w:val="21"/>
          <w:szCs w:val="21"/>
          <w:u w:val="single"/>
        </w:rPr>
        <w:t>督促指导监理单位管理人员</w:t>
      </w:r>
      <w:r>
        <w:rPr>
          <w:rFonts w:hint="eastAsia" w:ascii="宋体" w:hAnsi="宋体" w:eastAsia="宋体" w:cs="宋体"/>
          <w:color w:val="000000"/>
          <w:sz w:val="21"/>
          <w:szCs w:val="21"/>
          <w:u w:val="single"/>
          <w:lang w:val="en-US" w:eastAsia="zh-CN"/>
        </w:rPr>
        <w:t>履行</w:t>
      </w:r>
      <w:r>
        <w:rPr>
          <w:rFonts w:hint="eastAsia" w:ascii="宋体" w:hAnsi="宋体" w:eastAsia="宋体" w:cs="宋体"/>
          <w:color w:val="000000"/>
          <w:sz w:val="21"/>
          <w:szCs w:val="21"/>
          <w:u w:val="single"/>
        </w:rPr>
        <w:t>监理职责，协调解决有关设计变更、工程进度和安全文明施工等工程施工过程遇到的问题，办理、签认现场合理的经济技术签证，审核工程进度报表等。</w:t>
      </w:r>
    </w:p>
    <w:p w14:paraId="1900B6DD">
      <w:pPr>
        <w:pStyle w:val="4"/>
        <w:rPr>
          <w:rFonts w:hint="eastAsia" w:ascii="宋体" w:hAnsi="宋体" w:eastAsia="宋体" w:cs="宋体"/>
          <w:color w:val="auto"/>
          <w:highlight w:val="none"/>
        </w:rPr>
      </w:pPr>
      <w:bookmarkStart w:id="603" w:name="_Toc2077499244"/>
      <w:bookmarkStart w:id="604" w:name="_Toc78449792"/>
      <w:bookmarkStart w:id="605" w:name="_Toc373227704"/>
      <w:bookmarkStart w:id="606" w:name="_Toc407135206"/>
      <w:bookmarkStart w:id="607" w:name="_Toc2066513957"/>
      <w:bookmarkStart w:id="608" w:name="_Toc373478351"/>
      <w:bookmarkStart w:id="609" w:name="_Toc389065270"/>
      <w:r>
        <w:rPr>
          <w:rFonts w:hint="eastAsia" w:ascii="宋体" w:hAnsi="宋体" w:eastAsia="宋体" w:cs="宋体"/>
          <w:color w:val="auto"/>
          <w:highlight w:val="none"/>
        </w:rPr>
        <w:t>2.4 施工现场、施工条件和基础资料的提供</w:t>
      </w:r>
      <w:bookmarkEnd w:id="603"/>
      <w:bookmarkEnd w:id="604"/>
      <w:bookmarkEnd w:id="605"/>
      <w:bookmarkEnd w:id="606"/>
      <w:bookmarkEnd w:id="607"/>
      <w:bookmarkEnd w:id="608"/>
      <w:bookmarkEnd w:id="609"/>
    </w:p>
    <w:p w14:paraId="69533E2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2.4.1 提供施工现场</w:t>
      </w:r>
    </w:p>
    <w:p w14:paraId="455C80AF">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关于发包人移交施工现场的期限要求：</w:t>
      </w:r>
      <w:r>
        <w:rPr>
          <w:rFonts w:hint="eastAsia" w:ascii="宋体" w:hAnsi="宋体" w:eastAsia="宋体" w:cs="宋体"/>
          <w:color w:val="auto"/>
          <w:highlight w:val="none"/>
          <w:u w:val="single"/>
        </w:rPr>
        <w:t>施工场地应当在监理人发出的开工通知中载明的开工日期前 7 天具备施工条件并移交给承包人，具体施工条件在以下条款中约定。发包人最迟应当在移交施工场地的同时向承包人提供施工场地内地下管线和地下设施等有关资料，并保证资料的真实、准确和完整</w:t>
      </w:r>
      <w:r>
        <w:rPr>
          <w:rFonts w:hint="eastAsia" w:ascii="宋体" w:hAnsi="宋体" w:eastAsia="宋体" w:cs="宋体"/>
          <w:color w:val="auto"/>
          <w:highlight w:val="none"/>
        </w:rPr>
        <w:t>。</w:t>
      </w:r>
    </w:p>
    <w:p w14:paraId="4058A3DF">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2.4.2 提供施工条件</w:t>
      </w:r>
    </w:p>
    <w:p w14:paraId="6A34CB02">
      <w:pPr>
        <w:spacing w:line="36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关于发包人应负责提供施工所需要的条件，包括：</w:t>
      </w:r>
      <w:r>
        <w:rPr>
          <w:rFonts w:hint="eastAsia" w:ascii="宋体" w:hAnsi="宋体" w:eastAsia="宋体" w:cs="宋体"/>
          <w:color w:val="auto"/>
          <w:highlight w:val="none"/>
          <w:u w:val="single"/>
          <w:lang w:val="en-US" w:eastAsia="zh-CN"/>
        </w:rPr>
        <w:t>将项目施工所需</w:t>
      </w:r>
      <w:r>
        <w:rPr>
          <w:rFonts w:hint="eastAsia" w:ascii="宋体" w:hAnsi="宋体" w:eastAsia="宋体" w:cs="宋体"/>
          <w:color w:val="auto"/>
          <w:highlight w:val="none"/>
          <w:u w:val="single"/>
        </w:rPr>
        <w:t>水、电、电讯线路</w:t>
      </w:r>
      <w:r>
        <w:rPr>
          <w:rFonts w:hint="eastAsia" w:ascii="宋体" w:hAnsi="宋体" w:eastAsia="宋体" w:cs="宋体"/>
          <w:color w:val="auto"/>
          <w:highlight w:val="none"/>
          <w:u w:val="single"/>
          <w:lang w:val="en-US" w:eastAsia="zh-CN"/>
        </w:rPr>
        <w:t>接至项目所在学校内，但具体从校内</w:t>
      </w:r>
      <w:r>
        <w:rPr>
          <w:rFonts w:hint="eastAsia" w:ascii="宋体" w:hAnsi="宋体" w:eastAsia="宋体" w:cs="宋体"/>
          <w:color w:val="auto"/>
          <w:highlight w:val="none"/>
          <w:u w:val="single"/>
        </w:rPr>
        <w:t>接至施工</w:t>
      </w:r>
      <w:r>
        <w:rPr>
          <w:rFonts w:hint="eastAsia" w:ascii="宋体" w:hAnsi="宋体" w:eastAsia="宋体" w:cs="宋体"/>
          <w:color w:val="auto"/>
          <w:highlight w:val="none"/>
          <w:u w:val="single"/>
          <w:lang w:val="en-US" w:eastAsia="zh-CN"/>
        </w:rPr>
        <w:t>指定</w:t>
      </w:r>
      <w:r>
        <w:rPr>
          <w:rFonts w:hint="eastAsia" w:ascii="宋体" w:hAnsi="宋体" w:eastAsia="宋体" w:cs="宋体"/>
          <w:color w:val="auto"/>
          <w:highlight w:val="none"/>
          <w:u w:val="single"/>
        </w:rPr>
        <w:t>场地</w:t>
      </w:r>
      <w:r>
        <w:rPr>
          <w:rFonts w:hint="eastAsia" w:ascii="宋体" w:hAnsi="宋体" w:eastAsia="宋体" w:cs="宋体"/>
          <w:color w:val="auto"/>
          <w:highlight w:val="none"/>
          <w:u w:val="single"/>
          <w:lang w:val="en-US" w:eastAsia="zh-CN"/>
        </w:rPr>
        <w:t>发生的费用</w:t>
      </w:r>
      <w:r>
        <w:rPr>
          <w:rFonts w:hint="eastAsia" w:ascii="宋体" w:hAnsi="宋体" w:eastAsia="宋体" w:cs="宋体"/>
          <w:color w:val="auto"/>
          <w:highlight w:val="none"/>
          <w:u w:val="single"/>
        </w:rPr>
        <w:t>由承包人</w:t>
      </w:r>
      <w:r>
        <w:rPr>
          <w:rFonts w:hint="eastAsia" w:ascii="宋体" w:hAnsi="宋体" w:eastAsia="宋体" w:cs="宋体"/>
          <w:color w:val="auto"/>
          <w:highlight w:val="none"/>
          <w:u w:val="single"/>
          <w:lang w:val="en-US" w:eastAsia="zh-CN"/>
        </w:rPr>
        <w:t>承担</w:t>
      </w:r>
      <w:r>
        <w:rPr>
          <w:rFonts w:hint="eastAsia" w:ascii="宋体" w:hAnsi="宋体" w:eastAsia="宋体" w:cs="宋体"/>
          <w:color w:val="auto"/>
          <w:highlight w:val="none"/>
          <w:u w:val="single"/>
        </w:rPr>
        <w:t>。若供电部门的原因造成停电，承包人必须自行解决施工用电，费用自理</w:t>
      </w:r>
      <w:r>
        <w:rPr>
          <w:rFonts w:hint="eastAsia" w:ascii="宋体" w:hAnsi="宋体" w:eastAsia="宋体" w:cs="宋体"/>
          <w:color w:val="auto"/>
          <w:highlight w:val="none"/>
        </w:rPr>
        <w:t>。</w:t>
      </w:r>
    </w:p>
    <w:p w14:paraId="7BDCF8BA">
      <w:pPr>
        <w:pStyle w:val="4"/>
        <w:rPr>
          <w:rFonts w:hint="eastAsia" w:ascii="宋体" w:hAnsi="宋体" w:eastAsia="宋体" w:cs="宋体"/>
          <w:color w:val="auto"/>
          <w:highlight w:val="none"/>
        </w:rPr>
      </w:pPr>
      <w:bookmarkStart w:id="610" w:name="_Toc78449793"/>
      <w:bookmarkStart w:id="611" w:name="_Toc672429943"/>
      <w:bookmarkStart w:id="612" w:name="_Toc389065271"/>
      <w:bookmarkStart w:id="613" w:name="_Toc373227705"/>
      <w:bookmarkStart w:id="614" w:name="_Toc1238195908"/>
      <w:bookmarkStart w:id="615" w:name="_Toc373478352"/>
      <w:bookmarkStart w:id="616" w:name="_Toc407135207"/>
      <w:r>
        <w:rPr>
          <w:rFonts w:hint="eastAsia" w:ascii="宋体" w:hAnsi="宋体" w:eastAsia="宋体" w:cs="宋体"/>
          <w:color w:val="auto"/>
          <w:highlight w:val="none"/>
        </w:rPr>
        <w:t>2.5 资金来源证明及支付担保</w:t>
      </w:r>
      <w:bookmarkEnd w:id="610"/>
      <w:bookmarkEnd w:id="611"/>
      <w:bookmarkEnd w:id="612"/>
      <w:bookmarkEnd w:id="613"/>
      <w:bookmarkEnd w:id="614"/>
      <w:bookmarkEnd w:id="615"/>
      <w:bookmarkEnd w:id="616"/>
    </w:p>
    <w:p w14:paraId="256377D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发包人提供资金来源证明的期限要求：</w:t>
      </w:r>
      <w:r>
        <w:rPr>
          <w:rFonts w:hint="eastAsia" w:ascii="宋体" w:hAnsi="宋体" w:eastAsia="宋体" w:cs="宋体"/>
          <w:sz w:val="21"/>
          <w:szCs w:val="21"/>
          <w:u w:val="single" w:color="auto"/>
        </w:rPr>
        <w:t>见第一</w:t>
      </w:r>
      <w:r>
        <w:rPr>
          <w:rFonts w:hint="eastAsia" w:ascii="宋体" w:hAnsi="宋体" w:eastAsia="宋体" w:cs="宋体"/>
          <w:spacing w:val="-1"/>
          <w:sz w:val="21"/>
          <w:szCs w:val="21"/>
          <w:u w:val="single" w:color="auto"/>
        </w:rPr>
        <w:t>部分合同协议书</w:t>
      </w:r>
      <w:r>
        <w:rPr>
          <w:rFonts w:hint="eastAsia" w:ascii="宋体" w:hAnsi="宋体" w:eastAsia="宋体" w:cs="宋体"/>
          <w:color w:val="auto"/>
          <w:highlight w:val="none"/>
        </w:rPr>
        <w:t>。</w:t>
      </w:r>
    </w:p>
    <w:p w14:paraId="419154E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发包人是否提供支付担保：</w:t>
      </w:r>
      <w:r>
        <w:rPr>
          <w:rFonts w:hint="eastAsia" w:ascii="宋体" w:hAnsi="宋体" w:eastAsia="宋体" w:cs="宋体"/>
          <w:color w:val="auto"/>
          <w:highlight w:val="none"/>
          <w:u w:val="single"/>
          <w:lang w:eastAsia="zh-CN"/>
        </w:rPr>
        <w:t>不提供</w:t>
      </w:r>
      <w:r>
        <w:rPr>
          <w:rFonts w:hint="eastAsia" w:ascii="宋体" w:hAnsi="宋体" w:eastAsia="宋体" w:cs="宋体"/>
          <w:color w:val="auto"/>
          <w:highlight w:val="none"/>
          <w:u w:val="none"/>
        </w:rPr>
        <w:t xml:space="preserve"> </w:t>
      </w:r>
      <w:r>
        <w:rPr>
          <w:rFonts w:hint="eastAsia" w:ascii="宋体" w:hAnsi="宋体" w:eastAsia="宋体" w:cs="宋体"/>
          <w:color w:val="auto"/>
          <w:highlight w:val="none"/>
        </w:rPr>
        <w:t>。</w:t>
      </w:r>
    </w:p>
    <w:p w14:paraId="26342B71">
      <w:pPr>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发包人提供支付担保的形式：</w:t>
      </w:r>
      <w:r>
        <w:rPr>
          <w:rFonts w:hint="eastAsia" w:ascii="宋体" w:hAnsi="宋体" w:eastAsia="宋体" w:cs="宋体"/>
          <w:color w:val="auto"/>
          <w:highlight w:val="none"/>
          <w:u w:val="single"/>
          <w:lang w:eastAsia="zh-CN"/>
        </w:rPr>
        <w:t>无</w:t>
      </w:r>
      <w:r>
        <w:rPr>
          <w:rFonts w:hint="eastAsia" w:ascii="宋体" w:hAnsi="宋体" w:eastAsia="宋体" w:cs="宋体"/>
          <w:color w:val="auto"/>
          <w:highlight w:val="none"/>
          <w:lang w:val="en-US" w:eastAsia="zh-CN"/>
        </w:rPr>
        <w:t>。</w:t>
      </w:r>
    </w:p>
    <w:p w14:paraId="0B68133C">
      <w:pPr>
        <w:pStyle w:val="3"/>
        <w:rPr>
          <w:rFonts w:hint="eastAsia" w:ascii="宋体" w:hAnsi="宋体" w:eastAsia="宋体" w:cs="宋体"/>
          <w:color w:val="auto"/>
          <w:highlight w:val="none"/>
        </w:rPr>
      </w:pPr>
      <w:bookmarkStart w:id="617" w:name="_Toc389065272"/>
      <w:bookmarkStart w:id="618" w:name="_Toc373478353"/>
      <w:bookmarkStart w:id="619" w:name="_Toc1181400362"/>
      <w:bookmarkStart w:id="620" w:name="_Toc373227706"/>
      <w:bookmarkStart w:id="621" w:name="_Toc729657770"/>
      <w:bookmarkStart w:id="622" w:name="_Toc78449794"/>
      <w:bookmarkStart w:id="623" w:name="_Toc351203635"/>
      <w:bookmarkStart w:id="624" w:name="_Toc407135208"/>
      <w:r>
        <w:rPr>
          <w:rFonts w:hint="eastAsia" w:ascii="宋体" w:hAnsi="宋体" w:eastAsia="宋体" w:cs="宋体"/>
          <w:color w:val="auto"/>
          <w:highlight w:val="none"/>
        </w:rPr>
        <w:t>3</w:t>
      </w:r>
      <w:bookmarkStart w:id="625" w:name="_Toc292559363"/>
      <w:bookmarkStart w:id="626" w:name="_Toc296944497"/>
      <w:bookmarkStart w:id="627" w:name="_Toc297120458"/>
      <w:bookmarkStart w:id="628" w:name="_Toc296891198"/>
      <w:bookmarkStart w:id="629" w:name="_Toc296503158"/>
      <w:bookmarkStart w:id="630" w:name="_Toc292559868"/>
      <w:bookmarkStart w:id="631" w:name="_Toc297048344"/>
      <w:bookmarkStart w:id="632" w:name="_Toc296346659"/>
      <w:bookmarkStart w:id="633" w:name="_Toc296890986"/>
      <w:bookmarkStart w:id="634" w:name="_Toc296347157"/>
      <w:r>
        <w:rPr>
          <w:rFonts w:hint="eastAsia" w:ascii="宋体" w:hAnsi="宋体" w:eastAsia="宋体" w:cs="宋体"/>
          <w:color w:val="auto"/>
          <w:highlight w:val="none"/>
        </w:rPr>
        <w:t>. 承包人</w:t>
      </w:r>
      <w:bookmarkEnd w:id="617"/>
      <w:bookmarkEnd w:id="618"/>
      <w:bookmarkEnd w:id="619"/>
      <w:bookmarkEnd w:id="620"/>
      <w:bookmarkEnd w:id="621"/>
      <w:bookmarkEnd w:id="622"/>
      <w:bookmarkEnd w:id="623"/>
      <w:bookmarkEnd w:id="624"/>
    </w:p>
    <w:bookmarkEnd w:id="625"/>
    <w:bookmarkEnd w:id="626"/>
    <w:bookmarkEnd w:id="627"/>
    <w:bookmarkEnd w:id="628"/>
    <w:bookmarkEnd w:id="629"/>
    <w:bookmarkEnd w:id="630"/>
    <w:bookmarkEnd w:id="631"/>
    <w:bookmarkEnd w:id="632"/>
    <w:bookmarkEnd w:id="633"/>
    <w:bookmarkEnd w:id="634"/>
    <w:p w14:paraId="2E4B3666">
      <w:pPr>
        <w:pStyle w:val="4"/>
        <w:rPr>
          <w:rFonts w:hint="eastAsia" w:ascii="宋体" w:hAnsi="宋体" w:eastAsia="宋体" w:cs="宋体"/>
          <w:color w:val="auto"/>
          <w:highlight w:val="none"/>
        </w:rPr>
      </w:pPr>
      <w:bookmarkStart w:id="635" w:name="_Toc962678435"/>
      <w:bookmarkStart w:id="636" w:name="_Toc373478354"/>
      <w:bookmarkStart w:id="637" w:name="_Toc78449795"/>
      <w:bookmarkStart w:id="638" w:name="_Toc373227707"/>
      <w:bookmarkStart w:id="639" w:name="_Toc389065273"/>
      <w:bookmarkStart w:id="640" w:name="_Toc407135209"/>
      <w:bookmarkStart w:id="641" w:name="_Toc1642190822"/>
      <w:r>
        <w:rPr>
          <w:rFonts w:hint="eastAsia" w:ascii="宋体" w:hAnsi="宋体" w:eastAsia="宋体" w:cs="宋体"/>
          <w:color w:val="auto"/>
          <w:highlight w:val="none"/>
        </w:rPr>
        <w:t>3.1 承包人的一般义务</w:t>
      </w:r>
      <w:bookmarkEnd w:id="635"/>
      <w:bookmarkEnd w:id="636"/>
      <w:bookmarkEnd w:id="637"/>
      <w:bookmarkEnd w:id="638"/>
      <w:bookmarkEnd w:id="639"/>
      <w:bookmarkEnd w:id="640"/>
      <w:bookmarkEnd w:id="641"/>
    </w:p>
    <w:p w14:paraId="4C78499F">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kern w:val="0"/>
          <w:highlight w:val="none"/>
        </w:rPr>
        <w:t>（9）</w:t>
      </w:r>
      <w:r>
        <w:rPr>
          <w:rFonts w:hint="eastAsia" w:ascii="宋体" w:hAnsi="宋体" w:eastAsia="宋体" w:cs="宋体"/>
          <w:color w:val="auto"/>
          <w:highlight w:val="none"/>
        </w:rPr>
        <w:t>承包人提交的竣工资料的内容：</w:t>
      </w:r>
      <w:r>
        <w:rPr>
          <w:rFonts w:hint="eastAsia" w:ascii="宋体" w:hAnsi="宋体" w:eastAsia="宋体" w:cs="宋体"/>
          <w:color w:val="auto"/>
          <w:highlight w:val="none"/>
          <w:u w:val="single"/>
        </w:rPr>
        <w:t>除专用合同条款约定的由承包人提供的设计文件外，本项约定的其他应由承包人提供的文件，包括必要的加工图和大样图，均不是合同计量与支付的依据文件。由承包人提供的文件范围：工程建设项目竣工验收前，承包人应根据合同工作内容要求，分别整理竣工验收资料（含竣工图），汇总为完整的建设项目竣工资料报发包人</w:t>
      </w:r>
      <w:r>
        <w:rPr>
          <w:rFonts w:hint="eastAsia" w:ascii="宋体" w:hAnsi="宋体" w:eastAsia="宋体" w:cs="宋体"/>
          <w:color w:val="auto"/>
          <w:highlight w:val="none"/>
        </w:rPr>
        <w:t>。</w:t>
      </w:r>
    </w:p>
    <w:p w14:paraId="79697B14">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承包人需要提交的竣工资料套数：</w:t>
      </w:r>
      <w:r>
        <w:rPr>
          <w:rFonts w:hint="eastAsia" w:ascii="宋体" w:hAnsi="宋体" w:eastAsia="宋体" w:cs="宋体"/>
          <w:color w:val="auto"/>
          <w:highlight w:val="none"/>
          <w:u w:val="single"/>
        </w:rPr>
        <w:t>提供竣工验收资料的数量为2 套，竣工图的数量为贰套</w:t>
      </w:r>
      <w:r>
        <w:rPr>
          <w:rFonts w:hint="eastAsia" w:ascii="宋体" w:hAnsi="宋体" w:eastAsia="宋体" w:cs="宋体"/>
          <w:color w:val="auto"/>
          <w:highlight w:val="none"/>
        </w:rPr>
        <w:t>。</w:t>
      </w:r>
    </w:p>
    <w:p w14:paraId="2FCCF827">
      <w:pPr>
        <w:spacing w:line="360" w:lineRule="auto"/>
        <w:ind w:left="424" w:leftChars="202"/>
        <w:jc w:val="left"/>
        <w:rPr>
          <w:rFonts w:hint="eastAsia" w:ascii="宋体" w:hAnsi="宋体" w:eastAsia="宋体" w:cs="宋体"/>
          <w:color w:val="auto"/>
          <w:highlight w:val="none"/>
        </w:rPr>
      </w:pPr>
      <w:r>
        <w:rPr>
          <w:rFonts w:hint="eastAsia" w:ascii="宋体" w:hAnsi="宋体" w:eastAsia="宋体" w:cs="宋体"/>
          <w:color w:val="auto"/>
          <w:highlight w:val="none"/>
        </w:rPr>
        <w:t>承包人提交的竣工资料的费用承担：</w:t>
      </w:r>
      <w:r>
        <w:rPr>
          <w:rFonts w:hint="eastAsia" w:ascii="宋体" w:hAnsi="宋体" w:eastAsia="宋体" w:cs="宋体"/>
          <w:color w:val="auto"/>
          <w:highlight w:val="none"/>
          <w:u w:val="single"/>
          <w:lang w:eastAsia="zh-CN"/>
        </w:rPr>
        <w:t>由承包人承担</w:t>
      </w:r>
      <w:r>
        <w:rPr>
          <w:rFonts w:hint="eastAsia" w:ascii="宋体" w:hAnsi="宋体" w:eastAsia="宋体" w:cs="宋体"/>
          <w:color w:val="auto"/>
          <w:highlight w:val="none"/>
        </w:rPr>
        <w:t>。</w:t>
      </w:r>
    </w:p>
    <w:p w14:paraId="0538A1AB">
      <w:pPr>
        <w:spacing w:line="360" w:lineRule="auto"/>
        <w:ind w:left="424" w:leftChars="202"/>
        <w:jc w:val="left"/>
        <w:rPr>
          <w:rFonts w:hint="eastAsia" w:ascii="宋体" w:hAnsi="宋体" w:eastAsia="宋体" w:cs="宋体"/>
          <w:color w:val="auto"/>
          <w:highlight w:val="none"/>
        </w:rPr>
      </w:pPr>
      <w:r>
        <w:rPr>
          <w:rFonts w:hint="eastAsia" w:ascii="宋体" w:hAnsi="宋体" w:eastAsia="宋体" w:cs="宋体"/>
          <w:color w:val="auto"/>
          <w:highlight w:val="none"/>
        </w:rPr>
        <w:t>承包人提交的竣工资料移交时间：</w:t>
      </w:r>
      <w:r>
        <w:rPr>
          <w:rFonts w:hint="eastAsia" w:ascii="宋体" w:hAnsi="宋体" w:eastAsia="宋体" w:cs="宋体"/>
          <w:color w:val="000000"/>
          <w:szCs w:val="21"/>
          <w:u w:val="single"/>
        </w:rPr>
        <w:t>竣工验收</w:t>
      </w:r>
      <w:r>
        <w:rPr>
          <w:rFonts w:hint="eastAsia" w:ascii="宋体" w:hAnsi="宋体" w:eastAsia="宋体" w:cs="宋体"/>
          <w:color w:val="000000"/>
          <w:szCs w:val="21"/>
          <w:u w:val="single"/>
          <w:lang w:eastAsia="zh-CN"/>
        </w:rPr>
        <w:t>后</w:t>
      </w:r>
      <w:r>
        <w:rPr>
          <w:rFonts w:hint="eastAsia" w:ascii="宋体" w:hAnsi="宋体" w:eastAsia="宋体" w:cs="宋体"/>
          <w:color w:val="000000"/>
          <w:szCs w:val="21"/>
          <w:u w:val="single"/>
        </w:rPr>
        <w:t>30天内</w:t>
      </w:r>
      <w:r>
        <w:rPr>
          <w:rFonts w:hint="eastAsia" w:ascii="宋体" w:hAnsi="宋体" w:eastAsia="宋体" w:cs="宋体"/>
          <w:color w:val="auto"/>
          <w:highlight w:val="none"/>
        </w:rPr>
        <w:t>。</w:t>
      </w:r>
    </w:p>
    <w:p w14:paraId="570CADDC">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承包人提交的竣工资料形式要求：</w:t>
      </w:r>
      <w:r>
        <w:rPr>
          <w:rFonts w:hint="eastAsia" w:ascii="宋体" w:hAnsi="宋体" w:eastAsia="宋体" w:cs="宋体"/>
          <w:color w:val="auto"/>
          <w:highlight w:val="none"/>
          <w:u w:val="single"/>
        </w:rPr>
        <w:t>承包人按国家、地方的工程竣工验收有关规定，向发包  人提交完整的竣工资料、竣工图及竣工验收报告； 由监理工程师负责审核并组织竣工验收。承  包人提交的工程文件（档案）、竣工资料、竣工图必须满足国家、地方（含城建档案管理部门等）相关规范、规定，否则， 监理单位及发包人均有权拒绝竣工验收及结算，承包人因此逾期交付的，发包人有权按本合同的相关条款追究其违约责任</w:t>
      </w:r>
      <w:r>
        <w:rPr>
          <w:rFonts w:hint="eastAsia" w:ascii="宋体" w:hAnsi="宋体" w:eastAsia="宋体" w:cs="宋体"/>
          <w:color w:val="auto"/>
          <w:highlight w:val="none"/>
        </w:rPr>
        <w:t>。</w:t>
      </w:r>
    </w:p>
    <w:p w14:paraId="5231ED7E">
      <w:pPr>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（10）承包人应履行的其他义务：</w:t>
      </w:r>
      <w:r>
        <w:rPr>
          <w:rFonts w:hint="eastAsia" w:ascii="宋体" w:hAnsi="宋体" w:eastAsia="宋体" w:cs="宋体"/>
          <w:color w:val="auto"/>
          <w:kern w:val="0"/>
          <w:highlight w:val="none"/>
          <w:u w:val="single"/>
        </w:rPr>
        <w:t>对开工的项目，须组建项目工会。 ①施工场地周围地下 管线和邻近建筑物、构筑物（含文物保护建筑）、古树名木的保护要求及费用承担：承包人施 工时应探明并负责保护且承包费用，施工时如损坏地下管线、邻近建筑物、构筑物，所发生费用由承包人承担</w:t>
      </w:r>
      <w:r>
        <w:rPr>
          <w:rFonts w:hint="eastAsia" w:ascii="宋体" w:hAnsi="宋体" w:eastAsia="宋体" w:cs="宋体"/>
          <w:color w:val="auto"/>
          <w:kern w:val="0"/>
          <w:highlight w:val="none"/>
          <w:u w:val="single"/>
          <w:lang w:eastAsia="zh-CN"/>
        </w:rPr>
        <w:t>。②取土场及弃土场由承包人自行解决，但不得违反相关管理规定， 并承担相关费用</w:t>
      </w:r>
      <w:r>
        <w:rPr>
          <w:rFonts w:hint="eastAsia" w:ascii="宋体" w:hAnsi="宋体" w:eastAsia="宋体" w:cs="宋体"/>
          <w:color w:val="auto"/>
          <w:kern w:val="0"/>
          <w:highlight w:val="none"/>
          <w:lang w:eastAsia="zh-CN"/>
        </w:rPr>
        <w:t>。</w:t>
      </w:r>
    </w:p>
    <w:p w14:paraId="107F5599">
      <w:pPr>
        <w:pStyle w:val="4"/>
        <w:rPr>
          <w:rFonts w:hint="eastAsia" w:ascii="宋体" w:hAnsi="宋体" w:eastAsia="宋体" w:cs="宋体"/>
          <w:color w:val="auto"/>
          <w:highlight w:val="none"/>
        </w:rPr>
      </w:pPr>
      <w:bookmarkStart w:id="642" w:name="_Toc373478355"/>
      <w:bookmarkStart w:id="643" w:name="_Toc389065274"/>
      <w:bookmarkStart w:id="644" w:name="_Toc78449796"/>
      <w:bookmarkStart w:id="645" w:name="_Toc407135210"/>
      <w:bookmarkStart w:id="646" w:name="_Toc373227708"/>
      <w:bookmarkStart w:id="647" w:name="_Toc501741485"/>
      <w:bookmarkStart w:id="648" w:name="_Toc1659520837"/>
      <w:r>
        <w:rPr>
          <w:rFonts w:hint="eastAsia" w:ascii="宋体" w:hAnsi="宋体" w:eastAsia="宋体" w:cs="宋体"/>
          <w:color w:val="auto"/>
          <w:highlight w:val="none"/>
        </w:rPr>
        <w:t>3.2 项目经理</w:t>
      </w:r>
      <w:bookmarkEnd w:id="642"/>
      <w:bookmarkEnd w:id="643"/>
      <w:bookmarkEnd w:id="644"/>
      <w:bookmarkEnd w:id="645"/>
      <w:bookmarkEnd w:id="646"/>
      <w:bookmarkEnd w:id="647"/>
      <w:bookmarkEnd w:id="648"/>
    </w:p>
    <w:p w14:paraId="07A0CD3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kern w:val="0"/>
          <w:highlight w:val="none"/>
        </w:rPr>
        <w:t xml:space="preserve">3.2.1 </w:t>
      </w:r>
      <w:r>
        <w:rPr>
          <w:rFonts w:hint="eastAsia" w:ascii="宋体" w:hAnsi="宋体" w:eastAsia="宋体" w:cs="宋体"/>
          <w:color w:val="auto"/>
          <w:highlight w:val="none"/>
        </w:rPr>
        <w:t>项目经理：</w:t>
      </w:r>
    </w:p>
    <w:p w14:paraId="1727E99B">
      <w:pPr>
        <w:spacing w:line="360" w:lineRule="auto"/>
        <w:ind w:firstLine="420" w:firstLineChars="200"/>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姓    名：</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none"/>
          <w:lang w:val="en-US" w:eastAsia="zh-CN"/>
        </w:rPr>
        <w:t>；</w:t>
      </w:r>
    </w:p>
    <w:p w14:paraId="000B8906">
      <w:pPr>
        <w:spacing w:line="360" w:lineRule="auto"/>
        <w:ind w:firstLine="420" w:firstLineChars="200"/>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身份证号：</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none"/>
          <w:lang w:val="en-US" w:eastAsia="zh-CN"/>
        </w:rPr>
        <w:t>；</w:t>
      </w:r>
    </w:p>
    <w:p w14:paraId="5CDDD7F0">
      <w:pPr>
        <w:spacing w:line="360" w:lineRule="auto"/>
        <w:ind w:firstLine="420" w:firstLineChars="200"/>
        <w:rPr>
          <w:rFonts w:hint="eastAsia" w:ascii="宋体" w:hAnsi="宋体" w:eastAsia="宋体" w:cs="宋体"/>
          <w:color w:val="auto"/>
          <w:highlight w:val="none"/>
          <w:u w:val="none"/>
        </w:rPr>
      </w:pPr>
      <w:r>
        <w:rPr>
          <w:rFonts w:hint="eastAsia" w:ascii="宋体" w:hAnsi="宋体" w:eastAsia="宋体" w:cs="宋体"/>
          <w:color w:val="auto"/>
          <w:highlight w:val="none"/>
        </w:rPr>
        <w:t>建造师执业资格等级：</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none"/>
          <w:lang w:val="en-US" w:eastAsia="zh-CN"/>
        </w:rPr>
        <w:t>；</w:t>
      </w:r>
    </w:p>
    <w:p w14:paraId="1B2A3CE9">
      <w:pPr>
        <w:spacing w:line="36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建造师注册证书号：</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none"/>
          <w:lang w:val="en-US" w:eastAsia="zh-CN"/>
        </w:rPr>
        <w:t>；</w:t>
      </w:r>
    </w:p>
    <w:p w14:paraId="583DF0DF">
      <w:pPr>
        <w:spacing w:line="36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安全生产考核合格证书号：</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none"/>
          <w:lang w:val="en-US" w:eastAsia="zh-CN"/>
        </w:rPr>
        <w:t>；</w:t>
      </w:r>
    </w:p>
    <w:p w14:paraId="7D824197">
      <w:pPr>
        <w:spacing w:line="360" w:lineRule="auto"/>
        <w:ind w:firstLine="420" w:firstLineChars="200"/>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联系电话：</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none"/>
          <w:lang w:val="en-US" w:eastAsia="zh-CN"/>
        </w:rPr>
        <w:t>；</w:t>
      </w:r>
    </w:p>
    <w:p w14:paraId="6276918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电子信箱：</w:t>
      </w:r>
      <w:r>
        <w:rPr>
          <w:rFonts w:hint="eastAsia" w:ascii="宋体" w:hAnsi="宋体" w:eastAsia="宋体" w:cs="宋体"/>
          <w:color w:val="auto"/>
          <w:highlight w:val="none"/>
          <w:u w:val="single"/>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cs="宋体"/>
          <w:color w:val="auto"/>
          <w:highlight w:val="none"/>
          <w:u w:val="none"/>
          <w:lang w:val="en-US" w:eastAsia="zh-CN"/>
        </w:rPr>
        <w:t>；</w:t>
      </w:r>
    </w:p>
    <w:p w14:paraId="70D547F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通信地址：</w:t>
      </w:r>
      <w:r>
        <w:rPr>
          <w:rFonts w:hint="eastAsia" w:ascii="宋体" w:hAnsi="宋体" w:eastAsia="宋体" w:cs="宋体"/>
          <w:color w:val="auto"/>
          <w:u w:val="single"/>
          <w:lang w:val="en-US" w:eastAsia="zh-CN"/>
        </w:rPr>
        <w:t xml:space="preserve">               </w:t>
      </w:r>
      <w:r>
        <w:rPr>
          <w:rFonts w:hint="eastAsia" w:ascii="宋体" w:hAnsi="宋体" w:cs="宋体"/>
          <w:color w:val="auto"/>
          <w:u w:val="single"/>
          <w:lang w:val="en-US" w:eastAsia="zh-CN"/>
        </w:rPr>
        <w:t xml:space="preserve"> </w:t>
      </w:r>
      <w:r>
        <w:rPr>
          <w:rFonts w:hint="eastAsia" w:ascii="宋体" w:hAnsi="宋体" w:eastAsia="宋体" w:cs="宋体"/>
          <w:color w:val="auto"/>
          <w:u w:val="single"/>
          <w:lang w:val="en-US" w:eastAsia="zh-CN"/>
        </w:rPr>
        <w:t xml:space="preserve">                    </w:t>
      </w:r>
      <w:r>
        <w:rPr>
          <w:rFonts w:hint="eastAsia" w:ascii="宋体" w:hAnsi="宋体" w:cs="宋体"/>
          <w:color w:val="auto"/>
          <w:highlight w:val="none"/>
          <w:u w:val="none"/>
          <w:lang w:val="en-US" w:eastAsia="zh-CN"/>
        </w:rPr>
        <w:t>；</w:t>
      </w:r>
    </w:p>
    <w:p w14:paraId="1E1DF5C2">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auto"/>
          <w:highlight w:val="none"/>
        </w:rPr>
        <w:t>承包人对项目经理的授权范围如下：</w:t>
      </w:r>
      <w:r>
        <w:rPr>
          <w:rFonts w:hint="eastAsia" w:ascii="宋体" w:hAnsi="宋体" w:eastAsia="宋体" w:cs="宋体"/>
          <w:color w:val="000000"/>
          <w:u w:val="single"/>
        </w:rPr>
        <w:t>项目经理仅限于对本工程的施工现场全面管理，包括质量、技术、安全、进度管理，</w:t>
      </w:r>
      <w:r>
        <w:rPr>
          <w:rFonts w:hint="eastAsia" w:ascii="宋体" w:hAnsi="宋体" w:eastAsia="宋体" w:cs="宋体"/>
          <w:color w:val="000000"/>
          <w:u w:val="single"/>
          <w:lang w:eastAsia="zh-CN"/>
        </w:rPr>
        <w:t>及</w:t>
      </w:r>
      <w:r>
        <w:rPr>
          <w:rFonts w:hint="eastAsia" w:ascii="宋体" w:hAnsi="宋体" w:eastAsia="宋体" w:cs="宋体"/>
          <w:color w:val="000000"/>
          <w:u w:val="single"/>
        </w:rPr>
        <w:t>与发包人、监理工程师有关工程联系单、</w:t>
      </w:r>
      <w:r>
        <w:rPr>
          <w:rFonts w:hint="eastAsia" w:ascii="宋体" w:hAnsi="宋体" w:eastAsia="宋体" w:cs="宋体"/>
          <w:color w:val="000000"/>
          <w:u w:val="single"/>
          <w:lang w:eastAsia="zh-CN"/>
        </w:rPr>
        <w:t>工程管理的</w:t>
      </w:r>
      <w:r>
        <w:rPr>
          <w:rFonts w:hint="eastAsia" w:ascii="宋体" w:hAnsi="宋体" w:eastAsia="宋体" w:cs="宋体"/>
          <w:color w:val="000000"/>
          <w:u w:val="single"/>
        </w:rPr>
        <w:t>函件往来的签收，但未经承包人盖章同意授权下不得以承包人名义向外采购材料设备、租用建筑周转材料、雇佣劳动力、签订分包合同等从事一切为承包人设立义务或责任</w:t>
      </w:r>
      <w:r>
        <w:rPr>
          <w:rFonts w:hint="eastAsia" w:ascii="宋体" w:hAnsi="宋体" w:eastAsia="宋体" w:cs="宋体"/>
          <w:color w:val="000000"/>
          <w:highlight w:val="none"/>
        </w:rPr>
        <w:t>。</w:t>
      </w:r>
    </w:p>
    <w:p w14:paraId="7499B2C3">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关于项目经理每月在施工现场的时间要求：</w:t>
      </w:r>
      <w:r>
        <w:rPr>
          <w:rFonts w:hint="eastAsia" w:ascii="宋体" w:hAnsi="宋体" w:eastAsia="宋体" w:cs="宋体"/>
          <w:sz w:val="21"/>
          <w:szCs w:val="21"/>
          <w:u w:val="single" w:color="auto"/>
        </w:rPr>
        <w:t>按相关工程质量管理规</w:t>
      </w:r>
      <w:r>
        <w:rPr>
          <w:rFonts w:hint="eastAsia" w:ascii="宋体" w:hAnsi="宋体" w:eastAsia="宋体" w:cs="宋体"/>
          <w:spacing w:val="-1"/>
          <w:sz w:val="21"/>
          <w:szCs w:val="21"/>
          <w:u w:val="single" w:color="auto"/>
        </w:rPr>
        <w:t>范或条例要求</w:t>
      </w:r>
      <w:r>
        <w:rPr>
          <w:rFonts w:hint="eastAsia" w:ascii="宋体" w:hAnsi="宋体" w:eastAsia="宋体" w:cs="宋体"/>
          <w:color w:val="auto"/>
          <w:highlight w:val="none"/>
        </w:rPr>
        <w:t>。</w:t>
      </w:r>
    </w:p>
    <w:p w14:paraId="375FEA69">
      <w:pPr>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000000"/>
          <w:kern w:val="0"/>
          <w:highlight w:val="none"/>
        </w:rPr>
        <w:t>承包人未提交劳动合同，以及没有为项目经理缴纳社会保险证明的违约责</w:t>
      </w:r>
      <w:r>
        <w:rPr>
          <w:rFonts w:hint="eastAsia" w:ascii="宋体" w:hAnsi="宋体" w:eastAsia="宋体" w:cs="宋体"/>
          <w:color w:val="auto"/>
          <w:kern w:val="0"/>
          <w:highlight w:val="none"/>
        </w:rPr>
        <w:t>任：</w:t>
      </w:r>
      <w:r>
        <w:rPr>
          <w:rFonts w:hint="eastAsia" w:ascii="宋体" w:hAnsi="宋体" w:eastAsia="宋体" w:cs="宋体"/>
          <w:color w:val="auto"/>
          <w:kern w:val="0"/>
          <w:highlight w:val="none"/>
          <w:u w:val="single"/>
          <w:lang w:val="en-US" w:eastAsia="zh-CN"/>
        </w:rPr>
        <w:t xml:space="preserve"> / </w:t>
      </w:r>
      <w:r>
        <w:rPr>
          <w:rFonts w:hint="eastAsia" w:ascii="宋体" w:hAnsi="宋体" w:eastAsia="宋体" w:cs="宋体"/>
          <w:color w:val="auto"/>
          <w:highlight w:val="none"/>
        </w:rPr>
        <w:t>。</w:t>
      </w:r>
    </w:p>
    <w:p w14:paraId="7F27B635">
      <w:pPr>
        <w:spacing w:line="360" w:lineRule="auto"/>
        <w:ind w:firstLine="420" w:firstLineChars="200"/>
        <w:rPr>
          <w:rFonts w:hint="eastAsia" w:ascii="宋体" w:hAnsi="宋体" w:eastAsia="宋体" w:cs="宋体"/>
          <w:color w:val="000000"/>
          <w:highlight w:val="none"/>
          <w:u w:val="single"/>
        </w:rPr>
      </w:pPr>
      <w:r>
        <w:rPr>
          <w:rFonts w:hint="eastAsia" w:ascii="宋体" w:hAnsi="宋体" w:eastAsia="宋体" w:cs="宋体"/>
          <w:color w:val="000000"/>
          <w:kern w:val="0"/>
          <w:highlight w:val="none"/>
        </w:rPr>
        <w:t>项目经理未经批准，擅自离开施工现场的违约责任：</w:t>
      </w:r>
      <w:r>
        <w:rPr>
          <w:rFonts w:hint="eastAsia" w:ascii="宋体" w:hAnsi="宋体" w:eastAsia="宋体" w:cs="宋体"/>
          <w:color w:val="000000"/>
          <w:kern w:val="0"/>
          <w:highlight w:val="none"/>
          <w:u w:val="single"/>
        </w:rPr>
        <w:t>项目经理每月在岗带班时间不得少于 当月施工时间的 80%。未经发包人同意或正当理由，项目经理每月在岗带班时间少于当月施工时间 80%的，少在岗带班一天， 发包人有权处违约金 1000 元/日（人民币）</w:t>
      </w:r>
      <w:r>
        <w:rPr>
          <w:rFonts w:hint="eastAsia" w:ascii="宋体" w:hAnsi="宋体" w:eastAsia="宋体" w:cs="宋体"/>
          <w:color w:val="000000"/>
          <w:highlight w:val="none"/>
        </w:rPr>
        <w:t>。</w:t>
      </w:r>
    </w:p>
    <w:p w14:paraId="5F79B7BC">
      <w:pPr>
        <w:adjustRightInd w:val="0"/>
        <w:snapToGrid w:val="0"/>
        <w:spacing w:line="460" w:lineRule="exact"/>
        <w:ind w:firstLine="0"/>
        <w:jc w:val="left"/>
        <w:rPr>
          <w:rFonts w:hint="eastAsia" w:ascii="宋体" w:hAnsi="宋体" w:eastAsia="宋体" w:cs="宋体"/>
          <w:color w:val="000000"/>
          <w:highlight w:val="none"/>
        </w:rPr>
      </w:pPr>
      <w:r>
        <w:rPr>
          <w:rFonts w:hint="eastAsia" w:ascii="宋体" w:hAnsi="宋体" w:eastAsia="宋体" w:cs="宋体"/>
          <w:color w:val="000000"/>
          <w:highlight w:val="none"/>
        </w:rPr>
        <w:t>3.2.3 承包人擅自更换项目经理的违约责任：</w:t>
      </w:r>
      <w:r>
        <w:rPr>
          <w:rFonts w:hint="eastAsia" w:ascii="宋体" w:hAnsi="宋体" w:eastAsia="宋体" w:cs="宋体"/>
          <w:color w:val="000000"/>
          <w:highlight w:val="none"/>
          <w:u w:val="single"/>
        </w:rPr>
        <w:t>承包人项目经理必须与承包人所承诺的人员一致，并在  （开工日期）  前到</w:t>
      </w:r>
      <w:r>
        <w:rPr>
          <w:rFonts w:hint="eastAsia" w:ascii="宋体" w:hAnsi="宋体" w:eastAsia="宋体" w:cs="宋体"/>
          <w:color w:val="000000"/>
          <w:highlight w:val="none"/>
          <w:u w:val="none"/>
        </w:rPr>
        <w:t xml:space="preserve">任。在监理人向承包人颁发 </w:t>
      </w:r>
      <w:r>
        <w:rPr>
          <w:rFonts w:hint="eastAsia" w:ascii="宋体" w:hAnsi="宋体" w:eastAsia="宋体" w:cs="宋体"/>
          <w:color w:val="000000"/>
          <w:highlight w:val="none"/>
          <w:u w:val="single"/>
        </w:rPr>
        <w:t xml:space="preserve"> （竣工证明材料名称）   </w:t>
      </w:r>
      <w:r>
        <w:rPr>
          <w:rFonts w:hint="eastAsia" w:ascii="宋体" w:hAnsi="宋体" w:eastAsia="宋体" w:cs="宋体"/>
          <w:color w:val="000000"/>
          <w:highlight w:val="none"/>
          <w:u w:val="none"/>
        </w:rPr>
        <w:t xml:space="preserve"> 前，项目经理不得同时兼任其他任何项目的项目经理</w:t>
      </w:r>
      <w:r>
        <w:rPr>
          <w:rFonts w:hint="eastAsia" w:ascii="宋体" w:hAnsi="宋体" w:eastAsia="宋体" w:cs="宋体"/>
          <w:color w:val="000000"/>
          <w:kern w:val="2"/>
          <w:highlight w:val="none"/>
          <w:u w:val="none"/>
        </w:rPr>
        <w:t>（</w:t>
      </w:r>
      <w:r>
        <w:rPr>
          <w:rFonts w:hint="eastAsia" w:ascii="宋体" w:hAnsi="宋体" w:eastAsia="宋体" w:cs="宋体"/>
          <w:color w:val="000000"/>
          <w:kern w:val="2"/>
          <w:highlight w:val="none"/>
          <w:u w:val="none"/>
          <w:lang w:eastAsia="zh-CN"/>
        </w:rPr>
        <w:t>符合</w:t>
      </w:r>
      <w:r>
        <w:rPr>
          <w:rFonts w:hint="eastAsia" w:ascii="宋体" w:hAnsi="宋体" w:eastAsia="宋体" w:cs="宋体"/>
          <w:color w:val="000000"/>
          <w:highlight w:val="none"/>
        </w:rPr>
        <w:t>《广西壮族自治区建筑市场诚信卡管理暂行办法》第十六条第一款及桂建管﹝</w:t>
      </w:r>
      <w:r>
        <w:rPr>
          <w:rFonts w:hint="eastAsia" w:ascii="宋体" w:hAnsi="宋体" w:eastAsia="宋体" w:cs="宋体"/>
          <w:color w:val="000000"/>
          <w:kern w:val="2"/>
          <w:highlight w:val="none"/>
        </w:rPr>
        <w:t>2016</w:t>
      </w:r>
      <w:r>
        <w:rPr>
          <w:rFonts w:hint="eastAsia" w:ascii="宋体" w:hAnsi="宋体" w:eastAsia="宋体" w:cs="宋体"/>
          <w:color w:val="000000"/>
          <w:highlight w:val="none"/>
        </w:rPr>
        <w:t>﹞70号</w:t>
      </w:r>
      <w:r>
        <w:rPr>
          <w:rFonts w:hint="eastAsia" w:ascii="宋体" w:hAnsi="宋体" w:eastAsia="宋体" w:cs="宋体"/>
          <w:color w:val="000000"/>
          <w:highlight w:val="none"/>
          <w:u w:val="none"/>
          <w:lang w:eastAsia="zh-CN"/>
        </w:rPr>
        <w:t>、</w:t>
      </w:r>
      <w:r>
        <w:rPr>
          <w:rFonts w:hint="eastAsia" w:ascii="宋体" w:hAnsi="宋体" w:eastAsia="宋体" w:cs="宋体"/>
          <w:color w:val="000000"/>
          <w:sz w:val="21"/>
          <w:szCs w:val="21"/>
          <w:highlight w:val="none"/>
          <w:u w:val="none"/>
        </w:rPr>
        <w:t>桂建管〔2020〕11号</w:t>
      </w:r>
      <w:r>
        <w:rPr>
          <w:rFonts w:hint="eastAsia" w:ascii="宋体" w:hAnsi="宋体" w:eastAsia="宋体" w:cs="宋体"/>
          <w:color w:val="000000"/>
          <w:kern w:val="2"/>
          <w:highlight w:val="none"/>
          <w:u w:val="none"/>
        </w:rPr>
        <w:t>文除外）</w:t>
      </w:r>
      <w:r>
        <w:rPr>
          <w:rFonts w:hint="eastAsia" w:ascii="宋体" w:hAnsi="宋体" w:eastAsia="宋体" w:cs="宋体"/>
          <w:color w:val="000000"/>
          <w:highlight w:val="none"/>
          <w:u w:val="none"/>
        </w:rPr>
        <w:t>。未经发包人书面同意，承包人擅自更换项目经理的视为违约，违约金处</w:t>
      </w:r>
      <w:r>
        <w:rPr>
          <w:rFonts w:hint="eastAsia" w:ascii="宋体" w:hAnsi="宋体" w:eastAsia="宋体" w:cs="宋体"/>
          <w:color w:val="000000"/>
          <w:highlight w:val="none"/>
          <w:u w:val="single"/>
          <w:lang w:val="en-US" w:eastAsia="zh-CN"/>
        </w:rPr>
        <w:t>1000</w:t>
      </w:r>
      <w:r>
        <w:rPr>
          <w:rFonts w:hint="eastAsia" w:ascii="宋体" w:hAnsi="宋体" w:eastAsia="宋体" w:cs="宋体"/>
          <w:color w:val="000000"/>
          <w:highlight w:val="none"/>
          <w:u w:val="none"/>
        </w:rPr>
        <w:t>元/人•次（人民币）</w:t>
      </w:r>
      <w:r>
        <w:rPr>
          <w:rFonts w:hint="eastAsia" w:ascii="宋体" w:hAnsi="宋体" w:eastAsia="宋体" w:cs="宋体"/>
          <w:color w:val="000000"/>
          <w:highlight w:val="none"/>
        </w:rPr>
        <w:t>。</w:t>
      </w:r>
    </w:p>
    <w:p w14:paraId="13FD9106">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3.2.4 承包人无正当理由拒绝更换项目经理的违约责任：</w:t>
      </w:r>
      <w:r>
        <w:rPr>
          <w:rFonts w:hint="eastAsia" w:ascii="宋体" w:hAnsi="宋体" w:eastAsia="宋体" w:cs="宋体"/>
          <w:color w:val="000000"/>
          <w:highlight w:val="none"/>
          <w:u w:val="single"/>
        </w:rPr>
        <w:t>因承包人项目经理不称职，发包人要求调换而未及时调换的，视为承包人违约，必须向发包人交纳处罚金</w:t>
      </w:r>
      <w:r>
        <w:rPr>
          <w:rFonts w:hint="eastAsia" w:ascii="宋体" w:hAnsi="宋体" w:eastAsia="宋体" w:cs="宋体"/>
          <w:color w:val="000000"/>
          <w:highlight w:val="none"/>
          <w:u w:val="single"/>
          <w:lang w:val="en-US" w:eastAsia="zh-CN"/>
        </w:rPr>
        <w:t>1000</w:t>
      </w:r>
      <w:r>
        <w:rPr>
          <w:rFonts w:hint="eastAsia" w:ascii="宋体" w:hAnsi="宋体" w:eastAsia="宋体" w:cs="宋体"/>
          <w:color w:val="000000"/>
          <w:highlight w:val="none"/>
          <w:u w:val="single"/>
        </w:rPr>
        <w:t>元/人•次（人民币）</w:t>
      </w:r>
      <w:r>
        <w:rPr>
          <w:rFonts w:hint="eastAsia" w:ascii="宋体" w:hAnsi="宋体" w:eastAsia="宋体" w:cs="宋体"/>
          <w:color w:val="000000"/>
          <w:highlight w:val="none"/>
        </w:rPr>
        <w:t>。</w:t>
      </w:r>
    </w:p>
    <w:p w14:paraId="727519D4">
      <w:pPr>
        <w:pStyle w:val="4"/>
        <w:rPr>
          <w:rFonts w:hint="eastAsia" w:ascii="宋体" w:hAnsi="宋体" w:eastAsia="宋体" w:cs="宋体"/>
          <w:color w:val="auto"/>
          <w:highlight w:val="none"/>
        </w:rPr>
      </w:pPr>
      <w:bookmarkStart w:id="649" w:name="_Toc1443830486"/>
      <w:bookmarkStart w:id="650" w:name="_Toc373478356"/>
      <w:bookmarkStart w:id="651" w:name="_Toc747710271"/>
      <w:bookmarkStart w:id="652" w:name="_Toc407135211"/>
      <w:bookmarkStart w:id="653" w:name="_Toc389065275"/>
      <w:bookmarkStart w:id="654" w:name="_Toc373227709"/>
      <w:bookmarkStart w:id="655" w:name="_Toc78449797"/>
      <w:r>
        <w:rPr>
          <w:rFonts w:hint="eastAsia" w:ascii="宋体" w:hAnsi="宋体" w:eastAsia="宋体" w:cs="宋体"/>
          <w:color w:val="auto"/>
          <w:highlight w:val="none"/>
        </w:rPr>
        <w:t>3.3 承包人人员</w:t>
      </w:r>
      <w:bookmarkEnd w:id="649"/>
      <w:bookmarkEnd w:id="650"/>
      <w:bookmarkEnd w:id="651"/>
      <w:bookmarkEnd w:id="652"/>
      <w:bookmarkEnd w:id="653"/>
      <w:bookmarkEnd w:id="654"/>
      <w:bookmarkEnd w:id="655"/>
    </w:p>
    <w:p w14:paraId="6991D8C7">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3.3.1 承包人提交项目管理机构及施工现场管理人员安排报告的期限：</w:t>
      </w:r>
      <w:r>
        <w:rPr>
          <w:rFonts w:hint="eastAsia" w:ascii="宋体" w:hAnsi="宋体" w:eastAsia="宋体" w:cs="宋体"/>
          <w:color w:val="000000"/>
          <w:highlight w:val="none"/>
          <w:u w:val="single"/>
          <w:lang w:eastAsia="zh-CN"/>
        </w:rPr>
        <w:t>开工前</w:t>
      </w:r>
      <w:r>
        <w:rPr>
          <w:rFonts w:hint="eastAsia" w:ascii="宋体" w:hAnsi="宋体" w:eastAsia="宋体" w:cs="宋体"/>
          <w:color w:val="000000"/>
          <w:highlight w:val="none"/>
          <w:u w:val="single"/>
          <w:lang w:val="en-US" w:eastAsia="zh-CN"/>
        </w:rPr>
        <w:t>七</w:t>
      </w:r>
      <w:r>
        <w:rPr>
          <w:rFonts w:hint="eastAsia" w:ascii="宋体" w:hAnsi="宋体" w:eastAsia="宋体" w:cs="宋体"/>
          <w:color w:val="000000"/>
          <w:highlight w:val="none"/>
          <w:u w:val="single"/>
          <w:lang w:eastAsia="zh-CN"/>
        </w:rPr>
        <w:t>天</w:t>
      </w:r>
      <w:r>
        <w:rPr>
          <w:rFonts w:hint="eastAsia" w:ascii="宋体" w:hAnsi="宋体" w:eastAsia="宋体" w:cs="宋体"/>
          <w:color w:val="000000"/>
          <w:highlight w:val="none"/>
        </w:rPr>
        <w:t>。</w:t>
      </w:r>
    </w:p>
    <w:p w14:paraId="19844635">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3.3.3 承包人无正当理由拒绝撤换主要施工管理人员的违约责任：</w:t>
      </w:r>
      <w:r>
        <w:rPr>
          <w:rFonts w:hint="eastAsia" w:ascii="宋体" w:hAnsi="宋体" w:eastAsia="宋体" w:cs="宋体"/>
          <w:color w:val="000000"/>
          <w:highlight w:val="none"/>
          <w:u w:val="single"/>
        </w:rPr>
        <w:t>因承包人主要施工管理人员不称职，发包人要求调换而无正当理由拒绝撤换或未及时调换的，视为承包人违约，必须向发包人交纳处罚金，处罚标准：技术负责人</w:t>
      </w:r>
      <w:r>
        <w:rPr>
          <w:rFonts w:hint="eastAsia" w:ascii="宋体" w:hAnsi="宋体" w:eastAsia="宋体" w:cs="宋体"/>
          <w:color w:val="000000"/>
          <w:highlight w:val="none"/>
          <w:u w:val="single"/>
          <w:lang w:val="en-US" w:eastAsia="zh-CN"/>
        </w:rPr>
        <w:t>2000</w:t>
      </w:r>
      <w:r>
        <w:rPr>
          <w:rFonts w:hint="eastAsia" w:ascii="宋体" w:hAnsi="宋体" w:eastAsia="宋体" w:cs="宋体"/>
          <w:color w:val="000000"/>
          <w:highlight w:val="none"/>
          <w:u w:val="single"/>
        </w:rPr>
        <w:t>元/人•次（人民币）；专业工程师</w:t>
      </w:r>
      <w:r>
        <w:rPr>
          <w:rFonts w:hint="eastAsia" w:ascii="宋体" w:hAnsi="宋体" w:eastAsia="宋体" w:cs="宋体"/>
          <w:color w:val="000000"/>
          <w:highlight w:val="none"/>
          <w:u w:val="single"/>
          <w:lang w:val="en-US" w:eastAsia="zh-CN"/>
        </w:rPr>
        <w:t>1000</w:t>
      </w:r>
      <w:r>
        <w:rPr>
          <w:rFonts w:hint="eastAsia" w:ascii="宋体" w:hAnsi="宋体" w:eastAsia="宋体" w:cs="宋体"/>
          <w:color w:val="000000"/>
          <w:highlight w:val="none"/>
          <w:u w:val="single"/>
        </w:rPr>
        <w:t>元/人•次（人民币）</w:t>
      </w:r>
      <w:r>
        <w:rPr>
          <w:rFonts w:hint="eastAsia" w:ascii="宋体" w:hAnsi="宋体" w:eastAsia="宋体" w:cs="宋体"/>
          <w:color w:val="000000"/>
          <w:highlight w:val="none"/>
        </w:rPr>
        <w:t>。</w:t>
      </w:r>
    </w:p>
    <w:p w14:paraId="6B8DA948">
      <w:pPr>
        <w:pStyle w:val="6"/>
        <w:spacing w:before="134" w:line="360" w:lineRule="auto"/>
        <w:ind w:left="442" w:firstLine="420" w:firstLineChars="200"/>
        <w:rPr>
          <w:rFonts w:hint="eastAsia" w:ascii="宋体" w:hAnsi="宋体" w:eastAsia="宋体" w:cs="宋体"/>
          <w:color w:val="000000"/>
          <w:highlight w:val="none"/>
          <w:u w:val="single"/>
        </w:rPr>
      </w:pPr>
      <w:r>
        <w:rPr>
          <w:rFonts w:hint="eastAsia" w:ascii="宋体" w:hAnsi="宋体" w:eastAsia="宋体" w:cs="宋体"/>
          <w:color w:val="000000"/>
          <w:highlight w:val="none"/>
        </w:rPr>
        <w:t>3.3.4 承包人主要施工管理人员离开施工现场的批准要求：</w:t>
      </w:r>
      <w:r>
        <w:rPr>
          <w:rFonts w:hint="eastAsia" w:ascii="宋体" w:hAnsi="宋体" w:eastAsia="宋体" w:cs="宋体"/>
          <w:spacing w:val="-3"/>
          <w:sz w:val="21"/>
          <w:szCs w:val="21"/>
          <w:u w:val="single" w:color="auto"/>
        </w:rPr>
        <w:t>按相关工程质量管理规范或</w:t>
      </w:r>
      <w:r>
        <w:rPr>
          <w:rFonts w:hint="eastAsia" w:ascii="宋体" w:hAnsi="宋体" w:eastAsia="宋体" w:cs="宋体"/>
          <w:spacing w:val="-2"/>
          <w:sz w:val="21"/>
          <w:szCs w:val="21"/>
          <w:u w:val="single" w:color="auto"/>
        </w:rPr>
        <w:t>条例要求</w:t>
      </w:r>
      <w:r>
        <w:rPr>
          <w:rFonts w:hint="eastAsia" w:ascii="宋体" w:hAnsi="宋体" w:eastAsia="宋体" w:cs="宋体"/>
          <w:color w:val="000000"/>
          <w:highlight w:val="none"/>
        </w:rPr>
        <w:t>。</w:t>
      </w:r>
    </w:p>
    <w:p w14:paraId="335F3A3C">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3.3.5 承包人擅自更换主要施工管理人员的违约责任：</w:t>
      </w:r>
      <w:r>
        <w:rPr>
          <w:rFonts w:hint="eastAsia" w:ascii="宋体" w:hAnsi="宋体" w:eastAsia="宋体" w:cs="宋体"/>
          <w:color w:val="000000"/>
          <w:highlight w:val="none"/>
          <w:u w:val="single"/>
        </w:rPr>
        <w:t>项目技术负责人、专职安全生产管理人员及其承诺的其它在场管理人员未经发包人书面同意不准擅自更换，擅自更换项目技术负责人处</w:t>
      </w:r>
      <w:r>
        <w:rPr>
          <w:rFonts w:hint="eastAsia" w:ascii="宋体" w:hAnsi="宋体" w:eastAsia="宋体" w:cs="宋体"/>
          <w:color w:val="000000"/>
          <w:highlight w:val="none"/>
          <w:u w:val="single"/>
          <w:lang w:val="en-US" w:eastAsia="zh-CN"/>
        </w:rPr>
        <w:t>2000</w:t>
      </w:r>
      <w:r>
        <w:rPr>
          <w:rFonts w:hint="eastAsia" w:ascii="宋体" w:hAnsi="宋体" w:eastAsia="宋体" w:cs="宋体"/>
          <w:color w:val="000000"/>
          <w:highlight w:val="none"/>
          <w:u w:val="single"/>
        </w:rPr>
        <w:t>元/人•次（人民币）违约金；擅自更换专职安全生产管理人员处</w:t>
      </w:r>
      <w:r>
        <w:rPr>
          <w:rFonts w:hint="eastAsia" w:ascii="宋体" w:hAnsi="宋体" w:eastAsia="宋体" w:cs="宋体"/>
          <w:color w:val="000000"/>
          <w:highlight w:val="none"/>
          <w:u w:val="single"/>
          <w:lang w:val="en-US" w:eastAsia="zh-CN"/>
        </w:rPr>
        <w:t>500</w:t>
      </w:r>
      <w:r>
        <w:rPr>
          <w:rFonts w:hint="eastAsia" w:ascii="宋体" w:hAnsi="宋体" w:eastAsia="宋体" w:cs="宋体"/>
          <w:color w:val="000000"/>
          <w:highlight w:val="none"/>
          <w:u w:val="single"/>
        </w:rPr>
        <w:t>元/人•次（人民币）违约金；擅自更换其它在场管理人员处</w:t>
      </w:r>
      <w:r>
        <w:rPr>
          <w:rFonts w:hint="eastAsia" w:ascii="宋体" w:hAnsi="宋体" w:eastAsia="宋体" w:cs="宋体"/>
          <w:color w:val="000000"/>
          <w:highlight w:val="none"/>
          <w:u w:val="single"/>
          <w:lang w:val="en-US" w:eastAsia="zh-CN"/>
        </w:rPr>
        <w:t>200</w:t>
      </w:r>
      <w:r>
        <w:rPr>
          <w:rFonts w:hint="eastAsia" w:ascii="宋体" w:hAnsi="宋体" w:eastAsia="宋体" w:cs="宋体"/>
          <w:color w:val="000000"/>
          <w:highlight w:val="none"/>
          <w:u w:val="single"/>
        </w:rPr>
        <w:t>元/人•次（人民币）违约金</w:t>
      </w:r>
      <w:r>
        <w:rPr>
          <w:rFonts w:hint="eastAsia" w:ascii="宋体" w:hAnsi="宋体" w:eastAsia="宋体" w:cs="宋体"/>
          <w:color w:val="000000"/>
          <w:highlight w:val="none"/>
        </w:rPr>
        <w:t>。</w:t>
      </w:r>
    </w:p>
    <w:p w14:paraId="4EAFDB04">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承包人主要施工管理人员擅自离开施工现场的违约责任：</w:t>
      </w:r>
      <w:r>
        <w:rPr>
          <w:rFonts w:hint="eastAsia" w:ascii="宋体" w:hAnsi="宋体" w:eastAsia="宋体" w:cs="宋体"/>
          <w:color w:val="000000"/>
          <w:highlight w:val="none"/>
          <w:u w:val="single"/>
        </w:rPr>
        <w:t>未经发包人同意，项目技术负责人擅自离岗的，视为承包人违约，发包人有权处违约金</w:t>
      </w:r>
      <w:r>
        <w:rPr>
          <w:rFonts w:hint="eastAsia" w:ascii="宋体" w:hAnsi="宋体" w:eastAsia="宋体" w:cs="宋体"/>
          <w:color w:val="000000"/>
          <w:highlight w:val="none"/>
          <w:u w:val="single"/>
          <w:lang w:val="en-US" w:eastAsia="zh-CN"/>
        </w:rPr>
        <w:t>1000</w:t>
      </w:r>
      <w:r>
        <w:rPr>
          <w:rFonts w:hint="eastAsia" w:ascii="宋体" w:hAnsi="宋体" w:eastAsia="宋体" w:cs="宋体"/>
          <w:color w:val="000000"/>
          <w:highlight w:val="none"/>
          <w:u w:val="single"/>
        </w:rPr>
        <w:t>元/人•次（人民币）；未经发包人同意，专职安全生产管理人员擅自离岗的，视为承包人违约，发包人有权处违约金</w:t>
      </w:r>
      <w:r>
        <w:rPr>
          <w:rFonts w:hint="eastAsia" w:ascii="宋体" w:hAnsi="宋体" w:eastAsia="宋体" w:cs="宋体"/>
          <w:color w:val="000000"/>
          <w:highlight w:val="none"/>
          <w:u w:val="single"/>
          <w:lang w:val="en-US" w:eastAsia="zh-CN"/>
        </w:rPr>
        <w:t>300</w:t>
      </w:r>
      <w:r>
        <w:rPr>
          <w:rFonts w:hint="eastAsia" w:ascii="宋体" w:hAnsi="宋体" w:eastAsia="宋体" w:cs="宋体"/>
          <w:color w:val="000000"/>
          <w:highlight w:val="none"/>
          <w:u w:val="single"/>
        </w:rPr>
        <w:t>元/人•次（人民币）；其它在场管理人员擅自离岗的，视为承包人违约，发包人有权处违约金</w:t>
      </w:r>
      <w:r>
        <w:rPr>
          <w:rFonts w:hint="eastAsia" w:ascii="宋体" w:hAnsi="宋体" w:eastAsia="宋体" w:cs="宋体"/>
          <w:color w:val="000000"/>
          <w:highlight w:val="none"/>
          <w:u w:val="single"/>
          <w:lang w:val="en-US" w:eastAsia="zh-CN"/>
        </w:rPr>
        <w:t>100</w:t>
      </w:r>
      <w:r>
        <w:rPr>
          <w:rFonts w:hint="eastAsia" w:ascii="宋体" w:hAnsi="宋体" w:eastAsia="宋体" w:cs="宋体"/>
          <w:color w:val="000000"/>
          <w:highlight w:val="none"/>
          <w:u w:val="single"/>
        </w:rPr>
        <w:t>元/人•次（人民币）</w:t>
      </w:r>
      <w:r>
        <w:rPr>
          <w:rFonts w:hint="eastAsia" w:ascii="宋体" w:hAnsi="宋体" w:eastAsia="宋体" w:cs="宋体"/>
          <w:color w:val="000000"/>
          <w:highlight w:val="none"/>
        </w:rPr>
        <w:t>。</w:t>
      </w:r>
    </w:p>
    <w:p w14:paraId="54846E69">
      <w:pPr>
        <w:pStyle w:val="4"/>
        <w:rPr>
          <w:rFonts w:hint="eastAsia" w:ascii="宋体" w:hAnsi="宋体" w:eastAsia="宋体" w:cs="宋体"/>
          <w:color w:val="auto"/>
          <w:highlight w:val="none"/>
        </w:rPr>
      </w:pPr>
      <w:bookmarkStart w:id="656" w:name="_Toc2066279184"/>
      <w:bookmarkStart w:id="657" w:name="_Toc2025600126"/>
      <w:bookmarkStart w:id="658" w:name="_Toc389065276"/>
      <w:bookmarkStart w:id="659" w:name="_Toc407135212"/>
      <w:bookmarkStart w:id="660" w:name="_Toc373478357"/>
      <w:bookmarkStart w:id="661" w:name="_Toc373227710"/>
      <w:bookmarkStart w:id="662" w:name="_Toc78449798"/>
      <w:r>
        <w:rPr>
          <w:rFonts w:hint="eastAsia" w:ascii="宋体" w:hAnsi="宋体" w:eastAsia="宋体" w:cs="宋体"/>
          <w:color w:val="auto"/>
          <w:highlight w:val="none"/>
        </w:rPr>
        <w:t>3</w:t>
      </w:r>
      <w:bookmarkStart w:id="663" w:name="_Toc297048345"/>
      <w:bookmarkStart w:id="664" w:name="_Toc296944498"/>
      <w:bookmarkStart w:id="665" w:name="_Toc297216151"/>
      <w:bookmarkStart w:id="666" w:name="_Toc296346660"/>
      <w:bookmarkStart w:id="667" w:name="_Toc296503159"/>
      <w:bookmarkStart w:id="668" w:name="_Toc297123492"/>
      <w:bookmarkStart w:id="669" w:name="_Toc296347158"/>
      <w:bookmarkStart w:id="670" w:name="_Toc303539102"/>
      <w:bookmarkStart w:id="671" w:name="_Toc297120459"/>
      <w:bookmarkStart w:id="672" w:name="_Toc300934945"/>
      <w:bookmarkStart w:id="673" w:name="_Toc292559869"/>
      <w:bookmarkStart w:id="674" w:name="_Toc304295523"/>
      <w:bookmarkStart w:id="675" w:name="_Toc292559364"/>
      <w:bookmarkStart w:id="676" w:name="_Toc296891199"/>
      <w:bookmarkStart w:id="677" w:name="_Toc312677988"/>
      <w:bookmarkStart w:id="678" w:name="_Toc296890987"/>
      <w:r>
        <w:rPr>
          <w:rFonts w:hint="eastAsia" w:ascii="宋体" w:hAnsi="宋体" w:eastAsia="宋体" w:cs="宋体"/>
          <w:color w:val="auto"/>
          <w:highlight w:val="none"/>
        </w:rPr>
        <w:t>.5 分包</w:t>
      </w:r>
      <w:bookmarkEnd w:id="656"/>
      <w:bookmarkEnd w:id="657"/>
      <w:bookmarkEnd w:id="658"/>
      <w:bookmarkEnd w:id="659"/>
      <w:bookmarkEnd w:id="660"/>
      <w:bookmarkEnd w:id="661"/>
      <w:bookmarkEnd w:id="662"/>
    </w:p>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14:paraId="4813D55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w:t>
      </w:r>
      <w:bookmarkStart w:id="679" w:name="_Toc296346661"/>
      <w:bookmarkStart w:id="680" w:name="_Toc292559365"/>
      <w:bookmarkStart w:id="681" w:name="_Toc297216152"/>
      <w:bookmarkStart w:id="682" w:name="_Toc300934946"/>
      <w:bookmarkStart w:id="683" w:name="_Toc304295524"/>
      <w:bookmarkStart w:id="684" w:name="_Toc297123493"/>
      <w:bookmarkStart w:id="685" w:name="_Toc296944499"/>
      <w:bookmarkStart w:id="686" w:name="_Toc296503160"/>
      <w:bookmarkStart w:id="687" w:name="_Toc296891200"/>
      <w:bookmarkStart w:id="688" w:name="_Toc312677989"/>
      <w:bookmarkStart w:id="689" w:name="_Toc297048346"/>
      <w:bookmarkStart w:id="690" w:name="_Toc292559870"/>
      <w:bookmarkStart w:id="691" w:name="_Toc296890988"/>
      <w:bookmarkStart w:id="692" w:name="_Toc296347159"/>
      <w:bookmarkStart w:id="693" w:name="_Toc303539103"/>
      <w:bookmarkStart w:id="694" w:name="_Toc297120460"/>
      <w:bookmarkStart w:id="695" w:name="_Toc318581158"/>
      <w:r>
        <w:rPr>
          <w:rFonts w:hint="eastAsia" w:ascii="宋体" w:hAnsi="宋体" w:eastAsia="宋体" w:cs="宋体"/>
          <w:color w:val="auto"/>
          <w:highlight w:val="none"/>
        </w:rPr>
        <w:t>.5.1 分包的一般约定</w:t>
      </w:r>
    </w:p>
    <w:p w14:paraId="36231518">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禁止分包的工程包括：</w:t>
      </w:r>
      <w:r>
        <w:rPr>
          <w:rFonts w:hint="eastAsia" w:ascii="宋体" w:hAnsi="宋体" w:eastAsia="宋体" w:cs="宋体"/>
          <w:spacing w:val="-1"/>
          <w:sz w:val="21"/>
          <w:szCs w:val="21"/>
          <w:u w:val="single" w:color="auto"/>
        </w:rPr>
        <w:t>主体结构、关键性工作等</w:t>
      </w:r>
      <w:r>
        <w:rPr>
          <w:rFonts w:hint="eastAsia" w:ascii="宋体" w:hAnsi="宋体" w:eastAsia="宋体" w:cs="宋体"/>
          <w:color w:val="auto"/>
          <w:highlight w:val="none"/>
        </w:rPr>
        <w:t>。</w:t>
      </w:r>
    </w:p>
    <w:p w14:paraId="1A3E343F">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主体结构、关键性工作的范围：</w:t>
      </w:r>
      <w:r>
        <w:rPr>
          <w:rFonts w:hint="eastAsia" w:ascii="宋体" w:hAnsi="宋体" w:eastAsia="宋体" w:cs="宋体"/>
          <w:spacing w:val="-4"/>
          <w:sz w:val="21"/>
          <w:szCs w:val="21"/>
          <w:u w:val="single" w:color="auto"/>
        </w:rPr>
        <w:t>基础工程、主体工程</w:t>
      </w:r>
      <w:r>
        <w:rPr>
          <w:rFonts w:hint="eastAsia" w:ascii="宋体" w:hAnsi="宋体" w:eastAsia="宋体" w:cs="宋体"/>
          <w:color w:val="auto"/>
          <w:highlight w:val="none"/>
        </w:rPr>
        <w:t>。</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626AA844">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3</w:t>
      </w:r>
      <w:bookmarkStart w:id="696" w:name="_Toc312677990"/>
      <w:bookmarkStart w:id="697" w:name="_Toc318581159"/>
      <w:r>
        <w:rPr>
          <w:rFonts w:hint="eastAsia" w:ascii="宋体" w:hAnsi="宋体" w:eastAsia="宋体" w:cs="宋体"/>
          <w:color w:val="auto"/>
          <w:highlight w:val="none"/>
        </w:rPr>
        <w:t>.5.2 分包的确定</w:t>
      </w:r>
    </w:p>
    <w:p w14:paraId="568BCECE">
      <w:pPr>
        <w:spacing w:line="360" w:lineRule="auto"/>
        <w:ind w:firstLine="420" w:firstLineChars="200"/>
        <w:rPr>
          <w:rFonts w:ascii="宋体" w:hAnsi="宋体" w:eastAsia="宋体" w:cs="宋体"/>
          <w:color w:val="000000"/>
          <w:highlight w:val="none"/>
        </w:rPr>
      </w:pPr>
      <w:r>
        <w:rPr>
          <w:rFonts w:hint="eastAsia" w:ascii="宋体" w:hAnsi="宋体" w:eastAsia="宋体" w:cs="宋体"/>
          <w:color w:val="000000"/>
          <w:highlight w:val="none"/>
        </w:rPr>
        <w:t>允许分包的专业工程包括：</w:t>
      </w:r>
      <w:r>
        <w:rPr>
          <w:rFonts w:ascii="宋体" w:hAnsi="宋体" w:eastAsia="宋体" w:cs="宋体"/>
          <w:color w:val="000000"/>
          <w:highlight w:val="none"/>
          <w:u w:val="single"/>
          <w:lang w:eastAsia="zh-CN"/>
        </w:rPr>
        <w:t>无</w:t>
      </w:r>
      <w:r>
        <w:rPr>
          <w:rFonts w:hint="eastAsia" w:ascii="宋体" w:hAnsi="宋体" w:eastAsia="宋体" w:cs="宋体"/>
          <w:color w:val="000000"/>
          <w:highlight w:val="none"/>
        </w:rPr>
        <w:t>。</w:t>
      </w:r>
    </w:p>
    <w:p w14:paraId="2A714F9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其他关于分包的约定：</w:t>
      </w:r>
    </w:p>
    <w:p w14:paraId="7BFA5C5A">
      <w:pPr>
        <w:numPr>
          <w:ilvl w:val="0"/>
          <w:numId w:val="2"/>
        </w:numPr>
        <w:spacing w:line="360" w:lineRule="auto"/>
        <w:ind w:left="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428D020D">
      <w:pPr>
        <w:numPr>
          <w:ilvl w:val="0"/>
          <w:numId w:val="2"/>
        </w:numPr>
        <w:spacing w:line="360" w:lineRule="auto"/>
        <w:ind w:left="0"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在相关分包合同签订并报送有关建设行政主管部门备案后7天内，承包人应当将一份副本提交给监理人，承包人应保障分包工作不得再次分包。</w:t>
      </w:r>
    </w:p>
    <w:p w14:paraId="7D5E05F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（3）未经承包人和监理人审批同意的分包工程和分包人，承包人有权拒绝验收分包工程和支付相应款项，由此引起的发包人费用增加和(或)延误的工期由发包人承担。</w:t>
      </w:r>
    </w:p>
    <w:p w14:paraId="4A9DC904">
      <w:pPr>
        <w:pStyle w:val="8"/>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（4）承包人有以下情况之一者，发包人有权解除合同，并视情况扣除其履约保证金：</w:t>
      </w:r>
    </w:p>
    <w:p w14:paraId="6020CEDE">
      <w:pPr>
        <w:pStyle w:val="8"/>
        <w:spacing w:line="360" w:lineRule="auto"/>
        <w:ind w:firstLine="436" w:firstLineChars="2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①个人承包工程，包括本人单位及外单位人员承包，发包人不承认其个人拥有任何资质等级及营业许可资格。没收全部履约保证金。</w:t>
      </w:r>
    </w:p>
    <w:p w14:paraId="1E734499">
      <w:pPr>
        <w:pStyle w:val="8"/>
        <w:spacing w:line="360" w:lineRule="auto"/>
        <w:ind w:firstLine="436" w:firstLineChars="2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②几个人联合承包工程，就地组织暗分包队伍，不具备完成本工程的技术、机械能力，被发包人判定为没有能力履行的承包人。没收全部履约保证金。</w:t>
      </w:r>
    </w:p>
    <w:p w14:paraId="2889DE31">
      <w:pPr>
        <w:pStyle w:val="8"/>
        <w:spacing w:line="360" w:lineRule="auto"/>
        <w:ind w:firstLine="436" w:firstLineChars="20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③就地转包全部的工程，以谋取高额转让费、管理费的承包人。没收全部履约保证金。</w:t>
      </w:r>
    </w:p>
    <w:p w14:paraId="2D1BF524">
      <w:pPr>
        <w:spacing w:line="36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④承包人有部分分包现象（其中包括冒充承包人下属单位的挂勾单位，凭口头协议参与施工的分包人及其他暗分包个体户），一经发现核实，发包人将采取驱逐该暗分包人措施。没收全部履约保证金。</w:t>
      </w:r>
    </w:p>
    <w:p w14:paraId="0BE56E5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3.5.4 分包合同价款</w:t>
      </w:r>
    </w:p>
    <w:bookmarkEnd w:id="696"/>
    <w:bookmarkEnd w:id="697"/>
    <w:p w14:paraId="3FCA2739">
      <w:pPr>
        <w:spacing w:line="360" w:lineRule="auto"/>
        <w:ind w:firstLine="420" w:firstLineChars="200"/>
        <w:rPr>
          <w:rFonts w:hint="eastAsia" w:ascii="宋体" w:hAnsi="宋体" w:eastAsia="宋体" w:cs="宋体"/>
          <w:color w:val="auto"/>
          <w:highlight w:val="none"/>
        </w:rPr>
      </w:pPr>
      <w:bookmarkStart w:id="698" w:name="_Toc373478358"/>
      <w:bookmarkStart w:id="699" w:name="_Toc373227711"/>
      <w:bookmarkStart w:id="700" w:name="_Toc389065277"/>
      <w:r>
        <w:rPr>
          <w:rFonts w:hint="eastAsia" w:ascii="宋体" w:hAnsi="宋体" w:eastAsia="宋体" w:cs="宋体"/>
          <w:color w:val="auto"/>
          <w:highlight w:val="none"/>
        </w:rPr>
        <w:t>关于分包合同价款支付的约定：</w:t>
      </w:r>
      <w:r>
        <w:rPr>
          <w:rFonts w:hint="eastAsia" w:ascii="宋体" w:hAnsi="宋体" w:eastAsia="宋体" w:cs="宋体"/>
          <w:color w:val="auto"/>
          <w:highlight w:val="none"/>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5A0A0214">
      <w:pPr>
        <w:pStyle w:val="4"/>
        <w:rPr>
          <w:rFonts w:hint="eastAsia" w:ascii="宋体" w:hAnsi="宋体" w:eastAsia="宋体" w:cs="宋体"/>
          <w:color w:val="auto"/>
          <w:highlight w:val="none"/>
        </w:rPr>
      </w:pPr>
      <w:bookmarkStart w:id="701" w:name="_Toc407135213"/>
      <w:bookmarkStart w:id="702" w:name="_Toc57329529"/>
      <w:bookmarkStart w:id="703" w:name="_Toc101808609"/>
      <w:bookmarkStart w:id="704" w:name="_Toc78449799"/>
      <w:r>
        <w:rPr>
          <w:rFonts w:hint="eastAsia" w:ascii="宋体" w:hAnsi="宋体" w:eastAsia="宋体" w:cs="宋体"/>
          <w:color w:val="auto"/>
          <w:highlight w:val="none"/>
        </w:rPr>
        <w:t>3.6 工程照管与成品、半成品保护</w:t>
      </w:r>
      <w:bookmarkEnd w:id="698"/>
      <w:bookmarkEnd w:id="699"/>
      <w:bookmarkEnd w:id="700"/>
      <w:bookmarkEnd w:id="701"/>
      <w:bookmarkEnd w:id="702"/>
      <w:bookmarkEnd w:id="703"/>
      <w:bookmarkEnd w:id="704"/>
    </w:p>
    <w:p w14:paraId="0A5E0596">
      <w:pPr>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承包人负责照管工程及工程相关的材料、工程设备的起始时间：</w:t>
      </w:r>
    </w:p>
    <w:p w14:paraId="741F3E59">
      <w:pPr>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1 承包人负责照管工程及工程相关的材料、工程设备的起始时间： 施工现场移交时 。</w:t>
      </w:r>
    </w:p>
    <w:p w14:paraId="50E094F7">
      <w:pPr>
        <w:spacing w:line="360" w:lineRule="auto"/>
        <w:ind w:firstLine="420" w:firstLineChars="200"/>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rPr>
        <w:t>2 承包人负责对未验收工程和双方已到货材料、设备的现场保管，包括因</w:t>
      </w:r>
      <w:r>
        <w:rPr>
          <w:rFonts w:hint="eastAsia" w:ascii="宋体" w:hAnsi="宋体" w:eastAsia="宋体" w:cs="宋体"/>
          <w:color w:val="auto"/>
          <w:kern w:val="0"/>
          <w:highlight w:val="none"/>
          <w:lang w:eastAsia="zh-CN"/>
        </w:rPr>
        <w:t>发包人</w:t>
      </w:r>
      <w:r>
        <w:rPr>
          <w:rFonts w:hint="eastAsia" w:ascii="宋体" w:hAnsi="宋体" w:eastAsia="宋体" w:cs="宋体"/>
          <w:color w:val="auto"/>
          <w:kern w:val="0"/>
          <w:highlight w:val="none"/>
        </w:rPr>
        <w:t>原因暂时无法安装的材料和设备</w:t>
      </w:r>
      <w:r>
        <w:rPr>
          <w:rFonts w:hint="eastAsia" w:ascii="宋体" w:hAnsi="宋体" w:eastAsia="宋体" w:cs="宋体"/>
          <w:color w:val="auto"/>
          <w:kern w:val="0"/>
          <w:highlight w:val="none"/>
          <w:lang w:eastAsia="zh-CN"/>
        </w:rPr>
        <w:t>。</w:t>
      </w:r>
    </w:p>
    <w:p w14:paraId="23DF8EC7">
      <w:pPr>
        <w:pStyle w:val="4"/>
        <w:rPr>
          <w:rFonts w:hint="eastAsia" w:ascii="宋体" w:hAnsi="宋体" w:eastAsia="宋体" w:cs="宋体"/>
          <w:color w:val="auto"/>
          <w:highlight w:val="none"/>
        </w:rPr>
      </w:pPr>
      <w:bookmarkStart w:id="705" w:name="_Toc373227712"/>
      <w:bookmarkStart w:id="706" w:name="_Toc389065278"/>
      <w:bookmarkStart w:id="707" w:name="_Toc373478359"/>
      <w:bookmarkStart w:id="708" w:name="_Toc1042049436"/>
      <w:bookmarkStart w:id="709" w:name="_Toc78449800"/>
      <w:bookmarkStart w:id="710" w:name="_Toc407135214"/>
      <w:bookmarkStart w:id="711" w:name="_Toc1649716734"/>
      <w:r>
        <w:rPr>
          <w:rFonts w:hint="eastAsia" w:ascii="宋体" w:hAnsi="宋体" w:eastAsia="宋体" w:cs="宋体"/>
          <w:color w:val="auto"/>
          <w:highlight w:val="none"/>
        </w:rPr>
        <w:t>3.7 履约</w:t>
      </w:r>
      <w:bookmarkEnd w:id="705"/>
      <w:bookmarkEnd w:id="706"/>
      <w:bookmarkEnd w:id="707"/>
      <w:r>
        <w:rPr>
          <w:rFonts w:hint="eastAsia" w:ascii="宋体" w:hAnsi="宋体" w:eastAsia="宋体" w:cs="宋体"/>
          <w:color w:val="auto"/>
          <w:highlight w:val="none"/>
        </w:rPr>
        <w:t>保证金</w:t>
      </w:r>
      <w:bookmarkEnd w:id="708"/>
      <w:bookmarkEnd w:id="709"/>
      <w:bookmarkEnd w:id="710"/>
      <w:bookmarkEnd w:id="711"/>
    </w:p>
    <w:p w14:paraId="0572BE30">
      <w:pPr>
        <w:spacing w:line="360" w:lineRule="auto"/>
        <w:ind w:firstLine="420" w:firstLineChars="200"/>
        <w:jc w:val="left"/>
        <w:rPr>
          <w:rFonts w:hint="eastAsia" w:ascii="宋体" w:hAnsi="宋体" w:eastAsia="宋体" w:cs="宋体"/>
          <w:color w:val="000000"/>
          <w:highlight w:val="none"/>
          <w:u w:val="single"/>
        </w:rPr>
      </w:pPr>
      <w:bookmarkStart w:id="712" w:name="_Toc389065279"/>
      <w:bookmarkStart w:id="713" w:name="_Toc373478360"/>
      <w:bookmarkStart w:id="714" w:name="_Toc373227713"/>
      <w:bookmarkStart w:id="715" w:name="_Toc351203636"/>
      <w:r>
        <w:rPr>
          <w:rFonts w:hint="eastAsia" w:ascii="宋体" w:hAnsi="宋体" w:eastAsia="宋体" w:cs="宋体"/>
          <w:color w:val="000000"/>
          <w:highlight w:val="none"/>
        </w:rPr>
        <w:t>承包人提供履约担保的形式、金额及期限的：</w:t>
      </w:r>
      <w:r>
        <w:rPr>
          <w:rFonts w:hint="eastAsia" w:ascii="宋体" w:hAnsi="宋体" w:eastAsia="宋体" w:cs="宋体"/>
          <w:color w:val="000000"/>
          <w:highlight w:val="none"/>
          <w:u w:val="single"/>
          <w:lang w:val="en-US" w:eastAsia="zh-CN"/>
        </w:rPr>
        <w:t xml:space="preserve">       /   </w:t>
      </w:r>
      <w:r>
        <w:rPr>
          <w:rFonts w:hint="eastAsia" w:ascii="宋体" w:hAnsi="宋体" w:eastAsia="宋体" w:cs="宋体"/>
          <w:color w:val="000000"/>
          <w:highlight w:val="none"/>
          <w:u w:val="single"/>
        </w:rPr>
        <w:t>。</w:t>
      </w:r>
    </w:p>
    <w:p w14:paraId="406AC217">
      <w:pPr>
        <w:spacing w:line="360" w:lineRule="auto"/>
        <w:ind w:firstLine="420" w:firstLineChars="200"/>
        <w:rPr>
          <w:rFonts w:ascii="宋体" w:hAnsi="宋体" w:eastAsia="宋体" w:cs="宋体"/>
          <w:color w:val="000000"/>
          <w:highlight w:val="none"/>
          <w:u w:val="single"/>
          <w:lang w:val="en-US" w:eastAsia="zh-CN"/>
        </w:rPr>
      </w:pPr>
      <w:r>
        <w:rPr>
          <w:rFonts w:hint="eastAsia" w:ascii="宋体" w:hAnsi="宋体" w:eastAsia="宋体" w:cs="宋体"/>
          <w:color w:val="000000"/>
          <w:highlight w:val="none"/>
          <w:lang w:eastAsia="zh-CN"/>
        </w:rPr>
        <w:t>承包人</w:t>
      </w:r>
      <w:r>
        <w:rPr>
          <w:rFonts w:hint="eastAsia" w:ascii="宋体" w:hAnsi="宋体" w:eastAsia="宋体" w:cs="宋体"/>
          <w:color w:val="000000"/>
          <w:highlight w:val="none"/>
        </w:rPr>
        <w:t>提供</w:t>
      </w:r>
      <w:r>
        <w:rPr>
          <w:rFonts w:hint="eastAsia" w:ascii="宋体" w:hAnsi="宋体" w:eastAsia="宋体" w:cs="宋体"/>
          <w:color w:val="000000"/>
          <w:highlight w:val="none"/>
          <w:lang w:eastAsia="zh-CN"/>
        </w:rPr>
        <w:t>履约</w:t>
      </w:r>
      <w:r>
        <w:rPr>
          <w:rFonts w:hint="eastAsia" w:ascii="宋体" w:hAnsi="宋体" w:eastAsia="宋体" w:cs="宋体"/>
          <w:color w:val="000000"/>
          <w:highlight w:val="none"/>
        </w:rPr>
        <w:t>担保的形式：</w:t>
      </w:r>
      <w:r>
        <w:rPr>
          <w:rFonts w:hint="eastAsia" w:ascii="宋体" w:hAnsi="宋体" w:eastAsia="宋体" w:cs="宋体"/>
          <w:color w:val="000000"/>
          <w:highlight w:val="none"/>
          <w:u w:val="single"/>
          <w:lang w:val="en-US" w:eastAsia="zh-CN"/>
        </w:rPr>
        <w:t>/</w:t>
      </w:r>
      <w:r>
        <w:rPr>
          <w:rFonts w:hint="eastAsia" w:ascii="宋体" w:hAnsi="宋体" w:cs="宋体"/>
          <w:color w:val="000000"/>
          <w:highlight w:val="none"/>
          <w:u w:val="single"/>
          <w:lang w:val="en-US" w:eastAsia="zh-CN"/>
        </w:rPr>
        <w:t xml:space="preserve">   。</w:t>
      </w:r>
    </w:p>
    <w:p w14:paraId="4C802FAC">
      <w:pPr>
        <w:pStyle w:val="3"/>
        <w:rPr>
          <w:rFonts w:hint="eastAsia" w:ascii="宋体" w:hAnsi="宋体" w:eastAsia="宋体" w:cs="宋体"/>
          <w:color w:val="auto"/>
          <w:highlight w:val="none"/>
        </w:rPr>
      </w:pPr>
      <w:bookmarkStart w:id="716" w:name="_Toc78449801"/>
      <w:bookmarkStart w:id="717" w:name="_Toc931514330"/>
      <w:bookmarkStart w:id="718" w:name="_Toc907912356"/>
      <w:bookmarkStart w:id="719" w:name="_Toc407135215"/>
      <w:r>
        <w:rPr>
          <w:rFonts w:hint="eastAsia" w:ascii="宋体" w:hAnsi="宋体" w:eastAsia="宋体" w:cs="宋体"/>
          <w:color w:val="auto"/>
          <w:highlight w:val="none"/>
        </w:rPr>
        <w:t>4</w:t>
      </w:r>
      <w:bookmarkStart w:id="720" w:name="_Toc292559871"/>
      <w:bookmarkStart w:id="721" w:name="_Toc296891202"/>
      <w:bookmarkStart w:id="722" w:name="_Toc292559366"/>
      <w:bookmarkStart w:id="723" w:name="_Toc267251413"/>
      <w:bookmarkStart w:id="724" w:name="_Toc296503162"/>
      <w:bookmarkStart w:id="725" w:name="_Toc297120462"/>
      <w:bookmarkStart w:id="726" w:name="_Toc296890990"/>
      <w:bookmarkStart w:id="727" w:name="_Toc296347161"/>
      <w:bookmarkStart w:id="728" w:name="_Toc297048348"/>
      <w:bookmarkStart w:id="729" w:name="_Toc296944501"/>
      <w:bookmarkStart w:id="730" w:name="_Toc296346663"/>
      <w:r>
        <w:rPr>
          <w:rFonts w:hint="eastAsia" w:ascii="宋体" w:hAnsi="宋体" w:eastAsia="宋体" w:cs="宋体"/>
          <w:color w:val="auto"/>
          <w:highlight w:val="none"/>
        </w:rPr>
        <w:t>. 监</w:t>
      </w:r>
      <w:bookmarkEnd w:id="720"/>
      <w:bookmarkEnd w:id="721"/>
      <w:bookmarkEnd w:id="722"/>
      <w:bookmarkEnd w:id="723"/>
      <w:bookmarkEnd w:id="724"/>
      <w:bookmarkEnd w:id="725"/>
      <w:bookmarkEnd w:id="726"/>
      <w:bookmarkEnd w:id="727"/>
      <w:bookmarkEnd w:id="728"/>
      <w:bookmarkEnd w:id="729"/>
      <w:bookmarkEnd w:id="730"/>
      <w:r>
        <w:rPr>
          <w:rFonts w:hint="eastAsia" w:ascii="宋体" w:hAnsi="宋体" w:eastAsia="宋体" w:cs="宋体"/>
          <w:color w:val="auto"/>
          <w:highlight w:val="none"/>
        </w:rPr>
        <w:t>理人</w:t>
      </w:r>
      <w:bookmarkEnd w:id="712"/>
      <w:bookmarkEnd w:id="713"/>
      <w:bookmarkEnd w:id="714"/>
      <w:bookmarkEnd w:id="715"/>
      <w:bookmarkEnd w:id="716"/>
      <w:bookmarkEnd w:id="717"/>
      <w:bookmarkEnd w:id="718"/>
      <w:bookmarkEnd w:id="719"/>
    </w:p>
    <w:p w14:paraId="66843F2C">
      <w:pPr>
        <w:pStyle w:val="4"/>
        <w:rPr>
          <w:rFonts w:hint="eastAsia" w:ascii="宋体" w:hAnsi="宋体" w:eastAsia="宋体" w:cs="宋体"/>
          <w:color w:val="auto"/>
          <w:highlight w:val="none"/>
        </w:rPr>
      </w:pPr>
      <w:bookmarkStart w:id="731" w:name="_Toc1595043148"/>
      <w:bookmarkStart w:id="732" w:name="_Toc407135216"/>
      <w:bookmarkStart w:id="733" w:name="_Toc373227714"/>
      <w:bookmarkStart w:id="734" w:name="_Toc78449802"/>
      <w:bookmarkStart w:id="735" w:name="_Toc389065280"/>
      <w:bookmarkStart w:id="736" w:name="_Toc1008304989"/>
      <w:bookmarkStart w:id="737" w:name="_Toc373478361"/>
      <w:r>
        <w:rPr>
          <w:rFonts w:hint="eastAsia" w:ascii="宋体" w:hAnsi="宋体" w:eastAsia="宋体" w:cs="宋体"/>
          <w:color w:val="auto"/>
          <w:highlight w:val="none"/>
        </w:rPr>
        <w:t>4.1 监理人的一般规定</w:t>
      </w:r>
      <w:bookmarkEnd w:id="731"/>
      <w:bookmarkEnd w:id="732"/>
      <w:bookmarkEnd w:id="733"/>
      <w:bookmarkEnd w:id="734"/>
      <w:bookmarkEnd w:id="735"/>
      <w:bookmarkEnd w:id="736"/>
      <w:bookmarkEnd w:id="737"/>
    </w:p>
    <w:p w14:paraId="64373255">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关于监理人的监理内容：</w:t>
      </w:r>
      <w:r>
        <w:rPr>
          <w:rFonts w:hint="eastAsia" w:ascii="宋体" w:hAnsi="宋体" w:eastAsia="宋体" w:cs="宋体"/>
          <w:color w:val="000000"/>
          <w:szCs w:val="21"/>
          <w:u w:val="single"/>
        </w:rPr>
        <w:t>按本工程的监理合同中的有关条款</w:t>
      </w:r>
      <w:r>
        <w:rPr>
          <w:rFonts w:hint="eastAsia" w:ascii="宋体" w:hAnsi="宋体" w:eastAsia="宋体" w:cs="宋体"/>
          <w:color w:val="auto"/>
          <w:highlight w:val="none"/>
        </w:rPr>
        <w:t>。</w:t>
      </w:r>
    </w:p>
    <w:p w14:paraId="3D4BD32A">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关于监理人的监理权限：</w:t>
      </w:r>
      <w:r>
        <w:rPr>
          <w:rFonts w:hint="eastAsia" w:ascii="宋体" w:hAnsi="宋体" w:eastAsia="宋体" w:cs="宋体"/>
          <w:color w:val="000000"/>
          <w:szCs w:val="21"/>
          <w:u w:val="single"/>
        </w:rPr>
        <w:t>按本工程的监理合同中的有关条款</w:t>
      </w:r>
      <w:r>
        <w:rPr>
          <w:rFonts w:hint="eastAsia" w:ascii="宋体" w:hAnsi="宋体" w:eastAsia="宋体" w:cs="宋体"/>
          <w:color w:val="auto"/>
          <w:highlight w:val="none"/>
        </w:rPr>
        <w:t xml:space="preserve">。 </w:t>
      </w:r>
    </w:p>
    <w:p w14:paraId="6A82CC89">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关于监理人在施工现场的办公场所、生活场所的提供和费用承担的约定：</w:t>
      </w:r>
      <w:r>
        <w:rPr>
          <w:rFonts w:hint="eastAsia" w:ascii="宋体" w:hAnsi="宋体" w:eastAsia="宋体" w:cs="宋体"/>
          <w:color w:val="000000"/>
          <w:szCs w:val="21"/>
          <w:u w:val="single"/>
        </w:rPr>
        <w:t>按本工程的监理合同中的有关条款</w:t>
      </w:r>
      <w:r>
        <w:rPr>
          <w:rFonts w:hint="eastAsia" w:ascii="宋体" w:hAnsi="宋体" w:eastAsia="宋体" w:cs="宋体"/>
          <w:color w:val="auto"/>
          <w:highlight w:val="none"/>
        </w:rPr>
        <w:t>。</w:t>
      </w:r>
    </w:p>
    <w:p w14:paraId="1E5A3342">
      <w:pPr>
        <w:pStyle w:val="4"/>
        <w:rPr>
          <w:rFonts w:hint="eastAsia" w:ascii="宋体" w:hAnsi="宋体" w:eastAsia="宋体" w:cs="宋体"/>
          <w:color w:val="auto"/>
          <w:highlight w:val="none"/>
          <w:lang w:val="en-US" w:eastAsia="zh-CN"/>
        </w:rPr>
      </w:pPr>
      <w:bookmarkStart w:id="738" w:name="_Toc78449803"/>
      <w:bookmarkStart w:id="739" w:name="_Toc407135217"/>
      <w:bookmarkStart w:id="740" w:name="_Toc373478362"/>
      <w:bookmarkStart w:id="741" w:name="_Toc386397261"/>
      <w:bookmarkStart w:id="742" w:name="_Toc1350458461"/>
      <w:bookmarkStart w:id="743" w:name="_Toc389065281"/>
      <w:bookmarkStart w:id="744" w:name="_Toc373227715"/>
      <w:r>
        <w:rPr>
          <w:rFonts w:hint="eastAsia" w:ascii="宋体" w:hAnsi="宋体" w:eastAsia="宋体" w:cs="宋体"/>
          <w:color w:val="auto"/>
          <w:highlight w:val="none"/>
        </w:rPr>
        <w:t>4.2 监理人员</w:t>
      </w:r>
      <w:bookmarkEnd w:id="738"/>
      <w:bookmarkEnd w:id="739"/>
      <w:bookmarkEnd w:id="740"/>
      <w:bookmarkEnd w:id="741"/>
      <w:bookmarkEnd w:id="742"/>
      <w:bookmarkEnd w:id="743"/>
      <w:bookmarkEnd w:id="744"/>
      <w:r>
        <w:rPr>
          <w:rFonts w:hint="eastAsia" w:ascii="宋体" w:hAnsi="宋体" w:eastAsia="宋体" w:cs="宋体"/>
          <w:color w:val="auto"/>
          <w:highlight w:val="none"/>
          <w:lang w:val="en-US" w:eastAsia="zh-CN"/>
        </w:rPr>
        <w:t>(发包人通知到位)</w:t>
      </w:r>
    </w:p>
    <w:p w14:paraId="1409B17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总监理工程师：</w:t>
      </w:r>
      <w:r>
        <w:rPr>
          <w:rFonts w:ascii="宋体" w:hAnsi="宋体" w:eastAsia="宋体" w:cs="宋体"/>
          <w:color w:val="000000"/>
          <w:highlight w:val="none"/>
        </w:rPr>
        <w:t>(由发包人补充填写)</w:t>
      </w:r>
    </w:p>
    <w:p w14:paraId="5129B361">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auto"/>
          <w:highlight w:val="none"/>
        </w:rPr>
        <w:t>姓    名</w:t>
      </w:r>
      <w:r>
        <w:rPr>
          <w:rFonts w:hint="eastAsia" w:ascii="宋体" w:hAnsi="宋体" w:eastAsia="宋体" w:cs="宋体"/>
          <w:color w:val="000000"/>
          <w:highlight w:val="none"/>
        </w:rPr>
        <w:t>：</w:t>
      </w:r>
      <w:r>
        <w:rPr>
          <w:rFonts w:hint="eastAsia" w:ascii="宋体" w:hAnsi="宋体" w:eastAsia="宋体" w:cs="宋体"/>
          <w:color w:val="000000"/>
          <w:spacing w:val="-1"/>
          <w:u w:val="single"/>
        </w:rPr>
        <w:t>详见监理合同</w:t>
      </w:r>
      <w:r>
        <w:rPr>
          <w:rFonts w:hint="eastAsia" w:ascii="宋体" w:hAnsi="宋体" w:eastAsia="宋体" w:cs="宋体"/>
          <w:color w:val="000000"/>
          <w:highlight w:val="none"/>
        </w:rPr>
        <w:t>；</w:t>
      </w:r>
      <w:r>
        <w:rPr>
          <w:rFonts w:ascii="宋体" w:hAnsi="宋体" w:eastAsia="宋体" w:cs="宋体"/>
          <w:color w:val="000000"/>
          <w:highlight w:val="none"/>
        </w:rPr>
        <w:t>(由发包人补充填写)</w:t>
      </w:r>
    </w:p>
    <w:p w14:paraId="191C27AE">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职    务：</w:t>
      </w:r>
      <w:r>
        <w:rPr>
          <w:rFonts w:hint="eastAsia" w:ascii="宋体" w:hAnsi="宋体" w:eastAsia="宋体" w:cs="宋体"/>
          <w:color w:val="000000"/>
          <w:spacing w:val="-1"/>
          <w:u w:val="single"/>
        </w:rPr>
        <w:t>详见监理合同</w:t>
      </w:r>
      <w:r>
        <w:rPr>
          <w:rFonts w:hint="eastAsia" w:ascii="宋体" w:hAnsi="宋体" w:eastAsia="宋体" w:cs="宋体"/>
          <w:color w:val="000000"/>
          <w:highlight w:val="none"/>
        </w:rPr>
        <w:t>；</w:t>
      </w:r>
      <w:r>
        <w:rPr>
          <w:rFonts w:ascii="宋体" w:hAnsi="宋体" w:eastAsia="宋体" w:cs="宋体"/>
          <w:color w:val="000000"/>
          <w:highlight w:val="none"/>
        </w:rPr>
        <w:t>(由发包人补充填写)</w:t>
      </w:r>
    </w:p>
    <w:p w14:paraId="3370D854">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监理工程师注册证书号：</w:t>
      </w:r>
      <w:r>
        <w:rPr>
          <w:rFonts w:hint="eastAsia" w:ascii="宋体" w:hAnsi="宋体" w:eastAsia="宋体" w:cs="宋体"/>
          <w:color w:val="000000"/>
          <w:spacing w:val="-1"/>
          <w:u w:val="single"/>
        </w:rPr>
        <w:t>详见监理合同</w:t>
      </w:r>
      <w:r>
        <w:rPr>
          <w:rFonts w:hint="eastAsia" w:ascii="宋体" w:hAnsi="宋体" w:eastAsia="宋体" w:cs="宋体"/>
          <w:color w:val="000000"/>
          <w:highlight w:val="none"/>
        </w:rPr>
        <w:t>；</w:t>
      </w:r>
      <w:r>
        <w:rPr>
          <w:rFonts w:ascii="宋体" w:hAnsi="宋体" w:eastAsia="宋体" w:cs="宋体"/>
          <w:color w:val="000000"/>
          <w:highlight w:val="none"/>
        </w:rPr>
        <w:t>(由发包人补充填写)</w:t>
      </w:r>
    </w:p>
    <w:p w14:paraId="1DA5546A">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联系电话：</w:t>
      </w:r>
      <w:r>
        <w:rPr>
          <w:rFonts w:hint="eastAsia" w:ascii="宋体" w:hAnsi="宋体" w:eastAsia="宋体" w:cs="宋体"/>
          <w:color w:val="000000"/>
          <w:spacing w:val="-1"/>
          <w:u w:val="single"/>
        </w:rPr>
        <w:t>详见监理合同</w:t>
      </w:r>
      <w:r>
        <w:rPr>
          <w:rFonts w:hint="eastAsia" w:ascii="宋体" w:hAnsi="宋体" w:eastAsia="宋体" w:cs="宋体"/>
          <w:color w:val="000000"/>
          <w:highlight w:val="none"/>
        </w:rPr>
        <w:t>；</w:t>
      </w:r>
      <w:r>
        <w:rPr>
          <w:rFonts w:ascii="宋体" w:hAnsi="宋体" w:eastAsia="宋体" w:cs="宋体"/>
          <w:color w:val="000000"/>
          <w:highlight w:val="none"/>
        </w:rPr>
        <w:t>(由发包人补充填写)</w:t>
      </w:r>
    </w:p>
    <w:p w14:paraId="114412C2">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电子信箱：</w:t>
      </w:r>
      <w:r>
        <w:rPr>
          <w:rFonts w:hint="eastAsia" w:ascii="宋体" w:hAnsi="宋体" w:eastAsia="宋体" w:cs="宋体"/>
          <w:color w:val="000000"/>
          <w:spacing w:val="-1"/>
          <w:u w:val="single"/>
        </w:rPr>
        <w:t>详见监理合同</w:t>
      </w:r>
      <w:r>
        <w:rPr>
          <w:rFonts w:hint="eastAsia" w:ascii="宋体" w:hAnsi="宋体" w:eastAsia="宋体" w:cs="宋体"/>
          <w:color w:val="000000"/>
          <w:highlight w:val="none"/>
        </w:rPr>
        <w:t>；</w:t>
      </w:r>
      <w:r>
        <w:rPr>
          <w:rFonts w:ascii="宋体" w:hAnsi="宋体" w:eastAsia="宋体" w:cs="宋体"/>
          <w:color w:val="000000"/>
          <w:highlight w:val="none"/>
        </w:rPr>
        <w:t>(由发包人补充填写)</w:t>
      </w:r>
    </w:p>
    <w:p w14:paraId="48302A4A">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通信地址：</w:t>
      </w:r>
      <w:r>
        <w:rPr>
          <w:rFonts w:hint="eastAsia" w:ascii="宋体" w:hAnsi="宋体" w:eastAsia="宋体" w:cs="宋体"/>
          <w:color w:val="000000"/>
          <w:spacing w:val="-1"/>
          <w:u w:val="single"/>
        </w:rPr>
        <w:t>详见监理合同</w:t>
      </w:r>
      <w:r>
        <w:rPr>
          <w:rFonts w:hint="eastAsia" w:ascii="宋体" w:hAnsi="宋体" w:eastAsia="宋体" w:cs="宋体"/>
          <w:color w:val="000000"/>
          <w:highlight w:val="none"/>
        </w:rPr>
        <w:t>；</w:t>
      </w:r>
      <w:r>
        <w:rPr>
          <w:rFonts w:ascii="宋体" w:hAnsi="宋体" w:eastAsia="宋体" w:cs="宋体"/>
          <w:color w:val="000000"/>
          <w:highlight w:val="none"/>
        </w:rPr>
        <w:t>(由发包人补充填写)</w:t>
      </w:r>
    </w:p>
    <w:p w14:paraId="4BD29EDC">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关于监理人的其他约定：</w:t>
      </w:r>
      <w:r>
        <w:rPr>
          <w:rFonts w:hint="eastAsia" w:ascii="宋体" w:hAnsi="宋体" w:eastAsia="宋体" w:cs="宋体"/>
          <w:color w:val="000000"/>
          <w:spacing w:val="-1"/>
          <w:u w:val="single"/>
        </w:rPr>
        <w:t>详见监理合同</w:t>
      </w:r>
      <w:r>
        <w:rPr>
          <w:rFonts w:hint="eastAsia" w:ascii="宋体" w:hAnsi="宋体" w:eastAsia="宋体" w:cs="宋体"/>
          <w:color w:val="000000"/>
          <w:highlight w:val="none"/>
        </w:rPr>
        <w:t>。</w:t>
      </w:r>
      <w:r>
        <w:rPr>
          <w:rFonts w:ascii="宋体" w:hAnsi="宋体" w:eastAsia="宋体" w:cs="宋体"/>
          <w:color w:val="000000"/>
          <w:highlight w:val="none"/>
        </w:rPr>
        <w:t>(由发包人补充填写)</w:t>
      </w:r>
    </w:p>
    <w:p w14:paraId="5AF8194D">
      <w:pPr>
        <w:pStyle w:val="4"/>
        <w:rPr>
          <w:rFonts w:hint="eastAsia" w:ascii="宋体" w:hAnsi="宋体" w:eastAsia="宋体" w:cs="宋体"/>
          <w:color w:val="000000"/>
          <w:highlight w:val="none"/>
        </w:rPr>
      </w:pPr>
      <w:bookmarkStart w:id="745" w:name="_Toc78449804"/>
      <w:bookmarkStart w:id="746" w:name="_Toc539923186"/>
      <w:bookmarkStart w:id="747" w:name="_Toc389065282"/>
      <w:bookmarkStart w:id="748" w:name="_Toc941562442"/>
      <w:bookmarkStart w:id="749" w:name="_Toc373227716"/>
      <w:bookmarkStart w:id="750" w:name="_Toc373478363"/>
      <w:bookmarkStart w:id="751" w:name="_Toc407135218"/>
      <w:r>
        <w:rPr>
          <w:rFonts w:hint="eastAsia" w:ascii="宋体" w:hAnsi="宋体" w:eastAsia="宋体" w:cs="宋体"/>
          <w:color w:val="000000"/>
          <w:highlight w:val="none"/>
        </w:rPr>
        <w:t>4.4 商定或确定</w:t>
      </w:r>
      <w:bookmarkEnd w:id="745"/>
      <w:bookmarkEnd w:id="746"/>
      <w:bookmarkEnd w:id="747"/>
      <w:bookmarkEnd w:id="748"/>
      <w:bookmarkEnd w:id="749"/>
      <w:bookmarkEnd w:id="750"/>
      <w:bookmarkEnd w:id="751"/>
    </w:p>
    <w:p w14:paraId="235F4D43">
      <w:pPr>
        <w:spacing w:line="360" w:lineRule="auto"/>
        <w:ind w:firstLine="420" w:firstLineChars="200"/>
        <w:rPr>
          <w:rFonts w:hint="eastAsia" w:ascii="宋体" w:hAnsi="宋体" w:eastAsia="宋体" w:cs="宋体"/>
          <w:color w:val="000000"/>
          <w:highlight w:val="none"/>
        </w:rPr>
      </w:pPr>
      <w:bookmarkStart w:id="752" w:name="_Toc267251418"/>
      <w:r>
        <w:rPr>
          <w:rFonts w:hint="eastAsia" w:ascii="宋体" w:hAnsi="宋体" w:eastAsia="宋体" w:cs="宋体"/>
          <w:color w:val="000000"/>
          <w:highlight w:val="none"/>
        </w:rPr>
        <w:t>在发包人和承包人不能通过协商达成一致意见时，发包人授权监理人对以下事项进行确定：</w:t>
      </w:r>
    </w:p>
    <w:p w14:paraId="23BF6325">
      <w:pPr>
        <w:autoSpaceDE w:val="0"/>
        <w:autoSpaceDN w:val="0"/>
        <w:adjustRightInd w:val="0"/>
        <w:spacing w:line="360" w:lineRule="auto"/>
        <w:ind w:firstLine="420" w:firstLineChars="200"/>
        <w:jc w:val="left"/>
        <w:rPr>
          <w:rFonts w:hint="eastAsia" w:ascii="宋体" w:hAnsi="宋体" w:eastAsia="宋体" w:cs="宋体"/>
          <w:color w:val="000000"/>
          <w:kern w:val="0"/>
          <w:highlight w:val="none"/>
        </w:rPr>
      </w:pPr>
      <w:r>
        <w:rPr>
          <w:rFonts w:hint="eastAsia" w:ascii="宋体" w:hAnsi="宋体" w:eastAsia="宋体" w:cs="宋体"/>
          <w:color w:val="000000"/>
          <w:kern w:val="0"/>
          <w:highlight w:val="none"/>
        </w:rPr>
        <w:t>（1）</w:t>
      </w:r>
      <w:r>
        <w:rPr>
          <w:rFonts w:hint="eastAsia" w:ascii="宋体" w:hAnsi="宋体" w:eastAsia="宋体" w:cs="宋体"/>
          <w:color w:val="000000"/>
          <w:highlight w:val="none"/>
          <w:u w:val="single"/>
          <w:lang w:eastAsia="zh-CN"/>
        </w:rPr>
        <w:t>无</w:t>
      </w:r>
      <w:r>
        <w:rPr>
          <w:rFonts w:hint="eastAsia" w:ascii="宋体" w:hAnsi="宋体" w:eastAsia="宋体" w:cs="宋体"/>
          <w:color w:val="000000"/>
          <w:highlight w:val="none"/>
        </w:rPr>
        <w:t>；</w:t>
      </w:r>
    </w:p>
    <w:p w14:paraId="28EB5108">
      <w:pPr>
        <w:autoSpaceDE w:val="0"/>
        <w:autoSpaceDN w:val="0"/>
        <w:adjustRightInd w:val="0"/>
        <w:spacing w:line="360" w:lineRule="auto"/>
        <w:ind w:firstLine="420" w:firstLineChars="200"/>
        <w:jc w:val="left"/>
        <w:rPr>
          <w:rFonts w:hint="eastAsia" w:ascii="宋体" w:hAnsi="宋体" w:eastAsia="宋体" w:cs="宋体"/>
          <w:color w:val="000000"/>
          <w:kern w:val="0"/>
          <w:highlight w:val="none"/>
        </w:rPr>
      </w:pPr>
      <w:r>
        <w:rPr>
          <w:rFonts w:hint="eastAsia" w:ascii="宋体" w:hAnsi="宋体" w:eastAsia="宋体" w:cs="宋体"/>
          <w:color w:val="000000"/>
          <w:kern w:val="0"/>
          <w:highlight w:val="none"/>
        </w:rPr>
        <w:t>（2）</w:t>
      </w:r>
      <w:r>
        <w:rPr>
          <w:rFonts w:hint="eastAsia" w:ascii="宋体" w:hAnsi="宋体" w:eastAsia="宋体" w:cs="宋体"/>
          <w:color w:val="000000"/>
          <w:highlight w:val="none"/>
          <w:u w:val="single"/>
          <w:lang w:eastAsia="zh-CN"/>
        </w:rPr>
        <w:t>无</w:t>
      </w:r>
      <w:r>
        <w:rPr>
          <w:rFonts w:hint="eastAsia" w:ascii="宋体" w:hAnsi="宋体" w:eastAsia="宋体" w:cs="宋体"/>
          <w:color w:val="000000"/>
          <w:highlight w:val="none"/>
        </w:rPr>
        <w:t>；</w:t>
      </w:r>
    </w:p>
    <w:p w14:paraId="0A9FFF93">
      <w:pPr>
        <w:autoSpaceDE w:val="0"/>
        <w:autoSpaceDN w:val="0"/>
        <w:adjustRightInd w:val="0"/>
        <w:spacing w:line="360" w:lineRule="auto"/>
        <w:ind w:firstLine="420" w:firstLineChars="200"/>
        <w:jc w:val="left"/>
        <w:rPr>
          <w:rFonts w:hint="eastAsia" w:ascii="宋体" w:hAnsi="宋体" w:eastAsia="宋体" w:cs="宋体"/>
          <w:color w:val="000000"/>
          <w:kern w:val="0"/>
          <w:highlight w:val="none"/>
        </w:rPr>
      </w:pPr>
      <w:r>
        <w:rPr>
          <w:rFonts w:hint="eastAsia" w:ascii="宋体" w:hAnsi="宋体" w:eastAsia="宋体" w:cs="宋体"/>
          <w:color w:val="000000"/>
          <w:kern w:val="0"/>
          <w:highlight w:val="none"/>
        </w:rPr>
        <w:t>（3）</w:t>
      </w:r>
      <w:r>
        <w:rPr>
          <w:rFonts w:hint="eastAsia" w:ascii="宋体" w:hAnsi="宋体" w:eastAsia="宋体" w:cs="宋体"/>
          <w:color w:val="000000"/>
          <w:highlight w:val="none"/>
          <w:u w:val="single"/>
          <w:lang w:eastAsia="zh-CN"/>
        </w:rPr>
        <w:t>无</w:t>
      </w:r>
      <w:r>
        <w:rPr>
          <w:rFonts w:hint="eastAsia" w:ascii="宋体" w:hAnsi="宋体" w:eastAsia="宋体" w:cs="宋体"/>
          <w:color w:val="000000"/>
          <w:highlight w:val="none"/>
        </w:rPr>
        <w:t>。</w:t>
      </w:r>
    </w:p>
    <w:p w14:paraId="24F316EB">
      <w:pPr>
        <w:pStyle w:val="3"/>
        <w:rPr>
          <w:rFonts w:hint="eastAsia" w:ascii="宋体" w:hAnsi="宋体" w:eastAsia="宋体" w:cs="宋体"/>
          <w:color w:val="auto"/>
          <w:highlight w:val="none"/>
        </w:rPr>
      </w:pPr>
      <w:bookmarkStart w:id="753" w:name="_Toc389065283"/>
      <w:bookmarkStart w:id="754" w:name="_Toc78449805"/>
      <w:bookmarkStart w:id="755" w:name="_Toc373478364"/>
      <w:bookmarkStart w:id="756" w:name="_Toc1687297496"/>
      <w:bookmarkStart w:id="757" w:name="_Toc407135219"/>
      <w:bookmarkStart w:id="758" w:name="_Toc351203637"/>
      <w:bookmarkStart w:id="759" w:name="_Toc373227717"/>
      <w:bookmarkStart w:id="760" w:name="_Toc1603077308"/>
      <w:r>
        <w:rPr>
          <w:rFonts w:hint="eastAsia" w:ascii="宋体" w:hAnsi="宋体" w:eastAsia="宋体" w:cs="宋体"/>
          <w:color w:val="auto"/>
          <w:highlight w:val="none"/>
        </w:rPr>
        <w:t>5</w:t>
      </w:r>
      <w:bookmarkEnd w:id="752"/>
      <w:bookmarkStart w:id="761" w:name="_Toc296891203"/>
      <w:bookmarkStart w:id="762" w:name="_Toc296503163"/>
      <w:bookmarkStart w:id="763" w:name="_Toc292559872"/>
      <w:bookmarkStart w:id="764" w:name="_Toc292559367"/>
      <w:bookmarkStart w:id="765" w:name="_Toc296346664"/>
      <w:bookmarkStart w:id="766" w:name="_Toc296890991"/>
      <w:bookmarkStart w:id="767" w:name="_Toc296347162"/>
      <w:bookmarkStart w:id="768" w:name="_Toc296944502"/>
      <w:bookmarkStart w:id="769" w:name="_Toc297120463"/>
      <w:bookmarkStart w:id="770" w:name="_Toc297048349"/>
      <w:r>
        <w:rPr>
          <w:rFonts w:hint="eastAsia" w:ascii="宋体" w:hAnsi="宋体" w:eastAsia="宋体" w:cs="宋体"/>
          <w:color w:val="auto"/>
          <w:highlight w:val="none"/>
        </w:rPr>
        <w:t>. 工程质量</w:t>
      </w:r>
      <w:bookmarkEnd w:id="753"/>
      <w:bookmarkEnd w:id="754"/>
      <w:bookmarkEnd w:id="755"/>
      <w:bookmarkEnd w:id="756"/>
      <w:bookmarkEnd w:id="757"/>
      <w:bookmarkEnd w:id="758"/>
      <w:bookmarkEnd w:id="759"/>
      <w:bookmarkEnd w:id="760"/>
    </w:p>
    <w:p w14:paraId="19446075">
      <w:pPr>
        <w:pStyle w:val="4"/>
        <w:rPr>
          <w:rFonts w:hint="eastAsia" w:ascii="宋体" w:hAnsi="宋体" w:eastAsia="宋体" w:cs="宋体"/>
          <w:color w:val="auto"/>
          <w:highlight w:val="none"/>
        </w:rPr>
      </w:pPr>
      <w:bookmarkStart w:id="771" w:name="_Toc1952042622"/>
      <w:bookmarkStart w:id="772" w:name="_Toc407135220"/>
      <w:bookmarkStart w:id="773" w:name="_Toc373478365"/>
      <w:bookmarkStart w:id="774" w:name="_Toc389065284"/>
      <w:bookmarkStart w:id="775" w:name="_Toc78449806"/>
      <w:bookmarkStart w:id="776" w:name="_Toc1835421345"/>
      <w:bookmarkStart w:id="777" w:name="_Toc373227718"/>
      <w:r>
        <w:rPr>
          <w:rFonts w:hint="eastAsia" w:ascii="宋体" w:hAnsi="宋体" w:eastAsia="宋体" w:cs="宋体"/>
          <w:color w:val="auto"/>
          <w:highlight w:val="none"/>
        </w:rPr>
        <w:t>5.1 质量要求</w:t>
      </w:r>
      <w:bookmarkEnd w:id="771"/>
      <w:bookmarkEnd w:id="772"/>
      <w:bookmarkEnd w:id="773"/>
      <w:bookmarkEnd w:id="774"/>
      <w:bookmarkEnd w:id="775"/>
      <w:bookmarkEnd w:id="776"/>
      <w:bookmarkEnd w:id="777"/>
    </w:p>
    <w:p w14:paraId="6607A000">
      <w:pPr>
        <w:spacing w:line="360" w:lineRule="auto"/>
        <w:jc w:val="left"/>
        <w:rPr>
          <w:rFonts w:hint="eastAsia" w:ascii="宋体" w:hAnsi="宋体" w:eastAsia="宋体" w:cs="宋体"/>
          <w:color w:val="auto"/>
          <w:highlight w:val="none"/>
          <w:u w:val="single"/>
        </w:rPr>
      </w:pPr>
      <w:r>
        <w:rPr>
          <w:rFonts w:hint="eastAsia" w:ascii="宋体" w:hAnsi="宋体" w:eastAsia="宋体" w:cs="宋体"/>
          <w:color w:val="auto"/>
          <w:highlight w:val="none"/>
        </w:rPr>
        <w:t>5</w:t>
      </w:r>
      <w:bookmarkStart w:id="778" w:name="_Toc304295527"/>
      <w:bookmarkStart w:id="779" w:name="_Toc318581164"/>
      <w:bookmarkStart w:id="780" w:name="_Toc300934949"/>
      <w:bookmarkStart w:id="781" w:name="_Toc312677997"/>
      <w:bookmarkStart w:id="782" w:name="_Toc303539106"/>
      <w:bookmarkStart w:id="783" w:name="_Toc297216155"/>
      <w:bookmarkStart w:id="784" w:name="_Toc297123496"/>
      <w:r>
        <w:rPr>
          <w:rFonts w:hint="eastAsia" w:ascii="宋体" w:hAnsi="宋体" w:eastAsia="宋体" w:cs="宋体"/>
          <w:color w:val="auto"/>
          <w:highlight w:val="none"/>
        </w:rPr>
        <w:t>.1.1 特殊质量标准和要求：</w:t>
      </w:r>
      <w:r>
        <w:rPr>
          <w:rFonts w:hint="eastAsia" w:ascii="宋体" w:hAnsi="宋体" w:eastAsia="宋体" w:cs="宋体"/>
          <w:sz w:val="21"/>
          <w:szCs w:val="21"/>
          <w:u w:val="single" w:color="auto"/>
        </w:rPr>
        <w:t>达到国家施工验收规范合格工程标准</w:t>
      </w:r>
      <w:r>
        <w:rPr>
          <w:rFonts w:hint="eastAsia" w:ascii="宋体" w:hAnsi="宋体" w:eastAsia="宋体" w:cs="宋体"/>
          <w:color w:val="auto"/>
          <w:highlight w:val="none"/>
        </w:rPr>
        <w:t>。</w:t>
      </w:r>
    </w:p>
    <w:p w14:paraId="49278588">
      <w:pPr>
        <w:spacing w:line="360" w:lineRule="auto"/>
        <w:ind w:firstLine="420" w:firstLineChars="200"/>
        <w:jc w:val="left"/>
        <w:rPr>
          <w:rFonts w:hint="eastAsia" w:ascii="宋体" w:hAnsi="宋体" w:eastAsia="宋体" w:cs="宋体"/>
          <w:color w:val="auto"/>
          <w:highlight w:val="none"/>
          <w:lang w:eastAsia="zh-CN"/>
        </w:rPr>
      </w:pPr>
      <w:r>
        <w:rPr>
          <w:rFonts w:hint="eastAsia" w:ascii="宋体" w:hAnsi="宋体" w:eastAsia="宋体" w:cs="宋体"/>
          <w:color w:val="auto"/>
          <w:highlight w:val="none"/>
        </w:rPr>
        <w:t xml:space="preserve">关于工程奖项的约定： </w:t>
      </w:r>
      <w:r>
        <w:rPr>
          <w:rFonts w:hint="eastAsia" w:ascii="宋体" w:hAnsi="宋体" w:eastAsia="宋体" w:cs="宋体"/>
          <w:color w:val="auto"/>
          <w:highlight w:val="none"/>
          <w:lang w:eastAsia="zh-CN"/>
        </w:rPr>
        <w:t>无</w:t>
      </w:r>
    </w:p>
    <w:p w14:paraId="3B14E1DC">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5.3 隐蔽工程检查</w:t>
      </w:r>
    </w:p>
    <w:p w14:paraId="094F8729">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5.3.2承包人提前通知监理人隐蔽工程检查的期限的约定：工程隐蔽或中间验收前12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73A3038D">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监理人不能按时进行检查时，应提前</w:t>
      </w:r>
      <w:r>
        <w:rPr>
          <w:rFonts w:hint="eastAsia" w:ascii="宋体" w:hAnsi="宋体" w:eastAsia="宋体" w:cs="宋体"/>
          <w:color w:val="auto"/>
          <w:highlight w:val="none"/>
          <w:u w:val="single"/>
          <w:lang w:val="en-US" w:eastAsia="zh-CN"/>
        </w:rPr>
        <w:t>24</w:t>
      </w:r>
      <w:r>
        <w:rPr>
          <w:rFonts w:hint="eastAsia" w:ascii="宋体" w:hAnsi="宋体" w:eastAsia="宋体" w:cs="宋体"/>
          <w:color w:val="auto"/>
          <w:highlight w:val="none"/>
        </w:rPr>
        <w:t>小时提交书面延期要求。</w:t>
      </w:r>
    </w:p>
    <w:p w14:paraId="5A958B24">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关于延期最长不得超过：</w:t>
      </w:r>
      <w:r>
        <w:rPr>
          <w:rFonts w:hint="eastAsia" w:ascii="宋体" w:hAnsi="宋体" w:eastAsia="宋体" w:cs="宋体"/>
          <w:color w:val="auto"/>
          <w:highlight w:val="none"/>
          <w:u w:val="single"/>
          <w:lang w:val="en-US" w:eastAsia="zh-CN"/>
        </w:rPr>
        <w:t>48</w:t>
      </w:r>
      <w:r>
        <w:rPr>
          <w:rFonts w:hint="eastAsia" w:ascii="宋体" w:hAnsi="宋体" w:eastAsia="宋体" w:cs="宋体"/>
          <w:color w:val="auto"/>
          <w:highlight w:val="none"/>
        </w:rPr>
        <w:t>小时。</w:t>
      </w:r>
    </w:p>
    <w:p w14:paraId="17ECE2AC">
      <w:pPr>
        <w:pStyle w:val="3"/>
        <w:rPr>
          <w:rFonts w:hint="eastAsia" w:ascii="宋体" w:hAnsi="宋体" w:eastAsia="宋体" w:cs="宋体"/>
          <w:color w:val="auto"/>
          <w:highlight w:val="none"/>
        </w:rPr>
      </w:pPr>
      <w:bookmarkStart w:id="785" w:name="_Toc78449807"/>
      <w:bookmarkStart w:id="786" w:name="_Toc703841976"/>
      <w:bookmarkStart w:id="787" w:name="_Toc351203638"/>
      <w:bookmarkStart w:id="788" w:name="_Toc373478366"/>
      <w:bookmarkStart w:id="789" w:name="_Toc407135221"/>
      <w:bookmarkStart w:id="790" w:name="_Toc1259019817"/>
      <w:bookmarkStart w:id="791" w:name="_Toc373227719"/>
      <w:bookmarkStart w:id="792" w:name="_Toc389065285"/>
      <w:r>
        <w:rPr>
          <w:rFonts w:hint="eastAsia" w:ascii="宋体" w:hAnsi="宋体" w:eastAsia="宋体" w:cs="宋体"/>
          <w:color w:val="auto"/>
          <w:highlight w:val="none"/>
        </w:rPr>
        <w:t>6. 安全文明施工与环境保护</w:t>
      </w:r>
      <w:bookmarkEnd w:id="785"/>
      <w:bookmarkEnd w:id="786"/>
      <w:bookmarkEnd w:id="787"/>
      <w:bookmarkEnd w:id="788"/>
      <w:bookmarkEnd w:id="789"/>
      <w:bookmarkEnd w:id="790"/>
      <w:bookmarkEnd w:id="791"/>
      <w:bookmarkEnd w:id="792"/>
    </w:p>
    <w:p w14:paraId="385BDEED">
      <w:pPr>
        <w:pStyle w:val="4"/>
        <w:rPr>
          <w:rFonts w:hint="eastAsia" w:ascii="宋体" w:hAnsi="宋体" w:eastAsia="宋体" w:cs="宋体"/>
          <w:color w:val="auto"/>
          <w:highlight w:val="none"/>
        </w:rPr>
      </w:pPr>
      <w:bookmarkStart w:id="793" w:name="_Toc389065286"/>
      <w:bookmarkStart w:id="794" w:name="_Toc373227720"/>
      <w:bookmarkStart w:id="795" w:name="_Toc373478367"/>
      <w:bookmarkStart w:id="796" w:name="_Toc1296292062"/>
      <w:bookmarkStart w:id="797" w:name="_Toc180514231"/>
      <w:bookmarkStart w:id="798" w:name="_Toc407135222"/>
      <w:bookmarkStart w:id="799" w:name="_Toc78449808"/>
      <w:r>
        <w:rPr>
          <w:rFonts w:hint="eastAsia" w:ascii="宋体" w:hAnsi="宋体" w:eastAsia="宋体" w:cs="宋体"/>
          <w:color w:val="auto"/>
          <w:highlight w:val="none"/>
        </w:rPr>
        <w:t>6.1 安全文明施工</w:t>
      </w:r>
      <w:bookmarkEnd w:id="793"/>
      <w:bookmarkEnd w:id="794"/>
      <w:bookmarkEnd w:id="795"/>
      <w:bookmarkEnd w:id="796"/>
      <w:bookmarkEnd w:id="797"/>
      <w:bookmarkEnd w:id="798"/>
      <w:bookmarkEnd w:id="799"/>
    </w:p>
    <w:p w14:paraId="4E0BF933">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6.1.1 项目安全生产的达标目标及相应事项的约定：</w:t>
      </w:r>
      <w:r>
        <w:rPr>
          <w:rFonts w:hint="eastAsia" w:ascii="宋体" w:hAnsi="宋体" w:eastAsia="宋体" w:cs="宋体"/>
          <w:color w:val="auto"/>
          <w:highlight w:val="none"/>
          <w:u w:val="single"/>
        </w:rPr>
        <w:t>承包人应严格按桂建质 [2015]16号文《广西壮族自治区建筑工程安全防护、文明施工措施费及管理细则》和南建质安 [2013]22号文《关于印发南宁市建设工程安全防护、文明施工措施费用管理规定的通知》等法律、法规采取安全措施、组织施工，如发生事故、发生的一切责任与后果均由承包人承担</w:t>
      </w:r>
      <w:r>
        <w:rPr>
          <w:rFonts w:hint="eastAsia" w:ascii="宋体" w:hAnsi="宋体" w:eastAsia="宋体" w:cs="宋体"/>
          <w:color w:val="auto"/>
          <w:highlight w:val="none"/>
        </w:rPr>
        <w:t>。</w:t>
      </w:r>
    </w:p>
    <w:p w14:paraId="7AB8712A">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关于安全文明施工奖项的约定：</w:t>
      </w:r>
      <w:r>
        <w:rPr>
          <w:rFonts w:hint="eastAsia" w:ascii="宋体" w:hAnsi="宋体" w:eastAsia="宋体" w:cs="宋体"/>
          <w:color w:val="auto"/>
          <w:highlight w:val="none"/>
          <w:u w:val="single"/>
          <w:lang w:eastAsia="zh-CN"/>
        </w:rPr>
        <w:t>无</w:t>
      </w:r>
      <w:r>
        <w:rPr>
          <w:rFonts w:hint="eastAsia" w:ascii="宋体" w:hAnsi="宋体" w:eastAsia="宋体" w:cs="宋体"/>
          <w:color w:val="auto"/>
          <w:highlight w:val="none"/>
        </w:rPr>
        <w:t>。</w:t>
      </w:r>
    </w:p>
    <w:p w14:paraId="56ABF577">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6.1.4 关于治安保卫的特别约定：</w:t>
      </w:r>
      <w:r>
        <w:rPr>
          <w:rFonts w:hint="eastAsia" w:ascii="宋体" w:hAnsi="宋体" w:eastAsia="宋体" w:cs="宋体"/>
          <w:color w:val="auto"/>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638FB72A">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关于编制施工场地治安管理计划的约定：</w:t>
      </w:r>
      <w:r>
        <w:rPr>
          <w:rFonts w:hint="eastAsia" w:ascii="宋体" w:hAnsi="宋体" w:eastAsia="宋体" w:cs="宋体"/>
          <w:color w:val="auto"/>
          <w:highlight w:val="none"/>
          <w:u w:val="single"/>
        </w:rPr>
        <w:t>承包人应在开工前编制施工场地治安管理计划，并制定应对突发治安的紧急预案上报发包人</w:t>
      </w:r>
      <w:r>
        <w:rPr>
          <w:rFonts w:hint="eastAsia" w:ascii="宋体" w:hAnsi="宋体" w:eastAsia="宋体" w:cs="宋体"/>
          <w:color w:val="auto"/>
          <w:highlight w:val="none"/>
        </w:rPr>
        <w:t>。</w:t>
      </w:r>
    </w:p>
    <w:p w14:paraId="1AA1FBA6">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6.1.5 文明施工</w:t>
      </w:r>
    </w:p>
    <w:p w14:paraId="159F99E4">
      <w:pPr>
        <w:keepNext w:val="0"/>
        <w:keepLines w:val="0"/>
        <w:pageBreakBefore w:val="0"/>
        <w:widowControl/>
        <w:suppressLineNumbers w:val="0"/>
        <w:kinsoku/>
        <w:wordWrap/>
        <w:overflowPunct/>
        <w:topLinePunct w:val="0"/>
        <w:autoSpaceDE/>
        <w:autoSpaceDN/>
        <w:adjustRightInd/>
        <w:snapToGrid/>
        <w:spacing w:line="360" w:lineRule="auto"/>
        <w:ind w:firstLine="420" w:firstLineChars="200"/>
        <w:rPr>
          <w:color w:val="auto"/>
          <w:highlight w:val="none"/>
        </w:rPr>
      </w:pPr>
      <w:r>
        <w:rPr>
          <w:rFonts w:hint="eastAsia" w:ascii="宋体" w:hAnsi="宋体" w:eastAsia="宋体" w:cs="宋体"/>
          <w:color w:val="auto"/>
          <w:highlight w:val="none"/>
        </w:rPr>
        <w:t>合同当事人对文明施工的要求：</w:t>
      </w:r>
      <w:r>
        <w:rPr>
          <w:rFonts w:hint="eastAsia" w:hAnsi="宋体" w:cs="宋体"/>
          <w:color w:val="auto"/>
          <w:highlight w:val="none"/>
          <w:u w:val="single"/>
        </w:rPr>
        <w:t>安全防护、文明施工设施须按南宁市城乡建委《南宁市建设工程质量安全管理标准化图集》（强制性行业标准，2013 年4月版）要求及《南宁市城乡建设委员会关于印发“美丽南宁·整洁畅通有序大行动”活动工地乱象整治工作方案的通知》（南建质安〔20</w:t>
      </w:r>
      <w:r>
        <w:rPr>
          <w:rFonts w:hint="eastAsia" w:hAnsi="宋体" w:cs="宋体"/>
          <w:color w:val="auto"/>
          <w:highlight w:val="none"/>
          <w:u w:val="single"/>
          <w:lang w:val="en-US" w:eastAsia="zh-CN"/>
        </w:rPr>
        <w:t>13</w:t>
      </w:r>
      <w:r>
        <w:rPr>
          <w:rFonts w:hint="eastAsia" w:hAnsi="宋体" w:cs="宋体"/>
          <w:color w:val="auto"/>
          <w:highlight w:val="none"/>
          <w:u w:val="single"/>
        </w:rPr>
        <w:t>〕28号）有关标准及制度执行</w:t>
      </w:r>
      <w:r>
        <w:rPr>
          <w:rFonts w:hint="eastAsia" w:cs="宋体"/>
          <w:color w:val="auto"/>
          <w:highlight w:val="none"/>
        </w:rPr>
        <w:t>。</w:t>
      </w:r>
    </w:p>
    <w:p w14:paraId="27AD046D">
      <w:pPr>
        <w:pageBreakBefore w:val="0"/>
        <w:widowControl w:val="0"/>
        <w:kinsoku/>
        <w:overflowPunct/>
        <w:topLinePunct w:val="0"/>
        <w:spacing w:line="360" w:lineRule="auto"/>
        <w:ind w:firstLine="420" w:firstLineChars="200"/>
        <w:rPr>
          <w:rFonts w:hint="eastAsia" w:hAnsi="宋体"/>
          <w:color w:val="auto"/>
          <w:kern w:val="0"/>
          <w:highlight w:val="none"/>
        </w:rPr>
      </w:pPr>
      <w:r>
        <w:rPr>
          <w:color w:val="auto"/>
          <w:highlight w:val="none"/>
        </w:rPr>
        <w:t>6.1.6</w:t>
      </w:r>
      <w:r>
        <w:rPr>
          <w:rFonts w:hAnsi="宋体" w:cs="宋体"/>
          <w:color w:val="auto"/>
          <w:kern w:val="0"/>
          <w:highlight w:val="none"/>
        </w:rPr>
        <w:t>关于安全</w:t>
      </w:r>
      <w:r>
        <w:rPr>
          <w:rFonts w:hint="eastAsia" w:hAnsi="宋体" w:cs="宋体"/>
          <w:color w:val="auto"/>
          <w:kern w:val="0"/>
          <w:highlight w:val="none"/>
        </w:rPr>
        <w:t>生产</w:t>
      </w:r>
      <w:r>
        <w:rPr>
          <w:rFonts w:hAnsi="宋体" w:cs="宋体"/>
          <w:color w:val="auto"/>
          <w:kern w:val="0"/>
          <w:highlight w:val="none"/>
        </w:rPr>
        <w:t>费</w:t>
      </w:r>
      <w:r>
        <w:rPr>
          <w:rFonts w:hint="eastAsia" w:hAnsi="宋体" w:cs="宋体"/>
          <w:color w:val="auto"/>
          <w:kern w:val="0"/>
          <w:highlight w:val="none"/>
        </w:rPr>
        <w:t>总额、</w:t>
      </w:r>
      <w:r>
        <w:rPr>
          <w:rFonts w:hAnsi="宋体" w:cs="宋体"/>
          <w:color w:val="auto"/>
          <w:kern w:val="0"/>
          <w:highlight w:val="none"/>
        </w:rPr>
        <w:t>支付比例</w:t>
      </w:r>
      <w:r>
        <w:rPr>
          <w:rFonts w:hint="eastAsia" w:hAnsi="宋体" w:cs="宋体"/>
          <w:color w:val="auto"/>
          <w:kern w:val="0"/>
          <w:highlight w:val="none"/>
        </w:rPr>
        <w:t>、</w:t>
      </w:r>
      <w:r>
        <w:rPr>
          <w:rFonts w:hAnsi="宋体" w:cs="宋体"/>
          <w:color w:val="auto"/>
          <w:kern w:val="0"/>
          <w:highlight w:val="none"/>
        </w:rPr>
        <w:t>支付期限</w:t>
      </w:r>
      <w:r>
        <w:rPr>
          <w:rFonts w:hint="eastAsia" w:hAnsi="宋体" w:cs="宋体"/>
          <w:color w:val="auto"/>
          <w:kern w:val="0"/>
          <w:highlight w:val="none"/>
        </w:rPr>
        <w:t>、转入和结余收回</w:t>
      </w:r>
      <w:r>
        <w:rPr>
          <w:rFonts w:hAnsi="宋体" w:cs="宋体"/>
          <w:color w:val="auto"/>
          <w:kern w:val="0"/>
          <w:highlight w:val="none"/>
        </w:rPr>
        <w:t>的约定：</w:t>
      </w:r>
      <w:r>
        <w:rPr>
          <w:rFonts w:hint="eastAsia" w:hAnsi="宋体" w:cs="宋体"/>
          <w:color w:val="auto"/>
          <w:kern w:val="0"/>
          <w:highlight w:val="none"/>
          <w:u w:val="single"/>
        </w:rPr>
        <w:t>文明施工措施费</w:t>
      </w:r>
      <w:r>
        <w:rPr>
          <w:rFonts w:hAnsi="宋体" w:cs="宋体"/>
          <w:color w:val="auto"/>
          <w:kern w:val="0"/>
          <w:highlight w:val="none"/>
          <w:u w:val="single"/>
        </w:rPr>
        <w:t>XXX元</w:t>
      </w:r>
      <w:r>
        <w:rPr>
          <w:rFonts w:hint="eastAsia" w:ascii="宋体" w:hAnsi="宋体" w:eastAsia="宋体" w:cs="宋体"/>
          <w:color w:val="auto"/>
          <w:sz w:val="21"/>
          <w:u w:val="single"/>
          <w:lang w:val="en-US" w:eastAsia="zh-CN"/>
        </w:rPr>
        <w:t xml:space="preserve"> </w:t>
      </w:r>
      <w:r>
        <w:rPr>
          <w:rFonts w:hint="eastAsia" w:ascii="宋体" w:hAnsi="宋体" w:cs="宋体"/>
          <w:color w:val="auto"/>
          <w:sz w:val="21"/>
          <w:u w:val="single"/>
          <w:lang w:val="en-US" w:eastAsia="zh-CN"/>
        </w:rPr>
        <w:t xml:space="preserve">             </w:t>
      </w:r>
      <w:r>
        <w:rPr>
          <w:rFonts w:hint="eastAsia" w:hAnsi="宋体" w:cs="宋体"/>
          <w:color w:val="auto"/>
          <w:kern w:val="0"/>
          <w:highlight w:val="none"/>
          <w:u w:val="single"/>
        </w:rPr>
        <w:t>元</w:t>
      </w:r>
      <w:r>
        <w:rPr>
          <w:rFonts w:hint="eastAsia" w:hAnsi="宋体" w:cs="宋体"/>
          <w:color w:val="auto"/>
          <w:kern w:val="0"/>
          <w:highlight w:val="none"/>
          <w:u w:val="single"/>
          <w:lang w:eastAsia="zh-CN"/>
        </w:rPr>
        <w:t>（</w:t>
      </w:r>
      <w:r>
        <w:rPr>
          <w:rFonts w:hint="eastAsia" w:hAnsi="宋体" w:cs="宋体"/>
          <w:color w:val="auto"/>
          <w:kern w:val="0"/>
          <w:highlight w:val="none"/>
          <w:u w:val="single"/>
          <w:lang w:val="en-US" w:eastAsia="zh-CN"/>
        </w:rPr>
        <w:t>投标工程量清单总价措施费提到有关安全文明施工费之和</w:t>
      </w:r>
      <w:r>
        <w:rPr>
          <w:rFonts w:hint="eastAsia" w:hAnsi="宋体" w:cs="宋体"/>
          <w:color w:val="auto"/>
          <w:kern w:val="0"/>
          <w:highlight w:val="none"/>
          <w:u w:val="single"/>
          <w:lang w:eastAsia="zh-CN"/>
        </w:rPr>
        <w:t>）</w:t>
      </w:r>
      <w:r>
        <w:rPr>
          <w:rFonts w:hint="eastAsia" w:hAnsi="宋体" w:cs="宋体"/>
          <w:color w:val="auto"/>
          <w:kern w:val="0"/>
          <w:highlight w:val="none"/>
          <w:u w:val="single"/>
        </w:rPr>
        <w:t>，使用要求：专款专用。具体按桂建质</w:t>
      </w:r>
      <w:r>
        <w:rPr>
          <w:rFonts w:hint="eastAsia" w:hAnsi="宋体" w:cs="宋体"/>
          <w:color w:val="auto"/>
          <w:highlight w:val="none"/>
          <w:u w:val="single"/>
        </w:rPr>
        <w:t>〔20</w:t>
      </w:r>
      <w:r>
        <w:rPr>
          <w:rFonts w:hint="eastAsia" w:hAnsi="宋体" w:cs="宋体"/>
          <w:color w:val="auto"/>
          <w:highlight w:val="none"/>
          <w:u w:val="single"/>
          <w:lang w:val="en-US" w:eastAsia="zh-CN"/>
        </w:rPr>
        <w:t>15</w:t>
      </w:r>
      <w:r>
        <w:rPr>
          <w:rFonts w:hint="eastAsia" w:hAnsi="宋体" w:cs="宋体"/>
          <w:color w:val="auto"/>
          <w:highlight w:val="none"/>
          <w:u w:val="single"/>
        </w:rPr>
        <w:t>〕</w:t>
      </w:r>
      <w:r>
        <w:rPr>
          <w:rFonts w:hint="eastAsia" w:hAnsi="宋体" w:cs="宋体"/>
          <w:color w:val="auto"/>
          <w:kern w:val="0"/>
          <w:highlight w:val="none"/>
          <w:u w:val="single"/>
        </w:rPr>
        <w:t>16号文《广西壮族自治区建筑工程安全防护、文明施工措施费及管理细则》和南建质安</w:t>
      </w:r>
      <w:r>
        <w:rPr>
          <w:rFonts w:hint="eastAsia" w:hAnsi="宋体" w:cs="宋体"/>
          <w:color w:val="auto"/>
          <w:highlight w:val="none"/>
          <w:u w:val="single"/>
        </w:rPr>
        <w:t>〔20</w:t>
      </w:r>
      <w:r>
        <w:rPr>
          <w:rFonts w:hint="eastAsia" w:hAnsi="宋体" w:cs="宋体"/>
          <w:color w:val="auto"/>
          <w:highlight w:val="none"/>
          <w:u w:val="single"/>
          <w:lang w:val="en-US" w:eastAsia="zh-CN"/>
        </w:rPr>
        <w:t>13</w:t>
      </w:r>
      <w:r>
        <w:rPr>
          <w:rFonts w:hint="eastAsia" w:hAnsi="宋体" w:cs="宋体"/>
          <w:color w:val="auto"/>
          <w:highlight w:val="none"/>
          <w:u w:val="single"/>
        </w:rPr>
        <w:t>〕</w:t>
      </w:r>
      <w:r>
        <w:rPr>
          <w:rFonts w:hint="eastAsia" w:hAnsi="宋体" w:cs="宋体"/>
          <w:color w:val="auto"/>
          <w:kern w:val="0"/>
          <w:highlight w:val="none"/>
          <w:u w:val="single"/>
        </w:rPr>
        <w:t>22号文《关于印发南宁市建设工程安全防护、文明施工措施费用管理规定的通知》要求执行。发包人应在开工后28天内预付安全文明施工费总额的50%元以上，其余部分与进度款同期支付</w:t>
      </w:r>
      <w:r>
        <w:rPr>
          <w:rFonts w:hint="eastAsia" w:hAnsi="宋体" w:cs="宋体"/>
          <w:color w:val="auto"/>
          <w:kern w:val="0"/>
          <w:highlight w:val="none"/>
        </w:rPr>
        <w:t>。</w:t>
      </w:r>
      <w:r>
        <w:rPr>
          <w:rFonts w:hint="eastAsia" w:hAnsi="宋体" w:cs="宋体"/>
          <w:color w:val="auto"/>
          <w:kern w:val="0"/>
          <w:highlight w:val="none"/>
          <w:u w:val="single"/>
          <w:lang w:val="en-US" w:eastAsia="zh-CN"/>
        </w:rPr>
        <w:t>费用由承包人提出申请，发包人再根据横州市政府投资项目请款流程及时办理请款。</w:t>
      </w:r>
    </w:p>
    <w:p w14:paraId="6269ABB5">
      <w:pPr>
        <w:spacing w:line="360" w:lineRule="auto"/>
        <w:ind w:firstLine="420" w:firstLineChars="200"/>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u w:val="none"/>
          <w:lang w:val="en-US" w:eastAsia="zh-CN"/>
        </w:rPr>
        <w:t>6.1.</w:t>
      </w:r>
      <w:r>
        <w:rPr>
          <w:rFonts w:hint="eastAsia" w:ascii="宋体" w:hAnsi="宋体" w:cs="宋体"/>
          <w:color w:val="auto"/>
          <w:highlight w:val="none"/>
          <w:u w:val="none"/>
          <w:lang w:val="en-US" w:eastAsia="zh-CN"/>
        </w:rPr>
        <w:t>9.2</w:t>
      </w:r>
      <w:r>
        <w:rPr>
          <w:rFonts w:hint="eastAsia" w:ascii="宋体" w:hAnsi="宋体" w:eastAsia="宋体" w:cs="宋体"/>
          <w:color w:val="auto"/>
          <w:highlight w:val="none"/>
          <w:u w:val="none"/>
          <w:lang w:val="en-US" w:eastAsia="zh-CN"/>
        </w:rPr>
        <w:t xml:space="preserve"> </w:t>
      </w:r>
      <w:r>
        <w:rPr>
          <w:rFonts w:hint="eastAsia" w:ascii="宋体" w:hAnsi="宋体" w:eastAsia="宋体" w:cs="宋体"/>
          <w:b w:val="0"/>
          <w:bCs w:val="0"/>
          <w:color w:val="auto"/>
          <w:kern w:val="0"/>
          <w:highlight w:val="none"/>
        </w:rPr>
        <w:t>承包人的安全责任</w:t>
      </w:r>
    </w:p>
    <w:p w14:paraId="2F83F0C3">
      <w:pPr>
        <w:spacing w:line="360" w:lineRule="auto"/>
        <w:ind w:firstLine="420" w:firstLineChars="200"/>
        <w:jc w:val="left"/>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u w:val="single"/>
          <w:lang w:val="en-US" w:eastAsia="zh-CN"/>
        </w:rPr>
        <w:t>承包人必须文明、安全施工，在施工期间内由于承包人原因造成的一切人员伤亡和财产损失等责任事故和所发生的一切费用一概由承包人承担</w:t>
      </w:r>
      <w:r>
        <w:rPr>
          <w:rFonts w:hint="eastAsia" w:ascii="宋体" w:hAnsi="宋体" w:eastAsia="宋体" w:cs="宋体"/>
          <w:color w:val="auto"/>
          <w:highlight w:val="none"/>
          <w:u w:val="none"/>
          <w:lang w:val="en-US" w:eastAsia="zh-CN"/>
        </w:rPr>
        <w:t>。</w:t>
      </w:r>
    </w:p>
    <w:p w14:paraId="1DBB75A7">
      <w:pPr>
        <w:pStyle w:val="4"/>
        <w:ind w:firstLine="420" w:firstLineChars="200"/>
        <w:rPr>
          <w:rFonts w:hint="eastAsia" w:ascii="宋体" w:hAnsi="宋体" w:eastAsia="宋体" w:cs="宋体"/>
          <w:b w:val="0"/>
          <w:bCs w:val="0"/>
          <w:color w:val="auto"/>
          <w:sz w:val="21"/>
          <w:szCs w:val="21"/>
          <w:highlight w:val="none"/>
        </w:rPr>
      </w:pPr>
      <w:bookmarkStart w:id="800" w:name="_Toc373478368"/>
      <w:bookmarkStart w:id="801" w:name="_Toc407135223"/>
      <w:bookmarkStart w:id="802" w:name="_Toc373227721"/>
      <w:bookmarkStart w:id="803" w:name="_Toc78449809"/>
      <w:bookmarkStart w:id="804" w:name="_Toc1922268668"/>
      <w:bookmarkStart w:id="805" w:name="_Toc1519050792"/>
      <w:bookmarkStart w:id="806" w:name="_Toc389065287"/>
      <w:r>
        <w:rPr>
          <w:rFonts w:hint="eastAsia" w:ascii="宋体" w:hAnsi="宋体" w:eastAsia="宋体" w:cs="宋体"/>
          <w:b w:val="0"/>
          <w:bCs w:val="0"/>
          <w:color w:val="auto"/>
          <w:sz w:val="21"/>
          <w:szCs w:val="21"/>
          <w:highlight w:val="none"/>
        </w:rPr>
        <w:t>6.</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 xml:space="preserve"> 环境保护</w:t>
      </w:r>
      <w:bookmarkEnd w:id="800"/>
      <w:bookmarkEnd w:id="801"/>
      <w:bookmarkEnd w:id="802"/>
      <w:bookmarkEnd w:id="803"/>
      <w:bookmarkEnd w:id="804"/>
      <w:bookmarkEnd w:id="805"/>
      <w:bookmarkEnd w:id="806"/>
    </w:p>
    <w:p w14:paraId="5CC14791">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u w:val="single"/>
        </w:rPr>
        <w:t>因施工需要，经发包人批准，由承包人办理有关施工场地交通、环卫和施工噪音管理等手续，费用由承包人负责。</w:t>
      </w:r>
    </w:p>
    <w:p w14:paraId="03C4B4B5">
      <w:pPr>
        <w:spacing w:line="360" w:lineRule="auto"/>
        <w:ind w:firstLine="420" w:firstLineChars="200"/>
        <w:jc w:val="left"/>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u w:val="single"/>
        </w:rPr>
        <w:t>经过城市道路的施工车辆，必须按交警、城管、运输等部门相关规定执行。由于施工车辆造成的道路、环境等污染，其责任和费用均由承包人承担。</w:t>
      </w:r>
    </w:p>
    <w:bookmarkEnd w:id="778"/>
    <w:bookmarkEnd w:id="779"/>
    <w:bookmarkEnd w:id="780"/>
    <w:bookmarkEnd w:id="781"/>
    <w:bookmarkEnd w:id="782"/>
    <w:bookmarkEnd w:id="783"/>
    <w:bookmarkEnd w:id="784"/>
    <w:p w14:paraId="7FE64858">
      <w:pPr>
        <w:pStyle w:val="3"/>
        <w:rPr>
          <w:rFonts w:hint="eastAsia" w:ascii="宋体" w:hAnsi="宋体" w:eastAsia="宋体" w:cs="宋体"/>
          <w:color w:val="auto"/>
          <w:highlight w:val="none"/>
        </w:rPr>
      </w:pPr>
      <w:bookmarkStart w:id="807" w:name="_Toc373227722"/>
      <w:bookmarkStart w:id="808" w:name="_Toc351203639"/>
      <w:bookmarkStart w:id="809" w:name="_Toc1408286886"/>
      <w:bookmarkStart w:id="810" w:name="_Toc78449810"/>
      <w:bookmarkStart w:id="811" w:name="_Toc373478369"/>
      <w:bookmarkStart w:id="812" w:name="_Toc389065288"/>
      <w:bookmarkStart w:id="813" w:name="_Toc315674767"/>
      <w:bookmarkStart w:id="814" w:name="_Toc407135224"/>
      <w:r>
        <w:rPr>
          <w:rFonts w:hint="eastAsia" w:ascii="宋体" w:hAnsi="宋体" w:eastAsia="宋体" w:cs="宋体"/>
          <w:color w:val="auto"/>
          <w:highlight w:val="none"/>
        </w:rPr>
        <w:t>7. 工期和进度</w:t>
      </w:r>
      <w:bookmarkEnd w:id="807"/>
      <w:bookmarkEnd w:id="808"/>
      <w:bookmarkEnd w:id="809"/>
      <w:bookmarkEnd w:id="810"/>
      <w:bookmarkEnd w:id="811"/>
      <w:bookmarkEnd w:id="812"/>
      <w:bookmarkEnd w:id="813"/>
      <w:bookmarkEnd w:id="814"/>
    </w:p>
    <w:p w14:paraId="6FD58C88">
      <w:pPr>
        <w:pStyle w:val="4"/>
        <w:rPr>
          <w:rFonts w:hint="eastAsia" w:ascii="宋体" w:hAnsi="宋体" w:eastAsia="宋体" w:cs="宋体"/>
          <w:color w:val="auto"/>
          <w:highlight w:val="none"/>
        </w:rPr>
      </w:pPr>
      <w:bookmarkStart w:id="815" w:name="_Toc407135225"/>
      <w:bookmarkStart w:id="816" w:name="_Toc373478370"/>
      <w:bookmarkStart w:id="817" w:name="_Toc664905709"/>
      <w:bookmarkStart w:id="818" w:name="_Toc1194482517"/>
      <w:bookmarkStart w:id="819" w:name="_Toc78449811"/>
      <w:bookmarkStart w:id="820" w:name="_Toc389065289"/>
      <w:bookmarkStart w:id="821" w:name="_Toc373227723"/>
      <w:r>
        <w:rPr>
          <w:rFonts w:hint="eastAsia" w:ascii="宋体" w:hAnsi="宋体" w:eastAsia="宋体" w:cs="宋体"/>
          <w:color w:val="auto"/>
          <w:highlight w:val="none"/>
        </w:rPr>
        <w:t>7.1 施工组织设计</w:t>
      </w:r>
      <w:bookmarkEnd w:id="815"/>
      <w:bookmarkEnd w:id="816"/>
      <w:bookmarkEnd w:id="817"/>
      <w:bookmarkEnd w:id="818"/>
      <w:bookmarkEnd w:id="819"/>
      <w:bookmarkEnd w:id="820"/>
      <w:bookmarkEnd w:id="821"/>
    </w:p>
    <w:p w14:paraId="73A7D86F">
      <w:pPr>
        <w:autoSpaceDE w:val="0"/>
        <w:autoSpaceDN w:val="0"/>
        <w:adjustRightInd w:val="0"/>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7.1.1 合</w:t>
      </w:r>
      <w:r>
        <w:rPr>
          <w:rFonts w:hint="eastAsia" w:ascii="宋体" w:hAnsi="宋体" w:eastAsia="宋体" w:cs="宋体"/>
          <w:color w:val="auto"/>
          <w:kern w:val="0"/>
          <w:highlight w:val="none"/>
        </w:rPr>
        <w:t>同当事人约定的施工组织设计应包括的其他内容：</w:t>
      </w:r>
      <w:r>
        <w:rPr>
          <w:rFonts w:hint="eastAsia" w:ascii="宋体" w:hAnsi="宋体" w:eastAsia="宋体" w:cs="宋体"/>
          <w:color w:val="auto"/>
          <w:kern w:val="0"/>
          <w:highlight w:val="none"/>
          <w:u w:val="single"/>
        </w:rPr>
        <w:t>按招标文件约定，招标文件无约定的按通用条款或双方另行约定</w:t>
      </w:r>
      <w:r>
        <w:rPr>
          <w:rFonts w:hint="eastAsia" w:ascii="宋体" w:hAnsi="宋体" w:eastAsia="宋体" w:cs="宋体"/>
          <w:color w:val="auto"/>
          <w:highlight w:val="none"/>
        </w:rPr>
        <w:t>。</w:t>
      </w:r>
    </w:p>
    <w:p w14:paraId="52B3B3CD">
      <w:pPr>
        <w:autoSpaceDE w:val="0"/>
        <w:autoSpaceDN w:val="0"/>
        <w:adjustRightInd w:val="0"/>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highlight w:val="none"/>
        </w:rPr>
        <w:t xml:space="preserve">7.1.2 </w:t>
      </w:r>
      <w:r>
        <w:rPr>
          <w:rFonts w:hint="eastAsia" w:ascii="宋体" w:hAnsi="宋体" w:eastAsia="宋体" w:cs="宋体"/>
          <w:color w:val="auto"/>
          <w:kern w:val="0"/>
          <w:highlight w:val="none"/>
        </w:rPr>
        <w:t>施工组织设计的提交和修改</w:t>
      </w:r>
    </w:p>
    <w:p w14:paraId="22AC7492">
      <w:pPr>
        <w:autoSpaceDE w:val="0"/>
        <w:autoSpaceDN w:val="0"/>
        <w:adjustRightInd w:val="0"/>
        <w:spacing w:line="360" w:lineRule="auto"/>
        <w:ind w:firstLine="420" w:firstLineChars="200"/>
        <w:jc w:val="left"/>
        <w:rPr>
          <w:rFonts w:hint="eastAsia" w:ascii="宋体" w:hAnsi="宋体" w:eastAsia="宋体" w:cs="宋体"/>
          <w:color w:val="000000"/>
          <w:highlight w:val="none"/>
          <w:u w:val="single"/>
        </w:rPr>
      </w:pPr>
      <w:r>
        <w:rPr>
          <w:rFonts w:hint="eastAsia" w:ascii="宋体" w:hAnsi="宋体" w:eastAsia="宋体" w:cs="宋体"/>
          <w:color w:val="auto"/>
          <w:kern w:val="0"/>
          <w:highlight w:val="none"/>
        </w:rPr>
        <w:t>承包人提交详细施工组织设计的期限的约定：</w:t>
      </w:r>
      <w:r>
        <w:rPr>
          <w:rFonts w:hint="eastAsia" w:ascii="宋体" w:hAnsi="宋体" w:eastAsia="宋体" w:cs="宋体"/>
          <w:color w:val="auto"/>
          <w:highlight w:val="none"/>
          <w:u w:val="single"/>
          <w:lang w:eastAsia="zh-CN"/>
        </w:rPr>
        <w:t>开</w:t>
      </w:r>
      <w:r>
        <w:rPr>
          <w:rFonts w:hint="eastAsia" w:ascii="宋体" w:hAnsi="宋体" w:eastAsia="宋体" w:cs="宋体"/>
          <w:color w:val="000000"/>
          <w:highlight w:val="none"/>
          <w:u w:val="single"/>
          <w:lang w:eastAsia="zh-CN"/>
        </w:rPr>
        <w:t>工前</w:t>
      </w:r>
      <w:r>
        <w:rPr>
          <w:rFonts w:hint="eastAsia" w:ascii="宋体" w:hAnsi="宋体" w:eastAsia="宋体" w:cs="宋体"/>
          <w:color w:val="000000"/>
          <w:spacing w:val="16"/>
          <w:u w:val="single"/>
          <w:lang w:val="en-US" w:eastAsia="zh-CN"/>
        </w:rPr>
        <w:t>7</w:t>
      </w:r>
      <w:r>
        <w:rPr>
          <w:rFonts w:hint="eastAsia" w:ascii="宋体" w:hAnsi="宋体" w:eastAsia="宋体" w:cs="宋体"/>
          <w:color w:val="000000"/>
          <w:highlight w:val="none"/>
          <w:u w:val="single"/>
          <w:lang w:val="en-US" w:eastAsia="zh-CN"/>
        </w:rPr>
        <w:t>天内</w:t>
      </w:r>
      <w:r>
        <w:rPr>
          <w:rFonts w:hint="eastAsia" w:ascii="宋体" w:hAnsi="宋体" w:eastAsia="宋体" w:cs="宋体"/>
          <w:color w:val="000000"/>
          <w:highlight w:val="none"/>
        </w:rPr>
        <w:t>。</w:t>
      </w:r>
    </w:p>
    <w:p w14:paraId="4323DF36">
      <w:pPr>
        <w:spacing w:line="360" w:lineRule="auto"/>
        <w:ind w:firstLine="420" w:firstLineChars="200"/>
        <w:jc w:val="left"/>
        <w:rPr>
          <w:rFonts w:hint="eastAsia" w:ascii="宋体" w:hAnsi="宋体" w:eastAsia="宋体" w:cs="宋体"/>
          <w:color w:val="000000"/>
          <w:highlight w:val="none"/>
        </w:rPr>
      </w:pPr>
      <w:r>
        <w:rPr>
          <w:rFonts w:hint="eastAsia" w:ascii="宋体" w:hAnsi="宋体" w:eastAsia="宋体" w:cs="宋体"/>
          <w:color w:val="000000"/>
          <w:highlight w:val="none"/>
        </w:rPr>
        <w:t>发包人和监理人在收到详细的施工组织设计后确认或提出修改意见的期限：</w:t>
      </w:r>
      <w:r>
        <w:rPr>
          <w:rFonts w:hint="eastAsia" w:ascii="宋体" w:hAnsi="宋体" w:eastAsia="宋体" w:cs="宋体"/>
          <w:color w:val="000000"/>
          <w:u w:val="single"/>
        </w:rPr>
        <w:t>自</w:t>
      </w:r>
      <w:r>
        <w:rPr>
          <w:rFonts w:hint="eastAsia" w:ascii="宋体" w:hAnsi="宋体" w:eastAsia="宋体" w:cs="宋体"/>
          <w:color w:val="000000"/>
          <w:spacing w:val="-1"/>
          <w:sz w:val="21"/>
          <w:szCs w:val="22"/>
          <w:u w:val="single"/>
          <w:lang w:val="en-US" w:eastAsia="zh-CN" w:bidi="ar-SA"/>
        </w:rPr>
        <w:t>收到承包</w:t>
      </w:r>
      <w:r>
        <w:rPr>
          <w:rFonts w:hint="eastAsia" w:ascii="宋体" w:hAnsi="宋体" w:eastAsia="宋体" w:cs="宋体"/>
          <w:color w:val="000000"/>
          <w:spacing w:val="-5"/>
          <w:u w:val="single"/>
        </w:rPr>
        <w:t xml:space="preserve">人报送的施工组织设计后 </w:t>
      </w:r>
      <w:r>
        <w:rPr>
          <w:rFonts w:hint="eastAsia" w:ascii="宋体" w:hAnsi="宋体" w:eastAsia="宋体" w:cs="宋体"/>
          <w:color w:val="000000"/>
          <w:u w:val="single"/>
        </w:rPr>
        <w:t>7</w:t>
      </w:r>
      <w:r>
        <w:rPr>
          <w:rFonts w:hint="eastAsia" w:ascii="宋体" w:hAnsi="宋体" w:eastAsia="宋体" w:cs="宋体"/>
          <w:color w:val="000000"/>
          <w:spacing w:val="6"/>
          <w:u w:val="single"/>
        </w:rPr>
        <w:t xml:space="preserve"> </w:t>
      </w:r>
      <w:r>
        <w:rPr>
          <w:rFonts w:hint="eastAsia" w:ascii="宋体" w:hAnsi="宋体" w:eastAsia="宋体" w:cs="宋体"/>
          <w:color w:val="000000"/>
          <w:u w:val="single"/>
        </w:rPr>
        <w:t>天内</w:t>
      </w:r>
      <w:r>
        <w:rPr>
          <w:rFonts w:hint="eastAsia" w:ascii="宋体" w:hAnsi="宋体" w:eastAsia="宋体" w:cs="宋体"/>
          <w:color w:val="000000"/>
          <w:highlight w:val="none"/>
        </w:rPr>
        <w:t>。</w:t>
      </w:r>
    </w:p>
    <w:p w14:paraId="4B961B44">
      <w:pPr>
        <w:pStyle w:val="4"/>
        <w:rPr>
          <w:rFonts w:hint="eastAsia" w:ascii="宋体" w:hAnsi="宋体" w:eastAsia="宋体" w:cs="宋体"/>
          <w:color w:val="000000"/>
          <w:highlight w:val="none"/>
        </w:rPr>
      </w:pPr>
      <w:bookmarkStart w:id="822" w:name="_Toc373227724"/>
      <w:bookmarkStart w:id="823" w:name="_Toc407135226"/>
      <w:bookmarkStart w:id="824" w:name="_Toc389065290"/>
      <w:bookmarkStart w:id="825" w:name="_Toc78449812"/>
      <w:bookmarkStart w:id="826" w:name="_Toc373478371"/>
      <w:bookmarkStart w:id="827" w:name="_Toc1393005721"/>
      <w:bookmarkStart w:id="828" w:name="_Toc1674747833"/>
      <w:r>
        <w:rPr>
          <w:rFonts w:hint="eastAsia" w:ascii="宋体" w:hAnsi="宋体" w:eastAsia="宋体" w:cs="宋体"/>
          <w:color w:val="000000"/>
          <w:highlight w:val="none"/>
        </w:rPr>
        <w:t>7</w:t>
      </w:r>
      <w:bookmarkStart w:id="829" w:name="_Toc312677479"/>
      <w:bookmarkStart w:id="830" w:name="_Toc297216173"/>
      <w:bookmarkStart w:id="831" w:name="_Toc297123514"/>
      <w:bookmarkStart w:id="832" w:name="_Toc300934966"/>
      <w:bookmarkStart w:id="833" w:name="_Toc312678005"/>
      <w:bookmarkStart w:id="834" w:name="_Toc304295541"/>
      <w:bookmarkStart w:id="835" w:name="_Toc303539123"/>
      <w:r>
        <w:rPr>
          <w:rFonts w:hint="eastAsia" w:ascii="宋体" w:hAnsi="宋体" w:eastAsia="宋体" w:cs="宋体"/>
          <w:color w:val="000000"/>
          <w:highlight w:val="none"/>
        </w:rPr>
        <w:t>.2 施工进度计划</w:t>
      </w:r>
      <w:bookmarkEnd w:id="822"/>
      <w:bookmarkEnd w:id="823"/>
      <w:bookmarkEnd w:id="824"/>
      <w:bookmarkEnd w:id="825"/>
      <w:bookmarkEnd w:id="826"/>
      <w:bookmarkEnd w:id="827"/>
      <w:bookmarkEnd w:id="828"/>
    </w:p>
    <w:p w14:paraId="385FC3AC">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7.2.2 施工进度计划的修订</w:t>
      </w:r>
    </w:p>
    <w:p w14:paraId="7F3D2AFA">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发包人和监理人在收到修订的施工进度计划后确认或提出修改意见的期限：</w:t>
      </w:r>
      <w:r>
        <w:rPr>
          <w:rFonts w:hint="eastAsia" w:ascii="宋体" w:hAnsi="宋体" w:eastAsia="宋体" w:cs="宋体"/>
          <w:b w:val="0"/>
          <w:bCs w:val="0"/>
          <w:color w:val="000000"/>
          <w:szCs w:val="21"/>
          <w:highlight w:val="none"/>
          <w:u w:val="single"/>
          <w:lang w:eastAsia="zh-CN"/>
        </w:rPr>
        <w:t>双方协商</w:t>
      </w:r>
      <w:r>
        <w:rPr>
          <w:rFonts w:hint="eastAsia" w:ascii="宋体" w:hAnsi="宋体" w:eastAsia="宋体" w:cs="宋体"/>
          <w:color w:val="auto"/>
          <w:highlight w:val="none"/>
        </w:rPr>
        <w:t>。</w:t>
      </w:r>
    </w:p>
    <w:p w14:paraId="5B2A1222">
      <w:pPr>
        <w:pStyle w:val="4"/>
        <w:rPr>
          <w:rFonts w:hint="eastAsia" w:ascii="宋体" w:hAnsi="宋体" w:eastAsia="宋体" w:cs="宋体"/>
          <w:color w:val="auto"/>
          <w:highlight w:val="none"/>
        </w:rPr>
      </w:pPr>
      <w:bookmarkStart w:id="836" w:name="_Toc373478372"/>
      <w:bookmarkStart w:id="837" w:name="_Toc373227725"/>
      <w:bookmarkStart w:id="838" w:name="_Toc423062567"/>
      <w:bookmarkStart w:id="839" w:name="_Toc78449813"/>
      <w:bookmarkStart w:id="840" w:name="_Toc407135227"/>
      <w:bookmarkStart w:id="841" w:name="_Toc389065291"/>
      <w:bookmarkStart w:id="842" w:name="_Toc1498273563"/>
      <w:r>
        <w:rPr>
          <w:rFonts w:hint="eastAsia" w:ascii="宋体" w:hAnsi="宋体" w:eastAsia="宋体" w:cs="宋体"/>
          <w:color w:val="auto"/>
          <w:highlight w:val="none"/>
        </w:rPr>
        <w:t>7.3 开工</w:t>
      </w:r>
      <w:bookmarkEnd w:id="836"/>
      <w:bookmarkEnd w:id="837"/>
      <w:bookmarkEnd w:id="838"/>
      <w:bookmarkEnd w:id="839"/>
      <w:bookmarkEnd w:id="840"/>
      <w:bookmarkEnd w:id="841"/>
      <w:bookmarkEnd w:id="842"/>
    </w:p>
    <w:p w14:paraId="619F9F13">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7.3.1 开工准备</w:t>
      </w:r>
    </w:p>
    <w:p w14:paraId="26D92039">
      <w:pPr>
        <w:spacing w:line="360" w:lineRule="auto"/>
        <w:ind w:firstLine="426"/>
        <w:jc w:val="left"/>
        <w:rPr>
          <w:rFonts w:hint="eastAsia" w:ascii="宋体" w:hAnsi="宋体" w:eastAsia="宋体" w:cs="宋体"/>
          <w:color w:val="auto"/>
          <w:highlight w:val="none"/>
          <w:u w:val="single"/>
        </w:rPr>
      </w:pPr>
      <w:r>
        <w:rPr>
          <w:rFonts w:hint="eastAsia" w:ascii="宋体" w:hAnsi="宋体" w:eastAsia="宋体" w:cs="宋体"/>
          <w:color w:val="auto"/>
          <w:highlight w:val="none"/>
        </w:rPr>
        <w:t>关于承包人提交</w:t>
      </w:r>
      <w:r>
        <w:rPr>
          <w:rFonts w:hint="eastAsia" w:ascii="宋体" w:hAnsi="宋体" w:eastAsia="宋体" w:cs="宋体"/>
          <w:color w:val="auto"/>
          <w:kern w:val="0"/>
          <w:highlight w:val="none"/>
        </w:rPr>
        <w:t>工程开工报审表的期限：</w:t>
      </w:r>
      <w:r>
        <w:rPr>
          <w:rFonts w:hint="eastAsia" w:ascii="宋体" w:hAnsi="宋体" w:eastAsia="宋体" w:cs="宋体"/>
          <w:color w:val="auto"/>
          <w:kern w:val="0"/>
          <w:highlight w:val="none"/>
          <w:u w:val="single"/>
          <w:lang w:eastAsia="zh-CN"/>
        </w:rPr>
        <w:t>合同签订后，</w:t>
      </w:r>
      <w:r>
        <w:rPr>
          <w:rFonts w:hint="eastAsia" w:ascii="宋体" w:hAnsi="宋体" w:eastAsia="宋体" w:cs="宋体"/>
          <w:color w:val="auto"/>
          <w:highlight w:val="none"/>
          <w:u w:val="single"/>
          <w:lang w:eastAsia="zh-CN"/>
        </w:rPr>
        <w:t>开工前</w:t>
      </w:r>
      <w:r>
        <w:rPr>
          <w:rFonts w:hint="eastAsia" w:ascii="宋体" w:hAnsi="宋体" w:eastAsia="宋体" w:cs="宋体"/>
          <w:color w:val="000000"/>
          <w:highlight w:val="none"/>
          <w:u w:val="single"/>
          <w:lang w:val="en-US" w:eastAsia="zh-CN"/>
        </w:rPr>
        <w:t xml:space="preserve"> 7 </w:t>
      </w:r>
      <w:r>
        <w:rPr>
          <w:rFonts w:hint="eastAsia" w:ascii="宋体" w:hAnsi="宋体" w:eastAsia="宋体" w:cs="宋体"/>
          <w:color w:val="auto"/>
          <w:highlight w:val="none"/>
          <w:u w:val="single"/>
          <w:lang w:val="en-US" w:eastAsia="zh-CN"/>
        </w:rPr>
        <w:t>天</w:t>
      </w:r>
      <w:r>
        <w:rPr>
          <w:rFonts w:hint="eastAsia" w:ascii="宋体" w:hAnsi="宋体" w:eastAsia="宋体" w:cs="宋体"/>
          <w:color w:val="auto"/>
          <w:highlight w:val="none"/>
        </w:rPr>
        <w:t>。</w:t>
      </w:r>
    </w:p>
    <w:p w14:paraId="16D0E228">
      <w:pPr>
        <w:spacing w:line="360" w:lineRule="auto"/>
        <w:ind w:firstLine="426"/>
        <w:jc w:val="left"/>
        <w:rPr>
          <w:rFonts w:hint="eastAsia" w:ascii="宋体" w:hAnsi="宋体" w:eastAsia="宋体" w:cs="宋体"/>
          <w:color w:val="auto"/>
          <w:highlight w:val="none"/>
          <w:u w:val="single"/>
        </w:rPr>
      </w:pPr>
      <w:r>
        <w:rPr>
          <w:rFonts w:hint="eastAsia" w:ascii="宋体" w:hAnsi="宋体" w:eastAsia="宋体" w:cs="宋体"/>
          <w:color w:val="auto"/>
          <w:highlight w:val="none"/>
        </w:rPr>
        <w:t>关于发包人应完成的其他开工准备工作及期限：</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rPr>
        <w:t>。</w:t>
      </w:r>
    </w:p>
    <w:p w14:paraId="02001F29">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关于承包人应完成的其他开工准备工作及期限：</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rPr>
        <w:t>。</w:t>
      </w:r>
    </w:p>
    <w:p w14:paraId="14E9C3A7">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7.3.2 开工通知</w:t>
      </w:r>
    </w:p>
    <w:p w14:paraId="10497C8B">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因发包人原因造成监理人未能在计划开工日期之日起</w:t>
      </w:r>
      <w:r>
        <w:rPr>
          <w:rFonts w:hint="eastAsia" w:ascii="宋体" w:hAnsi="宋体" w:eastAsia="宋体" w:cs="宋体"/>
          <w:color w:val="auto"/>
          <w:highlight w:val="none"/>
          <w:u w:val="single"/>
          <w:lang w:val="en-US" w:eastAsia="zh-CN"/>
        </w:rPr>
        <w:t xml:space="preserve">  /  </w:t>
      </w:r>
      <w:r>
        <w:rPr>
          <w:rFonts w:hint="eastAsia" w:ascii="宋体" w:hAnsi="宋体" w:eastAsia="宋体" w:cs="宋体"/>
          <w:color w:val="auto"/>
          <w:highlight w:val="none"/>
        </w:rPr>
        <w:t>天内发出开工通知的，承包人有权提出价格调整要求，或者解除合同。</w:t>
      </w:r>
    </w:p>
    <w:bookmarkEnd w:id="829"/>
    <w:bookmarkEnd w:id="830"/>
    <w:bookmarkEnd w:id="831"/>
    <w:bookmarkEnd w:id="832"/>
    <w:bookmarkEnd w:id="833"/>
    <w:bookmarkEnd w:id="834"/>
    <w:bookmarkEnd w:id="835"/>
    <w:p w14:paraId="509B1C25">
      <w:pPr>
        <w:pStyle w:val="4"/>
        <w:rPr>
          <w:rFonts w:hint="eastAsia" w:ascii="宋体" w:hAnsi="宋体" w:eastAsia="宋体" w:cs="宋体"/>
          <w:color w:val="auto"/>
          <w:highlight w:val="none"/>
        </w:rPr>
      </w:pPr>
      <w:bookmarkStart w:id="843" w:name="_Toc389065292"/>
      <w:bookmarkStart w:id="844" w:name="_Toc741356765"/>
      <w:bookmarkStart w:id="845" w:name="_Toc373478373"/>
      <w:bookmarkStart w:id="846" w:name="_Toc86855608"/>
      <w:bookmarkStart w:id="847" w:name="_Toc78449814"/>
      <w:bookmarkStart w:id="848" w:name="_Toc407135228"/>
      <w:bookmarkStart w:id="849" w:name="_Toc373227726"/>
      <w:r>
        <w:rPr>
          <w:rFonts w:hint="eastAsia" w:ascii="宋体" w:hAnsi="宋体" w:eastAsia="宋体" w:cs="宋体"/>
          <w:color w:val="auto"/>
          <w:highlight w:val="none"/>
        </w:rPr>
        <w:t>7.4 测量放线</w:t>
      </w:r>
      <w:bookmarkEnd w:id="843"/>
      <w:bookmarkEnd w:id="844"/>
      <w:bookmarkEnd w:id="845"/>
      <w:bookmarkEnd w:id="846"/>
      <w:bookmarkEnd w:id="847"/>
      <w:bookmarkEnd w:id="848"/>
      <w:bookmarkEnd w:id="849"/>
    </w:p>
    <w:p w14:paraId="3D12C97C">
      <w:pPr>
        <w:spacing w:line="360" w:lineRule="auto"/>
        <w:ind w:firstLine="420" w:firstLineChars="200"/>
        <w:jc w:val="left"/>
        <w:rPr>
          <w:rFonts w:hint="eastAsia" w:ascii="宋体" w:hAnsi="宋体" w:eastAsia="宋体" w:cs="宋体"/>
          <w:color w:val="000000"/>
          <w:highlight w:val="none"/>
          <w:u w:val="single"/>
        </w:rPr>
      </w:pPr>
      <w:r>
        <w:rPr>
          <w:rFonts w:hint="eastAsia" w:ascii="宋体" w:hAnsi="宋体" w:eastAsia="宋体" w:cs="宋体"/>
          <w:color w:val="000000"/>
          <w:highlight w:val="none"/>
        </w:rPr>
        <w:t>7.4.1发包人通过监理人向承包人提供测量基准点、基准线和水准点及其书面资料的期限：</w:t>
      </w:r>
      <w:r>
        <w:rPr>
          <w:rFonts w:hint="eastAsia" w:ascii="宋体" w:hAnsi="宋体" w:eastAsia="宋体" w:cs="宋体"/>
          <w:color w:val="000000"/>
          <w:kern w:val="0"/>
          <w:highlight w:val="none"/>
          <w:u w:val="single"/>
          <w:lang w:eastAsia="zh-CN"/>
        </w:rPr>
        <w:t>合同签订后，</w:t>
      </w:r>
      <w:r>
        <w:rPr>
          <w:rFonts w:hint="eastAsia" w:ascii="宋体" w:hAnsi="宋体" w:eastAsia="宋体" w:cs="宋体"/>
          <w:color w:val="000000"/>
          <w:highlight w:val="none"/>
          <w:u w:val="single"/>
          <w:lang w:eastAsia="zh-CN"/>
        </w:rPr>
        <w:t>开工前</w:t>
      </w:r>
      <w:r>
        <w:rPr>
          <w:rFonts w:hint="eastAsia" w:ascii="宋体" w:hAnsi="宋体" w:eastAsia="宋体" w:cs="宋体"/>
          <w:color w:val="000000"/>
          <w:highlight w:val="none"/>
          <w:u w:val="single"/>
          <w:lang w:val="en-US" w:eastAsia="zh-CN"/>
        </w:rPr>
        <w:t xml:space="preserve"> 7 天</w:t>
      </w:r>
      <w:r>
        <w:rPr>
          <w:rFonts w:hint="eastAsia" w:ascii="宋体" w:hAnsi="宋体" w:eastAsia="宋体" w:cs="宋体"/>
          <w:color w:val="000000"/>
          <w:highlight w:val="none"/>
        </w:rPr>
        <w:t>。</w:t>
      </w:r>
    </w:p>
    <w:p w14:paraId="3DD08AAF">
      <w:pPr>
        <w:pStyle w:val="4"/>
        <w:rPr>
          <w:rFonts w:hint="eastAsia" w:ascii="宋体" w:hAnsi="宋体" w:eastAsia="宋体" w:cs="宋体"/>
          <w:color w:val="auto"/>
          <w:highlight w:val="none"/>
        </w:rPr>
      </w:pPr>
      <w:bookmarkStart w:id="850" w:name="_Toc373478374"/>
      <w:bookmarkStart w:id="851" w:name="_Toc78449815"/>
      <w:bookmarkStart w:id="852" w:name="_Toc1417437583"/>
      <w:bookmarkStart w:id="853" w:name="_Toc389065293"/>
      <w:bookmarkStart w:id="854" w:name="_Toc373227727"/>
      <w:bookmarkStart w:id="855" w:name="_Toc1863025072"/>
      <w:bookmarkStart w:id="856" w:name="_Toc407135229"/>
      <w:r>
        <w:rPr>
          <w:rFonts w:hint="eastAsia" w:ascii="宋体" w:hAnsi="宋体" w:eastAsia="宋体" w:cs="宋体"/>
          <w:color w:val="auto"/>
          <w:highlight w:val="none"/>
        </w:rPr>
        <w:t>7</w:t>
      </w:r>
      <w:bookmarkStart w:id="857" w:name="_Toc300934968"/>
      <w:bookmarkStart w:id="858" w:name="_Toc303539125"/>
      <w:bookmarkStart w:id="859" w:name="_Toc297123516"/>
      <w:bookmarkStart w:id="860" w:name="_Toc312677484"/>
      <w:bookmarkStart w:id="861" w:name="_Toc312678010"/>
      <w:bookmarkStart w:id="862" w:name="_Toc304295546"/>
      <w:bookmarkStart w:id="863" w:name="_Toc297216175"/>
      <w:r>
        <w:rPr>
          <w:rFonts w:hint="eastAsia" w:ascii="宋体" w:hAnsi="宋体" w:eastAsia="宋体" w:cs="宋体"/>
          <w:color w:val="auto"/>
          <w:highlight w:val="none"/>
        </w:rPr>
        <w:t>.5 工期延误</w:t>
      </w:r>
      <w:bookmarkEnd w:id="850"/>
      <w:bookmarkEnd w:id="851"/>
      <w:bookmarkEnd w:id="852"/>
      <w:bookmarkEnd w:id="853"/>
      <w:bookmarkEnd w:id="854"/>
      <w:bookmarkEnd w:id="855"/>
      <w:bookmarkEnd w:id="856"/>
    </w:p>
    <w:bookmarkEnd w:id="857"/>
    <w:bookmarkEnd w:id="858"/>
    <w:bookmarkEnd w:id="859"/>
    <w:bookmarkEnd w:id="860"/>
    <w:bookmarkEnd w:id="861"/>
    <w:bookmarkEnd w:id="862"/>
    <w:bookmarkEnd w:id="863"/>
    <w:p w14:paraId="5B269262">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7.5.1 因发包人原因导致工期延误</w:t>
      </w:r>
    </w:p>
    <w:p w14:paraId="58F65936">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（7）因发包人原因导致工期延误的其他情形：</w:t>
      </w:r>
      <w:r>
        <w:rPr>
          <w:rFonts w:hint="eastAsia" w:ascii="宋体" w:hAnsi="宋体" w:eastAsia="宋体" w:cs="宋体"/>
          <w:color w:val="auto"/>
          <w:highlight w:val="none"/>
          <w:u w:val="single"/>
        </w:rPr>
        <w:t>①重大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eastAsia="宋体" w:cs="宋体"/>
          <w:color w:val="auto"/>
          <w:highlight w:val="none"/>
        </w:rPr>
        <w:t xml:space="preserve"> 。</w:t>
      </w:r>
    </w:p>
    <w:p w14:paraId="401B1CF9">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7</w:t>
      </w:r>
      <w:bookmarkStart w:id="864" w:name="_Toc312677486"/>
      <w:bookmarkStart w:id="865" w:name="_Toc312678012"/>
      <w:bookmarkStart w:id="866" w:name="_Toc318581169"/>
      <w:bookmarkStart w:id="867" w:name="_Toc297123518"/>
      <w:bookmarkStart w:id="868" w:name="_Toc303539127"/>
      <w:bookmarkStart w:id="869" w:name="_Toc297216177"/>
      <w:bookmarkStart w:id="870" w:name="_Toc300934970"/>
      <w:bookmarkStart w:id="871" w:name="_Toc304295548"/>
      <w:r>
        <w:rPr>
          <w:rFonts w:hint="eastAsia" w:ascii="宋体" w:hAnsi="宋体" w:eastAsia="宋体" w:cs="宋体"/>
          <w:color w:val="auto"/>
          <w:highlight w:val="none"/>
        </w:rPr>
        <w:t>.5.2 因承包人原因导致工期延误</w:t>
      </w:r>
    </w:p>
    <w:bookmarkEnd w:id="864"/>
    <w:bookmarkEnd w:id="865"/>
    <w:bookmarkEnd w:id="866"/>
    <w:p w14:paraId="4C59A23A">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双方约定经监理工程师确认，工期相应顺延的情况：</w:t>
      </w:r>
      <w:r>
        <w:rPr>
          <w:rFonts w:hint="eastAsia" w:ascii="宋体" w:hAnsi="宋体" w:eastAsia="宋体" w:cs="宋体"/>
          <w:spacing w:val="-6"/>
          <w:sz w:val="21"/>
          <w:szCs w:val="21"/>
          <w:u w:val="single" w:color="auto"/>
        </w:rPr>
        <w:t>由于发包人延误，</w:t>
      </w:r>
      <w:r>
        <w:rPr>
          <w:rFonts w:hint="eastAsia" w:ascii="宋体" w:hAnsi="宋体" w:eastAsia="宋体" w:cs="宋体"/>
          <w:spacing w:val="-33"/>
          <w:sz w:val="21"/>
          <w:szCs w:val="21"/>
          <w:u w:val="single" w:color="auto"/>
        </w:rPr>
        <w:t xml:space="preserve"> </w:t>
      </w:r>
      <w:r>
        <w:rPr>
          <w:rFonts w:hint="eastAsia" w:ascii="宋体" w:hAnsi="宋体" w:eastAsia="宋体" w:cs="宋体"/>
          <w:spacing w:val="-6"/>
          <w:sz w:val="21"/>
          <w:szCs w:val="21"/>
          <w:u w:val="single" w:color="auto"/>
        </w:rPr>
        <w:t>工期顺延（须得到</w:t>
      </w:r>
      <w:r>
        <w:rPr>
          <w:rFonts w:hint="eastAsia" w:ascii="宋体" w:hAnsi="宋体" w:eastAsia="宋体" w:cs="宋体"/>
          <w:spacing w:val="-5"/>
          <w:sz w:val="21"/>
          <w:szCs w:val="21"/>
          <w:u w:val="single" w:color="auto"/>
        </w:rPr>
        <w:t>发包人代表的书面签字认可，承包人同意发包人原因的工期顺延，承包人予索赔）</w:t>
      </w:r>
      <w:r>
        <w:rPr>
          <w:rFonts w:hint="eastAsia" w:ascii="宋体" w:hAnsi="宋体" w:eastAsia="宋体" w:cs="宋体"/>
          <w:color w:val="auto"/>
          <w:highlight w:val="none"/>
        </w:rPr>
        <w:t>。</w:t>
      </w:r>
    </w:p>
    <w:bookmarkEnd w:id="867"/>
    <w:bookmarkEnd w:id="868"/>
    <w:bookmarkEnd w:id="869"/>
    <w:bookmarkEnd w:id="870"/>
    <w:bookmarkEnd w:id="871"/>
    <w:p w14:paraId="119AA293">
      <w:pPr>
        <w:spacing w:line="360" w:lineRule="auto"/>
        <w:ind w:firstLine="420" w:firstLineChars="200"/>
        <w:jc w:val="left"/>
        <w:rPr>
          <w:rFonts w:hint="eastAsia" w:ascii="宋体" w:hAnsi="宋体" w:eastAsia="宋体" w:cs="宋体"/>
          <w:color w:val="auto"/>
          <w:highlight w:val="none"/>
        </w:rPr>
      </w:pPr>
      <w:bookmarkStart w:id="872" w:name="_Toc312678014"/>
      <w:bookmarkStart w:id="873" w:name="_Toc318581171"/>
      <w:r>
        <w:rPr>
          <w:rFonts w:hint="eastAsia" w:ascii="宋体" w:hAnsi="宋体" w:eastAsia="宋体" w:cs="宋体"/>
          <w:color w:val="auto"/>
          <w:highlight w:val="none"/>
        </w:rPr>
        <w:t>因</w:t>
      </w:r>
      <w:bookmarkStart w:id="874" w:name="_Toc312677487"/>
      <w:bookmarkStart w:id="875" w:name="_Toc312678013"/>
      <w:bookmarkStart w:id="876" w:name="_Toc318581170"/>
      <w:r>
        <w:rPr>
          <w:rFonts w:hint="eastAsia" w:ascii="宋体" w:hAnsi="宋体" w:eastAsia="宋体" w:cs="宋体"/>
          <w:color w:val="auto"/>
          <w:highlight w:val="none"/>
        </w:rPr>
        <w:t>承包人原因造成工期延误，逾期竣工违约金的计算方法为：</w:t>
      </w:r>
      <w:r>
        <w:rPr>
          <w:rFonts w:hint="eastAsia" w:ascii="宋体" w:hAnsi="宋体" w:eastAsia="宋体" w:cs="宋体"/>
          <w:color w:val="auto"/>
          <w:highlight w:val="none"/>
          <w:u w:val="single"/>
        </w:rPr>
        <w:t>按逾期竣工的单项工程罚款，每延误一天，按结算价的万分之四处罚，罚款直接从结算款中扣除”。误期时间从规定竣工日期起直到实际竣工日期的天数（扣除发包人批准顺延的工期）</w:t>
      </w:r>
      <w:r>
        <w:rPr>
          <w:rFonts w:hint="eastAsia" w:ascii="宋体" w:hAnsi="宋体" w:eastAsia="宋体" w:cs="宋体"/>
          <w:color w:val="auto"/>
          <w:highlight w:val="none"/>
        </w:rPr>
        <w:t>。</w:t>
      </w:r>
      <w:bookmarkEnd w:id="874"/>
      <w:bookmarkEnd w:id="875"/>
      <w:bookmarkEnd w:id="876"/>
      <w:r>
        <w:rPr>
          <w:rFonts w:hint="eastAsia" w:ascii="宋体" w:hAnsi="宋体" w:eastAsia="宋体" w:cs="宋体"/>
          <w:color w:val="auto"/>
          <w:highlight w:val="none"/>
        </w:rPr>
        <w:t>因承包人原因造成工期延误，逾期竣工违约金的上限：</w:t>
      </w:r>
      <w:r>
        <w:rPr>
          <w:rFonts w:hint="eastAsia" w:ascii="宋体" w:hAnsi="宋体" w:eastAsia="宋体" w:cs="宋体"/>
          <w:color w:val="auto"/>
          <w:highlight w:val="none"/>
          <w:u w:val="single"/>
        </w:rPr>
        <w:t>结算价的5%</w:t>
      </w:r>
      <w:r>
        <w:rPr>
          <w:rFonts w:hint="eastAsia" w:ascii="宋体" w:hAnsi="宋体" w:eastAsia="宋体" w:cs="宋体"/>
          <w:color w:val="auto"/>
          <w:highlight w:val="none"/>
        </w:rPr>
        <w:t>。</w:t>
      </w:r>
    </w:p>
    <w:bookmarkEnd w:id="872"/>
    <w:bookmarkEnd w:id="873"/>
    <w:p w14:paraId="2D9F1277">
      <w:pPr>
        <w:pStyle w:val="4"/>
        <w:rPr>
          <w:rFonts w:hint="eastAsia" w:ascii="宋体" w:hAnsi="宋体" w:eastAsia="宋体" w:cs="宋体"/>
          <w:color w:val="auto"/>
          <w:highlight w:val="none"/>
        </w:rPr>
      </w:pPr>
      <w:bookmarkStart w:id="877" w:name="_Toc407135230"/>
      <w:bookmarkStart w:id="878" w:name="_Toc373227728"/>
      <w:bookmarkStart w:id="879" w:name="_Toc78449816"/>
      <w:bookmarkStart w:id="880" w:name="_Toc888037017"/>
      <w:bookmarkStart w:id="881" w:name="_Toc389065294"/>
      <w:bookmarkStart w:id="882" w:name="_Toc373478375"/>
      <w:bookmarkStart w:id="883" w:name="_Toc1954543271"/>
      <w:r>
        <w:rPr>
          <w:rFonts w:hint="eastAsia" w:ascii="宋体" w:hAnsi="宋体" w:eastAsia="宋体" w:cs="宋体"/>
          <w:color w:val="auto"/>
          <w:highlight w:val="none"/>
        </w:rPr>
        <w:t>7</w:t>
      </w:r>
      <w:bookmarkStart w:id="884" w:name="_Toc297123519"/>
      <w:bookmarkStart w:id="885" w:name="_Toc297216178"/>
      <w:bookmarkStart w:id="886" w:name="_Toc304295549"/>
      <w:bookmarkStart w:id="887" w:name="_Toc303539128"/>
      <w:bookmarkStart w:id="888" w:name="_Toc300934971"/>
      <w:bookmarkStart w:id="889" w:name="_Toc312678015"/>
      <w:r>
        <w:rPr>
          <w:rFonts w:hint="eastAsia" w:ascii="宋体" w:hAnsi="宋体" w:eastAsia="宋体" w:cs="宋体"/>
          <w:color w:val="auto"/>
          <w:highlight w:val="none"/>
        </w:rPr>
        <w:t>.6 不</w:t>
      </w:r>
      <w:bookmarkEnd w:id="884"/>
      <w:bookmarkEnd w:id="885"/>
      <w:bookmarkEnd w:id="886"/>
      <w:bookmarkEnd w:id="887"/>
      <w:bookmarkEnd w:id="888"/>
      <w:bookmarkEnd w:id="889"/>
      <w:r>
        <w:rPr>
          <w:rFonts w:hint="eastAsia" w:ascii="宋体" w:hAnsi="宋体" w:eastAsia="宋体" w:cs="宋体"/>
          <w:color w:val="auto"/>
          <w:highlight w:val="none"/>
        </w:rPr>
        <w:t>利物质条件</w:t>
      </w:r>
      <w:bookmarkEnd w:id="877"/>
      <w:bookmarkEnd w:id="878"/>
      <w:bookmarkEnd w:id="879"/>
      <w:bookmarkEnd w:id="880"/>
      <w:bookmarkEnd w:id="881"/>
      <w:bookmarkEnd w:id="882"/>
      <w:bookmarkEnd w:id="883"/>
    </w:p>
    <w:p w14:paraId="2FCC59C0">
      <w:pPr>
        <w:spacing w:line="360" w:lineRule="auto"/>
        <w:ind w:firstLine="420" w:firstLineChars="200"/>
        <w:jc w:val="left"/>
        <w:rPr>
          <w:rFonts w:hint="eastAsia" w:ascii="宋体" w:hAnsi="宋体" w:eastAsia="宋体" w:cs="宋体"/>
          <w:color w:val="auto"/>
          <w:highlight w:val="none"/>
          <w:u w:val="single"/>
        </w:rPr>
      </w:pPr>
      <w:bookmarkStart w:id="890" w:name="_Toc303539129"/>
      <w:bookmarkStart w:id="891" w:name="_Toc297216179"/>
      <w:bookmarkStart w:id="892" w:name="_Toc304295550"/>
      <w:bookmarkStart w:id="893" w:name="_Toc318581172"/>
      <w:bookmarkStart w:id="894" w:name="_Toc300934972"/>
      <w:bookmarkStart w:id="895" w:name="_Toc312678016"/>
      <w:bookmarkStart w:id="896" w:name="_Toc297123520"/>
      <w:r>
        <w:rPr>
          <w:rFonts w:hint="eastAsia" w:ascii="宋体" w:hAnsi="宋体" w:eastAsia="宋体" w:cs="宋体"/>
          <w:color w:val="auto"/>
          <w:highlight w:val="none"/>
        </w:rPr>
        <w:t>不利物质条件的其他情形和有关约定：</w:t>
      </w:r>
      <w:r>
        <w:rPr>
          <w:rFonts w:hint="eastAsia" w:ascii="宋体" w:hAnsi="宋体" w:eastAsia="宋体" w:cs="宋体"/>
          <w:color w:val="auto"/>
          <w:highlight w:val="none"/>
          <w:u w:val="single"/>
        </w:rPr>
        <w:t>雨雪、冰雹、台风、高温天气、低温天气、停水、 停电、节假日、扰民和民扰、市政影响等不利因素等在总工期内，不另外考虑。如遇国家和政府要求短期（临时）停工的，双方协商处理</w:t>
      </w:r>
      <w:r>
        <w:rPr>
          <w:rFonts w:hint="eastAsia" w:ascii="宋体" w:hAnsi="宋体" w:eastAsia="宋体" w:cs="宋体"/>
          <w:color w:val="auto"/>
          <w:highlight w:val="none"/>
        </w:rPr>
        <w:t>。</w:t>
      </w:r>
    </w:p>
    <w:bookmarkEnd w:id="890"/>
    <w:bookmarkEnd w:id="891"/>
    <w:bookmarkEnd w:id="892"/>
    <w:bookmarkEnd w:id="893"/>
    <w:bookmarkEnd w:id="894"/>
    <w:bookmarkEnd w:id="895"/>
    <w:bookmarkEnd w:id="896"/>
    <w:p w14:paraId="190F6053">
      <w:pPr>
        <w:pStyle w:val="4"/>
        <w:rPr>
          <w:rFonts w:hint="eastAsia" w:ascii="宋体" w:hAnsi="宋体" w:eastAsia="宋体" w:cs="宋体"/>
          <w:color w:val="auto"/>
          <w:highlight w:val="none"/>
        </w:rPr>
      </w:pPr>
      <w:bookmarkStart w:id="897" w:name="_Toc78449817"/>
      <w:bookmarkStart w:id="898" w:name="_Toc2031116443"/>
      <w:bookmarkStart w:id="899" w:name="_Toc389065295"/>
      <w:bookmarkStart w:id="900" w:name="_Toc851880484"/>
      <w:bookmarkStart w:id="901" w:name="_Toc373227729"/>
      <w:bookmarkStart w:id="902" w:name="_Toc373478376"/>
      <w:bookmarkStart w:id="903" w:name="_Toc407135231"/>
      <w:r>
        <w:rPr>
          <w:rFonts w:hint="eastAsia" w:ascii="宋体" w:hAnsi="宋体" w:eastAsia="宋体" w:cs="宋体"/>
          <w:color w:val="auto"/>
          <w:highlight w:val="none"/>
        </w:rPr>
        <w:t>7</w:t>
      </w:r>
      <w:bookmarkStart w:id="904" w:name="_Toc300934973"/>
      <w:bookmarkStart w:id="905" w:name="_Toc304295551"/>
      <w:bookmarkStart w:id="906" w:name="_Toc297123521"/>
      <w:bookmarkStart w:id="907" w:name="_Toc297216180"/>
      <w:bookmarkStart w:id="908" w:name="_Toc312678017"/>
      <w:bookmarkStart w:id="909" w:name="_Toc303539130"/>
      <w:r>
        <w:rPr>
          <w:rFonts w:hint="eastAsia" w:ascii="宋体" w:hAnsi="宋体" w:eastAsia="宋体" w:cs="宋体"/>
          <w:color w:val="auto"/>
          <w:highlight w:val="none"/>
        </w:rPr>
        <w:t>.7 异常恶劣的气候条件</w:t>
      </w:r>
      <w:bookmarkEnd w:id="897"/>
      <w:bookmarkEnd w:id="898"/>
      <w:bookmarkEnd w:id="899"/>
      <w:bookmarkEnd w:id="900"/>
      <w:bookmarkEnd w:id="901"/>
      <w:bookmarkEnd w:id="902"/>
      <w:bookmarkEnd w:id="903"/>
    </w:p>
    <w:bookmarkEnd w:id="904"/>
    <w:bookmarkEnd w:id="905"/>
    <w:bookmarkEnd w:id="906"/>
    <w:bookmarkEnd w:id="907"/>
    <w:bookmarkEnd w:id="908"/>
    <w:bookmarkEnd w:id="909"/>
    <w:p w14:paraId="204AE2F2">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发包人和承包人同意以下情形视为异常恶劣的气候条件：</w:t>
      </w:r>
    </w:p>
    <w:p w14:paraId="06939DE7">
      <w:pPr>
        <w:spacing w:line="360" w:lineRule="auto"/>
        <w:ind w:firstLine="420" w:firstLineChars="200"/>
        <w:jc w:val="left"/>
        <w:rPr>
          <w:rFonts w:hint="eastAsia" w:ascii="宋体" w:hAnsi="宋体" w:eastAsia="宋体" w:cs="宋体"/>
          <w:color w:val="000000"/>
          <w:szCs w:val="21"/>
        </w:rPr>
      </w:pPr>
      <w:bookmarkStart w:id="910" w:name="_Toc407135232"/>
      <w:bookmarkStart w:id="911" w:name="_Toc78449818"/>
      <w:bookmarkStart w:id="912" w:name="_Toc389065296"/>
      <w:bookmarkStart w:id="913" w:name="_Toc657185480"/>
      <w:bookmarkStart w:id="914" w:name="_Toc373478377"/>
      <w:bookmarkStart w:id="915" w:name="_Toc373227730"/>
      <w:bookmarkStart w:id="916" w:name="_Toc2087373611"/>
      <w:r>
        <w:rPr>
          <w:rFonts w:hint="eastAsia" w:ascii="宋体" w:hAnsi="宋体" w:eastAsia="宋体" w:cs="宋体"/>
          <w:color w:val="000000"/>
          <w:szCs w:val="21"/>
        </w:rPr>
        <w:t>(1)持续高温: 连续三日最高温气温38度以上；</w:t>
      </w:r>
    </w:p>
    <w:p w14:paraId="664DC5DA">
      <w:pPr>
        <w:spacing w:line="360" w:lineRule="auto"/>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(2)连续低温:连续三日最低气温-20度以上；</w:t>
      </w:r>
    </w:p>
    <w:p w14:paraId="5FFEF06E">
      <w:pPr>
        <w:spacing w:line="360" w:lineRule="auto"/>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(3)大风天气：施工水域日风力在6级以上且持续时间不少于4小时，或阵风大于8级；</w:t>
      </w:r>
    </w:p>
    <w:p w14:paraId="57B189D0">
      <w:pPr>
        <w:spacing w:line="360" w:lineRule="auto"/>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(4)暴雨天气：日降雨量 50mm 以上,或将与强度大于 20mm∕h；</w:t>
      </w:r>
    </w:p>
    <w:p w14:paraId="3B4AE347">
      <w:pPr>
        <w:spacing w:line="360" w:lineRule="auto"/>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(5)暴雪天气日降雪量 10mm 以上；</w:t>
      </w:r>
    </w:p>
    <w:p w14:paraId="02943B8A">
      <w:pPr>
        <w:spacing w:line="360" w:lineRule="auto"/>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(6)流速或波浪：内河3.5米∕秒以上的流速，海上2米及以上的大浪和强浪；</w:t>
      </w:r>
    </w:p>
    <w:p w14:paraId="5E44D765">
      <w:pPr>
        <w:spacing w:line="360" w:lineRule="auto"/>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(7)水淹：施工场地大部分或全部被潮水、洪水或雨水淹没超过一天；</w:t>
      </w:r>
    </w:p>
    <w:p w14:paraId="411E2718">
      <w:pPr>
        <w:spacing w:line="360" w:lineRule="auto"/>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(8)大雾：能见度小于50米的雾天超过1天。</w:t>
      </w:r>
    </w:p>
    <w:p w14:paraId="17752B32">
      <w:pPr>
        <w:pStyle w:val="4"/>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 xml:space="preserve">7.9 </w:t>
      </w:r>
      <w:r>
        <w:rPr>
          <w:rFonts w:hint="eastAsia" w:ascii="宋体" w:hAnsi="宋体" w:eastAsia="宋体" w:cs="宋体"/>
          <w:color w:val="auto"/>
          <w:highlight w:val="none"/>
        </w:rPr>
        <w:t>提前竣工</w:t>
      </w:r>
      <w:bookmarkEnd w:id="910"/>
      <w:bookmarkEnd w:id="911"/>
      <w:bookmarkEnd w:id="912"/>
      <w:bookmarkEnd w:id="913"/>
      <w:bookmarkEnd w:id="914"/>
      <w:bookmarkEnd w:id="915"/>
      <w:bookmarkEnd w:id="916"/>
    </w:p>
    <w:p w14:paraId="39E6B853">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7.9.2提前竣工（赶工）增加费的计算方法：</w:t>
      </w:r>
      <w:r>
        <w:rPr>
          <w:rFonts w:hint="eastAsia" w:ascii="宋体" w:hAnsi="宋体" w:eastAsia="宋体" w:cs="宋体"/>
          <w:color w:val="auto"/>
          <w:highlight w:val="none"/>
          <w:u w:val="single"/>
          <w:lang w:eastAsia="zh-CN"/>
        </w:rPr>
        <w:t>无</w:t>
      </w:r>
      <w:r>
        <w:rPr>
          <w:rFonts w:hint="eastAsia" w:ascii="宋体" w:hAnsi="宋体" w:eastAsia="宋体" w:cs="宋体"/>
          <w:color w:val="auto"/>
          <w:highlight w:val="none"/>
        </w:rPr>
        <w:t>。</w:t>
      </w:r>
    </w:p>
    <w:p w14:paraId="353ABD1E">
      <w:pPr>
        <w:pStyle w:val="3"/>
        <w:rPr>
          <w:rFonts w:hint="eastAsia" w:ascii="宋体" w:hAnsi="宋体" w:eastAsia="宋体" w:cs="宋体"/>
          <w:color w:val="auto"/>
          <w:highlight w:val="none"/>
        </w:rPr>
      </w:pPr>
      <w:bookmarkStart w:id="917" w:name="_Toc373227731"/>
      <w:bookmarkStart w:id="918" w:name="_Toc407135233"/>
      <w:bookmarkStart w:id="919" w:name="_Toc373478378"/>
      <w:bookmarkStart w:id="920" w:name="_Toc78449819"/>
      <w:bookmarkStart w:id="921" w:name="_Toc351203640"/>
      <w:bookmarkStart w:id="922" w:name="_Toc1400878670"/>
      <w:bookmarkStart w:id="923" w:name="_Toc1302158431"/>
      <w:bookmarkStart w:id="924" w:name="_Toc389065297"/>
      <w:r>
        <w:rPr>
          <w:rFonts w:hint="eastAsia" w:ascii="宋体" w:hAnsi="宋体" w:eastAsia="宋体" w:cs="宋体"/>
          <w:color w:val="auto"/>
          <w:highlight w:val="none"/>
        </w:rPr>
        <w:t>8. 材料与设备</w:t>
      </w:r>
      <w:bookmarkEnd w:id="917"/>
      <w:bookmarkEnd w:id="918"/>
      <w:bookmarkEnd w:id="919"/>
      <w:bookmarkEnd w:id="920"/>
      <w:bookmarkEnd w:id="921"/>
      <w:bookmarkEnd w:id="922"/>
      <w:bookmarkEnd w:id="923"/>
      <w:bookmarkEnd w:id="924"/>
    </w:p>
    <w:bookmarkEnd w:id="761"/>
    <w:bookmarkEnd w:id="762"/>
    <w:bookmarkEnd w:id="763"/>
    <w:bookmarkEnd w:id="764"/>
    <w:bookmarkEnd w:id="765"/>
    <w:bookmarkEnd w:id="766"/>
    <w:bookmarkEnd w:id="767"/>
    <w:bookmarkEnd w:id="768"/>
    <w:bookmarkEnd w:id="769"/>
    <w:bookmarkEnd w:id="770"/>
    <w:p w14:paraId="38034C7F">
      <w:pPr>
        <w:pStyle w:val="4"/>
        <w:rPr>
          <w:rFonts w:hint="eastAsia" w:ascii="宋体" w:hAnsi="宋体" w:eastAsia="宋体" w:cs="宋体"/>
          <w:color w:val="auto"/>
          <w:highlight w:val="none"/>
        </w:rPr>
      </w:pPr>
      <w:bookmarkStart w:id="925" w:name="_Toc373478379"/>
      <w:bookmarkStart w:id="926" w:name="_Toc1119561048"/>
      <w:bookmarkStart w:id="927" w:name="_Toc1078610395"/>
      <w:bookmarkStart w:id="928" w:name="_Toc78449820"/>
      <w:bookmarkStart w:id="929" w:name="_Toc373227732"/>
      <w:bookmarkStart w:id="930" w:name="_Toc389065298"/>
      <w:bookmarkStart w:id="931" w:name="_Toc407135234"/>
      <w:r>
        <w:rPr>
          <w:rFonts w:hint="eastAsia" w:ascii="宋体" w:hAnsi="宋体" w:eastAsia="宋体" w:cs="宋体"/>
          <w:color w:val="auto"/>
          <w:highlight w:val="none"/>
        </w:rPr>
        <w:t>8.2 承包人采购材料与工程设备</w:t>
      </w:r>
      <w:bookmarkEnd w:id="925"/>
      <w:bookmarkEnd w:id="926"/>
      <w:bookmarkEnd w:id="927"/>
      <w:bookmarkEnd w:id="928"/>
      <w:bookmarkEnd w:id="929"/>
      <w:bookmarkEnd w:id="930"/>
      <w:bookmarkEnd w:id="931"/>
    </w:p>
    <w:p w14:paraId="1A22E0F6">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kern w:val="0"/>
          <w:highlight w:val="none"/>
        </w:rPr>
        <w:t>除已标价工程量清单《发包人提供主要材料和工程设备一览表》（表-21）中明确的材料、工程设备外，由承包人负责材料和工程设备的采购、运输和保管。</w:t>
      </w:r>
      <w:bookmarkStart w:id="932" w:name="_Toc373227733"/>
      <w:bookmarkStart w:id="933" w:name="_Toc389065299"/>
      <w:bookmarkStart w:id="934" w:name="_Toc373478380"/>
    </w:p>
    <w:p w14:paraId="2703DC25">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对发包人在</w:t>
      </w:r>
      <w:r>
        <w:rPr>
          <w:rFonts w:hint="eastAsia" w:ascii="宋体" w:hAnsi="宋体" w:eastAsia="宋体" w:cs="宋体"/>
          <w:color w:val="auto"/>
          <w:highlight w:val="none"/>
          <w:lang w:val="en-US" w:eastAsia="zh-CN"/>
        </w:rPr>
        <w:t>提供的</w:t>
      </w:r>
      <w:r>
        <w:rPr>
          <w:rFonts w:hint="eastAsia" w:ascii="宋体" w:hAnsi="宋体" w:eastAsia="宋体" w:cs="宋体"/>
          <w:color w:val="auto"/>
          <w:highlight w:val="none"/>
        </w:rPr>
        <w:t>招标</w:t>
      </w:r>
      <w:r>
        <w:rPr>
          <w:rFonts w:hint="eastAsia" w:ascii="宋体" w:hAnsi="宋体" w:eastAsia="宋体" w:cs="宋体"/>
          <w:color w:val="auto"/>
          <w:highlight w:val="none"/>
          <w:lang w:val="en-US" w:eastAsia="zh-CN"/>
        </w:rPr>
        <w:t>控制价</w:t>
      </w:r>
      <w:r>
        <w:rPr>
          <w:rFonts w:hint="eastAsia" w:ascii="宋体" w:hAnsi="宋体" w:eastAsia="宋体" w:cs="宋体"/>
          <w:color w:val="auto"/>
          <w:highlight w:val="none"/>
        </w:rPr>
        <w:t>时有“参照或相当于**品牌、级别”约定的材料或设备，承包人采购时必须按类似于或优于所约定品牌、等级进行采购，施工期间该部分材料或设备如未超过招标约定的风险幅度的，结算时按</w:t>
      </w:r>
      <w:r>
        <w:rPr>
          <w:rFonts w:hint="eastAsia" w:ascii="宋体" w:hAnsi="宋体" w:eastAsia="宋体" w:cs="宋体"/>
          <w:color w:val="auto"/>
          <w:highlight w:val="none"/>
          <w:lang w:val="en-US" w:eastAsia="zh-CN"/>
        </w:rPr>
        <w:t>招标控制价</w:t>
      </w:r>
      <w:r>
        <w:rPr>
          <w:rFonts w:hint="eastAsia" w:ascii="宋体" w:hAnsi="宋体" w:eastAsia="宋体" w:cs="宋体"/>
          <w:color w:val="auto"/>
          <w:highlight w:val="none"/>
        </w:rPr>
        <w:t>单价支付，不得调整。</w:t>
      </w:r>
    </w:p>
    <w:p w14:paraId="524A9E0C">
      <w:pPr>
        <w:pStyle w:val="22"/>
        <w:autoSpaceDE w:val="0"/>
        <w:autoSpaceDN w:val="0"/>
        <w:adjustRightInd w:val="0"/>
        <w:spacing w:line="360" w:lineRule="auto"/>
        <w:ind w:firstLine="420" w:firstLineChars="200"/>
        <w:jc w:val="left"/>
        <w:rPr>
          <w:rStyle w:val="23"/>
          <w:rFonts w:hint="eastAsia" w:ascii="宋体" w:hAnsi="宋体" w:eastAsia="宋体" w:cs="宋体"/>
          <w:highlight w:val="none"/>
        </w:rPr>
      </w:pPr>
      <w:r>
        <w:rPr>
          <w:rStyle w:val="23"/>
          <w:rFonts w:hint="eastAsia" w:ascii="宋体" w:hAnsi="宋体" w:eastAsia="宋体" w:cs="宋体"/>
          <w:highlight w:val="none"/>
        </w:rPr>
        <w:t>满足南宁市城乡建设委员会南宁市工业和信息化委员会关于重新印发《南宁市城乡建设委员会和南宁市工业和信息化委员会关于推广应用高性能混凝土的通知》的通知（南建规【2016】1号）要求的，本工程</w:t>
      </w:r>
      <w:r>
        <w:rPr>
          <w:rStyle w:val="23"/>
          <w:rFonts w:hint="eastAsia" w:ascii="宋体" w:hAnsi="宋体" w:eastAsia="宋体" w:cs="宋体"/>
          <w:highlight w:val="none"/>
          <w:lang w:val="en-US" w:eastAsia="zh-CN"/>
        </w:rPr>
        <w:t>如需使用，</w:t>
      </w:r>
      <w:r>
        <w:rPr>
          <w:rStyle w:val="23"/>
          <w:rFonts w:hint="eastAsia" w:ascii="宋体" w:hAnsi="宋体" w:eastAsia="宋体" w:cs="宋体"/>
          <w:highlight w:val="none"/>
        </w:rPr>
        <w:t xml:space="preserve">必须使用高性能混凝土。 </w:t>
      </w:r>
    </w:p>
    <w:p w14:paraId="37CAFA3E">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Style w:val="23"/>
          <w:rFonts w:hint="eastAsia" w:ascii="宋体" w:hAnsi="宋体" w:eastAsia="宋体" w:cs="宋体"/>
          <w:highlight w:val="none"/>
        </w:rPr>
        <w:t>满足南宁市人民政府印发的《南宁市人民政府关于推广使用预拌砂浆的实施意见》（南府规〔2016〕12 号）要求的，本工程</w:t>
      </w:r>
      <w:r>
        <w:rPr>
          <w:rStyle w:val="23"/>
          <w:rFonts w:hint="eastAsia" w:ascii="宋体" w:hAnsi="宋体" w:eastAsia="宋体" w:cs="宋体"/>
          <w:highlight w:val="none"/>
          <w:lang w:val="en-US" w:eastAsia="zh-CN"/>
        </w:rPr>
        <w:t>如需使用，</w:t>
      </w:r>
      <w:r>
        <w:rPr>
          <w:rStyle w:val="23"/>
          <w:rFonts w:hint="eastAsia" w:ascii="宋体" w:hAnsi="宋体" w:eastAsia="宋体" w:cs="宋体"/>
          <w:highlight w:val="none"/>
        </w:rPr>
        <w:t>必须使用预拌砂浆。</w:t>
      </w:r>
    </w:p>
    <w:p w14:paraId="0612F58B">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禁止使用松木、松木包装材料设备、种子、苗木、花卉及繁殖材料。除已标价工程量清单《发包人提供主要材料和工程设备一览表》（表-21）中明确的材料、工程设备外，由承包人负责材料和工程设备的采购、运输和保管。</w:t>
      </w:r>
    </w:p>
    <w:p w14:paraId="6FAAB8DA">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8.2.1 凡属承包范围内的所有材料、设备均由承包人自行采购，承包人应按合同（图纸） 规定的品牌、规格、数量、产地、技术参数等组织采购，但采购前需要携带本材料、设备的原产地 证明、出厂检验报告及产品合格证书提前报监理工程师审核，发包人确认方可采购；承包人若未经监理工程师及发包人确认， 所采购的材料、设备，发包人有权让承包人更换， 由此产生的一切损失由承包人承担；</w:t>
      </w:r>
    </w:p>
    <w:p w14:paraId="0922FC56">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8.2.2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承包人采购供应的材料、设备，在开箱验收前 24 小时内，向发包人和监理工程师提出开箱 检验请求，经发包人和监理工程师验收合格并签署意见后方可 使用， 经开箱验收的材料、设备并不等同于最终的质量合格；</w:t>
      </w:r>
    </w:p>
    <w:p w14:paraId="4ECE1E4B">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8.2.3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若发现承包人以伪劣产品充抵或与发包人确认的材料设备不符、与设计或标准的材料设备不符，发包人有权让承包人更换直到发包人和监理工程师确认验收合格，并按该批材料、设备价格总额的10% 对承包人进行罚款，由发包人从进度款中直接扣抵，经验收后及在施工过程中发生设备、材料丢失或损坏，均由承包人自负；</w:t>
      </w:r>
    </w:p>
    <w:p w14:paraId="7A2DF39B">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8.2.4</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承包人提供的材料设备产品的质量必须符合设计要求及国家建材行业和机电行业等标准要求；</w:t>
      </w:r>
    </w:p>
    <w:p w14:paraId="63AEA301">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8.2.5</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因承包人资金投入不足，直接影响工程质量和工期，且无视监 理工程师的多次警告而不做改进，从而引起工程的质量、进度和材料设备准备严重滞后时，发包人有权采取相关措施进行补救，相关措施的费用由承包人承担。</w:t>
      </w:r>
    </w:p>
    <w:p w14:paraId="188F92A4">
      <w:pPr>
        <w:pStyle w:val="4"/>
        <w:rPr>
          <w:rFonts w:hint="eastAsia" w:ascii="宋体" w:hAnsi="宋体" w:eastAsia="宋体" w:cs="宋体"/>
          <w:color w:val="auto"/>
          <w:highlight w:val="none"/>
        </w:rPr>
      </w:pPr>
      <w:bookmarkStart w:id="935" w:name="_Toc800965933"/>
      <w:bookmarkStart w:id="936" w:name="_Toc407135235"/>
      <w:bookmarkStart w:id="937" w:name="_Toc78449821"/>
      <w:bookmarkStart w:id="938" w:name="_Toc1355357553"/>
      <w:r>
        <w:rPr>
          <w:rFonts w:hint="eastAsia" w:ascii="宋体" w:hAnsi="宋体" w:eastAsia="宋体" w:cs="宋体"/>
          <w:color w:val="auto"/>
          <w:highlight w:val="none"/>
        </w:rPr>
        <w:t>8</w:t>
      </w:r>
      <w:bookmarkStart w:id="939" w:name="_Toc303539136"/>
      <w:bookmarkStart w:id="940" w:name="_Toc297216186"/>
      <w:bookmarkStart w:id="941" w:name="_Toc296891207"/>
      <w:bookmarkStart w:id="942" w:name="_Toc300934979"/>
      <w:bookmarkStart w:id="943" w:name="_Toc297123527"/>
      <w:bookmarkStart w:id="944" w:name="_Toc292559877"/>
      <w:bookmarkStart w:id="945" w:name="_Toc296503167"/>
      <w:bookmarkStart w:id="946" w:name="_Toc292559372"/>
      <w:bookmarkStart w:id="947" w:name="_Toc296347166"/>
      <w:bookmarkStart w:id="948" w:name="_Toc296346668"/>
      <w:bookmarkStart w:id="949" w:name="_Toc304295556"/>
      <w:bookmarkStart w:id="950" w:name="_Toc297120467"/>
      <w:bookmarkStart w:id="951" w:name="_Toc297048353"/>
      <w:bookmarkStart w:id="952" w:name="_Toc296944506"/>
      <w:bookmarkStart w:id="953" w:name="_Toc312677493"/>
      <w:bookmarkStart w:id="954" w:name="_Toc296890995"/>
      <w:bookmarkStart w:id="955" w:name="_Toc312678019"/>
      <w:bookmarkStart w:id="956" w:name="_Toc280868654"/>
      <w:bookmarkStart w:id="957" w:name="_Toc280868656"/>
      <w:bookmarkStart w:id="958" w:name="_Toc280868655"/>
      <w:bookmarkStart w:id="959" w:name="_Toc267251424"/>
      <w:r>
        <w:rPr>
          <w:rFonts w:hint="eastAsia" w:ascii="宋体" w:hAnsi="宋体" w:eastAsia="宋体" w:cs="宋体"/>
          <w:color w:val="auto"/>
          <w:highlight w:val="none"/>
        </w:rPr>
        <w:t>.4 材料与工程设备的保管与使用</w:t>
      </w:r>
      <w:bookmarkEnd w:id="932"/>
      <w:bookmarkEnd w:id="933"/>
      <w:bookmarkEnd w:id="934"/>
      <w:bookmarkEnd w:id="935"/>
      <w:bookmarkEnd w:id="936"/>
      <w:bookmarkEnd w:id="937"/>
      <w:bookmarkEnd w:id="938"/>
    </w:p>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14:paraId="71C08ADC">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8</w:t>
      </w:r>
      <w:bookmarkStart w:id="960" w:name="_Toc292559878"/>
      <w:bookmarkStart w:id="961" w:name="_Toc292559373"/>
      <w:bookmarkStart w:id="962" w:name="_Toc296503168"/>
      <w:bookmarkStart w:id="963" w:name="_Toc296346669"/>
      <w:bookmarkStart w:id="964" w:name="_Toc300934980"/>
      <w:bookmarkStart w:id="965" w:name="_Toc296891208"/>
      <w:bookmarkStart w:id="966" w:name="_Toc296944507"/>
      <w:bookmarkStart w:id="967" w:name="_Toc318581173"/>
      <w:bookmarkStart w:id="968" w:name="_Toc312677494"/>
      <w:bookmarkStart w:id="969" w:name="_Toc297123528"/>
      <w:bookmarkStart w:id="970" w:name="_Toc296347167"/>
      <w:bookmarkStart w:id="971" w:name="_Toc312678020"/>
      <w:bookmarkStart w:id="972" w:name="_Toc304295557"/>
      <w:bookmarkStart w:id="973" w:name="_Toc303539137"/>
      <w:bookmarkStart w:id="974" w:name="_Toc297120468"/>
      <w:bookmarkStart w:id="975" w:name="_Toc296890996"/>
      <w:bookmarkStart w:id="976" w:name="_Toc297216187"/>
      <w:bookmarkStart w:id="977" w:name="_Toc297048354"/>
      <w:r>
        <w:rPr>
          <w:rFonts w:hint="eastAsia" w:ascii="宋体" w:hAnsi="宋体" w:eastAsia="宋体" w:cs="宋体"/>
          <w:color w:val="auto"/>
          <w:highlight w:val="none"/>
        </w:rPr>
        <w:t>.4.1发包人供应的材料设备的保管费用的承担：</w:t>
      </w:r>
      <w:r>
        <w:rPr>
          <w:rFonts w:hint="eastAsia" w:ascii="宋体" w:hAnsi="宋体" w:eastAsia="宋体" w:cs="宋体"/>
          <w:color w:val="auto"/>
          <w:highlight w:val="none"/>
          <w:u w:val="single"/>
          <w:lang w:eastAsia="zh-CN"/>
        </w:rPr>
        <w:t>由承包人承担，含在</w:t>
      </w:r>
      <w:r>
        <w:rPr>
          <w:rFonts w:hint="eastAsia" w:ascii="宋体" w:hAnsi="宋体" w:eastAsia="宋体" w:cs="宋体"/>
          <w:color w:val="auto"/>
          <w:highlight w:val="none"/>
          <w:u w:val="single"/>
          <w:lang w:val="en-US" w:eastAsia="zh-CN"/>
        </w:rPr>
        <w:t>合同价</w:t>
      </w:r>
      <w:r>
        <w:rPr>
          <w:rFonts w:hint="eastAsia" w:ascii="宋体" w:hAnsi="宋体" w:eastAsia="宋体" w:cs="宋体"/>
          <w:color w:val="auto"/>
          <w:highlight w:val="none"/>
          <w:u w:val="single"/>
          <w:lang w:eastAsia="zh-CN"/>
        </w:rPr>
        <w:t>中</w:t>
      </w:r>
      <w:r>
        <w:rPr>
          <w:rFonts w:hint="eastAsia" w:ascii="宋体" w:hAnsi="宋体" w:eastAsia="宋体" w:cs="宋体"/>
          <w:color w:val="auto"/>
          <w:highlight w:val="none"/>
        </w:rPr>
        <w:t>。</w:t>
      </w:r>
    </w:p>
    <w:bookmarkEnd w:id="960"/>
    <w:bookmarkEnd w:id="961"/>
    <w:p w14:paraId="2276D5FD">
      <w:pPr>
        <w:pStyle w:val="4"/>
        <w:rPr>
          <w:rFonts w:hint="eastAsia" w:ascii="宋体" w:hAnsi="宋体" w:eastAsia="宋体" w:cs="宋体"/>
          <w:color w:val="auto"/>
          <w:highlight w:val="none"/>
        </w:rPr>
      </w:pPr>
      <w:bookmarkStart w:id="978" w:name="_Toc407135236"/>
      <w:bookmarkStart w:id="979" w:name="_Toc373478381"/>
      <w:bookmarkStart w:id="980" w:name="_Toc78449822"/>
      <w:bookmarkStart w:id="981" w:name="_Toc373227734"/>
      <w:bookmarkStart w:id="982" w:name="_Toc1948522881"/>
      <w:bookmarkStart w:id="983" w:name="_Toc125914831"/>
      <w:bookmarkStart w:id="984" w:name="_Toc389065300"/>
      <w:r>
        <w:rPr>
          <w:rFonts w:hint="eastAsia" w:ascii="宋体" w:hAnsi="宋体" w:eastAsia="宋体" w:cs="宋体"/>
          <w:color w:val="auto"/>
          <w:highlight w:val="none"/>
        </w:rPr>
        <w:t>8.6 样品</w:t>
      </w:r>
      <w:bookmarkEnd w:id="978"/>
      <w:bookmarkEnd w:id="979"/>
      <w:bookmarkEnd w:id="980"/>
      <w:bookmarkEnd w:id="981"/>
      <w:bookmarkEnd w:id="982"/>
      <w:bookmarkEnd w:id="983"/>
      <w:bookmarkEnd w:id="984"/>
    </w:p>
    <w:p w14:paraId="30F3AF7F">
      <w:pPr>
        <w:autoSpaceDE w:val="0"/>
        <w:autoSpaceDN w:val="0"/>
        <w:adjustRightInd w:val="0"/>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8.6.1 样品的报送与封存</w:t>
      </w:r>
    </w:p>
    <w:p w14:paraId="773B8544">
      <w:pPr>
        <w:autoSpaceDE w:val="0"/>
        <w:autoSpaceDN w:val="0"/>
        <w:adjustRightInd w:val="0"/>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kern w:val="0"/>
          <w:highlight w:val="none"/>
        </w:rPr>
        <w:t>需要承包人报送样品的材料或工程设备，样品的种类、名称、规格、数量要求：</w:t>
      </w:r>
      <w:r>
        <w:rPr>
          <w:rFonts w:hint="eastAsia" w:ascii="宋体" w:hAnsi="宋体" w:eastAsia="宋体" w:cs="宋体"/>
          <w:color w:val="auto"/>
          <w:highlight w:val="none"/>
          <w:u w:val="single"/>
        </w:rPr>
        <w:t>主要材料涉及品种、款式、颜色等方面内容的，承包人应提交准备合格的材料样品送发包人选定。</w:t>
      </w:r>
    </w:p>
    <w:p w14:paraId="3FB980C9">
      <w:pPr>
        <w:pStyle w:val="4"/>
        <w:rPr>
          <w:rFonts w:hint="eastAsia" w:ascii="宋体" w:hAnsi="宋体" w:eastAsia="宋体" w:cs="宋体"/>
          <w:color w:val="auto"/>
          <w:highlight w:val="none"/>
        </w:rPr>
      </w:pPr>
      <w:bookmarkStart w:id="985" w:name="_Toc1049576644"/>
      <w:bookmarkStart w:id="986" w:name="_Toc78449823"/>
      <w:bookmarkStart w:id="987" w:name="_Toc373478382"/>
      <w:bookmarkStart w:id="988" w:name="_Toc373227735"/>
      <w:bookmarkStart w:id="989" w:name="_Toc389065301"/>
      <w:bookmarkStart w:id="990" w:name="_Toc997640704"/>
      <w:bookmarkStart w:id="991" w:name="_Toc407135237"/>
      <w:r>
        <w:rPr>
          <w:rFonts w:hint="eastAsia" w:ascii="宋体" w:hAnsi="宋体" w:eastAsia="宋体" w:cs="宋体"/>
          <w:color w:val="auto"/>
          <w:highlight w:val="none"/>
        </w:rPr>
        <w:t>8.8 施工设备和临时设施</w:t>
      </w:r>
      <w:bookmarkEnd w:id="985"/>
      <w:bookmarkEnd w:id="986"/>
      <w:bookmarkEnd w:id="987"/>
      <w:bookmarkEnd w:id="988"/>
      <w:bookmarkEnd w:id="989"/>
      <w:bookmarkEnd w:id="990"/>
      <w:bookmarkEnd w:id="991"/>
    </w:p>
    <w:p w14:paraId="5401E48B">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8.8.1 承包人提供的施工设备和临时设施</w:t>
      </w:r>
    </w:p>
    <w:p w14:paraId="1566684F">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w:t>
      </w:r>
    </w:p>
    <w:p w14:paraId="32D69571">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关于修建临时设施费用承担的约定：</w:t>
      </w:r>
    </w:p>
    <w:p w14:paraId="2106DA9C">
      <w:pPr>
        <w:autoSpaceDE w:val="0"/>
        <w:autoSpaceDN w:val="0"/>
        <w:adjustRightInd w:val="0"/>
        <w:spacing w:line="360" w:lineRule="auto"/>
        <w:ind w:firstLine="420" w:firstLineChars="200"/>
        <w:jc w:val="left"/>
        <w:rPr>
          <w:rFonts w:hint="eastAsia" w:ascii="宋体" w:hAnsi="宋体" w:eastAsia="宋体" w:cs="宋体"/>
          <w:color w:val="000000"/>
          <w:szCs w:val="21"/>
          <w:u w:val="single"/>
        </w:rPr>
      </w:pPr>
      <w:r>
        <w:rPr>
          <w:rFonts w:hint="eastAsia" w:ascii="宋体" w:hAnsi="宋体" w:eastAsia="宋体" w:cs="宋体"/>
          <w:color w:val="000000"/>
          <w:szCs w:val="21"/>
          <w:u w:val="single"/>
        </w:rPr>
        <w:t>①承包人的临时用地（含项目部驻地等）租用费（含拆迁补偿）、临时用地的环保、恢复、临时用地的青苗补偿及地面附着物拆除等费用均由承包人负责，以上费用在</w:t>
      </w:r>
      <w:r>
        <w:rPr>
          <w:rFonts w:hint="eastAsia" w:ascii="宋体" w:hAnsi="宋体" w:eastAsia="宋体" w:cs="宋体"/>
          <w:color w:val="000000"/>
          <w:szCs w:val="21"/>
          <w:u w:val="single"/>
          <w:lang w:val="en-US" w:eastAsia="zh-CN"/>
        </w:rPr>
        <w:t>合同价</w:t>
      </w:r>
      <w:r>
        <w:rPr>
          <w:rFonts w:hint="eastAsia" w:ascii="宋体" w:hAnsi="宋体" w:eastAsia="宋体" w:cs="宋体"/>
          <w:color w:val="000000"/>
          <w:szCs w:val="21"/>
          <w:u w:val="single"/>
        </w:rPr>
        <w:t>中综合考虑。</w:t>
      </w:r>
    </w:p>
    <w:p w14:paraId="4E8DEC57">
      <w:pPr>
        <w:autoSpaceDE w:val="0"/>
        <w:autoSpaceDN w:val="0"/>
        <w:adjustRightInd w:val="0"/>
        <w:spacing w:line="360" w:lineRule="auto"/>
        <w:ind w:firstLine="420" w:firstLineChars="200"/>
        <w:jc w:val="left"/>
        <w:rPr>
          <w:rFonts w:hint="eastAsia" w:ascii="宋体" w:hAnsi="宋体" w:eastAsia="宋体" w:cs="宋体"/>
          <w:color w:val="000000"/>
          <w:szCs w:val="21"/>
          <w:u w:val="single"/>
        </w:rPr>
      </w:pPr>
      <w:r>
        <w:rPr>
          <w:rFonts w:hint="eastAsia" w:ascii="宋体" w:hAnsi="宋体" w:eastAsia="宋体" w:cs="宋体"/>
          <w:color w:val="000000"/>
          <w:szCs w:val="21"/>
          <w:u w:val="single"/>
        </w:rPr>
        <w:t>②承包人负责合同实施期间其合同段内临时交通道路（含场内外连接公共交通道路）和交通设施的修建、维修、养护和交通管理工作，并承担一切费用。</w:t>
      </w:r>
    </w:p>
    <w:p w14:paraId="1CB905DD">
      <w:pPr>
        <w:autoSpaceDE w:val="0"/>
        <w:autoSpaceDN w:val="0"/>
        <w:adjustRightInd w:val="0"/>
        <w:spacing w:line="360" w:lineRule="auto"/>
        <w:ind w:firstLine="420" w:firstLineChars="200"/>
        <w:jc w:val="left"/>
        <w:rPr>
          <w:rFonts w:hint="eastAsia" w:ascii="宋体" w:hAnsi="宋体" w:eastAsia="宋体" w:cs="宋体"/>
          <w:color w:val="000000"/>
          <w:szCs w:val="21"/>
          <w:u w:val="single"/>
        </w:rPr>
      </w:pPr>
      <w:r>
        <w:rPr>
          <w:rFonts w:hint="eastAsia" w:ascii="宋体" w:hAnsi="宋体" w:eastAsia="宋体" w:cs="宋体"/>
          <w:color w:val="000000"/>
          <w:szCs w:val="21"/>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2C4DCA6B">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8.8.2 发包人提供的施工设备和临时设施</w:t>
      </w:r>
    </w:p>
    <w:p w14:paraId="5BA0DCAE">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发包人提供的施工设备和临时设施：</w:t>
      </w:r>
      <w:r>
        <w:rPr>
          <w:rFonts w:hint="eastAsia" w:ascii="宋体" w:hAnsi="宋体" w:eastAsia="宋体" w:cs="宋体"/>
          <w:color w:val="auto"/>
          <w:highlight w:val="none"/>
          <w:u w:val="single"/>
          <w:lang w:eastAsia="zh-CN"/>
        </w:rPr>
        <w:t>无</w:t>
      </w:r>
      <w:r>
        <w:rPr>
          <w:rFonts w:hint="eastAsia" w:ascii="宋体" w:hAnsi="宋体" w:eastAsia="宋体" w:cs="宋体"/>
          <w:color w:val="auto"/>
          <w:highlight w:val="none"/>
        </w:rPr>
        <w:t>。</w:t>
      </w:r>
    </w:p>
    <w:p w14:paraId="16DD0016">
      <w:pPr>
        <w:autoSpaceDE w:val="0"/>
        <w:autoSpaceDN w:val="0"/>
        <w:adjustRightIn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发包人提供的施工设备和临时设施的运行、维护、拆除、清运费用的承担人：</w:t>
      </w:r>
      <w:r>
        <w:rPr>
          <w:rFonts w:hint="eastAsia" w:ascii="宋体" w:hAnsi="宋体" w:eastAsia="宋体" w:cs="宋体"/>
          <w:color w:val="auto"/>
          <w:highlight w:val="none"/>
          <w:u w:val="single"/>
          <w:lang w:eastAsia="zh-CN"/>
        </w:rPr>
        <w:t>无</w:t>
      </w:r>
      <w:r>
        <w:rPr>
          <w:rFonts w:hint="eastAsia" w:ascii="宋体" w:hAnsi="宋体" w:eastAsia="宋体" w:cs="宋体"/>
          <w:color w:val="auto"/>
          <w:highlight w:val="none"/>
        </w:rPr>
        <w:t>。</w:t>
      </w:r>
    </w:p>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14:paraId="7F7018F8">
      <w:pPr>
        <w:pStyle w:val="3"/>
        <w:rPr>
          <w:rFonts w:hint="eastAsia" w:ascii="宋体" w:hAnsi="宋体" w:eastAsia="宋体" w:cs="宋体"/>
          <w:color w:val="auto"/>
          <w:highlight w:val="none"/>
        </w:rPr>
      </w:pPr>
      <w:bookmarkStart w:id="992" w:name="_Toc407135238"/>
      <w:bookmarkStart w:id="993" w:name="_Toc373478383"/>
      <w:bookmarkStart w:id="994" w:name="_Toc2027787496"/>
      <w:bookmarkStart w:id="995" w:name="_Toc389065302"/>
      <w:bookmarkStart w:id="996" w:name="_Toc351203641"/>
      <w:bookmarkStart w:id="997" w:name="_Toc78449824"/>
      <w:bookmarkStart w:id="998" w:name="_Toc2039161841"/>
      <w:bookmarkStart w:id="999" w:name="_Toc373227736"/>
      <w:r>
        <w:rPr>
          <w:rFonts w:hint="eastAsia" w:ascii="宋体" w:hAnsi="宋体" w:eastAsia="宋体" w:cs="宋体"/>
          <w:color w:val="auto"/>
          <w:highlight w:val="none"/>
        </w:rPr>
        <w:t>9</w:t>
      </w:r>
      <w:bookmarkEnd w:id="957"/>
      <w:bookmarkEnd w:id="958"/>
      <w:bookmarkEnd w:id="959"/>
      <w:bookmarkStart w:id="1000" w:name="_Toc304295559"/>
      <w:bookmarkStart w:id="1001" w:name="_Toc312677495"/>
      <w:bookmarkStart w:id="1002" w:name="_Toc303539139"/>
      <w:bookmarkStart w:id="1003" w:name="_Toc297216192"/>
      <w:bookmarkStart w:id="1004" w:name="_Toc297123533"/>
      <w:bookmarkStart w:id="1005" w:name="_Toc312678021"/>
      <w:bookmarkStart w:id="1006" w:name="_Toc300934982"/>
      <w:bookmarkStart w:id="1007" w:name="_Toc296944512"/>
      <w:bookmarkStart w:id="1008" w:name="_Toc297120473"/>
      <w:bookmarkStart w:id="1009" w:name="_Toc297048359"/>
      <w:bookmarkStart w:id="1010" w:name="_Toc296503173"/>
      <w:bookmarkStart w:id="1011" w:name="_Toc296347172"/>
      <w:bookmarkStart w:id="1012" w:name="_Toc296891001"/>
      <w:bookmarkStart w:id="1013" w:name="_Toc292559883"/>
      <w:bookmarkStart w:id="1014" w:name="_Toc296346674"/>
      <w:bookmarkStart w:id="1015" w:name="_Toc296891213"/>
      <w:bookmarkStart w:id="1016" w:name="_Toc267251428"/>
      <w:bookmarkStart w:id="1017" w:name="_Toc267251427"/>
      <w:bookmarkStart w:id="1018" w:name="_Toc292559378"/>
      <w:r>
        <w:rPr>
          <w:rFonts w:hint="eastAsia" w:ascii="宋体" w:hAnsi="宋体" w:eastAsia="宋体" w:cs="宋体"/>
          <w:color w:val="auto"/>
          <w:highlight w:val="none"/>
        </w:rPr>
        <w:t>. 试验与检验</w:t>
      </w:r>
      <w:bookmarkEnd w:id="992"/>
      <w:bookmarkEnd w:id="993"/>
      <w:bookmarkEnd w:id="994"/>
      <w:bookmarkEnd w:id="995"/>
      <w:bookmarkEnd w:id="996"/>
      <w:bookmarkEnd w:id="997"/>
      <w:bookmarkEnd w:id="998"/>
      <w:bookmarkEnd w:id="999"/>
    </w:p>
    <w:bookmarkEnd w:id="1000"/>
    <w:bookmarkEnd w:id="1001"/>
    <w:bookmarkEnd w:id="1002"/>
    <w:bookmarkEnd w:id="1003"/>
    <w:bookmarkEnd w:id="1004"/>
    <w:bookmarkEnd w:id="1005"/>
    <w:bookmarkEnd w:id="1006"/>
    <w:p w14:paraId="62816414">
      <w:pPr>
        <w:pStyle w:val="4"/>
        <w:rPr>
          <w:rFonts w:hint="eastAsia" w:ascii="宋体" w:hAnsi="宋体" w:eastAsia="宋体" w:cs="宋体"/>
          <w:color w:val="auto"/>
          <w:highlight w:val="none"/>
        </w:rPr>
      </w:pPr>
      <w:bookmarkStart w:id="1019" w:name="_Toc1307315193"/>
      <w:bookmarkStart w:id="1020" w:name="_Toc373227737"/>
      <w:bookmarkStart w:id="1021" w:name="_Toc78449825"/>
      <w:bookmarkStart w:id="1022" w:name="_Toc373478384"/>
      <w:bookmarkStart w:id="1023" w:name="_Toc530697003"/>
      <w:bookmarkStart w:id="1024" w:name="_Toc407135239"/>
      <w:bookmarkStart w:id="1025" w:name="_Toc389065303"/>
      <w:r>
        <w:rPr>
          <w:rFonts w:hint="eastAsia" w:ascii="宋体" w:hAnsi="宋体" w:eastAsia="宋体" w:cs="宋体"/>
          <w:color w:val="auto"/>
          <w:highlight w:val="none"/>
        </w:rPr>
        <w:t>9</w:t>
      </w:r>
      <w:bookmarkStart w:id="1026" w:name="_Toc303539140"/>
      <w:bookmarkStart w:id="1027" w:name="_Toc304295560"/>
      <w:bookmarkStart w:id="1028" w:name="_Toc312678022"/>
      <w:bookmarkStart w:id="1029" w:name="_Toc300934983"/>
      <w:bookmarkStart w:id="1030" w:name="_Toc312677496"/>
      <w:bookmarkStart w:id="1031" w:name="_Toc297123534"/>
      <w:bookmarkStart w:id="1032" w:name="_Toc297216193"/>
      <w:r>
        <w:rPr>
          <w:rFonts w:hint="eastAsia" w:ascii="宋体" w:hAnsi="宋体" w:eastAsia="宋体" w:cs="宋体"/>
          <w:color w:val="auto"/>
          <w:highlight w:val="none"/>
        </w:rPr>
        <w:t>.1 试验设备与试验人员</w:t>
      </w:r>
      <w:bookmarkEnd w:id="1019"/>
      <w:bookmarkEnd w:id="1020"/>
      <w:bookmarkEnd w:id="1021"/>
      <w:bookmarkEnd w:id="1022"/>
      <w:bookmarkEnd w:id="1023"/>
      <w:bookmarkEnd w:id="1024"/>
      <w:bookmarkEnd w:id="1025"/>
    </w:p>
    <w:bookmarkEnd w:id="1026"/>
    <w:bookmarkEnd w:id="1027"/>
    <w:bookmarkEnd w:id="1028"/>
    <w:bookmarkEnd w:id="1029"/>
    <w:bookmarkEnd w:id="1030"/>
    <w:bookmarkEnd w:id="1031"/>
    <w:bookmarkEnd w:id="1032"/>
    <w:p w14:paraId="0D4BB597">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9</w:t>
      </w:r>
      <w:bookmarkStart w:id="1033" w:name="_Toc303539141"/>
      <w:bookmarkStart w:id="1034" w:name="_Toc312677497"/>
      <w:bookmarkStart w:id="1035" w:name="_Toc300934984"/>
      <w:bookmarkStart w:id="1036" w:name="_Toc297216194"/>
      <w:bookmarkStart w:id="1037" w:name="_Toc297123535"/>
      <w:bookmarkStart w:id="1038" w:name="_Toc304295561"/>
      <w:bookmarkStart w:id="1039" w:name="_Toc312678023"/>
      <w:bookmarkStart w:id="1040" w:name="_Toc318581174"/>
      <w:r>
        <w:rPr>
          <w:rFonts w:hint="eastAsia" w:ascii="宋体" w:hAnsi="宋体" w:eastAsia="宋体" w:cs="宋体"/>
          <w:color w:val="auto"/>
          <w:highlight w:val="none"/>
        </w:rPr>
        <w:t>.1.2 试验设备</w:t>
      </w:r>
    </w:p>
    <w:p w14:paraId="7D4CBCEB">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施工现场需要配置的试验场所：</w:t>
      </w:r>
      <w:bookmarkEnd w:id="1033"/>
      <w:bookmarkEnd w:id="1034"/>
      <w:bookmarkEnd w:id="1035"/>
      <w:bookmarkEnd w:id="1036"/>
      <w:bookmarkEnd w:id="1037"/>
      <w:bookmarkEnd w:id="1038"/>
      <w:bookmarkEnd w:id="1039"/>
      <w:bookmarkStart w:id="1041" w:name="_Toc297123536"/>
      <w:bookmarkStart w:id="1042" w:name="_Toc300934985"/>
      <w:bookmarkStart w:id="1043" w:name="_Toc312677498"/>
      <w:bookmarkStart w:id="1044" w:name="_Toc303539142"/>
      <w:bookmarkStart w:id="1045" w:name="_Toc312678024"/>
      <w:bookmarkStart w:id="1046" w:name="_Toc304295562"/>
      <w:bookmarkStart w:id="1047" w:name="_Toc297216195"/>
      <w:r>
        <w:rPr>
          <w:rFonts w:hint="eastAsia" w:ascii="宋体" w:hAnsi="宋体" w:eastAsia="宋体" w:cs="宋体"/>
          <w:spacing w:val="-4"/>
          <w:sz w:val="21"/>
          <w:szCs w:val="21"/>
          <w:u w:val="single" w:color="auto"/>
        </w:rPr>
        <w:t>由承包人</w:t>
      </w:r>
      <w:r>
        <w:rPr>
          <w:rFonts w:hint="eastAsia" w:ascii="宋体" w:hAnsi="宋体" w:eastAsia="宋体" w:cs="宋体"/>
          <w:spacing w:val="-5"/>
          <w:sz w:val="21"/>
          <w:szCs w:val="21"/>
          <w:u w:val="single" w:color="auto"/>
        </w:rPr>
        <w:t>根据工程情况自行设置建设</w:t>
      </w:r>
      <w:r>
        <w:rPr>
          <w:rFonts w:hint="eastAsia" w:ascii="宋体" w:hAnsi="宋体" w:eastAsia="宋体" w:cs="宋体"/>
          <w:color w:val="auto"/>
          <w:highlight w:val="none"/>
        </w:rPr>
        <w:t>。</w:t>
      </w:r>
    </w:p>
    <w:p w14:paraId="30466C37">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施工现场需要配备的试验设备：</w:t>
      </w:r>
      <w:r>
        <w:rPr>
          <w:rFonts w:hint="eastAsia" w:ascii="宋体" w:hAnsi="宋体" w:eastAsia="宋体" w:cs="宋体"/>
          <w:spacing w:val="-4"/>
          <w:sz w:val="21"/>
          <w:szCs w:val="21"/>
          <w:u w:val="single" w:color="auto"/>
        </w:rPr>
        <w:t>由承包人自行承担，并包</w:t>
      </w:r>
      <w:r>
        <w:rPr>
          <w:rFonts w:hint="eastAsia" w:ascii="宋体" w:hAnsi="宋体" w:eastAsia="宋体" w:cs="宋体"/>
          <w:spacing w:val="-5"/>
          <w:sz w:val="21"/>
          <w:szCs w:val="21"/>
          <w:u w:val="single" w:color="auto"/>
        </w:rPr>
        <w:t>含在合同总价内</w:t>
      </w:r>
      <w:r>
        <w:rPr>
          <w:rFonts w:hint="eastAsia" w:ascii="宋体" w:hAnsi="宋体" w:eastAsia="宋体" w:cs="宋体"/>
          <w:color w:val="auto"/>
          <w:highlight w:val="none"/>
        </w:rPr>
        <w:t>。</w:t>
      </w:r>
    </w:p>
    <w:p w14:paraId="586AD515">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施工现场需要具备的其他试验条件：</w:t>
      </w:r>
      <w:r>
        <w:rPr>
          <w:rFonts w:hint="eastAsia" w:ascii="宋体" w:hAnsi="宋体" w:eastAsia="宋体" w:cs="宋体"/>
          <w:spacing w:val="-4"/>
          <w:sz w:val="21"/>
          <w:szCs w:val="21"/>
          <w:u w:val="single" w:color="auto"/>
        </w:rPr>
        <w:t>由承包人自行承担，并包</w:t>
      </w:r>
      <w:r>
        <w:rPr>
          <w:rFonts w:hint="eastAsia" w:ascii="宋体" w:hAnsi="宋体" w:eastAsia="宋体" w:cs="宋体"/>
          <w:spacing w:val="-5"/>
          <w:sz w:val="21"/>
          <w:szCs w:val="21"/>
          <w:u w:val="single" w:color="auto"/>
        </w:rPr>
        <w:t>含在合同总价内</w:t>
      </w:r>
      <w:r>
        <w:rPr>
          <w:rFonts w:hint="eastAsia" w:ascii="宋体" w:hAnsi="宋体" w:eastAsia="宋体" w:cs="宋体"/>
          <w:color w:val="auto"/>
          <w:highlight w:val="none"/>
        </w:rPr>
        <w:t>。</w:t>
      </w:r>
    </w:p>
    <w:p w14:paraId="19903262">
      <w:pPr>
        <w:pStyle w:val="4"/>
        <w:rPr>
          <w:rFonts w:hint="eastAsia" w:ascii="宋体" w:hAnsi="宋体" w:eastAsia="宋体" w:cs="宋体"/>
          <w:color w:val="auto"/>
          <w:highlight w:val="none"/>
        </w:rPr>
      </w:pPr>
      <w:bookmarkStart w:id="1048" w:name="_Toc373478385"/>
      <w:bookmarkStart w:id="1049" w:name="_Toc373227738"/>
      <w:bookmarkStart w:id="1050" w:name="_Toc78449826"/>
      <w:bookmarkStart w:id="1051" w:name="_Toc2012255079"/>
      <w:bookmarkStart w:id="1052" w:name="_Toc492347879"/>
      <w:bookmarkStart w:id="1053" w:name="_Toc389065304"/>
      <w:bookmarkStart w:id="1054" w:name="_Toc407135240"/>
      <w:r>
        <w:rPr>
          <w:rFonts w:hint="eastAsia" w:ascii="宋体" w:hAnsi="宋体" w:eastAsia="宋体" w:cs="宋体"/>
          <w:color w:val="auto"/>
          <w:highlight w:val="none"/>
        </w:rPr>
        <w:t>9.4 现场工艺试验</w:t>
      </w:r>
      <w:bookmarkEnd w:id="1048"/>
      <w:bookmarkEnd w:id="1049"/>
      <w:bookmarkEnd w:id="1050"/>
      <w:bookmarkEnd w:id="1051"/>
      <w:bookmarkEnd w:id="1052"/>
      <w:bookmarkEnd w:id="1053"/>
      <w:bookmarkEnd w:id="1054"/>
      <w:r>
        <w:rPr>
          <w:rFonts w:hint="eastAsia" w:ascii="宋体" w:hAnsi="宋体" w:eastAsia="宋体" w:cs="宋体"/>
          <w:color w:val="auto"/>
          <w:highlight w:val="none"/>
        </w:rPr>
        <w:t xml:space="preserve"> </w:t>
      </w:r>
    </w:p>
    <w:p w14:paraId="41F6DC5F">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现场工艺试验的有关约定：</w:t>
      </w:r>
      <w:r>
        <w:rPr>
          <w:rFonts w:hint="eastAsia" w:ascii="宋体" w:hAnsi="宋体" w:eastAsia="宋体" w:cs="宋体"/>
          <w:color w:val="auto"/>
          <w:highlight w:val="none"/>
          <w:u w:val="single"/>
          <w:lang w:eastAsia="zh-CN"/>
        </w:rPr>
        <w:t>按有关规定执行</w:t>
      </w:r>
      <w:r>
        <w:rPr>
          <w:rFonts w:hint="eastAsia" w:ascii="宋体" w:hAnsi="宋体" w:eastAsia="宋体" w:cs="宋体"/>
          <w:color w:val="auto"/>
          <w:highlight w:val="none"/>
        </w:rPr>
        <w:t>。</w:t>
      </w:r>
    </w:p>
    <w:p w14:paraId="62896E8D">
      <w:pPr>
        <w:pStyle w:val="4"/>
        <w:rPr>
          <w:rFonts w:hint="eastAsia" w:ascii="宋体" w:hAnsi="宋体" w:eastAsia="宋体" w:cs="宋体"/>
          <w:color w:val="auto"/>
          <w:highlight w:val="none"/>
        </w:rPr>
      </w:pPr>
      <w:bookmarkStart w:id="1055" w:name="_Toc407135241"/>
      <w:bookmarkStart w:id="1056" w:name="_Toc78449827"/>
      <w:bookmarkStart w:id="1057" w:name="_Toc393419678"/>
      <w:bookmarkStart w:id="1058" w:name="_Toc1539824686"/>
      <w:bookmarkStart w:id="1059" w:name="OLE_LINK1"/>
      <w:r>
        <w:rPr>
          <w:rFonts w:hint="eastAsia" w:ascii="宋体" w:hAnsi="宋体" w:eastAsia="宋体" w:cs="宋体"/>
          <w:color w:val="auto"/>
          <w:highlight w:val="none"/>
        </w:rPr>
        <w:t>9.5 检验费用</w:t>
      </w:r>
      <w:bookmarkEnd w:id="1055"/>
      <w:bookmarkEnd w:id="1056"/>
      <w:bookmarkEnd w:id="1057"/>
      <w:bookmarkEnd w:id="1058"/>
    </w:p>
    <w:p w14:paraId="5EBA8C2D">
      <w:pPr>
        <w:spacing w:line="360" w:lineRule="auto"/>
        <w:ind w:firstLine="411" w:firstLineChars="196"/>
        <w:rPr>
          <w:rFonts w:hint="eastAsia" w:ascii="宋体" w:hAnsi="宋体" w:eastAsia="宋体" w:cs="宋体"/>
          <w:color w:val="auto"/>
          <w:highlight w:val="none"/>
        </w:rPr>
      </w:pPr>
      <w:r>
        <w:rPr>
          <w:rFonts w:hint="eastAsia" w:ascii="宋体" w:hAnsi="宋体" w:eastAsia="宋体" w:cs="宋体"/>
          <w:color w:val="auto"/>
          <w:highlight w:val="none"/>
        </w:rPr>
        <w:t>根据《建设工程质量检测管理办法》（建设部令第141号）以及《广西壮族自治区建设工程质量检测管理规定》（桂建管〔2013〕11号）规定，工程质量检测业务由发包人委托有相应资质的检测机构检测。费用从发包人的项目建设经费中支出并直接支付给检测机构，不计入合同价款内。</w:t>
      </w:r>
    </w:p>
    <w:bookmarkEnd w:id="1040"/>
    <w:bookmarkEnd w:id="1041"/>
    <w:bookmarkEnd w:id="1042"/>
    <w:bookmarkEnd w:id="1043"/>
    <w:bookmarkEnd w:id="1044"/>
    <w:bookmarkEnd w:id="1045"/>
    <w:bookmarkEnd w:id="1046"/>
    <w:bookmarkEnd w:id="1047"/>
    <w:bookmarkEnd w:id="1059"/>
    <w:p w14:paraId="7163B83A">
      <w:pPr>
        <w:pStyle w:val="3"/>
        <w:rPr>
          <w:rFonts w:hint="eastAsia" w:ascii="宋体" w:hAnsi="宋体" w:eastAsia="宋体" w:cs="宋体"/>
          <w:color w:val="auto"/>
          <w:highlight w:val="none"/>
        </w:rPr>
      </w:pPr>
      <w:bookmarkStart w:id="1060" w:name="_Toc1278407274"/>
      <w:bookmarkStart w:id="1061" w:name="_Toc373478386"/>
      <w:bookmarkStart w:id="1062" w:name="_Toc603662032"/>
      <w:bookmarkStart w:id="1063" w:name="_Toc389065305"/>
      <w:bookmarkStart w:id="1064" w:name="_Toc373227739"/>
      <w:bookmarkStart w:id="1065" w:name="_Toc351203642"/>
      <w:bookmarkStart w:id="1066" w:name="_Toc407135242"/>
      <w:bookmarkStart w:id="1067" w:name="_Toc78449828"/>
      <w:r>
        <w:rPr>
          <w:rFonts w:hint="eastAsia" w:ascii="宋体" w:hAnsi="宋体" w:eastAsia="宋体" w:cs="宋体"/>
          <w:color w:val="auto"/>
          <w:highlight w:val="none"/>
        </w:rPr>
        <w:t>1</w:t>
      </w:r>
      <w:bookmarkEnd w:id="1007"/>
      <w:bookmarkEnd w:id="1008"/>
      <w:bookmarkEnd w:id="1009"/>
      <w:bookmarkEnd w:id="1010"/>
      <w:bookmarkEnd w:id="1011"/>
      <w:bookmarkEnd w:id="1012"/>
      <w:bookmarkEnd w:id="1013"/>
      <w:bookmarkEnd w:id="1014"/>
      <w:bookmarkEnd w:id="1015"/>
      <w:bookmarkEnd w:id="1016"/>
      <w:bookmarkEnd w:id="1017"/>
      <w:bookmarkEnd w:id="1018"/>
      <w:bookmarkStart w:id="1068" w:name="_Toc297123540"/>
      <w:bookmarkStart w:id="1069" w:name="_Toc297216199"/>
      <w:bookmarkStart w:id="1070" w:name="_Toc296944532"/>
      <w:bookmarkStart w:id="1071" w:name="_Toc292559398"/>
      <w:bookmarkStart w:id="1072" w:name="_Toc303539146"/>
      <w:bookmarkStart w:id="1073" w:name="_Toc297120493"/>
      <w:bookmarkStart w:id="1074" w:name="_Toc296891233"/>
      <w:bookmarkStart w:id="1075" w:name="_Toc296503193"/>
      <w:bookmarkStart w:id="1076" w:name="_Toc304295566"/>
      <w:bookmarkStart w:id="1077" w:name="_Toc292559903"/>
      <w:bookmarkStart w:id="1078" w:name="_Toc296346694"/>
      <w:bookmarkStart w:id="1079" w:name="_Toc296891021"/>
      <w:bookmarkStart w:id="1080" w:name="_Toc296347192"/>
      <w:bookmarkStart w:id="1081" w:name="_Toc297048379"/>
      <w:bookmarkStart w:id="1082" w:name="_Toc300934989"/>
      <w:bookmarkStart w:id="1083" w:name="_Toc312677499"/>
      <w:bookmarkStart w:id="1084" w:name="_Toc312678025"/>
      <w:bookmarkStart w:id="1085" w:name="_Toc267251439"/>
      <w:bookmarkStart w:id="1086" w:name="_Toc267251437"/>
      <w:bookmarkStart w:id="1087" w:name="_Toc267251435"/>
      <w:bookmarkStart w:id="1088" w:name="_Toc267251433"/>
      <w:bookmarkStart w:id="1089" w:name="_Toc267251441"/>
      <w:bookmarkStart w:id="1090" w:name="_Toc267251440"/>
      <w:bookmarkStart w:id="1091" w:name="_Toc267251442"/>
      <w:r>
        <w:rPr>
          <w:rFonts w:hint="eastAsia" w:ascii="宋体" w:hAnsi="宋体" w:eastAsia="宋体" w:cs="宋体"/>
          <w:color w:val="auto"/>
          <w:highlight w:val="none"/>
        </w:rPr>
        <w:t>0. 变更</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bookmarkEnd w:id="1083"/>
    <w:bookmarkEnd w:id="1084"/>
    <w:p w14:paraId="024B7131">
      <w:pPr>
        <w:pStyle w:val="4"/>
        <w:rPr>
          <w:rFonts w:hint="eastAsia" w:ascii="宋体" w:hAnsi="宋体" w:eastAsia="宋体" w:cs="宋体"/>
          <w:color w:val="auto"/>
          <w:highlight w:val="none"/>
        </w:rPr>
      </w:pPr>
      <w:bookmarkStart w:id="1092" w:name="_Toc1890371558"/>
      <w:bookmarkStart w:id="1093" w:name="_Toc389065306"/>
      <w:bookmarkStart w:id="1094" w:name="_Toc407135243"/>
      <w:bookmarkStart w:id="1095" w:name="_Toc78449829"/>
      <w:bookmarkStart w:id="1096" w:name="_Toc373227740"/>
      <w:bookmarkStart w:id="1097" w:name="_Toc411143415"/>
      <w:bookmarkStart w:id="1098" w:name="_Toc373478387"/>
      <w:r>
        <w:rPr>
          <w:rFonts w:hint="eastAsia" w:ascii="宋体" w:hAnsi="宋体" w:eastAsia="宋体" w:cs="宋体"/>
          <w:color w:val="auto"/>
          <w:highlight w:val="none"/>
        </w:rPr>
        <w:t>1</w:t>
      </w:r>
      <w:bookmarkStart w:id="1099" w:name="_Toc303539147"/>
      <w:bookmarkStart w:id="1100" w:name="_Toc297120494"/>
      <w:bookmarkStart w:id="1101" w:name="_Toc296503194"/>
      <w:bookmarkStart w:id="1102" w:name="_Toc297048380"/>
      <w:bookmarkStart w:id="1103" w:name="_Toc292559904"/>
      <w:bookmarkStart w:id="1104" w:name="_Toc300934990"/>
      <w:bookmarkStart w:id="1105" w:name="_Toc296944533"/>
      <w:bookmarkStart w:id="1106" w:name="_Toc292559399"/>
      <w:bookmarkStart w:id="1107" w:name="_Toc312678026"/>
      <w:bookmarkStart w:id="1108" w:name="_Toc296346695"/>
      <w:bookmarkStart w:id="1109" w:name="_Toc297216200"/>
      <w:bookmarkStart w:id="1110" w:name="_Toc296347193"/>
      <w:bookmarkStart w:id="1111" w:name="_Toc296891234"/>
      <w:bookmarkStart w:id="1112" w:name="_Toc312677500"/>
      <w:bookmarkStart w:id="1113" w:name="_Toc296891022"/>
      <w:bookmarkStart w:id="1114" w:name="_Toc304295567"/>
      <w:bookmarkStart w:id="1115" w:name="_Toc297123541"/>
      <w:r>
        <w:rPr>
          <w:rFonts w:hint="eastAsia" w:ascii="宋体" w:hAnsi="宋体" w:eastAsia="宋体" w:cs="宋体"/>
          <w:color w:val="auto"/>
          <w:highlight w:val="none"/>
        </w:rPr>
        <w:t>0.1 变更的范围</w:t>
      </w:r>
      <w:bookmarkEnd w:id="1092"/>
      <w:bookmarkEnd w:id="1093"/>
      <w:bookmarkEnd w:id="1094"/>
      <w:bookmarkEnd w:id="1095"/>
      <w:bookmarkEnd w:id="1096"/>
      <w:bookmarkEnd w:id="1097"/>
      <w:bookmarkEnd w:id="1098"/>
    </w:p>
    <w:p w14:paraId="2DACD93B">
      <w:pPr>
        <w:spacing w:line="360" w:lineRule="auto"/>
        <w:ind w:firstLine="426"/>
        <w:jc w:val="left"/>
        <w:rPr>
          <w:rFonts w:hint="eastAsia" w:ascii="宋体" w:hAnsi="宋体" w:eastAsia="宋体" w:cs="宋体"/>
          <w:color w:val="auto"/>
          <w:highlight w:val="none"/>
        </w:rPr>
      </w:pPr>
      <w:r>
        <w:rPr>
          <w:rFonts w:hint="eastAsia" w:ascii="宋体" w:hAnsi="宋体" w:eastAsia="宋体" w:cs="宋体"/>
          <w:color w:val="auto"/>
          <w:highlight w:val="none"/>
        </w:rPr>
        <w:t>关于变更的范围的约定：</w:t>
      </w:r>
    </w:p>
    <w:p w14:paraId="4577AF94">
      <w:pPr>
        <w:spacing w:line="360" w:lineRule="auto"/>
        <w:ind w:firstLine="426"/>
        <w:jc w:val="left"/>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承包人不得随意更改设计，因承包人自身原因导致的工期变更，承包人无权要求追加合同价款。设计变更、签证资料必须及时发包人确认，隐蔽工程变更签证在五日内办理完。</w:t>
      </w:r>
    </w:p>
    <w:p w14:paraId="1AF6406B">
      <w:pPr>
        <w:spacing w:line="360" w:lineRule="auto"/>
        <w:ind w:firstLine="426"/>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2 </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特急变更签证的实施以发包人代表签字为依据，承包人可事先就计价方式或价格与发包方协商一致</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但实施后14日内，双方必须办理相关的手续，方可作为结算的依据。</w:t>
      </w:r>
    </w:p>
    <w:p w14:paraId="0D689DFE">
      <w:pPr>
        <w:spacing w:line="360" w:lineRule="auto"/>
        <w:ind w:firstLine="426"/>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3 </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当变更、签证的工作内容完成以后，承包人要及时督促监理和发包人代表在完工后 14 日内签字确认，否则</w:t>
      </w:r>
      <w:r>
        <w:rPr>
          <w:rFonts w:hint="eastAsia" w:ascii="宋体" w:hAnsi="宋体" w:eastAsia="宋体" w:cs="宋体"/>
          <w:color w:val="auto"/>
          <w:highlight w:val="none"/>
          <w:lang w:eastAsia="zh-CN"/>
        </w:rPr>
        <w:t>发包人</w:t>
      </w:r>
      <w:r>
        <w:rPr>
          <w:rFonts w:hint="eastAsia" w:ascii="宋体" w:hAnsi="宋体" w:eastAsia="宋体" w:cs="宋体"/>
          <w:color w:val="auto"/>
          <w:highlight w:val="none"/>
        </w:rPr>
        <w:t>可以不予支付费用。对于隐蔽工程和事后无法计算工程量的变更和签证，必须在覆盖或拆除前，会同监理、发包人代表、工程部负责人共同完成工程量的确认和费用的谈判，否则发包人可以不计价款。</w:t>
      </w:r>
    </w:p>
    <w:p w14:paraId="7A18FD45">
      <w:pPr>
        <w:spacing w:line="360" w:lineRule="auto"/>
        <w:ind w:firstLine="426"/>
        <w:jc w:val="left"/>
        <w:rPr>
          <w:rFonts w:hint="eastAsia" w:ascii="宋体" w:hAnsi="宋体" w:eastAsia="宋体" w:cs="宋体"/>
          <w:color w:val="auto"/>
          <w:highlight w:val="none"/>
        </w:rPr>
      </w:pPr>
      <w:r>
        <w:rPr>
          <w:rFonts w:hint="eastAsia" w:ascii="宋体" w:hAnsi="宋体" w:eastAsia="宋体" w:cs="宋体"/>
          <w:color w:val="auto"/>
          <w:highlight w:val="none"/>
        </w:rPr>
        <w:t>4</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合同履约中，双方填制的变更、签证通知单以及办理相关手续，都应严格按照发包人的内部工作管理制度执行，按顺序进行统一分类编号，并附有相应的真实图片及发生的费用，否则发包人可以不予审核费用。</w:t>
      </w:r>
    </w:p>
    <w:p w14:paraId="6423EC1D">
      <w:pPr>
        <w:spacing w:line="360" w:lineRule="auto"/>
        <w:ind w:firstLine="426"/>
        <w:jc w:val="left"/>
        <w:rPr>
          <w:rFonts w:hint="eastAsia" w:ascii="宋体" w:hAnsi="宋体" w:eastAsia="宋体" w:cs="宋体"/>
          <w:color w:val="auto"/>
          <w:highlight w:val="none"/>
        </w:rPr>
      </w:pPr>
      <w:r>
        <w:rPr>
          <w:rFonts w:hint="eastAsia" w:ascii="宋体" w:hAnsi="宋体" w:eastAsia="宋体" w:cs="宋体"/>
          <w:color w:val="auto"/>
          <w:highlight w:val="none"/>
        </w:rPr>
        <w:t>5</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承包人作为有经验的承包商，对工程技术及施工图纸中的问题应提前发现，并在图纸会审时或按照技术核定单的形式及时的提出；如果承包人由于各种原因不提出或未及时提出、或提出后发包人明确否定更改方案而承包人继续施工的， 以上导致工程产生的质量、进度、安全、成本等问题及后果， 承包人承担一切的责任。</w:t>
      </w:r>
    </w:p>
    <w:p w14:paraId="5E93D9CD">
      <w:pPr>
        <w:spacing w:line="360" w:lineRule="auto"/>
        <w:ind w:firstLine="426"/>
        <w:jc w:val="left"/>
        <w:rPr>
          <w:rFonts w:hint="eastAsia" w:ascii="宋体" w:hAnsi="宋体" w:eastAsia="宋体" w:cs="宋体"/>
          <w:color w:val="000000"/>
          <w:highlight w:val="none"/>
        </w:rPr>
      </w:pPr>
      <w:r>
        <w:rPr>
          <w:rFonts w:hint="eastAsia" w:ascii="宋体" w:hAnsi="宋体" w:eastAsia="宋体" w:cs="宋体"/>
          <w:color w:val="auto"/>
          <w:highlight w:val="none"/>
        </w:rPr>
        <w:t>6．</w:t>
      </w:r>
      <w:r>
        <w:rPr>
          <w:rFonts w:hint="eastAsia" w:ascii="宋体" w:hAnsi="宋体" w:eastAsia="宋体" w:cs="宋体"/>
          <w:color w:val="000000"/>
          <w:highlight w:val="none"/>
        </w:rPr>
        <w:t xml:space="preserve">承包人作为有经验的承包商，对工程量清单与图纸不相符的问题应提前发现，并按照技术核定单的形式及时的提出；如果承包人由于各种原因不提出或未及时提出、或提出后发包人明确否定更改方案而承包人继续施工的，以上导致工程产生的成本增加等问题及后果，承包人承担一切的责任，结算时按工程量清单进行，而不是按图纸进行结算。 </w:t>
      </w:r>
    </w:p>
    <w:p w14:paraId="62B30975">
      <w:pPr>
        <w:spacing w:line="360" w:lineRule="auto"/>
        <w:ind w:firstLine="426"/>
        <w:jc w:val="left"/>
        <w:rPr>
          <w:rFonts w:hint="eastAsia" w:ascii="宋体" w:hAnsi="宋体" w:eastAsia="宋体" w:cs="宋体"/>
          <w:color w:val="auto"/>
          <w:highlight w:val="none"/>
        </w:rPr>
      </w:pPr>
      <w:r>
        <w:rPr>
          <w:rFonts w:hint="eastAsia" w:ascii="宋体" w:hAnsi="宋体" w:eastAsia="宋体" w:cs="宋体"/>
          <w:color w:val="auto"/>
          <w:highlight w:val="none"/>
        </w:rPr>
        <w:t>7</w:t>
      </w:r>
      <w:r>
        <w:rPr>
          <w:rFonts w:hint="eastAsia" w:ascii="宋体" w:hAnsi="宋体" w:cs="宋体"/>
          <w:color w:val="auto"/>
          <w:highlight w:val="none"/>
          <w:lang w:val="en-US" w:eastAsia="zh-CN"/>
        </w:rPr>
        <w:t>.</w:t>
      </w:r>
      <w:r>
        <w:rPr>
          <w:rFonts w:hint="eastAsia" w:ascii="宋体" w:hAnsi="宋体" w:eastAsia="宋体" w:cs="宋体"/>
          <w:color w:val="auto"/>
          <w:highlight w:val="none"/>
        </w:rPr>
        <w:t>工程结算时，承包人需将完整的变更签证资料装订成册作为结算书一部分，变更签证资料应包括 ：</w:t>
      </w:r>
    </w:p>
    <w:p w14:paraId="4BC3C8EF">
      <w:pPr>
        <w:spacing w:line="360" w:lineRule="auto"/>
        <w:ind w:firstLine="426"/>
        <w:jc w:val="left"/>
        <w:rPr>
          <w:rFonts w:hint="eastAsia" w:ascii="宋体" w:hAnsi="宋体" w:eastAsia="宋体" w:cs="宋体"/>
          <w:color w:val="auto"/>
          <w:highlight w:val="none"/>
        </w:rPr>
      </w:pPr>
      <w:r>
        <w:rPr>
          <w:rFonts w:hint="eastAsia" w:ascii="宋体" w:hAnsi="宋体" w:eastAsia="宋体" w:cs="宋体"/>
          <w:color w:val="auto"/>
          <w:highlight w:val="none"/>
        </w:rPr>
        <w:t>（1）双方确认的联系单</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联系函；（2）变更签证单；（3）申报的变更签证预算书（4）变更签证单所有相关的往来函件、其他需要说明的与造价有关的问题；（5）相应的真实图片。</w:t>
      </w:r>
    </w:p>
    <w:p w14:paraId="420C86C2">
      <w:pPr>
        <w:pStyle w:val="4"/>
        <w:rPr>
          <w:rFonts w:hint="eastAsia" w:ascii="宋体" w:hAnsi="宋体" w:eastAsia="宋体" w:cs="宋体"/>
          <w:color w:val="auto"/>
          <w:highlight w:val="none"/>
        </w:rPr>
      </w:pPr>
      <w:bookmarkStart w:id="1116" w:name="_Toc78449830"/>
      <w:bookmarkStart w:id="1117" w:name="_Toc389065307"/>
      <w:bookmarkStart w:id="1118" w:name="_Toc407135244"/>
      <w:bookmarkStart w:id="1119" w:name="_Toc1641633295"/>
      <w:bookmarkStart w:id="1120" w:name="_Toc373478388"/>
      <w:bookmarkStart w:id="1121" w:name="_Toc373227741"/>
      <w:bookmarkStart w:id="1122" w:name="_Toc450749207"/>
      <w:r>
        <w:rPr>
          <w:rFonts w:hint="eastAsia" w:ascii="宋体" w:hAnsi="宋体" w:eastAsia="宋体" w:cs="宋体"/>
          <w:color w:val="auto"/>
          <w:highlight w:val="none"/>
        </w:rPr>
        <w:t>10.3 变更程序</w:t>
      </w:r>
      <w:bookmarkEnd w:id="1116"/>
      <w:bookmarkEnd w:id="1117"/>
      <w:bookmarkEnd w:id="1118"/>
      <w:bookmarkEnd w:id="1119"/>
      <w:bookmarkEnd w:id="1120"/>
      <w:bookmarkEnd w:id="1121"/>
      <w:bookmarkEnd w:id="1122"/>
    </w:p>
    <w:p w14:paraId="7041B5B2">
      <w:pPr>
        <w:pStyle w:val="8"/>
        <w:spacing w:line="360" w:lineRule="auto"/>
        <w:ind w:firstLine="436" w:firstLineChars="208"/>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⑴设计变更和工程签证，按《关于加强南宁市政府投资项目初步设计、施工图设计管理的 通知》（南建项目 [2004]3 号）及《关于改进政府投资项目财政监管的通知》（南财投审 [2007]66 号）办理。属不可抗力（自然灾害、突发事件等） 造成变更的，按特事特办原则予以办理。</w:t>
      </w:r>
    </w:p>
    <w:p w14:paraId="36CDF315">
      <w:pPr>
        <w:pStyle w:val="8"/>
        <w:spacing w:line="360" w:lineRule="auto"/>
        <w:ind w:firstLine="436" w:firstLineChars="208"/>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⑵工程设计变更和签证工程发生后 20 个工作日内，由承包人将有关变更文件、签证单审 批件、工程联系单、预算书等工程资料做好备案，并作为进度款支付、事后抽 查和工程结算的主要依据。</w:t>
      </w:r>
    </w:p>
    <w:p w14:paraId="68123BEE">
      <w:pPr>
        <w:pStyle w:val="8"/>
        <w:spacing w:line="360" w:lineRule="auto"/>
        <w:ind w:firstLine="436" w:firstLineChars="208"/>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⑶承包人在实施项目过程中，若发生隐蔽工程或工程量发生增减变动， 必须经建设单位、 施工、监理等有关单位现场签字确认后，方可作为工程结算依据。若现场验收没有以上相关人员参加核实，过后不能以提供相片或视频形式作为签证的理由， 承包人承担一切的责任若人为挖超深，发包人不予签证，承包人将承担。</w:t>
      </w:r>
    </w:p>
    <w:p w14:paraId="1800C037">
      <w:pPr>
        <w:pStyle w:val="8"/>
        <w:spacing w:line="360" w:lineRule="auto"/>
        <w:ind w:firstLine="436" w:firstLineChars="208"/>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⑷承包人在工程设计变更和工程签证过程中必须认真负责、实事求是，不得弄虚作假，凡因上述问题所造成的损失，相应等额扣除承包人项目管理费或其他财政拨款。</w:t>
      </w:r>
    </w:p>
    <w:p w14:paraId="2C4FA7D5">
      <w:pPr>
        <w:pStyle w:val="8"/>
        <w:spacing w:line="360" w:lineRule="auto"/>
        <w:ind w:firstLine="436" w:firstLineChars="208"/>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⑸承包人应当在合同规定的调整情况发生后 14 天内，将调整原因，金额以书面形式通知 发包人，发包人按第⑴、⑵、⑶、⑷、⑸条款的要求初步确认调整金额后将其作为追加合同价款， 按不高于60% 的比例与工程进度款同期支付，调整金额待工程单项结算或结算时，由发包方审计部门最终审定。</w:t>
      </w:r>
    </w:p>
    <w:p w14:paraId="68E64DA3">
      <w:pPr>
        <w:pStyle w:val="8"/>
        <w:spacing w:line="360" w:lineRule="auto"/>
        <w:ind w:firstLine="436" w:firstLineChars="208"/>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⑹当合同规定的调整合同价款的调整情况发生后，承包人未在规定时间内通知发包人，或 者未在规定时间内提出调整报告，发包人可以根据有关资料，决定是否调整和调整。</w:t>
      </w:r>
    </w:p>
    <w:p w14:paraId="2CE4B315">
      <w:pPr>
        <w:pStyle w:val="4"/>
        <w:rPr>
          <w:rFonts w:hint="eastAsia" w:ascii="宋体" w:hAnsi="宋体" w:eastAsia="宋体" w:cs="宋体"/>
          <w:color w:val="auto"/>
          <w:highlight w:val="none"/>
        </w:rPr>
      </w:pPr>
      <w:bookmarkStart w:id="1123" w:name="_Toc373227742"/>
      <w:bookmarkStart w:id="1124" w:name="_Toc780640360"/>
      <w:bookmarkStart w:id="1125" w:name="_Toc78449831"/>
      <w:bookmarkStart w:id="1126" w:name="_Toc407135245"/>
      <w:bookmarkStart w:id="1127" w:name="_Toc373478389"/>
      <w:bookmarkStart w:id="1128" w:name="_Toc1645711468"/>
      <w:bookmarkStart w:id="1129" w:name="_Toc389065308"/>
      <w:r>
        <w:rPr>
          <w:rFonts w:hint="eastAsia" w:ascii="宋体" w:hAnsi="宋体" w:eastAsia="宋体" w:cs="宋体"/>
          <w:color w:val="auto"/>
          <w:highlight w:val="none"/>
        </w:rPr>
        <w:t>10.4 变更估价</w:t>
      </w:r>
      <w:bookmarkEnd w:id="1123"/>
      <w:bookmarkEnd w:id="1124"/>
      <w:bookmarkEnd w:id="1125"/>
      <w:bookmarkEnd w:id="1126"/>
      <w:bookmarkEnd w:id="1127"/>
      <w:bookmarkEnd w:id="1128"/>
      <w:bookmarkEnd w:id="1129"/>
    </w:p>
    <w:p w14:paraId="7ADBCA04">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10.4.1 变更估价原则</w:t>
      </w:r>
    </w:p>
    <w:p w14:paraId="334408A2">
      <w:pPr>
        <w:spacing w:line="360" w:lineRule="auto"/>
        <w:ind w:firstLine="420" w:firstLineChars="200"/>
        <w:jc w:val="left"/>
        <w:rPr>
          <w:rFonts w:hint="eastAsia" w:ascii="宋体" w:hAnsi="宋体" w:eastAsia="宋体" w:cs="宋体"/>
          <w:color w:val="auto"/>
          <w:highlight w:val="none"/>
          <w:u w:val="single"/>
          <w:lang w:eastAsia="zh-CN"/>
        </w:rPr>
      </w:pPr>
      <w:r>
        <w:rPr>
          <w:rFonts w:hint="eastAsia" w:ascii="宋体" w:hAnsi="宋体" w:eastAsia="宋体" w:cs="宋体"/>
          <w:color w:val="000000"/>
          <w:highlight w:val="none"/>
        </w:rPr>
        <w:t xml:space="preserve">关于变更估价的约定: </w:t>
      </w:r>
      <w:r>
        <w:rPr>
          <w:rFonts w:hint="eastAsia" w:ascii="宋体" w:hAnsi="宋体" w:eastAsia="宋体" w:cs="宋体"/>
          <w:color w:val="000000"/>
          <w:highlight w:val="none"/>
          <w:u w:val="single"/>
        </w:rPr>
        <w:t>因设计变更、相关签证引起工程项目、工程量任何变化的，变更合同价款按下列方法进行：（1）合同中已有相同子目的，按合同该子目价格进行计算（2）合同中只有类似子目的，参照该类似子目价格进行计算</w:t>
      </w:r>
      <w:r>
        <w:rPr>
          <w:rFonts w:hint="eastAsia" w:ascii="宋体" w:hAnsi="宋体" w:eastAsia="宋体" w:cs="宋体"/>
          <w:color w:val="000000"/>
          <w:highlight w:val="none"/>
          <w:u w:val="single"/>
          <w:lang w:eastAsia="zh-CN"/>
        </w:rPr>
        <w:t>；</w:t>
      </w:r>
      <w:r>
        <w:rPr>
          <w:rFonts w:hint="eastAsia" w:ascii="宋体" w:hAnsi="宋体" w:eastAsia="宋体" w:cs="宋体"/>
          <w:color w:val="000000"/>
          <w:highlight w:val="none"/>
          <w:u w:val="single"/>
        </w:rPr>
        <w:t>（3）合同中没有适用或类似子目的价格计算方法：有定额的套定额（土石方工程除外）计算，其中材料价格按施工期间的《南宁建设工程造价信息》相应价格信息进行计算；《南宁建设工程造价信息》没有相应价格信息的按市场价计算；无定额可套的，根据市场价格协商确定综合价格；新增项目的单价必须经</w:t>
      </w:r>
      <w:r>
        <w:rPr>
          <w:rFonts w:hint="eastAsia" w:ascii="宋体" w:hAnsi="宋体" w:eastAsia="宋体" w:cs="宋体"/>
          <w:color w:val="000000"/>
          <w:highlight w:val="none"/>
          <w:u w:val="single"/>
          <w:lang w:val="en-US" w:eastAsia="zh-CN"/>
        </w:rPr>
        <w:t>市</w:t>
      </w:r>
      <w:r>
        <w:rPr>
          <w:rFonts w:hint="eastAsia" w:ascii="宋体" w:hAnsi="宋体" w:eastAsia="宋体" w:cs="宋体"/>
          <w:color w:val="000000"/>
          <w:highlight w:val="none"/>
          <w:u w:val="single"/>
        </w:rPr>
        <w:t>财政</w:t>
      </w:r>
      <w:r>
        <w:rPr>
          <w:rFonts w:hint="eastAsia" w:ascii="宋体" w:hAnsi="宋体" w:eastAsia="宋体" w:cs="宋体"/>
          <w:color w:val="000000"/>
          <w:highlight w:val="none"/>
          <w:u w:val="single"/>
          <w:lang w:val="en-US" w:eastAsia="zh-CN"/>
        </w:rPr>
        <w:t>局</w:t>
      </w:r>
      <w:r>
        <w:rPr>
          <w:rFonts w:hint="eastAsia" w:ascii="宋体" w:hAnsi="宋体" w:eastAsia="宋体" w:cs="宋体"/>
          <w:color w:val="000000"/>
          <w:highlight w:val="none"/>
          <w:u w:val="single"/>
        </w:rPr>
        <w:t>投评中心或者有资质的审核单位审定</w:t>
      </w:r>
      <w:r>
        <w:rPr>
          <w:rFonts w:hint="eastAsia" w:ascii="宋体" w:hAnsi="宋体" w:eastAsia="宋体" w:cs="宋体"/>
          <w:color w:val="000000"/>
          <w:highlight w:val="none"/>
          <w:u w:val="single"/>
          <w:lang w:eastAsia="zh-CN"/>
        </w:rPr>
        <w:t>。</w:t>
      </w:r>
    </w:p>
    <w:p w14:paraId="3967F7F6">
      <w:pPr>
        <w:pStyle w:val="4"/>
        <w:rPr>
          <w:rFonts w:hint="eastAsia" w:ascii="宋体" w:hAnsi="宋体" w:eastAsia="宋体" w:cs="宋体"/>
          <w:color w:val="auto"/>
          <w:highlight w:val="none"/>
        </w:rPr>
      </w:pPr>
      <w:bookmarkStart w:id="1130" w:name="_Toc78449832"/>
      <w:bookmarkStart w:id="1131" w:name="_Toc650800266"/>
      <w:bookmarkStart w:id="1132" w:name="_Toc1342657745"/>
      <w:bookmarkStart w:id="1133" w:name="_Toc373478390"/>
      <w:bookmarkStart w:id="1134" w:name="_Toc373227743"/>
      <w:bookmarkStart w:id="1135" w:name="_Toc407135246"/>
      <w:bookmarkStart w:id="1136" w:name="_Toc389065309"/>
      <w:r>
        <w:rPr>
          <w:rFonts w:hint="eastAsia" w:ascii="宋体" w:hAnsi="宋体" w:eastAsia="宋体" w:cs="宋体"/>
          <w:color w:val="auto"/>
          <w:highlight w:val="none"/>
        </w:rPr>
        <w:t>1</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Start w:id="1137" w:name="_Toc292559402"/>
      <w:bookmarkStart w:id="1138" w:name="_Toc296891025"/>
      <w:bookmarkStart w:id="1139" w:name="_Toc303539150"/>
      <w:bookmarkStart w:id="1140" w:name="_Toc300934993"/>
      <w:bookmarkStart w:id="1141" w:name="_Toc297123544"/>
      <w:bookmarkStart w:id="1142" w:name="_Toc297048383"/>
      <w:bookmarkStart w:id="1143" w:name="_Toc296503197"/>
      <w:bookmarkStart w:id="1144" w:name="_Toc297216203"/>
      <w:bookmarkStart w:id="1145" w:name="_Toc292559907"/>
      <w:bookmarkStart w:id="1146" w:name="_Toc296347196"/>
      <w:bookmarkStart w:id="1147" w:name="_Toc297120497"/>
      <w:bookmarkStart w:id="1148" w:name="_Toc296944536"/>
      <w:bookmarkStart w:id="1149" w:name="_Toc296346698"/>
      <w:bookmarkStart w:id="1150" w:name="_Toc296891237"/>
      <w:bookmarkStart w:id="1151" w:name="_Toc304295570"/>
      <w:bookmarkStart w:id="1152" w:name="_Toc312678029"/>
      <w:bookmarkStart w:id="1153" w:name="_Toc312677503"/>
      <w:r>
        <w:rPr>
          <w:rFonts w:hint="eastAsia" w:ascii="宋体" w:hAnsi="宋体" w:eastAsia="宋体" w:cs="宋体"/>
          <w:color w:val="auto"/>
          <w:highlight w:val="none"/>
        </w:rPr>
        <w:t>0.5 承</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Start w:id="1154" w:name="_Toc296503203"/>
      <w:bookmarkStart w:id="1155" w:name="_Toc296346704"/>
      <w:bookmarkStart w:id="1156" w:name="_Toc296891243"/>
      <w:bookmarkStart w:id="1157" w:name="_Toc292559408"/>
      <w:bookmarkStart w:id="1158" w:name="_Toc297120503"/>
      <w:bookmarkStart w:id="1159" w:name="_Toc303539151"/>
      <w:bookmarkStart w:id="1160" w:name="_Toc296347202"/>
      <w:bookmarkStart w:id="1161" w:name="_Toc300934994"/>
      <w:bookmarkStart w:id="1162" w:name="_Toc296944542"/>
      <w:bookmarkStart w:id="1163" w:name="_Toc296891031"/>
      <w:bookmarkStart w:id="1164" w:name="_Toc297216204"/>
      <w:bookmarkStart w:id="1165" w:name="_Toc297048389"/>
      <w:bookmarkStart w:id="1166" w:name="_Toc292559913"/>
      <w:bookmarkStart w:id="1167" w:name="_Toc297123545"/>
      <w:r>
        <w:rPr>
          <w:rFonts w:hint="eastAsia" w:ascii="宋体" w:hAnsi="宋体" w:eastAsia="宋体" w:cs="宋体"/>
          <w:color w:val="auto"/>
          <w:highlight w:val="none"/>
        </w:rPr>
        <w:t>包人的合理化建议</w:t>
      </w:r>
      <w:bookmarkEnd w:id="1130"/>
      <w:bookmarkEnd w:id="1131"/>
      <w:bookmarkEnd w:id="1132"/>
      <w:bookmarkEnd w:id="1133"/>
      <w:bookmarkEnd w:id="1134"/>
      <w:bookmarkEnd w:id="1135"/>
      <w:bookmarkEnd w:id="1136"/>
    </w:p>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14:paraId="2C8F8811">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监理人审查承包人合理化建议的期限：</w:t>
      </w:r>
      <w:r>
        <w:rPr>
          <w:rFonts w:hint="eastAsia" w:ascii="宋体" w:hAnsi="宋体" w:eastAsia="宋体" w:cs="宋体"/>
          <w:color w:val="auto"/>
          <w:highlight w:val="none"/>
          <w:u w:val="single"/>
          <w:lang w:eastAsia="zh-CN"/>
        </w:rPr>
        <w:t>收到后</w:t>
      </w:r>
      <w:r>
        <w:rPr>
          <w:rFonts w:hint="eastAsia" w:ascii="宋体" w:hAnsi="宋体" w:eastAsia="宋体" w:cs="宋体"/>
          <w:color w:val="auto"/>
          <w:highlight w:val="none"/>
          <w:u w:val="single"/>
          <w:lang w:val="en-US" w:eastAsia="zh-CN"/>
        </w:rPr>
        <w:t>7天内</w:t>
      </w:r>
      <w:r>
        <w:rPr>
          <w:rFonts w:hint="eastAsia" w:ascii="宋体" w:hAnsi="宋体" w:eastAsia="宋体" w:cs="宋体"/>
          <w:color w:val="auto"/>
          <w:highlight w:val="none"/>
        </w:rPr>
        <w:t>。</w:t>
      </w:r>
    </w:p>
    <w:p w14:paraId="003A595F">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发包人审批承包人合理化建议的期限：</w:t>
      </w:r>
      <w:r>
        <w:rPr>
          <w:rFonts w:hint="eastAsia" w:ascii="宋体" w:hAnsi="宋体" w:eastAsia="宋体" w:cs="宋体"/>
          <w:color w:val="auto"/>
          <w:highlight w:val="none"/>
          <w:u w:val="single"/>
          <w:lang w:eastAsia="zh-CN"/>
        </w:rPr>
        <w:t>收到后</w:t>
      </w:r>
      <w:r>
        <w:rPr>
          <w:rFonts w:hint="eastAsia" w:ascii="宋体" w:hAnsi="宋体" w:eastAsia="宋体" w:cs="宋体"/>
          <w:color w:val="auto"/>
          <w:highlight w:val="none"/>
          <w:u w:val="single"/>
          <w:lang w:val="en-US" w:eastAsia="zh-CN"/>
        </w:rPr>
        <w:t>10天内</w:t>
      </w:r>
      <w:r>
        <w:rPr>
          <w:rFonts w:hint="eastAsia" w:ascii="宋体" w:hAnsi="宋体" w:eastAsia="宋体" w:cs="宋体"/>
          <w:color w:val="auto"/>
          <w:highlight w:val="none"/>
        </w:rPr>
        <w:t>。</w:t>
      </w:r>
    </w:p>
    <w:p w14:paraId="4A140E41">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承</w:t>
      </w:r>
      <w:bookmarkStart w:id="1168" w:name="_Toc303539152"/>
      <w:bookmarkStart w:id="1169" w:name="_Toc296944543"/>
      <w:bookmarkStart w:id="1170" w:name="_Toc318581175"/>
      <w:bookmarkStart w:id="1171" w:name="_Toc292559409"/>
      <w:bookmarkStart w:id="1172" w:name="_Toc296891244"/>
      <w:bookmarkStart w:id="1173" w:name="_Toc312677504"/>
      <w:bookmarkStart w:id="1174" w:name="_Toc297120504"/>
      <w:bookmarkStart w:id="1175" w:name="_Toc296346705"/>
      <w:bookmarkStart w:id="1176" w:name="_Toc296503204"/>
      <w:bookmarkStart w:id="1177" w:name="_Toc297048390"/>
      <w:bookmarkStart w:id="1178" w:name="_Toc292559914"/>
      <w:bookmarkStart w:id="1179" w:name="_Toc297123546"/>
      <w:bookmarkStart w:id="1180" w:name="_Toc296347203"/>
      <w:bookmarkStart w:id="1181" w:name="_Toc304295571"/>
      <w:bookmarkStart w:id="1182" w:name="_Toc296891032"/>
      <w:bookmarkStart w:id="1183" w:name="_Toc300934995"/>
      <w:bookmarkStart w:id="1184" w:name="_Toc297216205"/>
      <w:bookmarkStart w:id="1185" w:name="_Toc312678030"/>
      <w:r>
        <w:rPr>
          <w:rFonts w:hint="eastAsia" w:ascii="宋体" w:hAnsi="宋体" w:eastAsia="宋体" w:cs="宋体"/>
          <w:color w:val="auto"/>
          <w:highlight w:val="none"/>
        </w:rPr>
        <w:t>包人提出的合理化建议降低了合同价格或者提高了工程经济效益的奖励的方法和金额为：</w:t>
      </w:r>
      <w:r>
        <w:rPr>
          <w:rFonts w:hint="eastAsia" w:ascii="宋体" w:hAnsi="宋体" w:eastAsia="宋体" w:cs="宋体"/>
          <w:color w:val="auto"/>
          <w:highlight w:val="none"/>
          <w:u w:val="single"/>
          <w:lang w:eastAsia="zh-CN"/>
        </w:rPr>
        <w:t>另行协商</w:t>
      </w:r>
      <w:r>
        <w:rPr>
          <w:rFonts w:hint="eastAsia" w:ascii="宋体" w:hAnsi="宋体" w:eastAsia="宋体" w:cs="宋体"/>
          <w:color w:val="auto"/>
          <w:highlight w:val="none"/>
        </w:rPr>
        <w:t>。</w:t>
      </w:r>
    </w:p>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14:paraId="7C97D680">
      <w:pPr>
        <w:pStyle w:val="4"/>
        <w:rPr>
          <w:rFonts w:hint="eastAsia" w:ascii="宋体" w:hAnsi="宋体" w:eastAsia="宋体" w:cs="宋体"/>
          <w:color w:val="auto"/>
          <w:highlight w:val="none"/>
        </w:rPr>
      </w:pPr>
      <w:bookmarkStart w:id="1186" w:name="_Toc78449833"/>
      <w:bookmarkStart w:id="1187" w:name="_Toc373227744"/>
      <w:bookmarkStart w:id="1188" w:name="_Toc373478391"/>
      <w:bookmarkStart w:id="1189" w:name="_Toc407135247"/>
      <w:bookmarkStart w:id="1190" w:name="_Toc389065310"/>
      <w:bookmarkStart w:id="1191" w:name="_Toc2045792355"/>
      <w:bookmarkStart w:id="1192" w:name="_Toc502454636"/>
      <w:r>
        <w:rPr>
          <w:rFonts w:hint="eastAsia" w:ascii="宋体" w:hAnsi="宋体" w:eastAsia="宋体" w:cs="宋体"/>
          <w:color w:val="auto"/>
          <w:highlight w:val="none"/>
        </w:rPr>
        <w:t>1</w:t>
      </w:r>
      <w:bookmarkStart w:id="1193" w:name="_Toc312678033"/>
      <w:bookmarkStart w:id="1194" w:name="_Toc292559909"/>
      <w:bookmarkStart w:id="1195" w:name="_Toc304295574"/>
      <w:bookmarkStart w:id="1196" w:name="_Toc297120499"/>
      <w:bookmarkStart w:id="1197" w:name="_Toc303539154"/>
      <w:bookmarkStart w:id="1198" w:name="_Toc300934997"/>
      <w:bookmarkStart w:id="1199" w:name="_Toc297123548"/>
      <w:bookmarkStart w:id="1200" w:name="_Toc312677507"/>
      <w:bookmarkStart w:id="1201" w:name="_Toc297216207"/>
      <w:bookmarkStart w:id="1202" w:name="_Toc297048385"/>
      <w:bookmarkStart w:id="1203" w:name="_Toc292559404"/>
      <w:bookmarkStart w:id="1204" w:name="_Toc296891027"/>
      <w:bookmarkStart w:id="1205" w:name="_Toc296891239"/>
      <w:bookmarkStart w:id="1206" w:name="_Toc296503199"/>
      <w:bookmarkStart w:id="1207" w:name="_Toc296346700"/>
      <w:bookmarkStart w:id="1208" w:name="_Toc296944538"/>
      <w:bookmarkStart w:id="1209" w:name="_Toc296347198"/>
      <w:r>
        <w:rPr>
          <w:rFonts w:hint="eastAsia" w:ascii="宋体" w:hAnsi="宋体" w:eastAsia="宋体" w:cs="宋体"/>
          <w:color w:val="auto"/>
          <w:highlight w:val="none"/>
        </w:rPr>
        <w:t>0.7 暂估价</w:t>
      </w:r>
      <w:bookmarkEnd w:id="1186"/>
      <w:bookmarkEnd w:id="1187"/>
      <w:bookmarkEnd w:id="1188"/>
      <w:bookmarkEnd w:id="1189"/>
      <w:bookmarkEnd w:id="1190"/>
      <w:bookmarkEnd w:id="1191"/>
      <w:bookmarkEnd w:id="1192"/>
    </w:p>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14:paraId="2E181734">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kern w:val="0"/>
          <w:highlight w:val="none"/>
        </w:rPr>
        <w:t>暂</w:t>
      </w:r>
      <w:bookmarkStart w:id="1210" w:name="_Toc312677508"/>
      <w:bookmarkStart w:id="1211" w:name="_Toc318581176"/>
      <w:bookmarkStart w:id="1212" w:name="_Toc312678034"/>
      <w:r>
        <w:rPr>
          <w:rFonts w:hint="eastAsia" w:ascii="宋体" w:hAnsi="宋体" w:eastAsia="宋体" w:cs="宋体"/>
          <w:color w:val="auto"/>
          <w:kern w:val="0"/>
          <w:highlight w:val="none"/>
        </w:rPr>
        <w:t>估价材料和工程设备的明细详见已标价工程量清单《</w:t>
      </w:r>
      <w:r>
        <w:rPr>
          <w:rFonts w:hint="eastAsia" w:ascii="宋体" w:hAnsi="宋体" w:eastAsia="宋体" w:cs="宋体"/>
          <w:color w:val="auto"/>
          <w:highlight w:val="none"/>
        </w:rPr>
        <w:t>材料（工程设备）暂估价格及调整表》</w:t>
      </w:r>
      <w:r>
        <w:rPr>
          <w:rFonts w:hint="eastAsia" w:ascii="宋体" w:hAnsi="宋体" w:eastAsia="宋体" w:cs="宋体"/>
          <w:color w:val="auto"/>
          <w:kern w:val="0"/>
          <w:highlight w:val="none"/>
        </w:rPr>
        <w:t>（表12-2）和《</w:t>
      </w:r>
      <w:r>
        <w:rPr>
          <w:rFonts w:hint="eastAsia" w:ascii="宋体" w:hAnsi="宋体" w:eastAsia="宋体" w:cs="宋体"/>
          <w:color w:val="auto"/>
          <w:highlight w:val="none"/>
        </w:rPr>
        <w:t>专业工程暂估价表》（</w:t>
      </w:r>
      <w:r>
        <w:rPr>
          <w:rFonts w:hint="eastAsia" w:ascii="宋体" w:hAnsi="宋体" w:eastAsia="宋体" w:cs="宋体"/>
          <w:color w:val="auto"/>
          <w:kern w:val="0"/>
          <w:highlight w:val="none"/>
        </w:rPr>
        <w:t>表12-3）。</w:t>
      </w:r>
    </w:p>
    <w:bookmarkEnd w:id="1210"/>
    <w:bookmarkEnd w:id="1211"/>
    <w:bookmarkEnd w:id="1212"/>
    <w:p w14:paraId="2E6D5A0E">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w:t>
      </w:r>
      <w:bookmarkStart w:id="1213" w:name="_Toc312678035"/>
      <w:bookmarkStart w:id="1214" w:name="_Toc318581177"/>
      <w:bookmarkStart w:id="1215" w:name="_Toc312677509"/>
      <w:r>
        <w:rPr>
          <w:rFonts w:hint="eastAsia" w:ascii="宋体" w:hAnsi="宋体" w:eastAsia="宋体" w:cs="宋体"/>
          <w:color w:val="auto"/>
          <w:highlight w:val="none"/>
        </w:rPr>
        <w:t>0.7.1 依法必须招标的暂估价项目</w:t>
      </w:r>
    </w:p>
    <w:bookmarkEnd w:id="1213"/>
    <w:bookmarkEnd w:id="1214"/>
    <w:bookmarkEnd w:id="1215"/>
    <w:p w14:paraId="4440A460">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对于依法必须招标的暂估价项目的确认和批准采取第</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种方式确定。</w:t>
      </w:r>
    </w:p>
    <w:p w14:paraId="67EB824F">
      <w:pPr>
        <w:spacing w:line="360" w:lineRule="auto"/>
        <w:ind w:firstLine="420" w:firstLineChars="20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第 1 种方式：对于依法必须招标的暂估价项目，由承包人招标，对该暂估价项目的确认和批准。 </w:t>
      </w:r>
    </w:p>
    <w:p w14:paraId="38EB6907">
      <w:pPr>
        <w:spacing w:line="360" w:lineRule="auto"/>
        <w:ind w:firstLine="420" w:firstLineChars="20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按照以下约定执行： </w:t>
      </w:r>
    </w:p>
    <w:p w14:paraId="161AAF1D">
      <w:pPr>
        <w:spacing w:line="360" w:lineRule="auto"/>
        <w:ind w:firstLine="420" w:firstLineChars="20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（1）承包人应当根据施工进度计划，在招标工作启动前 14 天将招标方案通过监理人报送发包人审查，发包人应当在收到承包人报送的招标方案后 7 天内批准或提出修改意见。承包人应当按照经过发包人批准的招标方案开展招标工作； </w:t>
      </w:r>
    </w:p>
    <w:p w14:paraId="736E1FC4">
      <w:pPr>
        <w:spacing w:line="360" w:lineRule="auto"/>
        <w:ind w:firstLine="420" w:firstLineChars="20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（2）承包人应当根据施工进度计划，提前 14 天将招标文件通过监理人报送发包人审批，发包人应当在收到承包人报送的相关文件后 7 内完成审批或提出修改意见；发包人有权确定招标控制价并按照法律规定参加评标； </w:t>
      </w:r>
    </w:p>
    <w:p w14:paraId="301B151D">
      <w:pPr>
        <w:spacing w:line="360" w:lineRule="auto"/>
        <w:ind w:firstLine="420" w:firstLineChars="20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（3）承包人与供应商、分包人在签订暂估价合同前，应当提前 7 天将确定的中标候选供应商或中标候选分包人的资料报送发包人，发包人应在收到资料后 3 天内与承包人共同确定中标人；承包人应当在签订合同后 7 天内，将暂估价合同副本报送发包人留存。</w:t>
      </w:r>
    </w:p>
    <w:p w14:paraId="6830B86F">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10.7.2 不属于依法必须招标的暂估价项目</w:t>
      </w:r>
    </w:p>
    <w:p w14:paraId="77BA65BC">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对于不属于依法必须招标的暂估价项目的确认和批准采取第</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种方式确定。</w:t>
      </w:r>
    </w:p>
    <w:p w14:paraId="1425239C">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第 1 种方式：对于不属于依法必须招标的暂估价项目，按本项约定确认和批准： </w:t>
      </w:r>
    </w:p>
    <w:p w14:paraId="2CBAFADD">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（1）承包人应根据施工进度计划，在签订暂估价项目的采购合同、分包合同前28 天向监理人提出书面申请。监理人应当在收到申请后 3 天内报送发包人，发包人应当在收到申请后 14 天内给予批准或提出修改意见，发包人逾期未予批准或提出修改意见的，视为该书面申请已获得同意； </w:t>
      </w:r>
    </w:p>
    <w:p w14:paraId="0378EC40">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（2）发包人认为承包人确定的供应商、分包人无法满足工程质量或合同要求的，发包人可以要求承包人重新确定暂估价项目的供应商、分包人； </w:t>
      </w:r>
    </w:p>
    <w:p w14:paraId="2A0D2B5C">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（3）承包人应当在签订暂估价合同后 7 天内，将暂估价合同副本报送发包人留存。 </w:t>
      </w:r>
    </w:p>
    <w:p w14:paraId="6A0398C9">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第 2 种方式：承包人按照第 10.7.1 项〔依法必须招标的暂估价项目〕约定的第 1 种方式确定暂估价项目。</w:t>
      </w:r>
    </w:p>
    <w:p w14:paraId="6E8240EB">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highlight w:val="none"/>
        </w:rPr>
        <w:t>第3种方式：</w:t>
      </w:r>
      <w:r>
        <w:rPr>
          <w:rFonts w:hint="eastAsia" w:ascii="宋体" w:hAnsi="宋体" w:eastAsia="宋体" w:cs="宋体"/>
          <w:color w:val="auto"/>
          <w:kern w:val="0"/>
          <w:highlight w:val="none"/>
        </w:rPr>
        <w:t>承包人直接实施的暂估价项目</w:t>
      </w:r>
    </w:p>
    <w:p w14:paraId="0877C898">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承包人直接实施的暂估价项目的约定：</w:t>
      </w:r>
      <w:r>
        <w:rPr>
          <w:rFonts w:hint="eastAsia" w:ascii="宋体" w:hAnsi="宋体" w:eastAsia="宋体" w:cs="宋体"/>
          <w:color w:val="auto"/>
          <w:highlight w:val="none"/>
          <w:u w:val="single"/>
        </w:rPr>
        <w:t>如有，则以发包人要求为准；详见工程量清单</w:t>
      </w:r>
      <w:r>
        <w:rPr>
          <w:rFonts w:hint="eastAsia" w:ascii="宋体" w:hAnsi="宋体" w:eastAsia="宋体" w:cs="宋体"/>
          <w:color w:val="auto"/>
          <w:highlight w:val="none"/>
        </w:rPr>
        <w:t>。</w:t>
      </w:r>
    </w:p>
    <w:p w14:paraId="15381848">
      <w:pPr>
        <w:pStyle w:val="4"/>
        <w:rPr>
          <w:rFonts w:hint="eastAsia" w:ascii="宋体" w:hAnsi="宋体" w:eastAsia="宋体" w:cs="宋体"/>
          <w:color w:val="auto"/>
          <w:highlight w:val="none"/>
        </w:rPr>
      </w:pPr>
      <w:bookmarkStart w:id="1216" w:name="_Toc407135248"/>
      <w:bookmarkStart w:id="1217" w:name="_Toc2131098822"/>
      <w:bookmarkStart w:id="1218" w:name="_Toc78449834"/>
      <w:bookmarkStart w:id="1219" w:name="_Toc2032108729"/>
      <w:bookmarkStart w:id="1220" w:name="_Toc373227745"/>
      <w:bookmarkStart w:id="1221" w:name="_Toc389065311"/>
      <w:bookmarkStart w:id="1222" w:name="_Toc373478392"/>
      <w:r>
        <w:rPr>
          <w:rFonts w:hint="eastAsia" w:ascii="宋体" w:hAnsi="宋体" w:eastAsia="宋体" w:cs="宋体"/>
          <w:color w:val="auto"/>
          <w:highlight w:val="none"/>
        </w:rPr>
        <w:t>10.8 暂列金额</w:t>
      </w:r>
      <w:bookmarkEnd w:id="1216"/>
      <w:bookmarkEnd w:id="1217"/>
      <w:bookmarkEnd w:id="1218"/>
      <w:bookmarkEnd w:id="1219"/>
      <w:bookmarkEnd w:id="1220"/>
      <w:bookmarkEnd w:id="1221"/>
      <w:bookmarkEnd w:id="1222"/>
    </w:p>
    <w:p w14:paraId="3646A2BD">
      <w:pPr>
        <w:autoSpaceDE w:val="0"/>
        <w:autoSpaceDN w:val="0"/>
        <w:adjustRightInd w:val="0"/>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kern w:val="0"/>
          <w:highlight w:val="none"/>
        </w:rPr>
        <w:t>合同当事人关于暂列金额使用的约定：</w:t>
      </w:r>
      <w:r>
        <w:rPr>
          <w:rFonts w:hint="eastAsia" w:ascii="宋体" w:hAnsi="宋体" w:eastAsia="宋体" w:cs="宋体"/>
          <w:color w:val="auto"/>
          <w:highlight w:val="none"/>
          <w:u w:val="single"/>
        </w:rPr>
        <w:t>如有，则以发包人要求为准；详见工程量清单</w:t>
      </w:r>
      <w:r>
        <w:rPr>
          <w:rFonts w:hint="eastAsia" w:ascii="宋体" w:hAnsi="宋体" w:eastAsia="宋体" w:cs="宋体"/>
          <w:color w:val="auto"/>
          <w:kern w:val="0"/>
          <w:highlight w:val="none"/>
        </w:rPr>
        <w:t>。</w:t>
      </w:r>
    </w:p>
    <w:p w14:paraId="110F686E">
      <w:pPr>
        <w:pStyle w:val="3"/>
        <w:numPr>
          <w:ilvl w:val="0"/>
          <w:numId w:val="3"/>
        </w:numPr>
        <w:rPr>
          <w:rFonts w:hint="eastAsia" w:ascii="宋体" w:hAnsi="宋体" w:eastAsia="宋体" w:cs="宋体"/>
          <w:color w:val="auto"/>
          <w:highlight w:val="none"/>
        </w:rPr>
      </w:pPr>
      <w:bookmarkStart w:id="1223" w:name="_Toc407135249"/>
      <w:bookmarkStart w:id="1224" w:name="_Toc373478393"/>
      <w:bookmarkStart w:id="1225" w:name="_Toc136736539"/>
      <w:bookmarkStart w:id="1226" w:name="_Toc1190723452"/>
      <w:bookmarkStart w:id="1227" w:name="_Toc78449835"/>
      <w:bookmarkStart w:id="1228" w:name="_Toc373227746"/>
      <w:bookmarkStart w:id="1229" w:name="_Toc351203643"/>
      <w:bookmarkStart w:id="1230" w:name="_Toc389065312"/>
      <w:r>
        <w:rPr>
          <w:rFonts w:hint="eastAsia" w:ascii="宋体" w:hAnsi="宋体" w:eastAsia="宋体" w:cs="宋体"/>
          <w:color w:val="auto"/>
          <w:highlight w:val="none"/>
        </w:rPr>
        <w:t>价格调整</w:t>
      </w:r>
      <w:bookmarkEnd w:id="1223"/>
      <w:bookmarkEnd w:id="1224"/>
      <w:bookmarkEnd w:id="1225"/>
      <w:bookmarkEnd w:id="1226"/>
      <w:bookmarkEnd w:id="1227"/>
      <w:bookmarkEnd w:id="1228"/>
      <w:bookmarkEnd w:id="1229"/>
      <w:bookmarkEnd w:id="1230"/>
    </w:p>
    <w:p w14:paraId="59049722">
      <w:pPr>
        <w:pStyle w:val="4"/>
        <w:rPr>
          <w:rFonts w:hint="eastAsia" w:ascii="宋体" w:hAnsi="宋体" w:eastAsia="宋体" w:cs="宋体"/>
          <w:color w:val="auto"/>
          <w:highlight w:val="none"/>
        </w:rPr>
      </w:pPr>
      <w:bookmarkStart w:id="1231" w:name="_Toc78449836"/>
      <w:bookmarkStart w:id="1232" w:name="_Toc407135250"/>
      <w:bookmarkStart w:id="1233" w:name="_Toc389065313"/>
      <w:bookmarkStart w:id="1234" w:name="_Toc1501386015"/>
      <w:bookmarkStart w:id="1235" w:name="_Toc373478394"/>
      <w:bookmarkStart w:id="1236" w:name="_Toc42268484"/>
      <w:bookmarkStart w:id="1237" w:name="_Toc373227747"/>
      <w:bookmarkStart w:id="1238" w:name="_Toc296346702"/>
      <w:bookmarkStart w:id="1239" w:name="_Toc297120501"/>
      <w:bookmarkStart w:id="1240" w:name="_Toc296891241"/>
      <w:bookmarkStart w:id="1241" w:name="_Toc300935000"/>
      <w:bookmarkStart w:id="1242" w:name="_Toc296891029"/>
      <w:bookmarkStart w:id="1243" w:name="_Toc304295577"/>
      <w:bookmarkStart w:id="1244" w:name="_Toc296347200"/>
      <w:bookmarkStart w:id="1245" w:name="_Toc292559911"/>
      <w:bookmarkStart w:id="1246" w:name="_Toc292559406"/>
      <w:bookmarkStart w:id="1247" w:name="_Toc297216209"/>
      <w:bookmarkStart w:id="1248" w:name="_Toc303539157"/>
      <w:bookmarkStart w:id="1249" w:name="_Toc296503201"/>
      <w:bookmarkStart w:id="1250" w:name="_Toc297048387"/>
      <w:bookmarkStart w:id="1251" w:name="_Toc312678039"/>
      <w:bookmarkStart w:id="1252" w:name="_Toc297123550"/>
      <w:bookmarkStart w:id="1253" w:name="_Toc296944540"/>
      <w:r>
        <w:rPr>
          <w:rFonts w:hint="eastAsia" w:ascii="宋体" w:hAnsi="宋体" w:eastAsia="宋体" w:cs="宋体"/>
          <w:color w:val="auto"/>
          <w:highlight w:val="none"/>
        </w:rPr>
        <w:t>11.1 市场价格波动引起的调整</w:t>
      </w:r>
      <w:bookmarkEnd w:id="1231"/>
      <w:bookmarkEnd w:id="1232"/>
      <w:bookmarkEnd w:id="1233"/>
      <w:bookmarkEnd w:id="1234"/>
      <w:bookmarkEnd w:id="1235"/>
      <w:bookmarkEnd w:id="1236"/>
      <w:bookmarkEnd w:id="1237"/>
    </w:p>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p w14:paraId="3578645E">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kern w:val="0"/>
          <w:highlight w:val="none"/>
        </w:rPr>
        <w:t>市场价格波动是否调整合同价格的约定：</w:t>
      </w:r>
      <w:r>
        <w:rPr>
          <w:rFonts w:hint="eastAsia" w:ascii="宋体" w:hAnsi="宋体" w:eastAsia="宋体" w:cs="宋体"/>
          <w:color w:val="auto"/>
          <w:highlight w:val="none"/>
          <w:u w:val="single"/>
          <w:lang w:val="en-US" w:eastAsia="zh-CN"/>
        </w:rPr>
        <w:t>调整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DEFD49A">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因市场价格波动调整合同价格，采用以下第</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种方式对合同价格进行调整：</w:t>
      </w:r>
    </w:p>
    <w:p w14:paraId="61401A45">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第1种方式：采用价格指数进行价格调整。</w:t>
      </w:r>
    </w:p>
    <w:p w14:paraId="71CDF09B">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关于各可调因子、定值和变值权重，以及基本价格指数及其来源的约定：</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rPr>
        <w:t xml:space="preserve">；  </w:t>
      </w:r>
    </w:p>
    <w:p w14:paraId="1E84C7BF">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第2种方式：采用造价信息进行价格调整。</w:t>
      </w:r>
    </w:p>
    <w:p w14:paraId="02398E22">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（1）允许调整主要材料和</w:t>
      </w:r>
      <w:r>
        <w:rPr>
          <w:rFonts w:hint="eastAsia" w:ascii="宋体" w:hAnsi="宋体" w:eastAsia="宋体" w:cs="宋体"/>
          <w:color w:val="auto"/>
          <w:highlight w:val="none"/>
          <w:lang w:val="en-US"/>
        </w:rPr>
        <w:t>工程</w:t>
      </w:r>
      <w:r>
        <w:rPr>
          <w:rFonts w:hint="eastAsia" w:ascii="宋体" w:hAnsi="宋体" w:eastAsia="宋体" w:cs="宋体"/>
          <w:color w:val="auto"/>
          <w:highlight w:val="none"/>
        </w:rPr>
        <w:t>设备、基期价格、风险系数、投标报价详见《</w:t>
      </w:r>
      <w:r>
        <w:rPr>
          <w:rFonts w:hint="eastAsia" w:ascii="宋体" w:hAnsi="宋体" w:eastAsia="宋体" w:cs="宋体"/>
          <w:color w:val="auto"/>
          <w:highlight w:val="none"/>
          <w:lang w:val="en-US" w:eastAsia="zh-CN"/>
        </w:rPr>
        <w:t>允许调整</w:t>
      </w:r>
      <w:r>
        <w:rPr>
          <w:rFonts w:hint="eastAsia" w:ascii="宋体" w:hAnsi="宋体" w:eastAsia="宋体" w:cs="宋体"/>
          <w:color w:val="auto"/>
          <w:highlight w:val="none"/>
        </w:rPr>
        <w:t>主要材料和</w:t>
      </w:r>
      <w:r>
        <w:rPr>
          <w:rFonts w:hint="eastAsia" w:ascii="宋体" w:hAnsi="宋体" w:eastAsia="宋体" w:cs="宋体"/>
          <w:color w:val="auto"/>
          <w:highlight w:val="none"/>
          <w:lang w:val="en-US"/>
        </w:rPr>
        <w:t>工程</w:t>
      </w:r>
      <w:r>
        <w:rPr>
          <w:rFonts w:hint="eastAsia" w:ascii="宋体" w:hAnsi="宋体" w:eastAsia="宋体" w:cs="宋体"/>
          <w:color w:val="auto"/>
          <w:highlight w:val="none"/>
        </w:rPr>
        <w:t>设备一览表》</w:t>
      </w:r>
      <w:r>
        <w:rPr>
          <w:rFonts w:hint="eastAsia" w:ascii="宋体" w:hAnsi="宋体" w:eastAsia="宋体" w:cs="宋体"/>
          <w:color w:val="auto"/>
          <w:kern w:val="0"/>
          <w:sz w:val="20"/>
          <w:highlight w:val="none"/>
        </w:rPr>
        <w:t>（表-22）</w:t>
      </w:r>
      <w:r>
        <w:rPr>
          <w:rFonts w:hint="eastAsia" w:ascii="宋体" w:hAnsi="宋体" w:eastAsia="宋体" w:cs="宋体"/>
          <w:color w:val="auto"/>
          <w:highlight w:val="none"/>
        </w:rPr>
        <w:t>,价差调整部分仅计算税金，除此表列明的材料、设备外，其余材料设备价差原则上不予调整。</w:t>
      </w:r>
    </w:p>
    <w:p w14:paraId="0F99A50B">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（2）主要材料和</w:t>
      </w:r>
      <w:r>
        <w:rPr>
          <w:rFonts w:hint="eastAsia" w:ascii="宋体" w:hAnsi="宋体" w:eastAsia="宋体" w:cs="宋体"/>
          <w:color w:val="auto"/>
          <w:highlight w:val="none"/>
          <w:lang w:val="en-US"/>
        </w:rPr>
        <w:t>工程</w:t>
      </w:r>
      <w:r>
        <w:rPr>
          <w:rFonts w:hint="eastAsia" w:ascii="宋体" w:hAnsi="宋体" w:eastAsia="宋体" w:cs="宋体"/>
          <w:color w:val="auto"/>
          <w:highlight w:val="none"/>
        </w:rPr>
        <w:t>设备确认价：</w:t>
      </w:r>
    </w:p>
    <w:p w14:paraId="0277B32D">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按施工期间《</w:t>
      </w:r>
      <w:r>
        <w:rPr>
          <w:rFonts w:hint="eastAsia" w:ascii="宋体" w:hAnsi="宋体" w:eastAsia="宋体" w:cs="宋体"/>
          <w:color w:val="auto"/>
          <w:highlight w:val="none"/>
          <w:u w:val="single"/>
          <w:lang w:val="en-US" w:eastAsia="zh-CN"/>
        </w:rPr>
        <w:t>南宁</w:t>
      </w:r>
      <w:r>
        <w:rPr>
          <w:rFonts w:hint="eastAsia" w:ascii="宋体" w:hAnsi="宋体" w:eastAsia="宋体" w:cs="宋体"/>
          <w:color w:val="auto"/>
          <w:highlight w:val="none"/>
        </w:rPr>
        <w:t>市建设工程造价信息》材料信息价的加权平均价计算，信息价没有的按通用条款规定确定。</w:t>
      </w:r>
    </w:p>
    <w:p w14:paraId="338AF854">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（3）价差计算方法：</w:t>
      </w:r>
    </w:p>
    <w:p w14:paraId="4171E04E">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①《</w:t>
      </w:r>
      <w:r>
        <w:rPr>
          <w:rFonts w:hint="eastAsia" w:ascii="宋体" w:hAnsi="宋体" w:eastAsia="宋体" w:cs="宋体"/>
          <w:color w:val="auto"/>
          <w:highlight w:val="none"/>
          <w:lang w:val="en-US" w:eastAsia="zh-CN"/>
        </w:rPr>
        <w:t>允许调整</w:t>
      </w:r>
      <w:r>
        <w:rPr>
          <w:rFonts w:hint="eastAsia" w:ascii="宋体" w:hAnsi="宋体" w:eastAsia="宋体" w:cs="宋体"/>
          <w:color w:val="auto"/>
          <w:highlight w:val="none"/>
        </w:rPr>
        <w:t>主要材料和</w:t>
      </w:r>
      <w:r>
        <w:rPr>
          <w:rFonts w:hint="eastAsia" w:ascii="宋体" w:hAnsi="宋体" w:eastAsia="宋体" w:cs="宋体"/>
          <w:color w:val="auto"/>
          <w:highlight w:val="none"/>
          <w:lang w:eastAsia="zh-CN"/>
        </w:rPr>
        <w:t>工程</w:t>
      </w:r>
      <w:r>
        <w:rPr>
          <w:rFonts w:hint="eastAsia" w:ascii="宋体" w:hAnsi="宋体" w:eastAsia="宋体" w:cs="宋体"/>
          <w:color w:val="auto"/>
          <w:highlight w:val="none"/>
        </w:rPr>
        <w:t>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价*（1+风险系数），价格下跌价差=确认价-投标报价*（1+风险系数）。</w:t>
      </w:r>
    </w:p>
    <w:p w14:paraId="5F602A21">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②承包人在《</w:t>
      </w:r>
      <w:r>
        <w:rPr>
          <w:rFonts w:hint="eastAsia" w:ascii="宋体" w:hAnsi="宋体" w:eastAsia="宋体" w:cs="宋体"/>
          <w:color w:val="auto"/>
          <w:highlight w:val="none"/>
          <w:lang w:val="en-US" w:eastAsia="zh-CN"/>
        </w:rPr>
        <w:t>允许调整</w:t>
      </w:r>
      <w:r>
        <w:rPr>
          <w:rFonts w:hint="eastAsia" w:ascii="宋体" w:hAnsi="宋体" w:eastAsia="宋体" w:cs="宋体"/>
          <w:color w:val="auto"/>
          <w:highlight w:val="none"/>
        </w:rPr>
        <w:t>主要材料和</w:t>
      </w:r>
      <w:r>
        <w:rPr>
          <w:rFonts w:hint="eastAsia" w:ascii="宋体" w:hAnsi="宋体" w:eastAsia="宋体" w:cs="宋体"/>
          <w:color w:val="auto"/>
          <w:highlight w:val="none"/>
          <w:lang w:eastAsia="zh-CN"/>
        </w:rPr>
        <w:t>工程</w:t>
      </w:r>
      <w:r>
        <w:rPr>
          <w:rFonts w:hint="eastAsia" w:ascii="宋体" w:hAnsi="宋体" w:eastAsia="宋体" w:cs="宋体"/>
          <w:color w:val="auto"/>
          <w:highlight w:val="none"/>
        </w:rPr>
        <w:t>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7F5BAD4F">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③承包人在《</w:t>
      </w:r>
      <w:r>
        <w:rPr>
          <w:rFonts w:hint="eastAsia" w:ascii="宋体" w:hAnsi="宋体" w:eastAsia="宋体" w:cs="宋体"/>
          <w:color w:val="auto"/>
          <w:highlight w:val="none"/>
          <w:lang w:val="en-US" w:eastAsia="zh-CN"/>
        </w:rPr>
        <w:t>允许调整</w:t>
      </w:r>
      <w:r>
        <w:rPr>
          <w:rFonts w:hint="eastAsia" w:ascii="宋体" w:hAnsi="宋体" w:eastAsia="宋体" w:cs="宋体"/>
          <w:color w:val="auto"/>
          <w:highlight w:val="none"/>
        </w:rPr>
        <w:t>主要材料和</w:t>
      </w:r>
      <w:r>
        <w:rPr>
          <w:rFonts w:hint="eastAsia" w:ascii="宋体" w:hAnsi="宋体" w:eastAsia="宋体" w:cs="宋体"/>
          <w:color w:val="auto"/>
          <w:highlight w:val="none"/>
          <w:lang w:eastAsia="zh-CN"/>
        </w:rPr>
        <w:t>工程</w:t>
      </w:r>
      <w:r>
        <w:rPr>
          <w:rFonts w:hint="eastAsia" w:ascii="宋体" w:hAnsi="宋体" w:eastAsia="宋体" w:cs="宋体"/>
          <w:color w:val="auto"/>
          <w:highlight w:val="none"/>
        </w:rPr>
        <w:t>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334BA434">
      <w:pPr>
        <w:spacing w:line="360" w:lineRule="auto"/>
        <w:ind w:firstLine="645"/>
        <w:jc w:val="left"/>
        <w:rPr>
          <w:rFonts w:hint="eastAsia" w:ascii="宋体" w:hAnsi="宋体" w:eastAsia="宋体" w:cs="宋体"/>
          <w:color w:val="000000"/>
          <w:highlight w:val="none"/>
        </w:rPr>
      </w:pPr>
      <w:r>
        <w:rPr>
          <w:rFonts w:hint="eastAsia" w:ascii="宋体" w:hAnsi="宋体" w:eastAsia="宋体" w:cs="宋体"/>
          <w:color w:val="000000"/>
          <w:highlight w:val="none"/>
        </w:rPr>
        <w:t xml:space="preserve">第3种方式： </w:t>
      </w:r>
      <w:r>
        <w:rPr>
          <w:rFonts w:hint="eastAsia" w:ascii="宋体" w:hAnsi="宋体" w:eastAsia="宋体" w:cs="宋体"/>
          <w:color w:val="000000"/>
          <w:highlight w:val="none"/>
          <w:u w:val="single"/>
        </w:rPr>
        <w:t>除合同约定可以调整的主要材料外，其他材料单价在合同实施期间不因市场价格变化因素而变动，主要材料涨跌的调整幅度按《南宁市建设工程造价信息》发布的主要建筑材料的平均价</w:t>
      </w:r>
      <w:r>
        <w:rPr>
          <w:rFonts w:hint="eastAsia" w:ascii="宋体" w:hAnsi="宋体" w:eastAsia="宋体" w:cs="宋体"/>
          <w:color w:val="000000"/>
          <w:highlight w:val="none"/>
          <w:u w:val="single"/>
          <w:lang w:val="en-US" w:eastAsia="zh-CN"/>
        </w:rPr>
        <w:t>较</w:t>
      </w:r>
      <w:r>
        <w:rPr>
          <w:rFonts w:hint="eastAsia" w:ascii="宋体" w:hAnsi="宋体" w:eastAsia="宋体" w:cs="宋体"/>
          <w:color w:val="000000"/>
          <w:sz w:val="21"/>
          <w:szCs w:val="21"/>
          <w:highlight w:val="none"/>
          <w:u w:val="single"/>
          <w:lang w:val="en-US" w:eastAsia="zh-CN"/>
        </w:rPr>
        <w:t>发包</w:t>
      </w:r>
      <w:r>
        <w:rPr>
          <w:rFonts w:hint="eastAsia" w:ascii="宋体" w:hAnsi="宋体" w:eastAsia="宋体" w:cs="宋体"/>
          <w:color w:val="000000"/>
          <w:sz w:val="21"/>
          <w:szCs w:val="21"/>
          <w:highlight w:val="none"/>
          <w:u w:val="single"/>
        </w:rPr>
        <w:t>时</w:t>
      </w:r>
      <w:r>
        <w:rPr>
          <w:rFonts w:hint="eastAsia" w:ascii="宋体" w:hAnsi="宋体" w:eastAsia="宋体" w:cs="宋体"/>
          <w:color w:val="000000"/>
          <w:sz w:val="21"/>
          <w:szCs w:val="21"/>
          <w:highlight w:val="none"/>
          <w:u w:val="single"/>
          <w:lang w:val="en-US" w:eastAsia="zh-CN"/>
        </w:rPr>
        <w:t>招标控制价工程量清单对应材料</w:t>
      </w:r>
      <w:r>
        <w:rPr>
          <w:rFonts w:hint="eastAsia" w:ascii="宋体" w:hAnsi="宋体" w:eastAsia="宋体" w:cs="宋体"/>
          <w:color w:val="000000"/>
          <w:sz w:val="21"/>
          <w:szCs w:val="21"/>
          <w:highlight w:val="none"/>
          <w:u w:val="single"/>
        </w:rPr>
        <w:t>的单价</w:t>
      </w:r>
      <w:r>
        <w:rPr>
          <w:rFonts w:hint="eastAsia" w:ascii="宋体" w:hAnsi="宋体" w:eastAsia="宋体" w:cs="宋体"/>
          <w:color w:val="000000"/>
          <w:highlight w:val="none"/>
          <w:u w:val="single"/>
        </w:rPr>
        <w:t>发生变动</w:t>
      </w:r>
      <w:r>
        <w:rPr>
          <w:rFonts w:hint="eastAsia" w:ascii="宋体" w:hAnsi="宋体" w:eastAsia="宋体" w:cs="宋体"/>
          <w:color w:val="000000"/>
          <w:highlight w:val="none"/>
          <w:u w:val="single"/>
          <w:lang w:val="en-US" w:eastAsia="zh-CN"/>
        </w:rPr>
        <w:t>时</w:t>
      </w:r>
      <w:r>
        <w:rPr>
          <w:rFonts w:hint="eastAsia" w:ascii="宋体" w:hAnsi="宋体" w:eastAsia="宋体" w:cs="宋体"/>
          <w:color w:val="000000"/>
          <w:highlight w:val="none"/>
          <w:u w:val="single"/>
        </w:rPr>
        <w:t>，变动幅度在±1</w:t>
      </w:r>
      <w:r>
        <w:rPr>
          <w:rFonts w:hint="eastAsia" w:ascii="宋体" w:hAnsi="宋体" w:eastAsia="宋体" w:cs="宋体"/>
          <w:color w:val="000000"/>
          <w:highlight w:val="none"/>
          <w:u w:val="single"/>
          <w:lang w:val="en-US" w:eastAsia="zh-CN"/>
        </w:rPr>
        <w:t>0</w:t>
      </w:r>
      <w:r>
        <w:rPr>
          <w:rFonts w:hint="eastAsia" w:ascii="宋体" w:hAnsi="宋体" w:eastAsia="宋体" w:cs="宋体"/>
          <w:color w:val="000000"/>
          <w:highlight w:val="none"/>
          <w:u w:val="single"/>
        </w:rPr>
        <w:t>%以上的部分，</w:t>
      </w:r>
      <w:r>
        <w:rPr>
          <w:rFonts w:hint="eastAsia" w:ascii="宋体" w:hAnsi="宋体" w:eastAsia="宋体" w:cs="宋体"/>
          <w:color w:val="000000"/>
          <w:highlight w:val="none"/>
          <w:u w:val="single"/>
          <w:lang w:val="en-US" w:eastAsia="zh-CN"/>
        </w:rPr>
        <w:t>承包人</w:t>
      </w:r>
      <w:r>
        <w:rPr>
          <w:rFonts w:hint="eastAsia" w:ascii="宋体" w:hAnsi="宋体" w:eastAsia="宋体" w:cs="宋体"/>
          <w:color w:val="000000"/>
          <w:highlight w:val="none"/>
          <w:u w:val="single"/>
        </w:rPr>
        <w:t>可以</w:t>
      </w:r>
      <w:r>
        <w:rPr>
          <w:rFonts w:hint="eastAsia" w:ascii="宋体" w:hAnsi="宋体" w:eastAsia="宋体" w:cs="宋体"/>
          <w:color w:val="000000"/>
          <w:highlight w:val="none"/>
          <w:u w:val="single"/>
          <w:lang w:val="en-US" w:eastAsia="zh-CN"/>
        </w:rPr>
        <w:t>提出</w:t>
      </w:r>
      <w:r>
        <w:rPr>
          <w:rFonts w:hint="eastAsia" w:ascii="宋体" w:hAnsi="宋体" w:eastAsia="宋体" w:cs="宋体"/>
          <w:color w:val="000000"/>
          <w:highlight w:val="none"/>
          <w:u w:val="single"/>
        </w:rPr>
        <w:t>申请调整</w:t>
      </w:r>
      <w:r>
        <w:rPr>
          <w:rFonts w:hint="eastAsia" w:ascii="宋体" w:hAnsi="宋体" w:eastAsia="宋体" w:cs="宋体"/>
          <w:color w:val="000000"/>
          <w:highlight w:val="none"/>
          <w:u w:val="single"/>
          <w:lang w:val="en-US" w:eastAsia="zh-CN"/>
        </w:rPr>
        <w:t>主要</w:t>
      </w:r>
      <w:r>
        <w:rPr>
          <w:rFonts w:hint="eastAsia" w:ascii="宋体" w:hAnsi="宋体" w:eastAsia="宋体" w:cs="宋体"/>
          <w:color w:val="000000"/>
          <w:highlight w:val="none"/>
          <w:u w:val="single"/>
        </w:rPr>
        <w:t>材料价格。调整日期范围是指合同规定的施工工期</w:t>
      </w:r>
      <w:r>
        <w:rPr>
          <w:rFonts w:hint="eastAsia" w:ascii="宋体" w:hAnsi="宋体" w:cs="宋体"/>
          <w:color w:val="000000"/>
          <w:highlight w:val="none"/>
          <w:u w:val="single"/>
          <w:lang w:val="en-US" w:eastAsia="zh-CN"/>
        </w:rPr>
        <w:t>或允许调整的合理工期</w:t>
      </w:r>
      <w:r>
        <w:rPr>
          <w:rFonts w:hint="eastAsia" w:ascii="宋体" w:hAnsi="宋体" w:eastAsia="宋体" w:cs="宋体"/>
          <w:color w:val="000000"/>
          <w:highlight w:val="none"/>
          <w:u w:val="single"/>
        </w:rPr>
        <w:t>，若超过合同规定的施工日期</w:t>
      </w:r>
      <w:r>
        <w:rPr>
          <w:rFonts w:hint="eastAsia" w:ascii="宋体" w:hAnsi="宋体" w:cs="宋体"/>
          <w:color w:val="000000"/>
          <w:highlight w:val="none"/>
          <w:u w:val="single"/>
          <w:lang w:val="en-US" w:eastAsia="zh-CN"/>
        </w:rPr>
        <w:t>或允许调整的合理工期</w:t>
      </w:r>
      <w:r>
        <w:rPr>
          <w:rFonts w:hint="eastAsia" w:ascii="宋体" w:hAnsi="宋体" w:eastAsia="宋体" w:cs="宋体"/>
          <w:color w:val="000000"/>
          <w:highlight w:val="none"/>
          <w:u w:val="single"/>
        </w:rPr>
        <w:t>，发包人将不予调整。若不按时间要求及时提出或承包人送</w:t>
      </w:r>
      <w:r>
        <w:rPr>
          <w:rFonts w:hint="eastAsia" w:ascii="宋体" w:hAnsi="宋体" w:eastAsia="宋体" w:cs="宋体"/>
          <w:color w:val="000000"/>
          <w:highlight w:val="none"/>
          <w:u w:val="single"/>
          <w:lang w:val="en-US" w:eastAsia="zh-CN"/>
        </w:rPr>
        <w:t>审</w:t>
      </w:r>
      <w:r>
        <w:rPr>
          <w:rFonts w:hint="eastAsia" w:ascii="宋体" w:hAnsi="宋体" w:eastAsia="宋体" w:cs="宋体"/>
          <w:color w:val="000000"/>
          <w:highlight w:val="none"/>
          <w:u w:val="single"/>
        </w:rPr>
        <w:t>结算</w:t>
      </w:r>
      <w:r>
        <w:rPr>
          <w:rFonts w:hint="eastAsia" w:ascii="宋体" w:hAnsi="宋体" w:eastAsia="宋体" w:cs="宋体"/>
          <w:color w:val="000000"/>
          <w:highlight w:val="none"/>
          <w:u w:val="single"/>
          <w:lang w:val="en-US" w:eastAsia="zh-CN"/>
        </w:rPr>
        <w:t>资料</w:t>
      </w:r>
      <w:r>
        <w:rPr>
          <w:rFonts w:hint="eastAsia" w:ascii="宋体" w:hAnsi="宋体" w:eastAsia="宋体" w:cs="宋体"/>
          <w:color w:val="000000"/>
          <w:highlight w:val="none"/>
          <w:u w:val="single"/>
        </w:rPr>
        <w:t>时才提出，发包人将不予调整</w:t>
      </w:r>
      <w:r>
        <w:rPr>
          <w:rFonts w:hint="eastAsia" w:ascii="宋体" w:hAnsi="宋体" w:eastAsia="宋体" w:cs="宋体"/>
          <w:color w:val="000000"/>
          <w:highlight w:val="none"/>
        </w:rPr>
        <w:t>。</w:t>
      </w:r>
    </w:p>
    <w:bookmarkEnd w:id="1085"/>
    <w:bookmarkEnd w:id="1086"/>
    <w:bookmarkEnd w:id="1087"/>
    <w:bookmarkEnd w:id="1088"/>
    <w:bookmarkEnd w:id="1089"/>
    <w:bookmarkEnd w:id="1090"/>
    <w:p w14:paraId="109B56F5">
      <w:pPr>
        <w:pStyle w:val="3"/>
        <w:rPr>
          <w:rFonts w:hint="eastAsia" w:ascii="宋体" w:hAnsi="宋体" w:eastAsia="宋体" w:cs="宋体"/>
          <w:color w:val="auto"/>
          <w:highlight w:val="none"/>
        </w:rPr>
      </w:pPr>
      <w:bookmarkStart w:id="1254" w:name="_Toc296347204"/>
      <w:bookmarkStart w:id="1255" w:name="_Toc292559915"/>
      <w:bookmarkStart w:id="1256" w:name="_Toc296944544"/>
      <w:bookmarkStart w:id="1257" w:name="_Toc296891245"/>
      <w:bookmarkStart w:id="1258" w:name="_Toc297048391"/>
      <w:bookmarkStart w:id="1259" w:name="_Toc296346706"/>
      <w:bookmarkStart w:id="1260" w:name="_Toc292559410"/>
      <w:bookmarkStart w:id="1261" w:name="_Toc296891033"/>
      <w:bookmarkStart w:id="1262" w:name="_Toc297120505"/>
      <w:bookmarkStart w:id="1263" w:name="_Toc296503205"/>
      <w:bookmarkStart w:id="1264" w:name="_Toc373478395"/>
      <w:bookmarkStart w:id="1265" w:name="_Toc407135251"/>
      <w:bookmarkStart w:id="1266" w:name="_Toc78449837"/>
      <w:bookmarkStart w:id="1267" w:name="_Toc351203644"/>
      <w:bookmarkStart w:id="1268" w:name="_Toc373227748"/>
      <w:bookmarkStart w:id="1269" w:name="_Toc1720046426"/>
      <w:bookmarkStart w:id="1270" w:name="_Toc1935657796"/>
      <w:bookmarkStart w:id="1271" w:name="_Toc312678040"/>
      <w:bookmarkStart w:id="1272" w:name="_Toc300935002"/>
      <w:bookmarkStart w:id="1273" w:name="_Toc303539159"/>
      <w:bookmarkStart w:id="1274" w:name="_Toc297216211"/>
      <w:bookmarkStart w:id="1275" w:name="_Toc304295579"/>
      <w:bookmarkStart w:id="1276" w:name="_Toc297123552"/>
      <w:r>
        <w:rPr>
          <w:rFonts w:hint="eastAsia" w:ascii="宋体" w:hAnsi="宋体" w:eastAsia="宋体" w:cs="宋体"/>
          <w:color w:val="auto"/>
          <w:highlight w:val="none"/>
        </w:rPr>
        <w:t xml:space="preserve">12. </w:t>
      </w:r>
      <w:bookmarkEnd w:id="1254"/>
      <w:bookmarkEnd w:id="1255"/>
      <w:bookmarkEnd w:id="1256"/>
      <w:bookmarkEnd w:id="1257"/>
      <w:bookmarkEnd w:id="1258"/>
      <w:bookmarkEnd w:id="1259"/>
      <w:bookmarkEnd w:id="1260"/>
      <w:bookmarkEnd w:id="1261"/>
      <w:bookmarkEnd w:id="1262"/>
      <w:bookmarkEnd w:id="1263"/>
      <w:r>
        <w:rPr>
          <w:rFonts w:hint="eastAsia" w:ascii="宋体" w:hAnsi="宋体" w:eastAsia="宋体" w:cs="宋体"/>
          <w:color w:val="auto"/>
          <w:highlight w:val="none"/>
        </w:rPr>
        <w:t>合同价格、计量与支付</w:t>
      </w:r>
      <w:bookmarkEnd w:id="1264"/>
      <w:bookmarkEnd w:id="1265"/>
      <w:bookmarkEnd w:id="1266"/>
      <w:bookmarkEnd w:id="1267"/>
      <w:bookmarkEnd w:id="1268"/>
      <w:bookmarkEnd w:id="1269"/>
      <w:bookmarkEnd w:id="1270"/>
    </w:p>
    <w:bookmarkEnd w:id="1271"/>
    <w:bookmarkEnd w:id="1272"/>
    <w:bookmarkEnd w:id="1273"/>
    <w:bookmarkEnd w:id="1274"/>
    <w:bookmarkEnd w:id="1275"/>
    <w:bookmarkEnd w:id="1276"/>
    <w:p w14:paraId="21918215">
      <w:pPr>
        <w:pStyle w:val="4"/>
        <w:rPr>
          <w:rFonts w:hint="eastAsia" w:ascii="宋体" w:hAnsi="宋体" w:eastAsia="宋体" w:cs="宋体"/>
          <w:color w:val="auto"/>
          <w:highlight w:val="none"/>
        </w:rPr>
      </w:pPr>
      <w:bookmarkStart w:id="1277" w:name="_Toc292559916"/>
      <w:bookmarkStart w:id="1278" w:name="_Toc267251461"/>
      <w:bookmarkStart w:id="1279" w:name="_Toc292559411"/>
      <w:bookmarkStart w:id="1280" w:name="_Toc296944545"/>
      <w:bookmarkStart w:id="1281" w:name="_Toc297120506"/>
      <w:bookmarkStart w:id="1282" w:name="_Toc296346707"/>
      <w:bookmarkStart w:id="1283" w:name="_Toc296347205"/>
      <w:bookmarkStart w:id="1284" w:name="_Toc296891034"/>
      <w:bookmarkStart w:id="1285" w:name="_Toc296503206"/>
      <w:bookmarkStart w:id="1286" w:name="_Toc296891246"/>
      <w:bookmarkStart w:id="1287" w:name="_Toc297048392"/>
      <w:bookmarkStart w:id="1288" w:name="_Toc373478396"/>
      <w:bookmarkStart w:id="1289" w:name="_Toc78449838"/>
      <w:bookmarkStart w:id="1290" w:name="_Toc407135252"/>
      <w:bookmarkStart w:id="1291" w:name="_Toc373227749"/>
      <w:bookmarkStart w:id="1292" w:name="_Toc1395756356"/>
      <w:bookmarkStart w:id="1293" w:name="_Toc1894565429"/>
      <w:bookmarkStart w:id="1294" w:name="_Toc389065314"/>
      <w:bookmarkStart w:id="1295" w:name="_Toc297216212"/>
      <w:bookmarkStart w:id="1296" w:name="_Toc297123553"/>
      <w:bookmarkStart w:id="1297" w:name="_Toc303539160"/>
      <w:bookmarkStart w:id="1298" w:name="_Toc300935003"/>
      <w:bookmarkStart w:id="1299" w:name="_Toc312678041"/>
      <w:bookmarkStart w:id="1300" w:name="_Toc304295580"/>
      <w:r>
        <w:rPr>
          <w:rFonts w:hint="eastAsia" w:ascii="宋体" w:hAnsi="宋体" w:eastAsia="宋体" w:cs="宋体"/>
          <w:color w:val="auto"/>
          <w:highlight w:val="none"/>
        </w:rPr>
        <w:t>12.1 合</w:t>
      </w:r>
      <w:bookmarkEnd w:id="1277"/>
      <w:bookmarkEnd w:id="1278"/>
      <w:bookmarkEnd w:id="1279"/>
      <w:r>
        <w:rPr>
          <w:rFonts w:hint="eastAsia" w:ascii="宋体" w:hAnsi="宋体" w:eastAsia="宋体" w:cs="宋体"/>
          <w:color w:val="auto"/>
          <w:highlight w:val="none"/>
        </w:rPr>
        <w:t>同价</w:t>
      </w:r>
      <w:bookmarkEnd w:id="1280"/>
      <w:bookmarkEnd w:id="1281"/>
      <w:bookmarkEnd w:id="1282"/>
      <w:bookmarkEnd w:id="1283"/>
      <w:bookmarkEnd w:id="1284"/>
      <w:bookmarkEnd w:id="1285"/>
      <w:bookmarkEnd w:id="1286"/>
      <w:bookmarkEnd w:id="1287"/>
      <w:r>
        <w:rPr>
          <w:rFonts w:hint="eastAsia" w:ascii="宋体" w:hAnsi="宋体" w:eastAsia="宋体" w:cs="宋体"/>
          <w:color w:val="auto"/>
          <w:highlight w:val="none"/>
        </w:rPr>
        <w:t>格形式</w:t>
      </w:r>
      <w:bookmarkEnd w:id="1288"/>
      <w:bookmarkEnd w:id="1289"/>
      <w:bookmarkEnd w:id="1290"/>
      <w:bookmarkEnd w:id="1291"/>
      <w:bookmarkEnd w:id="1292"/>
      <w:bookmarkEnd w:id="1293"/>
      <w:bookmarkEnd w:id="1294"/>
    </w:p>
    <w:bookmarkEnd w:id="1295"/>
    <w:bookmarkEnd w:id="1296"/>
    <w:bookmarkEnd w:id="1297"/>
    <w:bookmarkEnd w:id="1298"/>
    <w:bookmarkEnd w:id="1299"/>
    <w:bookmarkEnd w:id="1300"/>
    <w:p w14:paraId="2446F062">
      <w:pPr>
        <w:spacing w:line="360" w:lineRule="auto"/>
        <w:ind w:firstLine="420" w:firstLineChars="200"/>
        <w:jc w:val="left"/>
        <w:rPr>
          <w:rFonts w:hint="eastAsia" w:ascii="宋体" w:hAnsi="宋体" w:eastAsia="宋体" w:cs="宋体"/>
          <w:color w:val="auto"/>
          <w:highlight w:val="none"/>
        </w:rPr>
      </w:pPr>
      <w:bookmarkStart w:id="1301" w:name="_Toc389065315"/>
      <w:bookmarkStart w:id="1302" w:name="_Toc373227750"/>
      <w:bookmarkStart w:id="1303" w:name="_Toc373478397"/>
      <w:bookmarkStart w:id="1304" w:name="_Toc300935004"/>
      <w:bookmarkStart w:id="1305" w:name="_Toc296944546"/>
      <w:bookmarkStart w:id="1306" w:name="_Toc297216213"/>
      <w:bookmarkStart w:id="1307" w:name="_Toc296891247"/>
      <w:bookmarkStart w:id="1308" w:name="_Toc304295581"/>
      <w:bookmarkStart w:id="1309" w:name="_Toc297123554"/>
      <w:bookmarkStart w:id="1310" w:name="_Toc296503207"/>
      <w:bookmarkStart w:id="1311" w:name="_Toc292559917"/>
      <w:bookmarkStart w:id="1312" w:name="_Toc296347206"/>
      <w:bookmarkStart w:id="1313" w:name="_Toc296891035"/>
      <w:bookmarkStart w:id="1314" w:name="_Toc312678042"/>
      <w:bookmarkStart w:id="1315" w:name="_Toc296346708"/>
      <w:bookmarkStart w:id="1316" w:name="_Toc292559412"/>
      <w:bookmarkStart w:id="1317" w:name="_Toc303539161"/>
      <w:bookmarkStart w:id="1318" w:name="_Toc297120507"/>
      <w:bookmarkStart w:id="1319" w:name="_Toc297048393"/>
      <w:r>
        <w:rPr>
          <w:rFonts w:hint="eastAsia" w:ascii="宋体" w:hAnsi="宋体" w:eastAsia="宋体" w:cs="宋体"/>
          <w:color w:val="auto"/>
          <w:highlight w:val="none"/>
        </w:rPr>
        <w:t>本工程采用</w:t>
      </w:r>
      <w:r>
        <w:rPr>
          <w:rFonts w:hint="eastAsia" w:ascii="宋体" w:hAnsi="宋体" w:eastAsia="宋体" w:cs="宋体"/>
          <w:color w:val="auto"/>
          <w:highlight w:val="none"/>
          <w:u w:val="single"/>
        </w:rPr>
        <w:t xml:space="preserve">   </w:t>
      </w:r>
      <w:r>
        <w:rPr>
          <w:rFonts w:hint="eastAsia" w:ascii="宋体" w:hAnsi="宋体" w:eastAsia="宋体" w:cs="宋体"/>
          <w:color w:val="auto"/>
          <w:u w:val="single"/>
        </w:rPr>
        <w:t>（1）</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合同价格形式，合同价格包含增值税，本工程计价时采用的增值税计税方法为：</w:t>
      </w:r>
      <w:r>
        <w:rPr>
          <w:rFonts w:hint="eastAsia" w:ascii="宋体" w:hAnsi="宋体" w:eastAsia="宋体" w:cs="宋体"/>
          <w:color w:val="auto"/>
          <w:highlight w:val="none"/>
        </w:rPr>
        <w:sym w:font="Wingdings 2" w:char="0052"/>
      </w:r>
      <w:r>
        <w:rPr>
          <w:rFonts w:hint="eastAsia" w:ascii="宋体" w:hAnsi="宋体" w:eastAsia="宋体" w:cs="宋体"/>
          <w:color w:val="auto"/>
          <w:highlight w:val="none"/>
        </w:rPr>
        <w:t>一般计税法   □简易计税法。</w:t>
      </w:r>
    </w:p>
    <w:p w14:paraId="64889BC7">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（1）单价合同。</w:t>
      </w:r>
    </w:p>
    <w:p w14:paraId="7338F394">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采用综合单价合同方式时，工程量按建设单位、监理单位、施工单位三方确认的竣工图结算。</w:t>
      </w:r>
    </w:p>
    <w:p w14:paraId="104D96DA">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综合单价包含的风险范围：</w:t>
      </w:r>
      <w:r>
        <w:rPr>
          <w:rFonts w:hint="eastAsia" w:ascii="宋体" w:hAnsi="宋体" w:eastAsia="宋体" w:cs="宋体"/>
          <w:color w:val="auto"/>
          <w:highlight w:val="none"/>
          <w:u w:val="single"/>
        </w:rPr>
        <w:t>除工程变更、项目特征不符、工程量清单缺项、工程量偏差、</w:t>
      </w:r>
      <w:r>
        <w:rPr>
          <w:rFonts w:hint="eastAsia" w:ascii="宋体" w:hAnsi="宋体" w:eastAsia="宋体" w:cs="宋体"/>
          <w:color w:val="auto"/>
          <w:highlight w:val="none"/>
          <w:u w:val="single"/>
          <w:lang w:val="en-US" w:eastAsia="zh-CN"/>
        </w:rPr>
        <w:t>政策性调整、</w:t>
      </w:r>
      <w:r>
        <w:rPr>
          <w:rFonts w:hint="eastAsia" w:ascii="宋体" w:hAnsi="宋体" w:eastAsia="宋体" w:cs="宋体"/>
          <w:color w:val="auto"/>
          <w:highlight w:val="none"/>
          <w:u w:val="single"/>
        </w:rPr>
        <w:t>市场价格波动。</w:t>
      </w:r>
    </w:p>
    <w:p w14:paraId="461CF16A">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风险范围以外合同价格的调整方法：</w:t>
      </w:r>
    </w:p>
    <w:p w14:paraId="0D84C609">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auto"/>
          <w:highlight w:val="none"/>
        </w:rPr>
        <w:t>（一）因分部分项工程量清单漏项、设计变更、相关签证引起工程项目、工程量任何变化的，变更合同价款按下列方法进行：（1）合同中已有相同子目的，按合同该子目价格进行计算；（2）合同中只有类似子目的，参照该类似子目价格进行计算；（3）合同中没有适用或类似子目的价格计算方法：有定额的套定额（土石方工程除外）计算，其中材料价格按施工期间的《南宁建设工程造价信息》相应价格信息进行计算；《南宁建设工程造价信息》没有相应价格信息的按市场价计算；无定额可套的，根据市场价格协商</w:t>
      </w:r>
      <w:r>
        <w:rPr>
          <w:rFonts w:hint="eastAsia" w:ascii="宋体" w:hAnsi="宋体" w:eastAsia="宋体" w:cs="宋体"/>
          <w:color w:val="000000"/>
          <w:highlight w:val="none"/>
        </w:rPr>
        <w:t>确定综合价格；新增项目的单价必须经财政投评中心或者有资质的审核单位审定。</w:t>
      </w:r>
    </w:p>
    <w:p w14:paraId="79835568">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（三）本工程可以调整的主要材料：</w:t>
      </w:r>
      <w:r>
        <w:rPr>
          <w:rFonts w:hint="eastAsia" w:ascii="宋体" w:hAnsi="宋体" w:eastAsia="宋体" w:cs="宋体"/>
          <w:b/>
          <w:bCs/>
          <w:color w:val="000000"/>
          <w:highlight w:val="none"/>
        </w:rPr>
        <w:t>钢筋、水泥、</w:t>
      </w:r>
      <w:r>
        <w:rPr>
          <w:rFonts w:hint="eastAsia" w:ascii="宋体" w:hAnsi="宋体" w:eastAsia="宋体" w:cs="宋体"/>
          <w:b/>
          <w:bCs/>
          <w:color w:val="000000"/>
          <w:highlight w:val="none"/>
          <w:lang w:val="en-US" w:eastAsia="zh-CN"/>
        </w:rPr>
        <w:t>砌（砖）</w:t>
      </w:r>
      <w:r>
        <w:rPr>
          <w:rFonts w:hint="eastAsia" w:ascii="宋体" w:hAnsi="宋体" w:eastAsia="宋体" w:cs="宋体"/>
          <w:b/>
          <w:bCs/>
          <w:color w:val="000000"/>
          <w:highlight w:val="none"/>
        </w:rPr>
        <w:t>块、砂、碎石、混凝土。本工程最终结算价以财政部门或者</w:t>
      </w:r>
      <w:r>
        <w:rPr>
          <w:rFonts w:hint="eastAsia" w:ascii="宋体" w:hAnsi="宋体" w:eastAsia="宋体" w:cs="宋体"/>
          <w:b/>
          <w:bCs/>
          <w:color w:val="000000"/>
          <w:highlight w:val="none"/>
          <w:lang w:val="en-US" w:eastAsia="zh-CN"/>
        </w:rPr>
        <w:t>业主委托</w:t>
      </w:r>
      <w:r>
        <w:rPr>
          <w:rFonts w:hint="eastAsia" w:ascii="宋体" w:hAnsi="宋体" w:eastAsia="宋体" w:cs="宋体"/>
          <w:b/>
          <w:bCs/>
          <w:color w:val="000000"/>
          <w:highlight w:val="none"/>
        </w:rPr>
        <w:t>有资质的审核单位审定为准。</w:t>
      </w:r>
    </w:p>
    <w:p w14:paraId="6CFF2925">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（2）总价合同。</w:t>
      </w:r>
    </w:p>
    <w:p w14:paraId="42785488">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总价包含的风险范围：包含除工程变更、政策性调整、</w:t>
      </w:r>
      <w:r>
        <w:rPr>
          <w:rFonts w:hint="eastAsia" w:ascii="宋体" w:hAnsi="宋体" w:eastAsia="宋体" w:cs="宋体"/>
          <w:color w:val="auto"/>
          <w:highlight w:val="none"/>
          <w:u w:val="single"/>
        </w:rPr>
        <w:t xml:space="preserve">市场价格波动。除工程变更外，结算时不再对施工图对应的工程量重新计量 </w:t>
      </w:r>
      <w:r>
        <w:rPr>
          <w:rFonts w:hint="eastAsia" w:ascii="宋体" w:hAnsi="宋体" w:eastAsia="宋体" w:cs="宋体"/>
          <w:color w:val="auto"/>
          <w:highlight w:val="none"/>
        </w:rPr>
        <w:t>。</w:t>
      </w:r>
    </w:p>
    <w:p w14:paraId="1D269F27">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风险范围以外合同价格的调整方法：</w:t>
      </w:r>
    </w:p>
    <w:p w14:paraId="1A46730B">
      <w:pPr>
        <w:numPr>
          <w:ilvl w:val="0"/>
          <w:numId w:val="0"/>
        </w:numPr>
        <w:spacing w:line="360" w:lineRule="auto"/>
        <w:ind w:left="0" w:firstLine="412" w:firstLineChars="200"/>
        <w:jc w:val="left"/>
        <w:rPr>
          <w:rFonts w:hint="eastAsia" w:ascii="宋体" w:hAnsi="宋体" w:eastAsia="宋体" w:cs="宋体"/>
          <w:color w:val="auto"/>
          <w:highlight w:val="none"/>
        </w:rPr>
      </w:pPr>
      <w:r>
        <w:rPr>
          <w:rFonts w:hint="eastAsia" w:ascii="宋体" w:hAnsi="宋体" w:eastAsia="宋体" w:cs="宋体"/>
          <w:spacing w:val="-2"/>
        </w:rPr>
        <w:t>①</w:t>
      </w:r>
      <w:r>
        <w:rPr>
          <w:rFonts w:hint="eastAsia" w:ascii="宋体" w:hAnsi="宋体" w:eastAsia="宋体" w:cs="宋体"/>
          <w:color w:val="auto"/>
          <w:highlight w:val="none"/>
        </w:rPr>
        <w:t>工程变更：按10.4.1变更估价原则的约定调整。</w:t>
      </w:r>
    </w:p>
    <w:p w14:paraId="6C287DBF">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②政策性调整：按国家、自治区住房城乡建设厅或工程所在地市级住房城乡建设主管部门颁布的文件执行。</w:t>
      </w:r>
    </w:p>
    <w:p w14:paraId="1514CD63">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③市场波动引起的调整：按11.1的约定调整。</w:t>
      </w:r>
    </w:p>
    <w:p w14:paraId="4D5F3066">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 4 \* GB3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④</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其它：</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rPr>
        <w:t>。</w:t>
      </w:r>
    </w:p>
    <w:p w14:paraId="5653DBFF">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（3）其他价格方式：</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rPr>
        <w:t>。</w:t>
      </w:r>
    </w:p>
    <w:p w14:paraId="76479051">
      <w:pPr>
        <w:pStyle w:val="4"/>
        <w:rPr>
          <w:rFonts w:hint="eastAsia" w:ascii="宋体" w:hAnsi="宋体" w:eastAsia="宋体" w:cs="宋体"/>
          <w:color w:val="auto"/>
          <w:highlight w:val="none"/>
        </w:rPr>
      </w:pPr>
      <w:bookmarkStart w:id="1320" w:name="_Toc1681900246"/>
      <w:bookmarkStart w:id="1321" w:name="_Toc1338560546"/>
      <w:bookmarkStart w:id="1322" w:name="_Toc407135253"/>
      <w:bookmarkStart w:id="1323" w:name="_Toc78449839"/>
      <w:r>
        <w:rPr>
          <w:rFonts w:hint="eastAsia" w:ascii="宋体" w:hAnsi="宋体" w:eastAsia="宋体" w:cs="宋体"/>
          <w:color w:val="auto"/>
          <w:highlight w:val="none"/>
        </w:rPr>
        <w:t>12.2 预付款</w:t>
      </w:r>
      <w:bookmarkEnd w:id="1301"/>
      <w:bookmarkEnd w:id="1302"/>
      <w:bookmarkEnd w:id="1303"/>
      <w:bookmarkEnd w:id="1320"/>
      <w:bookmarkEnd w:id="1321"/>
      <w:bookmarkEnd w:id="1322"/>
      <w:bookmarkEnd w:id="1323"/>
    </w:p>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14:paraId="3A08A933">
      <w:pPr>
        <w:spacing w:line="360" w:lineRule="auto"/>
        <w:ind w:firstLine="420" w:firstLineChars="200"/>
        <w:jc w:val="left"/>
        <w:rPr>
          <w:rFonts w:hint="eastAsia" w:ascii="宋体" w:hAnsi="宋体" w:eastAsia="宋体" w:cs="宋体"/>
          <w:color w:val="auto"/>
          <w:highlight w:val="none"/>
        </w:rPr>
      </w:pPr>
      <w:bookmarkStart w:id="1324" w:name="_Toc373478398"/>
      <w:bookmarkStart w:id="1325" w:name="_Toc373227751"/>
      <w:bookmarkStart w:id="1326" w:name="_Toc389065316"/>
      <w:bookmarkStart w:id="1327" w:name="_Toc1494831447"/>
      <w:bookmarkStart w:id="1328" w:name="_Toc78449840"/>
      <w:bookmarkStart w:id="1329" w:name="_Toc1307224940"/>
      <w:bookmarkStart w:id="1330" w:name="_Toc407135254"/>
      <w:r>
        <w:rPr>
          <w:rFonts w:hint="eastAsia" w:ascii="宋体" w:hAnsi="宋体" w:eastAsia="宋体" w:cs="宋体"/>
          <w:color w:val="auto"/>
          <w:highlight w:val="none"/>
        </w:rPr>
        <w:t>12.2.1 预付款的支付</w:t>
      </w:r>
    </w:p>
    <w:p w14:paraId="1E9DFBEE">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预付款支付比例或金额：</w:t>
      </w:r>
      <w:r>
        <w:rPr>
          <w:rFonts w:hint="eastAsia" w:hAnsi="宋体" w:cs="宋体"/>
          <w:color w:val="auto"/>
          <w:highlight w:val="none"/>
          <w:u w:val="single"/>
          <w:lang w:val="en-US" w:eastAsia="zh-CN"/>
        </w:rPr>
        <w:t xml:space="preserve">合同价款扣除暂列金额后的 30% </w:t>
      </w:r>
      <w:r>
        <w:rPr>
          <w:rFonts w:hint="eastAsia" w:ascii="宋体" w:hAnsi="宋体" w:eastAsia="宋体" w:cs="宋体"/>
          <w:color w:val="auto"/>
          <w:highlight w:val="none"/>
          <w:u w:val="single"/>
        </w:rPr>
        <w:t xml:space="preserve"> 【备注：政府投资项目应严格执行工程预付款制度，工程预付款应不低于合同总价（扣除暂列金额）的10%（最高不超过30%，并与工程进度款分期按约定比例抵扣）】</w:t>
      </w:r>
      <w:r>
        <w:rPr>
          <w:rFonts w:hint="eastAsia" w:ascii="宋体" w:hAnsi="宋体" w:eastAsia="宋体" w:cs="宋体"/>
          <w:color w:val="auto"/>
          <w:highlight w:val="none"/>
        </w:rPr>
        <w:t>。</w:t>
      </w:r>
    </w:p>
    <w:p w14:paraId="3E58019E">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预付款支付期限：</w:t>
      </w:r>
      <w:r>
        <w:rPr>
          <w:rFonts w:hint="eastAsia" w:ascii="宋体" w:hAnsi="宋体" w:eastAsia="宋体" w:cs="宋体"/>
          <w:color w:val="auto"/>
          <w:highlight w:val="none"/>
          <w:u w:val="single"/>
        </w:rPr>
        <w:t xml:space="preserve">  合同签订后 </w:t>
      </w:r>
      <w:r>
        <w:rPr>
          <w:rFonts w:hint="eastAsia" w:ascii="宋体" w:hAnsi="宋体" w:eastAsia="宋体" w:cs="宋体"/>
          <w:color w:val="auto"/>
          <w:highlight w:val="none"/>
          <w:u w:val="single"/>
          <w:lang w:val="en-US" w:eastAsia="zh-CN"/>
        </w:rPr>
        <w:t>30</w:t>
      </w:r>
      <w:r>
        <w:rPr>
          <w:rFonts w:hint="eastAsia" w:ascii="宋体" w:hAnsi="宋体" w:eastAsia="宋体" w:cs="宋体"/>
          <w:color w:val="auto"/>
          <w:highlight w:val="none"/>
          <w:u w:val="single"/>
        </w:rPr>
        <w:t xml:space="preserve"> 天之内</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由承包人向发包人提出支付申请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2DE5C9CB">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预付款扣回的方式：</w:t>
      </w:r>
      <w:r>
        <w:rPr>
          <w:rFonts w:ascii="宋体" w:hAnsi="宋体" w:eastAsia="宋体" w:cs="宋体"/>
          <w:color w:val="auto"/>
          <w:highlight w:val="none"/>
        </w:rPr>
        <w:t>当期应扣回预付款金额 = 已支付预付款总额 × （当期已完成产值 ÷ 合同总价）</w:t>
      </w:r>
      <w:r>
        <w:rPr>
          <w:rFonts w:hint="eastAsia" w:ascii="宋体" w:hAnsi="宋体" w:eastAsia="宋体" w:cs="宋体"/>
          <w:color w:val="auto"/>
          <w:highlight w:val="none"/>
        </w:rPr>
        <w:t>。</w:t>
      </w:r>
    </w:p>
    <w:p w14:paraId="23F4DC5C">
      <w:pPr>
        <w:spacing w:line="360" w:lineRule="auto"/>
        <w:ind w:firstLine="420" w:firstLineChars="200"/>
        <w:jc w:val="left"/>
        <w:rPr>
          <w:rFonts w:hint="eastAsia" w:ascii="宋体" w:hAnsi="宋体" w:eastAsia="宋体" w:cs="宋体"/>
          <w:color w:val="000000"/>
          <w:highlight w:val="none"/>
        </w:rPr>
      </w:pPr>
      <w:r>
        <w:rPr>
          <w:rFonts w:hint="eastAsia" w:ascii="宋体" w:hAnsi="宋体" w:eastAsia="宋体" w:cs="宋体"/>
          <w:color w:val="000000"/>
          <w:highlight w:val="none"/>
        </w:rPr>
        <w:t>12.2.2 预付款担保</w:t>
      </w:r>
    </w:p>
    <w:p w14:paraId="0416785D">
      <w:pPr>
        <w:spacing w:line="360" w:lineRule="auto"/>
        <w:ind w:firstLine="420" w:firstLineChars="200"/>
        <w:jc w:val="left"/>
        <w:rPr>
          <w:rFonts w:hint="eastAsia" w:ascii="宋体" w:hAnsi="宋体" w:eastAsia="宋体" w:cs="宋体"/>
          <w:color w:val="000000"/>
          <w:highlight w:val="none"/>
        </w:rPr>
      </w:pPr>
      <w:r>
        <w:rPr>
          <w:rFonts w:hint="eastAsia" w:ascii="宋体" w:hAnsi="宋体" w:eastAsia="宋体" w:cs="宋体"/>
          <w:color w:val="000000"/>
          <w:highlight w:val="none"/>
        </w:rPr>
        <w:t>承包人提交预付款担保的期限：</w:t>
      </w:r>
      <w:r>
        <w:rPr>
          <w:rFonts w:hint="eastAsia" w:ascii="宋体" w:hAnsi="宋体" w:eastAsia="宋体" w:cs="宋体"/>
          <w:color w:val="000000"/>
          <w:highlight w:val="none"/>
          <w:u w:val="single"/>
        </w:rPr>
        <w:t xml:space="preserve">    </w:t>
      </w:r>
      <w:r>
        <w:rPr>
          <w:rFonts w:hint="eastAsia" w:ascii="宋体" w:hAnsi="宋体" w:cs="宋体"/>
          <w:color w:val="000000"/>
          <w:highlight w:val="none"/>
          <w:u w:val="single"/>
          <w:lang w:val="en-US" w:eastAsia="zh-CN"/>
        </w:rPr>
        <w:t>合同签订30天内</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w:t>
      </w:r>
    </w:p>
    <w:p w14:paraId="5A6212EB">
      <w:pPr>
        <w:spacing w:line="360" w:lineRule="auto"/>
        <w:ind w:firstLine="420" w:firstLineChars="200"/>
        <w:jc w:val="left"/>
        <w:rPr>
          <w:rFonts w:hint="eastAsia" w:ascii="宋体" w:hAnsi="宋体" w:eastAsia="宋体" w:cs="宋体"/>
          <w:color w:val="auto"/>
          <w:highlight w:val="none"/>
          <w:lang w:eastAsia="zh-CN"/>
        </w:rPr>
      </w:pPr>
      <w:r>
        <w:rPr>
          <w:rFonts w:hint="eastAsia" w:ascii="宋体" w:hAnsi="宋体" w:eastAsia="宋体" w:cs="宋体"/>
          <w:color w:val="auto"/>
          <w:highlight w:val="none"/>
        </w:rPr>
        <w:t>预付款担保的形式为：</w:t>
      </w:r>
      <w:r>
        <w:rPr>
          <w:rFonts w:hint="eastAsia" w:ascii="宋体" w:hAnsi="宋体" w:eastAsia="宋体" w:cs="宋体"/>
          <w:color w:val="auto"/>
          <w:highlight w:val="none"/>
          <w:u w:val="none"/>
          <w:lang w:eastAsia="zh-CN"/>
        </w:rPr>
        <w:t>可以是</w:t>
      </w:r>
      <w:r>
        <w:rPr>
          <w:rFonts w:hint="eastAsia" w:ascii="宋体" w:hAnsi="宋体" w:eastAsia="宋体" w:cs="宋体"/>
          <w:color w:val="auto"/>
          <w:highlight w:val="none"/>
        </w:rPr>
        <w:t>银行转账、电汇或网上支付、保函（银行保函、电子保函、保证保险保函、工程担保保函）等</w:t>
      </w:r>
      <w:r>
        <w:rPr>
          <w:rFonts w:hint="eastAsia" w:ascii="宋体" w:hAnsi="宋体" w:eastAsia="宋体" w:cs="宋体"/>
          <w:color w:val="auto"/>
          <w:highlight w:val="none"/>
          <w:lang w:eastAsia="zh-CN"/>
        </w:rPr>
        <w:t>形</w:t>
      </w:r>
      <w:r>
        <w:rPr>
          <w:rFonts w:hint="eastAsia" w:ascii="宋体" w:hAnsi="宋体" w:eastAsia="宋体" w:cs="宋体"/>
          <w:color w:val="auto"/>
          <w:highlight w:val="none"/>
        </w:rPr>
        <w:t>式。工程担保保证人应将出具的保函相关信息录入“广西建筑市场监管云”平台（http://gxjzsc.caihcloud.com），以实现保函查询及验真功能</w:t>
      </w:r>
      <w:r>
        <w:rPr>
          <w:rFonts w:hint="eastAsia" w:ascii="宋体" w:hAnsi="宋体" w:eastAsia="宋体" w:cs="宋体"/>
          <w:color w:val="auto"/>
          <w:highlight w:val="none"/>
          <w:lang w:eastAsia="zh-CN"/>
        </w:rPr>
        <w:t>。</w:t>
      </w:r>
    </w:p>
    <w:p w14:paraId="2A9E20F0">
      <w:pPr>
        <w:pStyle w:val="4"/>
        <w:rPr>
          <w:rFonts w:hint="eastAsia" w:ascii="宋体" w:hAnsi="宋体" w:eastAsia="宋体" w:cs="宋体"/>
          <w:color w:val="auto"/>
          <w:highlight w:val="none"/>
        </w:rPr>
      </w:pPr>
      <w:r>
        <w:rPr>
          <w:rFonts w:hint="eastAsia" w:ascii="宋体" w:hAnsi="宋体" w:eastAsia="宋体" w:cs="宋体"/>
          <w:color w:val="auto"/>
          <w:highlight w:val="none"/>
        </w:rPr>
        <w:t>12.3 计量</w:t>
      </w:r>
      <w:bookmarkEnd w:id="1324"/>
      <w:bookmarkEnd w:id="1325"/>
      <w:bookmarkEnd w:id="1326"/>
      <w:bookmarkEnd w:id="1327"/>
      <w:bookmarkEnd w:id="1328"/>
      <w:bookmarkEnd w:id="1329"/>
      <w:bookmarkEnd w:id="1330"/>
    </w:p>
    <w:p w14:paraId="0F44A9BD">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12.3.1 计量原则</w:t>
      </w:r>
    </w:p>
    <w:p w14:paraId="57EB4C93">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工程量计算规则：</w:t>
      </w:r>
      <w:r>
        <w:rPr>
          <w:rFonts w:hint="eastAsia" w:ascii="宋体" w:hAnsi="宋体" w:eastAsia="宋体" w:cs="宋体"/>
          <w:color w:val="auto"/>
          <w:highlight w:val="none"/>
          <w:u w:val="single"/>
        </w:rPr>
        <w:t>工程的计量均以《建设工程工程量清单计价规范》（GB50500－2013）及广西壮族自治区实施细则、《建设工程工程量清单计算规范》（GB50854~50862－2013）及广西实施细则、本工程补充项目清单为准。</w:t>
      </w:r>
    </w:p>
    <w:p w14:paraId="22DAA80D">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12.3.2 计量周期</w:t>
      </w:r>
    </w:p>
    <w:p w14:paraId="4CDAD34A">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关于计量周期的约定：</w:t>
      </w:r>
      <w:r>
        <w:rPr>
          <w:rFonts w:hint="eastAsia" w:ascii="宋体" w:hAnsi="宋体" w:eastAsia="宋体" w:cs="宋体"/>
          <w:color w:val="auto"/>
          <w:highlight w:val="none"/>
          <w:u w:val="single"/>
        </w:rPr>
        <w:t>每月25日前</w:t>
      </w:r>
      <w:r>
        <w:rPr>
          <w:rFonts w:hint="eastAsia" w:ascii="宋体" w:hAnsi="宋体" w:eastAsia="宋体" w:cs="宋体"/>
          <w:color w:val="auto"/>
          <w:highlight w:val="none"/>
        </w:rPr>
        <w:t>。</w:t>
      </w:r>
    </w:p>
    <w:p w14:paraId="2EE42860">
      <w:pPr>
        <w:spacing w:line="360" w:lineRule="auto"/>
        <w:ind w:firstLine="420" w:firstLineChars="200"/>
        <w:jc w:val="left"/>
        <w:outlineLvl w:val="0"/>
        <w:rPr>
          <w:rFonts w:hint="eastAsia" w:ascii="宋体" w:hAnsi="宋体" w:eastAsia="宋体" w:cs="宋体"/>
          <w:color w:val="auto"/>
          <w:highlight w:val="none"/>
        </w:rPr>
      </w:pPr>
      <w:r>
        <w:rPr>
          <w:rFonts w:hint="eastAsia" w:ascii="宋体" w:hAnsi="宋体" w:eastAsia="宋体" w:cs="宋体"/>
          <w:color w:val="auto"/>
          <w:highlight w:val="none"/>
        </w:rPr>
        <w:t>12.3.3 单价合同的计量</w:t>
      </w:r>
    </w:p>
    <w:p w14:paraId="5B44879E">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关于单价合同计量的约定：</w:t>
      </w:r>
    </w:p>
    <w:p w14:paraId="599DA4CA">
      <w:pPr>
        <w:spacing w:line="360" w:lineRule="auto"/>
        <w:ind w:firstLine="436" w:firstLineChars="208"/>
        <w:rPr>
          <w:rFonts w:hint="eastAsia" w:ascii="宋体" w:hAnsi="宋体" w:eastAsia="宋体" w:cs="宋体"/>
          <w:color w:val="auto"/>
          <w:highlight w:val="none"/>
        </w:rPr>
      </w:pPr>
      <w:r>
        <w:rPr>
          <w:rFonts w:hint="eastAsia" w:ascii="宋体" w:hAnsi="宋体" w:eastAsia="宋体" w:cs="宋体"/>
          <w:color w:val="auto"/>
          <w:highlight w:val="none"/>
        </w:rPr>
        <w:t>(1) 工程量清单所列的工程量，不能作为承包人按合同履行其责任依据，实际施工中发生的工程量增加或减少并不影响承包人履行合同的责任，工程结算以完成的实际工程量为准。</w:t>
      </w:r>
    </w:p>
    <w:p w14:paraId="5513EDA0">
      <w:pPr>
        <w:spacing w:line="360" w:lineRule="auto"/>
        <w:ind w:firstLine="436" w:firstLineChars="208"/>
        <w:rPr>
          <w:rFonts w:hint="eastAsia" w:ascii="宋体" w:hAnsi="宋体" w:eastAsia="宋体" w:cs="宋体"/>
          <w:color w:val="auto"/>
          <w:highlight w:val="none"/>
        </w:rPr>
      </w:pPr>
      <w:r>
        <w:rPr>
          <w:rFonts w:hint="eastAsia" w:ascii="宋体" w:hAnsi="宋体" w:eastAsia="宋体" w:cs="宋体"/>
          <w:color w:val="auto"/>
          <w:highlight w:val="none"/>
        </w:rPr>
        <w:t>(2) 除另有规定外，工程师应按照合同通过计量来核实确定已完成的工程量和价款，承包人应得到该价款扣除保留金后的金额。当工程师要对已完工的工程量进行计量时，应适时地通知承包人参加。</w:t>
      </w:r>
    </w:p>
    <w:p w14:paraId="4ED312F9">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12.3.4 总价合同的计量</w:t>
      </w:r>
    </w:p>
    <w:p w14:paraId="033EC85A">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（1）总价合同计量约定：进度款按支付分解表支付</w:t>
      </w:r>
      <w:r>
        <w:rPr>
          <w:rFonts w:hint="eastAsia" w:ascii="宋体" w:hAnsi="宋体" w:eastAsia="宋体" w:cs="宋体"/>
          <w:color w:val="auto"/>
          <w:kern w:val="0"/>
          <w:highlight w:val="none"/>
        </w:rPr>
        <w:t>，</w:t>
      </w:r>
      <w:r>
        <w:rPr>
          <w:rFonts w:hint="eastAsia" w:ascii="宋体" w:hAnsi="宋体" w:eastAsia="宋体" w:cs="宋体"/>
          <w:color w:val="auto"/>
          <w:highlight w:val="none"/>
        </w:rPr>
        <w:t>支付分解表在招标完成后签合同之前制定，具体详见本专用合同条款12.4.6。</w:t>
      </w:r>
    </w:p>
    <w:p w14:paraId="225E9DB7">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12.3.6 其他价格形式合同的计量</w:t>
      </w:r>
    </w:p>
    <w:p w14:paraId="26D36CF4">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其他价格形式的计量方式和程序：</w:t>
      </w:r>
      <w:r>
        <w:rPr>
          <w:rFonts w:hint="eastAsia" w:ascii="宋体" w:hAnsi="宋体" w:eastAsia="宋体" w:cs="宋体"/>
          <w:color w:val="auto"/>
          <w:highlight w:val="none"/>
          <w:u w:val="single"/>
          <w:lang w:eastAsia="zh-CN"/>
        </w:rPr>
        <w:t>无</w:t>
      </w:r>
      <w:r>
        <w:rPr>
          <w:rFonts w:hint="eastAsia" w:ascii="宋体" w:hAnsi="宋体" w:eastAsia="宋体" w:cs="宋体"/>
          <w:color w:val="auto"/>
          <w:highlight w:val="none"/>
        </w:rPr>
        <w:t>。</w:t>
      </w:r>
    </w:p>
    <w:p w14:paraId="132909E5">
      <w:pPr>
        <w:pStyle w:val="4"/>
        <w:rPr>
          <w:rFonts w:hint="eastAsia" w:ascii="宋体" w:hAnsi="宋体" w:eastAsia="宋体" w:cs="宋体"/>
          <w:color w:val="auto"/>
          <w:highlight w:val="none"/>
        </w:rPr>
      </w:pPr>
      <w:bookmarkStart w:id="1331" w:name="_Toc1155368667"/>
      <w:bookmarkStart w:id="1332" w:name="_Toc373478399"/>
      <w:bookmarkStart w:id="1333" w:name="_Toc373227752"/>
      <w:bookmarkStart w:id="1334" w:name="_Toc78449841"/>
      <w:bookmarkStart w:id="1335" w:name="_Toc407135255"/>
      <w:bookmarkStart w:id="1336" w:name="_Toc1711431123"/>
      <w:bookmarkStart w:id="1337" w:name="_Toc389065317"/>
      <w:r>
        <w:rPr>
          <w:rFonts w:hint="eastAsia" w:ascii="宋体" w:hAnsi="宋体" w:eastAsia="宋体" w:cs="宋体"/>
          <w:color w:val="auto"/>
          <w:highlight w:val="none"/>
        </w:rPr>
        <w:t>12.4 工程进度款支付</w:t>
      </w:r>
      <w:bookmarkEnd w:id="1331"/>
      <w:bookmarkEnd w:id="1332"/>
      <w:bookmarkEnd w:id="1333"/>
      <w:bookmarkEnd w:id="1334"/>
      <w:bookmarkEnd w:id="1335"/>
      <w:bookmarkEnd w:id="1336"/>
      <w:bookmarkEnd w:id="1337"/>
    </w:p>
    <w:p w14:paraId="70EFADB4">
      <w:pPr>
        <w:spacing w:line="400" w:lineRule="exact"/>
        <w:ind w:firstLine="440" w:firstLineChars="200"/>
        <w:jc w:val="left"/>
        <w:rPr>
          <w:rFonts w:hint="eastAsia" w:ascii="宋体" w:hAnsi="宋体" w:eastAsia="宋体" w:cs="宋体"/>
          <w:color w:val="auto"/>
          <w:highlight w:val="none"/>
        </w:rPr>
      </w:pPr>
      <w:bookmarkStart w:id="1338" w:name="_Toc303539163"/>
      <w:bookmarkStart w:id="1339" w:name="_Toc297123556"/>
      <w:bookmarkStart w:id="1340" w:name="_Toc296347210"/>
      <w:bookmarkStart w:id="1341" w:name="_Toc296891039"/>
      <w:bookmarkStart w:id="1342" w:name="_Toc297048397"/>
      <w:bookmarkStart w:id="1343" w:name="_Toc296944550"/>
      <w:bookmarkStart w:id="1344" w:name="_Toc292559921"/>
      <w:bookmarkStart w:id="1345" w:name="_Toc296503211"/>
      <w:bookmarkStart w:id="1346" w:name="_Toc297120511"/>
      <w:bookmarkStart w:id="1347" w:name="_Toc300935006"/>
      <w:bookmarkStart w:id="1348" w:name="_Toc296891251"/>
      <w:bookmarkStart w:id="1349" w:name="_Toc292559416"/>
      <w:bookmarkStart w:id="1350" w:name="_Toc296346712"/>
      <w:bookmarkStart w:id="1351" w:name="_Toc297216215"/>
      <w:r>
        <w:rPr>
          <w:rFonts w:hint="eastAsia" w:ascii="宋体" w:hAnsi="宋体" w:eastAsia="宋体" w:cs="宋体"/>
          <w:kern w:val="0"/>
          <w:sz w:val="22"/>
          <w:szCs w:val="22"/>
          <w:lang w:val="en-US" w:eastAsia="zh-CN" w:bidi="ar-SA"/>
        </w:rPr>
        <w:t>政府机关、事业单位、国有企业建设工程进度款支付应不低于已完成工程价款的80%；同时，在确保不超出工程总概（预）算以及工程决（结）算工作顺利开展的前提下，除按合同约定保留不超过工程价款总额3%的质量保证金外，进度款支付比例可由发承包双方根据项目实际情况自行确定。在结算过程中，若发生进度款支付超出实际已完成工程价款的情况，承包单位应按规定在结算后30日内向发包单位返还多收到的工程进度款。</w:t>
      </w:r>
    </w:p>
    <w:p w14:paraId="0DE769D9">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12.4.1 付款周期</w:t>
      </w:r>
    </w:p>
    <w:p w14:paraId="313F6A05">
      <w:pPr>
        <w:pageBreakBefore w:val="0"/>
        <w:widowControl w:val="0"/>
        <w:kinsoku/>
        <w:wordWrap/>
        <w:overflowPunct/>
        <w:topLinePunct w:val="0"/>
        <w:adjustRightInd/>
        <w:snapToGrid/>
        <w:spacing w:line="360" w:lineRule="auto"/>
        <w:ind w:left="0" w:firstLine="420" w:firstLineChars="200"/>
        <w:jc w:val="left"/>
        <w:rPr>
          <w:rFonts w:hint="eastAsia" w:ascii="宋体" w:hAnsi="宋体" w:eastAsia="宋体" w:cs="宋体"/>
          <w:b/>
          <w:color w:val="000000"/>
          <w:sz w:val="21"/>
          <w:szCs w:val="21"/>
          <w:highlight w:val="none"/>
          <w:u w:val="single"/>
        </w:rPr>
      </w:pPr>
      <w:r>
        <w:rPr>
          <w:rFonts w:hint="eastAsia" w:ascii="宋体" w:hAnsi="宋体" w:eastAsia="宋体" w:cs="宋体"/>
          <w:color w:val="auto"/>
          <w:highlight w:val="none"/>
          <w:lang w:val="en-US" w:eastAsia="zh-CN"/>
        </w:rPr>
        <w:t>关于付款周期的约定：</w:t>
      </w:r>
      <w:r>
        <w:rPr>
          <w:rFonts w:hint="eastAsia" w:ascii="宋体" w:hAnsi="宋体" w:eastAsia="宋体" w:cs="宋体"/>
          <w:b/>
          <w:bCs/>
          <w:color w:val="000000"/>
          <w:sz w:val="21"/>
          <w:szCs w:val="21"/>
          <w:highlight w:val="none"/>
          <w:u w:val="single"/>
        </w:rPr>
        <w:t>工程款按进度支付，合同内进度款支付限额为已完成工程</w:t>
      </w:r>
      <w:r>
        <w:rPr>
          <w:rFonts w:hint="eastAsia" w:ascii="宋体" w:hAnsi="宋体" w:cs="宋体"/>
          <w:b/>
          <w:bCs/>
          <w:color w:val="000000"/>
          <w:sz w:val="21"/>
          <w:szCs w:val="21"/>
          <w:highlight w:val="none"/>
          <w:u w:val="single"/>
          <w:lang w:val="en-US" w:eastAsia="zh-CN"/>
        </w:rPr>
        <w:t>价款</w:t>
      </w:r>
      <w:r>
        <w:rPr>
          <w:rFonts w:hint="eastAsia" w:ascii="宋体" w:hAnsi="宋体" w:eastAsia="宋体" w:cs="宋体"/>
          <w:b/>
          <w:bCs/>
          <w:color w:val="000000"/>
          <w:sz w:val="21"/>
          <w:szCs w:val="21"/>
          <w:highlight w:val="none"/>
          <w:u w:val="single"/>
        </w:rPr>
        <w:t>的8</w:t>
      </w:r>
      <w:r>
        <w:rPr>
          <w:rFonts w:hint="eastAsia" w:ascii="宋体" w:hAnsi="宋体" w:eastAsia="宋体" w:cs="宋体"/>
          <w:b/>
          <w:bCs/>
          <w:color w:val="000000"/>
          <w:sz w:val="21"/>
          <w:szCs w:val="21"/>
          <w:highlight w:val="none"/>
          <w:u w:val="single"/>
          <w:lang w:val="en-US" w:eastAsia="zh-CN"/>
        </w:rPr>
        <w:t>0</w:t>
      </w:r>
      <w:r>
        <w:rPr>
          <w:rFonts w:hint="eastAsia" w:ascii="宋体" w:hAnsi="宋体" w:eastAsia="宋体" w:cs="宋体"/>
          <w:b/>
          <w:bCs/>
          <w:color w:val="000000"/>
          <w:sz w:val="21"/>
          <w:szCs w:val="21"/>
          <w:highlight w:val="none"/>
          <w:u w:val="single"/>
        </w:rPr>
        <w:t>%，工程变更部分进度款支付限额为已完成工程</w:t>
      </w:r>
      <w:r>
        <w:rPr>
          <w:rFonts w:hint="eastAsia" w:ascii="宋体" w:hAnsi="宋体" w:cs="宋体"/>
          <w:b/>
          <w:bCs/>
          <w:color w:val="000000"/>
          <w:sz w:val="21"/>
          <w:szCs w:val="21"/>
          <w:highlight w:val="none"/>
          <w:u w:val="single"/>
          <w:lang w:val="en-US" w:eastAsia="zh-CN"/>
        </w:rPr>
        <w:t>价款</w:t>
      </w:r>
      <w:r>
        <w:rPr>
          <w:rFonts w:hint="eastAsia" w:ascii="宋体" w:hAnsi="宋体" w:eastAsia="宋体" w:cs="宋体"/>
          <w:b/>
          <w:bCs/>
          <w:color w:val="000000"/>
          <w:sz w:val="21"/>
          <w:szCs w:val="21"/>
          <w:highlight w:val="none"/>
          <w:u w:val="single"/>
        </w:rPr>
        <w:t>的60%；</w:t>
      </w:r>
      <w:r>
        <w:rPr>
          <w:rFonts w:hint="eastAsia" w:ascii="宋体" w:hAnsi="宋体" w:eastAsia="宋体" w:cs="宋体"/>
          <w:b/>
          <w:color w:val="000000"/>
          <w:sz w:val="21"/>
          <w:szCs w:val="21"/>
          <w:highlight w:val="none"/>
          <w:u w:val="single"/>
        </w:rPr>
        <w:t>工程完工验收达到质量要求，结算经审计后并向发包人提交完整的竣工资料，工程款支付至结算总价的97%（含已支付的）；发包人按工程价款结算总额的3%预留工程质量保修金，待工程质量保修期满后返还，工程保修期满后退还给承包人（无息）。</w:t>
      </w:r>
    </w:p>
    <w:p w14:paraId="27A8BA86">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12.4.2 进度付款申请单的编制</w:t>
      </w:r>
    </w:p>
    <w:p w14:paraId="7CD0C94D">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关于进度付款申请单编制的约定：</w:t>
      </w:r>
      <w:r>
        <w:rPr>
          <w:rFonts w:hint="eastAsia" w:ascii="宋体" w:hAnsi="宋体" w:eastAsia="宋体" w:cs="宋体"/>
          <w:color w:val="auto"/>
          <w:highlight w:val="none"/>
          <w:u w:val="single"/>
          <w:lang w:eastAsia="zh-CN"/>
        </w:rPr>
        <w:t>按发包人要求</w:t>
      </w:r>
      <w:r>
        <w:rPr>
          <w:rFonts w:hint="eastAsia" w:ascii="宋体" w:hAnsi="宋体" w:eastAsia="宋体" w:cs="宋体"/>
          <w:color w:val="auto"/>
          <w:highlight w:val="none"/>
        </w:rPr>
        <w:t>。</w:t>
      </w:r>
    </w:p>
    <w:p w14:paraId="4E623EEA">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r>
        <w:rPr>
          <w:rFonts w:hint="eastAsia" w:ascii="宋体" w:hAnsi="宋体" w:eastAsia="宋体" w:cs="宋体"/>
          <w:color w:val="auto"/>
          <w:highlight w:val="none"/>
        </w:rPr>
        <w:t>2.4.3 进度付款申请单的提交</w:t>
      </w:r>
    </w:p>
    <w:p w14:paraId="602D7636">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（1）单价合同进度付款申请单提交的约定：</w:t>
      </w:r>
      <w:r>
        <w:rPr>
          <w:rFonts w:hint="eastAsia" w:ascii="宋体" w:hAnsi="宋体" w:eastAsia="宋体" w:cs="宋体"/>
          <w:b/>
          <w:bCs/>
          <w:color w:val="000000"/>
          <w:sz w:val="21"/>
          <w:szCs w:val="21"/>
          <w:highlight w:val="none"/>
          <w:u w:val="single"/>
        </w:rPr>
        <w:t>承包人向</w:t>
      </w:r>
      <w:r>
        <w:rPr>
          <w:rFonts w:hint="eastAsia" w:ascii="宋体" w:hAnsi="宋体" w:eastAsia="宋体" w:cs="宋体"/>
          <w:b/>
          <w:bCs/>
          <w:color w:val="000000"/>
          <w:sz w:val="21"/>
          <w:szCs w:val="21"/>
          <w:highlight w:val="none"/>
          <w:u w:val="single"/>
          <w:lang w:val="en-US" w:eastAsia="zh-CN"/>
        </w:rPr>
        <w:t>发包人</w:t>
      </w:r>
      <w:r>
        <w:rPr>
          <w:rFonts w:hint="eastAsia" w:ascii="宋体" w:hAnsi="宋体" w:eastAsia="宋体" w:cs="宋体"/>
          <w:b/>
          <w:bCs/>
          <w:color w:val="000000"/>
          <w:sz w:val="21"/>
          <w:szCs w:val="21"/>
          <w:highlight w:val="none"/>
          <w:u w:val="single"/>
        </w:rPr>
        <w:t>申请支付工程进度款时，承包人应向发包人提供以下资料：①请款函</w:t>
      </w:r>
      <w:r>
        <w:rPr>
          <w:rFonts w:hint="eastAsia" w:ascii="宋体" w:hAnsi="宋体" w:eastAsia="宋体" w:cs="宋体"/>
          <w:b/>
          <w:bCs/>
          <w:color w:val="000000"/>
          <w:sz w:val="21"/>
          <w:szCs w:val="21"/>
          <w:highlight w:val="none"/>
          <w:u w:val="single"/>
          <w:lang w:eastAsia="zh-CN"/>
        </w:rPr>
        <w:t>、</w:t>
      </w:r>
      <w:r>
        <w:rPr>
          <w:rFonts w:hint="eastAsia" w:ascii="宋体" w:hAnsi="宋体" w:eastAsia="宋体" w:cs="宋体"/>
          <w:b/>
          <w:bCs/>
          <w:color w:val="000000"/>
          <w:sz w:val="21"/>
          <w:szCs w:val="21"/>
          <w:highlight w:val="none"/>
          <w:u w:val="single"/>
        </w:rPr>
        <w:t>②项目进度表、③</w:t>
      </w:r>
      <w:r>
        <w:rPr>
          <w:rFonts w:hint="eastAsia" w:ascii="宋体" w:hAnsi="宋体" w:eastAsia="宋体" w:cs="宋体"/>
          <w:b/>
          <w:bCs/>
          <w:color w:val="000000"/>
          <w:sz w:val="21"/>
          <w:szCs w:val="21"/>
          <w:highlight w:val="none"/>
          <w:u w:val="single"/>
          <w:lang w:val="en-US" w:eastAsia="zh-CN"/>
        </w:rPr>
        <w:t>用款申请表</w:t>
      </w:r>
      <w:r>
        <w:rPr>
          <w:rFonts w:hint="eastAsia" w:ascii="宋体" w:hAnsi="宋体" w:eastAsia="宋体" w:cs="宋体"/>
          <w:b/>
          <w:bCs/>
          <w:color w:val="000000"/>
          <w:sz w:val="21"/>
          <w:szCs w:val="21"/>
          <w:highlight w:val="none"/>
          <w:u w:val="single"/>
        </w:rPr>
        <w:t>、④中标通知书、⑤施工合同、⑥《工程用款支付证书》、⑦工程量计量报表（格式按横州市财政局具体要求）</w:t>
      </w:r>
      <w:r>
        <w:rPr>
          <w:rFonts w:hint="eastAsia" w:ascii="宋体" w:hAnsi="宋体" w:cs="宋体"/>
          <w:b/>
          <w:bCs/>
          <w:color w:val="000000"/>
          <w:sz w:val="21"/>
          <w:szCs w:val="21"/>
          <w:highlight w:val="none"/>
          <w:u w:val="single"/>
          <w:lang w:eastAsia="zh-CN"/>
        </w:rPr>
        <w:t>、</w:t>
      </w:r>
      <w:r>
        <w:rPr>
          <w:rFonts w:hint="eastAsia" w:ascii="宋体" w:hAnsi="宋体" w:eastAsia="宋体" w:cs="宋体"/>
          <w:b/>
          <w:bCs/>
          <w:color w:val="000000"/>
          <w:sz w:val="21"/>
          <w:szCs w:val="21"/>
          <w:highlight w:val="none"/>
          <w:u w:val="single"/>
        </w:rPr>
        <w:t>⑧项目形象进度照片、⑨农民工专户信息、⑩营业执照、开户许可证；其他需要补充说明的材料。（请款前与发包人确认具体的请款清单）</w:t>
      </w:r>
      <w:r>
        <w:rPr>
          <w:rFonts w:hint="eastAsia" w:ascii="宋体" w:hAnsi="宋体" w:eastAsia="宋体" w:cs="宋体"/>
          <w:color w:val="000000"/>
          <w:sz w:val="21"/>
          <w:szCs w:val="21"/>
          <w:highlight w:val="none"/>
        </w:rPr>
        <w:t>。</w:t>
      </w:r>
    </w:p>
    <w:p w14:paraId="0A33BB10">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（2）总价合同进度付款申请单提交的约定：</w:t>
      </w:r>
      <w:r>
        <w:rPr>
          <w:rFonts w:hint="eastAsia" w:ascii="宋体" w:hAnsi="宋体" w:eastAsia="宋体" w:cs="宋体"/>
          <w:color w:val="auto"/>
          <w:highlight w:val="none"/>
          <w:u w:val="single"/>
          <w:lang w:eastAsia="zh-CN"/>
        </w:rPr>
        <w:t>无</w:t>
      </w:r>
      <w:r>
        <w:rPr>
          <w:rFonts w:hint="eastAsia" w:ascii="宋体" w:hAnsi="宋体" w:eastAsia="宋体" w:cs="宋体"/>
          <w:color w:val="auto"/>
          <w:highlight w:val="none"/>
        </w:rPr>
        <w:t>。</w:t>
      </w:r>
    </w:p>
    <w:p w14:paraId="7E66943F">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（3）其他价格形式合同进度付款申请单提交的约定：</w:t>
      </w:r>
      <w:r>
        <w:rPr>
          <w:rFonts w:hint="eastAsia" w:ascii="宋体" w:hAnsi="宋体" w:eastAsia="宋体" w:cs="宋体"/>
          <w:color w:val="auto"/>
          <w:highlight w:val="none"/>
          <w:u w:val="single"/>
          <w:lang w:eastAsia="zh-CN"/>
        </w:rPr>
        <w:t>无</w:t>
      </w:r>
      <w:r>
        <w:rPr>
          <w:rFonts w:hint="eastAsia" w:ascii="宋体" w:hAnsi="宋体" w:eastAsia="宋体" w:cs="宋体"/>
          <w:color w:val="auto"/>
          <w:highlight w:val="none"/>
        </w:rPr>
        <w:t>。</w:t>
      </w:r>
    </w:p>
    <w:p w14:paraId="1FD7ADC5">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12.4.4 进度款审核和支付</w:t>
      </w:r>
    </w:p>
    <w:p w14:paraId="242B9133">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000000"/>
          <w:highlight w:val="none"/>
        </w:rPr>
        <w:t>（1）监理人审查并报送发包人的期限：</w:t>
      </w:r>
      <w:r>
        <w:rPr>
          <w:rFonts w:hint="eastAsia" w:ascii="宋体" w:hAnsi="宋体" w:eastAsia="宋体" w:cs="宋体"/>
          <w:color w:val="000000"/>
          <w:highlight w:val="none"/>
          <w:u w:val="single"/>
          <w:lang w:val="en-US" w:eastAsia="zh-CN"/>
        </w:rPr>
        <w:t>7</w:t>
      </w:r>
      <w:r>
        <w:rPr>
          <w:rFonts w:hint="eastAsia" w:ascii="宋体" w:hAnsi="宋体" w:eastAsia="宋体" w:cs="宋体"/>
          <w:color w:val="auto"/>
          <w:highlight w:val="none"/>
          <w:u w:val="single"/>
          <w:lang w:val="en-US" w:eastAsia="zh-CN"/>
        </w:rPr>
        <w:t>个工作日内</w:t>
      </w:r>
      <w:r>
        <w:rPr>
          <w:rFonts w:hint="eastAsia" w:ascii="宋体" w:hAnsi="宋体" w:eastAsia="宋体" w:cs="宋体"/>
          <w:color w:val="auto"/>
          <w:highlight w:val="none"/>
        </w:rPr>
        <w:t>。</w:t>
      </w:r>
    </w:p>
    <w:p w14:paraId="0806564D">
      <w:pPr>
        <w:spacing w:line="360" w:lineRule="auto"/>
        <w:ind w:firstLine="420" w:firstLineChars="200"/>
        <w:jc w:val="left"/>
        <w:rPr>
          <w:rFonts w:hint="eastAsia" w:ascii="宋体" w:hAnsi="宋体" w:eastAsia="宋体" w:cs="宋体"/>
          <w:color w:val="000000"/>
          <w:highlight w:val="none"/>
        </w:rPr>
      </w:pPr>
      <w:r>
        <w:rPr>
          <w:rFonts w:hint="eastAsia" w:ascii="宋体" w:hAnsi="宋体" w:eastAsia="宋体" w:cs="宋体"/>
          <w:color w:val="auto"/>
          <w:highlight w:val="none"/>
        </w:rPr>
        <w:t>发包人完成审批并签发进度款支付</w:t>
      </w:r>
      <w:r>
        <w:rPr>
          <w:rFonts w:hint="eastAsia" w:ascii="宋体" w:hAnsi="宋体" w:cs="宋体"/>
          <w:color w:val="auto"/>
          <w:highlight w:val="none"/>
          <w:lang w:val="en-US" w:eastAsia="zh-CN"/>
        </w:rPr>
        <w:t>申请</w:t>
      </w:r>
      <w:r>
        <w:rPr>
          <w:rFonts w:hint="eastAsia" w:ascii="宋体" w:hAnsi="宋体" w:eastAsia="宋体" w:cs="宋体"/>
          <w:color w:val="auto"/>
          <w:highlight w:val="none"/>
        </w:rPr>
        <w:t>的期限：</w:t>
      </w:r>
      <w:r>
        <w:rPr>
          <w:rFonts w:hint="eastAsia" w:ascii="宋体" w:hAnsi="宋体" w:eastAsia="宋体" w:cs="宋体"/>
          <w:color w:val="auto"/>
          <w:highlight w:val="none"/>
          <w:u w:val="single"/>
        </w:rPr>
        <w:t>收</w:t>
      </w:r>
      <w:r>
        <w:rPr>
          <w:rFonts w:hint="eastAsia" w:ascii="宋体" w:hAnsi="宋体" w:eastAsia="宋体" w:cs="宋体"/>
          <w:color w:val="auto"/>
          <w:highlight w:val="none"/>
          <w:u w:val="single"/>
          <w:lang w:val="en-US" w:eastAsia="zh-CN"/>
        </w:rPr>
        <w:t>到完整的材料后7个工作日内完成审批并签发进度款</w:t>
      </w:r>
      <w:r>
        <w:rPr>
          <w:rFonts w:hint="eastAsia" w:ascii="宋体" w:hAnsi="宋体" w:cs="宋体"/>
          <w:color w:val="auto"/>
          <w:highlight w:val="none"/>
          <w:u w:val="single"/>
          <w:lang w:val="en-US" w:eastAsia="zh-CN"/>
        </w:rPr>
        <w:t>用款申请表</w:t>
      </w:r>
      <w:r>
        <w:rPr>
          <w:rFonts w:hint="eastAsia" w:ascii="宋体" w:hAnsi="宋体" w:eastAsia="宋体" w:cs="宋体"/>
          <w:color w:val="000000"/>
          <w:highlight w:val="none"/>
        </w:rPr>
        <w:t>。</w:t>
      </w:r>
    </w:p>
    <w:p w14:paraId="0C929E7D">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000000"/>
          <w:highlight w:val="none"/>
          <w:u w:val="single"/>
          <w:lang w:eastAsia="zh-CN"/>
        </w:rPr>
      </w:pPr>
      <w:r>
        <w:rPr>
          <w:rFonts w:hint="eastAsia" w:ascii="宋体" w:hAnsi="宋体" w:eastAsia="宋体" w:cs="宋体"/>
          <w:color w:val="000000"/>
          <w:highlight w:val="none"/>
        </w:rPr>
        <w:t>为保证工程顺利进行，发包人严禁承包人将付给的工程进度款使用在与发包人发包的工程 以外的其他项目，工程进度款必须专款专用，如本工程有农民工</w:t>
      </w:r>
      <w:r>
        <w:rPr>
          <w:rFonts w:hint="eastAsia" w:ascii="宋体" w:hAnsi="宋体" w:eastAsia="宋体" w:cs="宋体"/>
          <w:color w:val="000000"/>
          <w:highlight w:val="none"/>
          <w:lang w:val="en-US" w:eastAsia="zh-CN"/>
        </w:rPr>
        <w:t>因</w:t>
      </w:r>
      <w:r>
        <w:rPr>
          <w:rFonts w:hint="eastAsia" w:ascii="宋体" w:hAnsi="宋体" w:eastAsia="宋体" w:cs="宋体"/>
          <w:color w:val="000000"/>
          <w:highlight w:val="none"/>
        </w:rPr>
        <w:t>工资未及时支付造成停工或向相关部门维权，一经核实承包人有挪用发包人支付的工程进度款，发包人处承包</w:t>
      </w:r>
      <w:r>
        <w:rPr>
          <w:rFonts w:hint="eastAsia" w:ascii="宋体" w:hAnsi="宋体" w:eastAsia="宋体" w:cs="宋体"/>
          <w:color w:val="000000"/>
          <w:highlight w:val="none"/>
          <w:lang w:eastAsia="zh-CN"/>
        </w:rPr>
        <w:t>人</w:t>
      </w:r>
      <w:r>
        <w:rPr>
          <w:rFonts w:hint="eastAsia" w:ascii="宋体" w:hAnsi="宋体" w:eastAsia="宋体" w:cs="宋体"/>
          <w:color w:val="000000"/>
          <w:highlight w:val="none"/>
        </w:rPr>
        <w:t>20000元</w:t>
      </w:r>
      <w:r>
        <w:rPr>
          <w:rFonts w:hint="eastAsia" w:ascii="宋体" w:hAnsi="宋体" w:eastAsia="宋体" w:cs="宋体"/>
          <w:color w:val="000000"/>
          <w:highlight w:val="none"/>
          <w:lang w:val="en-US" w:eastAsia="zh-CN"/>
        </w:rPr>
        <w:t>/</w:t>
      </w:r>
      <w:r>
        <w:rPr>
          <w:rFonts w:hint="eastAsia" w:ascii="宋体" w:hAnsi="宋体" w:eastAsia="宋体" w:cs="宋体"/>
          <w:color w:val="000000"/>
          <w:highlight w:val="none"/>
        </w:rPr>
        <w:t>次的违约金在结算总价中扣除。承包人雇佣的劳务工人工资及一切支出由承包人自行解决，承 包人不得以任何理由和事项为借口拖欠劳务工人工资，发包人对承包人拖欠任何应付款不承担责任</w:t>
      </w:r>
      <w:r>
        <w:rPr>
          <w:rFonts w:hint="eastAsia" w:ascii="宋体" w:hAnsi="宋体" w:eastAsia="宋体" w:cs="宋体"/>
          <w:color w:val="000000"/>
          <w:highlight w:val="none"/>
          <w:lang w:eastAsia="zh-CN"/>
        </w:rPr>
        <w:t>。</w:t>
      </w:r>
    </w:p>
    <w:p w14:paraId="5A72605C">
      <w:pPr>
        <w:spacing w:line="360" w:lineRule="auto"/>
        <w:ind w:firstLine="420" w:firstLineChars="200"/>
        <w:jc w:val="left"/>
        <w:rPr>
          <w:rFonts w:hint="eastAsia" w:ascii="宋体" w:hAnsi="宋体" w:eastAsia="宋体" w:cs="宋体"/>
          <w:color w:val="000000"/>
          <w:highlight w:val="none"/>
        </w:rPr>
      </w:pPr>
      <w:r>
        <w:rPr>
          <w:rFonts w:hint="eastAsia" w:ascii="宋体" w:hAnsi="宋体" w:eastAsia="宋体" w:cs="宋体"/>
          <w:color w:val="000000"/>
          <w:highlight w:val="none"/>
        </w:rPr>
        <w:t>（2）发包人支付进度款的期限：</w:t>
      </w:r>
      <w:r>
        <w:rPr>
          <w:rFonts w:hint="eastAsia" w:hAnsi="宋体" w:cs="宋体"/>
          <w:color w:val="000000"/>
          <w:highlight w:val="none"/>
          <w:u w:val="single"/>
          <w:lang w:val="en-US" w:eastAsia="zh-CN"/>
        </w:rPr>
        <w:t>以财政实际拨付到位时间为准</w:t>
      </w:r>
      <w:r>
        <w:rPr>
          <w:rFonts w:hint="eastAsia" w:ascii="宋体" w:hAnsi="宋体" w:eastAsia="宋体" w:cs="宋体"/>
          <w:color w:val="000000"/>
          <w:highlight w:val="none"/>
        </w:rPr>
        <w:t>。</w:t>
      </w:r>
    </w:p>
    <w:p w14:paraId="4967D696">
      <w:pPr>
        <w:spacing w:line="360" w:lineRule="auto"/>
        <w:ind w:firstLine="525" w:firstLineChars="250"/>
        <w:jc w:val="left"/>
        <w:rPr>
          <w:rFonts w:hint="eastAsia" w:ascii="宋体" w:hAnsi="宋体" w:eastAsia="宋体" w:cs="宋体"/>
          <w:color w:val="auto"/>
          <w:highlight w:val="none"/>
        </w:rPr>
      </w:pPr>
      <w:r>
        <w:rPr>
          <w:rFonts w:hint="eastAsia" w:ascii="宋体" w:hAnsi="宋体" w:eastAsia="宋体" w:cs="宋体"/>
          <w:color w:val="auto"/>
          <w:highlight w:val="none"/>
        </w:rPr>
        <w:t>发包人逾期支付进度款的违约金的计算方式：</w:t>
      </w:r>
      <w:r>
        <w:rPr>
          <w:rFonts w:hint="eastAsia" w:ascii="宋体" w:hAnsi="宋体" w:eastAsia="宋体" w:cs="宋体"/>
          <w:color w:val="000000"/>
          <w:highlight w:val="none"/>
          <w:u w:val="single"/>
          <w:lang w:val="en-US" w:eastAsia="zh-CN"/>
        </w:rPr>
        <w:t>无</w:t>
      </w:r>
      <w:r>
        <w:rPr>
          <w:rFonts w:hint="eastAsia" w:ascii="宋体" w:hAnsi="宋体" w:eastAsia="宋体" w:cs="宋体"/>
          <w:color w:val="auto"/>
          <w:highlight w:val="none"/>
        </w:rPr>
        <w:t>。</w:t>
      </w:r>
    </w:p>
    <w:p w14:paraId="4605088A">
      <w:pPr>
        <w:spacing w:line="360" w:lineRule="auto"/>
        <w:ind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进度款支付方式：</w:t>
      </w:r>
      <w:r>
        <w:rPr>
          <w:rFonts w:hint="eastAsia" w:ascii="宋体" w:hAnsi="宋体" w:eastAsia="宋体" w:cs="宋体"/>
          <w:color w:val="auto"/>
          <w:highlight w:val="none"/>
          <w:u w:val="single"/>
        </w:rPr>
        <w:t>银行转账</w:t>
      </w:r>
      <w:r>
        <w:rPr>
          <w:rFonts w:hint="eastAsia" w:ascii="宋体" w:hAnsi="宋体" w:eastAsia="宋体" w:cs="宋体"/>
          <w:color w:val="auto"/>
          <w:highlight w:val="none"/>
        </w:rPr>
        <w:t>。</w:t>
      </w:r>
    </w:p>
    <w:p w14:paraId="466267E3">
      <w:pPr>
        <w:spacing w:line="360" w:lineRule="auto"/>
        <w:ind w:firstLine="525" w:firstLineChars="250"/>
        <w:jc w:val="left"/>
        <w:rPr>
          <w:rFonts w:hint="eastAsia" w:ascii="宋体" w:hAnsi="宋体" w:eastAsia="宋体" w:cs="宋体"/>
          <w:color w:val="auto"/>
          <w:highlight w:val="none"/>
        </w:rPr>
      </w:pPr>
      <w:r>
        <w:rPr>
          <w:rFonts w:hint="eastAsia" w:ascii="宋体" w:hAnsi="宋体" w:eastAsia="宋体" w:cs="宋体"/>
          <w:color w:val="auto"/>
          <w:highlight w:val="none"/>
        </w:rPr>
        <w:t>（3） 农民工工资支付</w:t>
      </w:r>
    </w:p>
    <w:p w14:paraId="20657AC6">
      <w:pPr>
        <w:spacing w:line="360" w:lineRule="auto"/>
        <w:ind w:firstLine="525" w:firstLineChars="25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5CE7D687">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auto"/>
          <w:kern w:val="0"/>
          <w:highlight w:val="none"/>
        </w:rPr>
      </w:pPr>
      <w:r>
        <w:rPr>
          <w:rFonts w:hint="eastAsia" w:ascii="宋体" w:hAnsi="宋体" w:eastAsia="宋体" w:cs="宋体"/>
          <w:color w:val="auto"/>
          <w:kern w:val="0"/>
          <w:highlight w:val="none"/>
        </w:rPr>
        <w:t>2）人工费应与工程进度款分帐管理。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帐出来的人工费转入承包人农民工工资支付专用账户，转入农民工工资支付专用账户环节必须有银行流水凭证。</w:t>
      </w:r>
    </w:p>
    <w:p w14:paraId="2926375F">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auto"/>
          <w:kern w:val="0"/>
          <w:highlight w:val="none"/>
        </w:rPr>
      </w:pPr>
      <w:r>
        <w:rPr>
          <w:rFonts w:hint="eastAsia" w:ascii="宋体" w:hAnsi="宋体" w:eastAsia="宋体" w:cs="宋体"/>
          <w:color w:val="auto"/>
          <w:kern w:val="0"/>
          <w:highlight w:val="none"/>
        </w:rPr>
        <w:t>3）发包人依据工程进度，审核承包人申报的工程进度款，按照与承包人约定的人工费支付比例</w:t>
      </w:r>
      <w:r>
        <w:rPr>
          <w:rFonts w:hint="eastAsia" w:ascii="宋体" w:hAnsi="宋体" w:eastAsia="宋体" w:cs="宋体"/>
          <w:color w:val="auto"/>
          <w:spacing w:val="41"/>
          <w:sz w:val="21"/>
          <w:lang w:val="en-US" w:eastAsia="zh-CN"/>
        </w:rPr>
        <w:t>20</w:t>
      </w:r>
      <w:r>
        <w:rPr>
          <w:rFonts w:hint="eastAsia" w:ascii="宋体" w:hAnsi="宋体" w:eastAsia="宋体" w:cs="宋体"/>
          <w:color w:val="auto"/>
          <w:kern w:val="0"/>
          <w:highlight w:val="none"/>
        </w:rPr>
        <w:t xml:space="preserve"> %</w:t>
      </w:r>
      <w:r>
        <w:rPr>
          <w:rFonts w:hint="eastAsia" w:ascii="宋体" w:hAnsi="宋体" w:eastAsia="宋体" w:cs="宋体"/>
          <w:color w:val="auto"/>
          <w:kern w:val="0"/>
          <w:highlight w:val="none"/>
          <w:lang w:eastAsia="zh-CN"/>
        </w:rPr>
        <w:t>（房建项目不少于</w:t>
      </w:r>
      <w:r>
        <w:rPr>
          <w:rFonts w:hint="eastAsia" w:ascii="宋体" w:hAnsi="宋体" w:eastAsia="宋体" w:cs="宋体"/>
          <w:color w:val="auto"/>
          <w:kern w:val="0"/>
          <w:highlight w:val="none"/>
          <w:lang w:val="en-US" w:eastAsia="zh-CN"/>
        </w:rPr>
        <w:t>20%，市政项目不少于15%）</w:t>
      </w:r>
      <w:r>
        <w:rPr>
          <w:rFonts w:hint="eastAsia" w:ascii="宋体" w:hAnsi="宋体" w:eastAsia="宋体" w:cs="宋体"/>
          <w:color w:val="auto"/>
          <w:kern w:val="0"/>
          <w:highlight w:val="none"/>
        </w:rPr>
        <w:t>，将人工费及时足额拨付至承包人的农民工工资专用账户，其余工程进度款项由发包人支付到承包人的单位基本户。</w:t>
      </w:r>
    </w:p>
    <w:p w14:paraId="5B87D719">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4）工程建设领域总包单位对农民工工资支付负总责，推行分包单位农民工工资委托总包单位代发制度（以下简称总包代发制度）。工程建设项目施行总包代发制度的，总包单位与分包单位签订委托工资支付协议。 </w:t>
      </w:r>
    </w:p>
    <w:p w14:paraId="4A44B5CE">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auto"/>
          <w:kern w:val="0"/>
          <w:highlight w:val="none"/>
        </w:rPr>
      </w:pPr>
      <w:r>
        <w:rPr>
          <w:rFonts w:hint="eastAsia" w:ascii="宋体" w:hAnsi="宋体" w:eastAsia="宋体" w:cs="宋体"/>
          <w:color w:val="auto"/>
          <w:kern w:val="0"/>
          <w:highlight w:val="none"/>
        </w:rPr>
        <w:t>5）凡未向付款单位提供农民工工资专用账户的，或者请款单位在申请工程进度款时未将人工费单列的，付款单位有权拒绝支付工程进度款。</w:t>
      </w:r>
    </w:p>
    <w:p w14:paraId="2E7CE92E">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auto"/>
          <w:kern w:val="0"/>
          <w:highlight w:val="none"/>
        </w:rPr>
      </w:pPr>
      <w:r>
        <w:rPr>
          <w:rFonts w:hint="eastAsia" w:ascii="宋体" w:hAnsi="宋体" w:eastAsia="宋体" w:cs="宋体"/>
          <w:color w:val="auto"/>
          <w:kern w:val="0"/>
          <w:highlight w:val="none"/>
        </w:rPr>
        <w:t>6）人工费使用要求：专款专用，除发放农民工工资外，不得用于其他用途。</w:t>
      </w:r>
    </w:p>
    <w:p w14:paraId="62A1A243">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auto"/>
          <w:kern w:val="0"/>
          <w:highlight w:val="none"/>
        </w:rPr>
      </w:pPr>
      <w:r>
        <w:rPr>
          <w:rFonts w:hint="eastAsia" w:ascii="宋体" w:hAnsi="宋体" w:eastAsia="宋体" w:cs="宋体"/>
          <w:color w:val="auto"/>
          <w:kern w:val="0"/>
          <w:highlight w:val="none"/>
        </w:rPr>
        <w:t>7）承包人将人工费支付情况定期报告发包人和监理单位，并提供相应的材料接受建设行政主管部门和劳动保障行政主管部门对此事项监管。</w:t>
      </w:r>
    </w:p>
    <w:p w14:paraId="48E33BFB">
      <w:pPr>
        <w:keepNext w:val="0"/>
        <w:keepLines w:val="0"/>
        <w:pageBreakBefore w:val="0"/>
        <w:widowControl w:val="0"/>
        <w:kinsoku/>
        <w:wordWrap/>
        <w:overflowPunct/>
        <w:topLinePunct w:val="0"/>
        <w:autoSpaceDE w:val="0"/>
        <w:autoSpaceDN w:val="0"/>
        <w:adjustRightInd w:val="0"/>
        <w:snapToGrid/>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8）人工费支付专用账户：</w:t>
      </w:r>
    </w:p>
    <w:p w14:paraId="7E5559C5">
      <w:pPr>
        <w:keepNext w:val="0"/>
        <w:keepLines w:val="0"/>
        <w:pageBreakBefore w:val="0"/>
        <w:widowControl w:val="0"/>
        <w:kinsoku/>
        <w:wordWrap/>
        <w:overflowPunct/>
        <w:topLinePunct w:val="0"/>
        <w:autoSpaceDE w:val="0"/>
        <w:autoSpaceDN w:val="0"/>
        <w:adjustRightInd w:val="0"/>
        <w:snapToGrid/>
        <w:spacing w:line="360" w:lineRule="auto"/>
        <w:ind w:firstLine="420" w:firstLineChars="200"/>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户</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lang w:eastAsia="zh-CN"/>
        </w:rPr>
        <w:t>名：</w:t>
      </w:r>
      <w:r>
        <w:rPr>
          <w:rFonts w:hint="eastAsia" w:ascii="宋体" w:hAnsi="宋体" w:eastAsia="宋体" w:cs="宋体"/>
          <w:color w:val="auto"/>
          <w:kern w:val="0"/>
          <w:highlight w:val="none"/>
          <w:u w:val="single"/>
          <w:lang w:val="en-US" w:eastAsia="zh-CN"/>
        </w:rPr>
        <w:t xml:space="preserve">                    </w:t>
      </w:r>
      <w:r>
        <w:rPr>
          <w:rFonts w:hint="eastAsia" w:ascii="宋体" w:hAnsi="宋体" w:eastAsia="宋体" w:cs="宋体"/>
          <w:color w:val="auto"/>
          <w:kern w:val="0"/>
          <w:highlight w:val="none"/>
          <w:lang w:eastAsia="zh-CN"/>
        </w:rPr>
        <w:t>；</w:t>
      </w:r>
    </w:p>
    <w:p w14:paraId="6F86FC07">
      <w:pPr>
        <w:keepNext w:val="0"/>
        <w:keepLines w:val="0"/>
        <w:pageBreakBefore w:val="0"/>
        <w:widowControl w:val="0"/>
        <w:kinsoku/>
        <w:wordWrap/>
        <w:overflowPunct/>
        <w:topLinePunct w:val="0"/>
        <w:autoSpaceDE w:val="0"/>
        <w:autoSpaceDN w:val="0"/>
        <w:adjustRightInd w:val="0"/>
        <w:snapToGrid/>
        <w:spacing w:line="360" w:lineRule="auto"/>
        <w:ind w:firstLine="420" w:firstLineChars="200"/>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开户行：</w:t>
      </w:r>
      <w:r>
        <w:rPr>
          <w:rFonts w:hint="eastAsia" w:ascii="宋体" w:hAnsi="宋体" w:eastAsia="宋体" w:cs="宋体"/>
          <w:color w:val="auto"/>
          <w:kern w:val="0"/>
          <w:highlight w:val="none"/>
          <w:u w:val="single"/>
          <w:lang w:val="en-US" w:eastAsia="zh-CN"/>
        </w:rPr>
        <w:t xml:space="preserve">                    </w:t>
      </w:r>
      <w:r>
        <w:rPr>
          <w:rFonts w:hint="eastAsia" w:ascii="宋体" w:hAnsi="宋体" w:eastAsia="宋体" w:cs="宋体"/>
          <w:color w:val="auto"/>
          <w:kern w:val="0"/>
          <w:highlight w:val="none"/>
          <w:lang w:eastAsia="zh-CN"/>
        </w:rPr>
        <w:t>；</w:t>
      </w:r>
    </w:p>
    <w:p w14:paraId="58C7CDD4">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kern w:val="0"/>
          <w:highlight w:val="none"/>
        </w:rPr>
        <w:t>账号：</w:t>
      </w:r>
      <w:r>
        <w:rPr>
          <w:rFonts w:hint="eastAsia" w:ascii="宋体" w:hAnsi="宋体" w:eastAsia="宋体" w:cs="宋体"/>
          <w:color w:val="auto"/>
          <w:kern w:val="0"/>
          <w:highlight w:val="none"/>
          <w:u w:val="single"/>
          <w:lang w:val="en-US" w:eastAsia="zh-CN"/>
        </w:rPr>
        <w:t xml:space="preserve">                      </w:t>
      </w:r>
      <w:r>
        <w:rPr>
          <w:rFonts w:hint="eastAsia" w:ascii="宋体" w:hAnsi="宋体" w:eastAsia="宋体" w:cs="宋体"/>
          <w:color w:val="auto"/>
          <w:kern w:val="0"/>
          <w:highlight w:val="none"/>
        </w:rPr>
        <w:t>。</w:t>
      </w:r>
    </w:p>
    <w:p w14:paraId="074F0FF1">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auto"/>
          <w:highlight w:val="none"/>
        </w:rPr>
      </w:pPr>
      <w:r>
        <w:rPr>
          <w:rFonts w:hint="eastAsia" w:ascii="宋体" w:hAnsi="宋体" w:eastAsia="宋体" w:cs="宋体"/>
          <w:color w:val="auto"/>
          <w:highlight w:val="none"/>
        </w:rPr>
        <w:t>12.4.6 支付分解表的编制</w:t>
      </w:r>
    </w:p>
    <w:p w14:paraId="0D463D40">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auto"/>
          <w:highlight w:val="none"/>
          <w:u w:val="single"/>
        </w:rPr>
      </w:pPr>
      <w:r>
        <w:rPr>
          <w:rFonts w:hint="eastAsia" w:ascii="宋体" w:hAnsi="宋体" w:eastAsia="宋体" w:cs="宋体"/>
          <w:color w:val="auto"/>
          <w:highlight w:val="none"/>
        </w:rPr>
        <w:t>（1） 总价合同支付分解表的编制与审批：</w:t>
      </w:r>
      <w:r>
        <w:rPr>
          <w:rFonts w:hint="eastAsia" w:ascii="宋体" w:hAnsi="宋体" w:eastAsia="宋体" w:cs="宋体"/>
          <w:color w:val="auto"/>
          <w:highlight w:val="none"/>
          <w:u w:val="single"/>
        </w:rPr>
        <w:t xml:space="preserve">  总价合同支付分解表在招标完成后由发包人和承包人共同编制，发包人审批，并作为本合同内容。</w:t>
      </w:r>
    </w:p>
    <w:p w14:paraId="7D2529C3">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auto"/>
          <w:highlight w:val="none"/>
          <w:u w:val="single"/>
        </w:rPr>
      </w:pPr>
      <w:r>
        <w:rPr>
          <w:rFonts w:hint="eastAsia" w:ascii="宋体" w:hAnsi="宋体" w:eastAsia="宋体" w:cs="宋体"/>
          <w:color w:val="auto"/>
          <w:highlight w:val="none"/>
        </w:rPr>
        <w:t>（2）单价合同的总价项目支付分解表的编制与审批：</w:t>
      </w:r>
      <w:r>
        <w:rPr>
          <w:rFonts w:hint="eastAsia" w:ascii="宋体" w:hAnsi="宋体" w:eastAsia="宋体" w:cs="宋体"/>
          <w:color w:val="auto"/>
          <w:highlight w:val="none"/>
          <w:u w:val="single"/>
        </w:rPr>
        <w:t>总价项目不采用支付分解表的方式计算，而按《建设工程工程量清单计价规范（GB50500-2013）广西壮族自治区实施细则》的规定执行</w:t>
      </w:r>
      <w:r>
        <w:rPr>
          <w:rFonts w:hint="eastAsia" w:ascii="宋体" w:hAnsi="宋体" w:eastAsia="宋体" w:cs="宋体"/>
          <w:color w:val="auto"/>
          <w:highlight w:val="none"/>
        </w:rPr>
        <w:t>。</w:t>
      </w:r>
    </w:p>
    <w:bookmarkEnd w:id="1091"/>
    <w:p w14:paraId="48ACD7B1">
      <w:pPr>
        <w:pStyle w:val="3"/>
        <w:rPr>
          <w:rFonts w:hint="eastAsia" w:ascii="宋体" w:hAnsi="宋体" w:eastAsia="宋体" w:cs="宋体"/>
          <w:color w:val="auto"/>
          <w:highlight w:val="none"/>
        </w:rPr>
      </w:pPr>
      <w:bookmarkStart w:id="1352" w:name="_Toc407135256"/>
      <w:bookmarkStart w:id="1353" w:name="_Toc2003466256"/>
      <w:bookmarkStart w:id="1354" w:name="_Toc351203645"/>
      <w:bookmarkStart w:id="1355" w:name="_Toc373227753"/>
      <w:bookmarkStart w:id="1356" w:name="_Toc389065318"/>
      <w:bookmarkStart w:id="1357" w:name="_Toc78449842"/>
      <w:bookmarkStart w:id="1358" w:name="_Toc373478400"/>
      <w:bookmarkStart w:id="1359" w:name="_Toc728899116"/>
      <w:bookmarkStart w:id="1360" w:name="_Toc296891259"/>
      <w:bookmarkStart w:id="1361" w:name="_Toc297120519"/>
      <w:bookmarkStart w:id="1362" w:name="_Toc297216223"/>
      <w:bookmarkStart w:id="1363" w:name="_Toc312678053"/>
      <w:bookmarkStart w:id="1364" w:name="_Toc300935015"/>
      <w:bookmarkStart w:id="1365" w:name="_Toc296347218"/>
      <w:bookmarkStart w:id="1366" w:name="_Toc292559424"/>
      <w:bookmarkStart w:id="1367" w:name="_Toc296503219"/>
      <w:bookmarkStart w:id="1368" w:name="_Toc296346720"/>
      <w:bookmarkStart w:id="1369" w:name="_Toc303539172"/>
      <w:bookmarkStart w:id="1370" w:name="_Toc304295593"/>
      <w:bookmarkStart w:id="1371" w:name="_Toc292559929"/>
      <w:bookmarkStart w:id="1372" w:name="_Toc297048405"/>
      <w:bookmarkStart w:id="1373" w:name="_Toc296891047"/>
      <w:bookmarkStart w:id="1374" w:name="_Toc297123564"/>
      <w:bookmarkStart w:id="1375" w:name="_Toc296944558"/>
      <w:r>
        <w:rPr>
          <w:rFonts w:hint="eastAsia" w:ascii="宋体" w:hAnsi="宋体" w:eastAsia="宋体" w:cs="宋体"/>
          <w:color w:val="auto"/>
          <w:highlight w:val="none"/>
        </w:rPr>
        <w:t>13. 验收和工程试车</w:t>
      </w:r>
      <w:bookmarkEnd w:id="1352"/>
      <w:bookmarkEnd w:id="1353"/>
      <w:bookmarkEnd w:id="1354"/>
      <w:bookmarkEnd w:id="1355"/>
      <w:bookmarkEnd w:id="1356"/>
      <w:bookmarkEnd w:id="1357"/>
      <w:bookmarkEnd w:id="1358"/>
      <w:bookmarkEnd w:id="1359"/>
    </w:p>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14:paraId="68684C2A">
      <w:pPr>
        <w:pStyle w:val="4"/>
        <w:rPr>
          <w:rFonts w:hint="eastAsia" w:ascii="宋体" w:hAnsi="宋体" w:eastAsia="宋体" w:cs="宋体"/>
          <w:color w:val="auto"/>
          <w:highlight w:val="none"/>
        </w:rPr>
      </w:pPr>
      <w:bookmarkStart w:id="1376" w:name="_Toc389065319"/>
      <w:bookmarkStart w:id="1377" w:name="_Toc373227754"/>
      <w:bookmarkStart w:id="1378" w:name="_Toc373478401"/>
      <w:bookmarkStart w:id="1379" w:name="_Toc834489126"/>
      <w:bookmarkStart w:id="1380" w:name="_Toc78449843"/>
      <w:bookmarkStart w:id="1381" w:name="_Toc407135257"/>
      <w:bookmarkStart w:id="1382" w:name="_Toc740353520"/>
      <w:r>
        <w:rPr>
          <w:rFonts w:hint="eastAsia" w:ascii="宋体" w:hAnsi="宋体" w:eastAsia="宋体" w:cs="宋体"/>
          <w:color w:val="auto"/>
          <w:highlight w:val="none"/>
        </w:rPr>
        <w:t>13.1 分部分项工程验收</w:t>
      </w:r>
      <w:bookmarkEnd w:id="1376"/>
      <w:bookmarkEnd w:id="1377"/>
      <w:bookmarkEnd w:id="1378"/>
      <w:bookmarkEnd w:id="1379"/>
      <w:bookmarkEnd w:id="1380"/>
      <w:bookmarkEnd w:id="1381"/>
      <w:bookmarkEnd w:id="1382"/>
    </w:p>
    <w:p w14:paraId="4AA735EA">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13.1.2监理人不能按时进行验收时，应提前</w:t>
      </w:r>
      <w:r>
        <w:rPr>
          <w:rFonts w:hint="eastAsia" w:ascii="宋体" w:hAnsi="宋体" w:eastAsia="宋体" w:cs="宋体"/>
          <w:color w:val="auto"/>
          <w:highlight w:val="none"/>
          <w:u w:val="single"/>
          <w:lang w:val="en-US" w:eastAsia="zh-CN"/>
        </w:rPr>
        <w:t>24</w:t>
      </w:r>
      <w:r>
        <w:rPr>
          <w:rFonts w:hint="eastAsia" w:ascii="宋体" w:hAnsi="宋体" w:eastAsia="宋体" w:cs="宋体"/>
          <w:color w:val="auto"/>
          <w:highlight w:val="none"/>
        </w:rPr>
        <w:t>小时提交书面延期要求。</w:t>
      </w:r>
    </w:p>
    <w:p w14:paraId="3D42A1E4">
      <w:pPr>
        <w:spacing w:line="360" w:lineRule="auto"/>
        <w:ind w:firstLine="420" w:firstLineChars="200"/>
        <w:jc w:val="left"/>
        <w:rPr>
          <w:rFonts w:hint="eastAsia" w:ascii="宋体" w:hAnsi="宋体" w:eastAsia="宋体" w:cs="宋体"/>
          <w:b/>
          <w:bCs/>
          <w:color w:val="auto"/>
          <w:highlight w:val="none"/>
        </w:rPr>
      </w:pPr>
      <w:r>
        <w:rPr>
          <w:rFonts w:hint="eastAsia" w:ascii="宋体" w:hAnsi="宋体" w:eastAsia="宋体" w:cs="宋体"/>
          <w:color w:val="auto"/>
          <w:highlight w:val="none"/>
        </w:rPr>
        <w:t>关于延期最长不得超过：</w:t>
      </w:r>
      <w:r>
        <w:rPr>
          <w:rFonts w:hint="eastAsia" w:ascii="宋体" w:hAnsi="宋体" w:eastAsia="宋体" w:cs="宋体"/>
          <w:color w:val="auto"/>
          <w:highlight w:val="none"/>
          <w:u w:val="single"/>
          <w:lang w:val="en-US" w:eastAsia="zh-CN"/>
        </w:rPr>
        <w:t>48</w:t>
      </w:r>
      <w:r>
        <w:rPr>
          <w:rFonts w:hint="eastAsia" w:ascii="宋体" w:hAnsi="宋体" w:eastAsia="宋体" w:cs="宋体"/>
          <w:color w:val="auto"/>
          <w:highlight w:val="none"/>
        </w:rPr>
        <w:t>小时。</w:t>
      </w:r>
    </w:p>
    <w:p w14:paraId="4E5EA181">
      <w:pPr>
        <w:pStyle w:val="4"/>
        <w:rPr>
          <w:rFonts w:hint="eastAsia" w:ascii="宋体" w:hAnsi="宋体" w:eastAsia="宋体" w:cs="宋体"/>
          <w:color w:val="auto"/>
          <w:highlight w:val="none"/>
        </w:rPr>
      </w:pPr>
      <w:bookmarkStart w:id="1383" w:name="_Toc389065320"/>
      <w:bookmarkStart w:id="1384" w:name="_Toc1062221039"/>
      <w:bookmarkStart w:id="1385" w:name="_Toc78449844"/>
      <w:bookmarkStart w:id="1386" w:name="_Toc373478402"/>
      <w:bookmarkStart w:id="1387" w:name="_Toc1578431234"/>
      <w:bookmarkStart w:id="1388" w:name="_Toc373227755"/>
      <w:bookmarkStart w:id="1389" w:name="_Toc407135258"/>
      <w:bookmarkStart w:id="1390" w:name="_Toc296944562"/>
      <w:bookmarkStart w:id="1391" w:name="_Toc292559933"/>
      <w:bookmarkStart w:id="1392" w:name="_Toc296346724"/>
      <w:bookmarkStart w:id="1393" w:name="_Toc292559428"/>
      <w:bookmarkStart w:id="1394" w:name="_Toc296347222"/>
      <w:bookmarkStart w:id="1395" w:name="_Toc296891263"/>
      <w:bookmarkStart w:id="1396" w:name="_Toc303539173"/>
      <w:bookmarkStart w:id="1397" w:name="_Toc297048409"/>
      <w:bookmarkStart w:id="1398" w:name="_Toc300935016"/>
      <w:bookmarkStart w:id="1399" w:name="_Toc296503223"/>
      <w:bookmarkStart w:id="1400" w:name="_Toc297216224"/>
      <w:bookmarkStart w:id="1401" w:name="_Toc297120523"/>
      <w:bookmarkStart w:id="1402" w:name="_Toc312678056"/>
      <w:bookmarkStart w:id="1403" w:name="_Toc304295596"/>
      <w:bookmarkStart w:id="1404" w:name="_Toc296891051"/>
      <w:bookmarkStart w:id="1405" w:name="_Toc297123565"/>
      <w:bookmarkStart w:id="1406" w:name="_Toc267251476"/>
      <w:bookmarkStart w:id="1407" w:name="_Toc267251472"/>
      <w:bookmarkStart w:id="1408" w:name="_Toc267251471"/>
      <w:bookmarkStart w:id="1409" w:name="_Toc267251470"/>
      <w:bookmarkStart w:id="1410" w:name="_Toc267251473"/>
      <w:bookmarkStart w:id="1411" w:name="_Toc267251475"/>
      <w:bookmarkStart w:id="1412" w:name="_Toc267251474"/>
      <w:r>
        <w:rPr>
          <w:rFonts w:hint="eastAsia" w:ascii="宋体" w:hAnsi="宋体" w:eastAsia="宋体" w:cs="宋体"/>
          <w:color w:val="auto"/>
          <w:highlight w:val="none"/>
        </w:rPr>
        <w:t>13.2 竣工验收</w:t>
      </w:r>
      <w:bookmarkEnd w:id="1383"/>
      <w:bookmarkEnd w:id="1384"/>
      <w:bookmarkEnd w:id="1385"/>
      <w:bookmarkEnd w:id="1386"/>
      <w:bookmarkEnd w:id="1387"/>
      <w:bookmarkEnd w:id="1388"/>
      <w:bookmarkEnd w:id="1389"/>
    </w:p>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14:paraId="74332217">
      <w:pPr>
        <w:spacing w:line="360" w:lineRule="auto"/>
        <w:ind w:firstLine="420" w:firstLineChars="200"/>
        <w:jc w:val="left"/>
        <w:rPr>
          <w:rFonts w:hint="eastAsia" w:ascii="宋体" w:hAnsi="宋体" w:eastAsia="宋体" w:cs="宋体"/>
          <w:color w:val="auto"/>
          <w:highlight w:val="none"/>
        </w:rPr>
      </w:pPr>
      <w:bookmarkStart w:id="1413" w:name="_Toc280868704"/>
      <w:bookmarkStart w:id="1414" w:name="_Toc280868705"/>
      <w:bookmarkStart w:id="1415" w:name="_Toc280868706"/>
      <w:bookmarkStart w:id="1416" w:name="_Toc280868707"/>
      <w:bookmarkStart w:id="1417" w:name="_Toc280868708"/>
      <w:bookmarkStart w:id="1418" w:name="_Toc280868709"/>
      <w:r>
        <w:rPr>
          <w:rFonts w:hint="eastAsia" w:ascii="宋体" w:hAnsi="宋体" w:eastAsia="宋体" w:cs="宋体"/>
          <w:color w:val="auto"/>
          <w:highlight w:val="none"/>
        </w:rPr>
        <w:t>13.2.1竣工验收条件</w:t>
      </w:r>
    </w:p>
    <w:p w14:paraId="3C8537A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（3）承包人负责整理和提交的竣工验收资料应当符合工程所在地建设行政主管部门和(或)城市建设档案管理机构有关施工资料的要求，具体内容包括</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施工管理资料、建筑材料及工程质量检测报告、单项验收报告、竣工图等</w:t>
      </w:r>
      <w:r>
        <w:rPr>
          <w:rFonts w:hint="eastAsia" w:ascii="宋体" w:hAnsi="宋体" w:eastAsia="宋体" w:cs="宋体"/>
          <w:color w:val="auto"/>
          <w:highlight w:val="none"/>
        </w:rPr>
        <w:t>。</w:t>
      </w:r>
    </w:p>
    <w:p w14:paraId="04FF36E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竣工验收资料的份数：</w:t>
      </w:r>
      <w:r>
        <w:rPr>
          <w:rFonts w:hint="eastAsia" w:ascii="宋体" w:hAnsi="宋体" w:eastAsia="宋体" w:cs="宋体"/>
          <w:color w:val="auto"/>
          <w:highlight w:val="none"/>
          <w:u w:val="single"/>
          <w:lang w:val="en-US" w:eastAsia="zh-CN"/>
        </w:rPr>
        <w:t>一式贰份</w:t>
      </w:r>
      <w:r>
        <w:rPr>
          <w:rFonts w:hint="eastAsia" w:ascii="宋体" w:hAnsi="宋体" w:eastAsia="宋体" w:cs="宋体"/>
          <w:color w:val="auto"/>
          <w:highlight w:val="none"/>
        </w:rPr>
        <w:t>。</w:t>
      </w:r>
    </w:p>
    <w:p w14:paraId="2ADBD241">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承包人提供竣工图的约定：</w:t>
      </w:r>
      <w:r>
        <w:rPr>
          <w:rFonts w:hint="eastAsia" w:ascii="宋体" w:hAnsi="宋体" w:eastAsia="宋体" w:cs="宋体"/>
          <w:color w:val="auto"/>
          <w:highlight w:val="none"/>
          <w:u w:val="single"/>
        </w:rPr>
        <w:t>竣工验收正式通过后 15 天，提供竣工图的数量为 2 套。</w:t>
      </w:r>
    </w:p>
    <w:p w14:paraId="0CCCF995">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13.2.2竣工验收程序</w:t>
      </w:r>
    </w:p>
    <w:bookmarkEnd w:id="1413"/>
    <w:p w14:paraId="446C44B6">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kern w:val="0"/>
          <w:highlight w:val="none"/>
        </w:rPr>
        <w:t>关于竣工验收程序的约定：</w:t>
      </w:r>
      <w:r>
        <w:rPr>
          <w:rFonts w:hint="eastAsia" w:ascii="宋体" w:hAnsi="宋体" w:eastAsia="宋体" w:cs="宋体"/>
          <w:color w:val="000000"/>
          <w:kern w:val="0"/>
          <w:szCs w:val="21"/>
          <w:highlight w:val="none"/>
          <w:u w:val="single"/>
        </w:rPr>
        <w:t>按国家竣工验收规定及项目所在地建设行政管理部门规定要求执行</w:t>
      </w:r>
      <w:r>
        <w:rPr>
          <w:rFonts w:hint="eastAsia" w:ascii="宋体" w:hAnsi="宋体" w:eastAsia="宋体" w:cs="宋体"/>
          <w:color w:val="auto"/>
          <w:highlight w:val="none"/>
        </w:rPr>
        <w:t>。</w:t>
      </w:r>
    </w:p>
    <w:p w14:paraId="41EAF4CE">
      <w:pPr>
        <w:spacing w:line="360" w:lineRule="auto"/>
        <w:ind w:firstLine="420" w:firstLineChars="200"/>
        <w:jc w:val="left"/>
        <w:rPr>
          <w:rFonts w:hint="eastAsia" w:ascii="宋体" w:hAnsi="宋体" w:eastAsia="宋体" w:cs="宋体"/>
          <w:color w:val="auto"/>
          <w:highlight w:val="none"/>
          <w:lang w:eastAsia="zh-CN"/>
        </w:rPr>
      </w:pPr>
      <w:r>
        <w:rPr>
          <w:rFonts w:hint="eastAsia" w:ascii="宋体" w:hAnsi="宋体" w:eastAsia="宋体" w:cs="宋体"/>
          <w:color w:val="auto"/>
          <w:highlight w:val="none"/>
        </w:rPr>
        <w:t>项目完成后，由承包方提前七天发出验收申请，由建设单位组织相关部门验收，如建设单位在收到承包方通知后30天未组织项目验收，并且没有合理的文件回复，则视为项目验收合格通过</w:t>
      </w:r>
      <w:r>
        <w:rPr>
          <w:rFonts w:hint="eastAsia" w:ascii="宋体" w:hAnsi="宋体" w:cs="宋体"/>
          <w:color w:val="auto"/>
          <w:highlight w:val="none"/>
          <w:lang w:eastAsia="zh-CN"/>
        </w:rPr>
        <w:t>。</w:t>
      </w:r>
    </w:p>
    <w:p w14:paraId="02E62626">
      <w:pPr>
        <w:spacing w:line="360" w:lineRule="auto"/>
        <w:ind w:firstLine="210" w:firstLineChars="100"/>
        <w:jc w:val="left"/>
        <w:rPr>
          <w:rFonts w:hint="eastAsia" w:ascii="宋体" w:hAnsi="宋体" w:eastAsia="宋体" w:cs="宋体"/>
          <w:color w:val="auto"/>
          <w:highlight w:val="none"/>
        </w:rPr>
      </w:pPr>
      <w:r>
        <w:rPr>
          <w:rFonts w:hint="eastAsia" w:ascii="宋体" w:hAnsi="宋体" w:eastAsia="宋体" w:cs="宋体"/>
          <w:color w:val="auto"/>
          <w:kern w:val="0"/>
          <w:highlight w:val="none"/>
        </w:rPr>
        <w:t>发包人不按照本项约定组织竣工验收、颁发工程接收证书的违约金的计算方法：</w:t>
      </w:r>
      <w:r>
        <w:rPr>
          <w:rFonts w:hint="eastAsia" w:ascii="宋体" w:hAnsi="宋体" w:eastAsia="宋体" w:cs="宋体"/>
          <w:color w:val="auto"/>
          <w:highlight w:val="none"/>
          <w:u w:val="single"/>
          <w:lang w:eastAsia="zh-CN"/>
        </w:rPr>
        <w:t>无</w:t>
      </w:r>
      <w:r>
        <w:rPr>
          <w:rFonts w:hint="eastAsia" w:ascii="宋体" w:hAnsi="宋体" w:eastAsia="宋体" w:cs="宋体"/>
          <w:color w:val="auto"/>
          <w:highlight w:val="none"/>
        </w:rPr>
        <w:t>。</w:t>
      </w:r>
    </w:p>
    <w:bookmarkEnd w:id="1414"/>
    <w:p w14:paraId="4D50A462">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13.2.5移交、接收全部与部分工程</w:t>
      </w:r>
    </w:p>
    <w:bookmarkEnd w:id="1415"/>
    <w:p w14:paraId="436E7ECA">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承包人向发包人移交工程的期限： </w:t>
      </w:r>
      <w:r>
        <w:rPr>
          <w:rFonts w:hint="eastAsia" w:ascii="宋体" w:hAnsi="宋体" w:eastAsia="宋体" w:cs="宋体"/>
          <w:color w:val="auto"/>
          <w:kern w:val="0"/>
          <w:highlight w:val="none"/>
          <w:u w:val="single"/>
        </w:rPr>
        <w:t>验收合格后7 日内</w:t>
      </w:r>
      <w:r>
        <w:rPr>
          <w:rFonts w:hint="eastAsia" w:ascii="宋体" w:hAnsi="宋体" w:eastAsia="宋体" w:cs="宋体"/>
          <w:color w:val="auto"/>
          <w:highlight w:val="none"/>
        </w:rPr>
        <w:t>。</w:t>
      </w:r>
    </w:p>
    <w:p w14:paraId="19CF1A3E">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kern w:val="0"/>
          <w:highlight w:val="none"/>
        </w:rPr>
        <w:t>发包人未按本合同约定接收全部或部分工程的，违约金的计算方法为：</w:t>
      </w:r>
      <w:r>
        <w:rPr>
          <w:rFonts w:hint="eastAsia" w:ascii="宋体" w:hAnsi="宋体" w:eastAsia="宋体" w:cs="宋体"/>
          <w:color w:val="auto"/>
          <w:kern w:val="0"/>
          <w:highlight w:val="none"/>
          <w:u w:val="single"/>
          <w:lang w:val="en-US" w:eastAsia="zh-CN"/>
        </w:rPr>
        <w:t>无</w:t>
      </w:r>
      <w:r>
        <w:rPr>
          <w:rFonts w:hint="eastAsia" w:ascii="宋体" w:hAnsi="宋体" w:eastAsia="宋体" w:cs="宋体"/>
          <w:color w:val="auto"/>
          <w:highlight w:val="none"/>
        </w:rPr>
        <w:t>。</w:t>
      </w:r>
    </w:p>
    <w:bookmarkEnd w:id="1416"/>
    <w:p w14:paraId="6DE8E015">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承包人未按时移交工程的，违约金的计算方法为：</w:t>
      </w:r>
      <w:r>
        <w:rPr>
          <w:rFonts w:hint="eastAsia" w:ascii="宋体" w:hAnsi="宋体" w:eastAsia="宋体" w:cs="宋体"/>
          <w:color w:val="auto"/>
          <w:highlight w:val="none"/>
          <w:u w:val="single"/>
        </w:rPr>
        <w:t>承包人在配合发包人完成竣工备案过程中，不得以工程结算、工程款支付等为由拒绝或拖延提供需承包人提供的资料（如工人工资发放完成承诺书、工程款支付证明等）。否则，发包人除处承包人10万元的违约金外，还须承担由此造成竣工备案延误引起发包人的一切损失（包括直接及间接损失等）。同时，发包人有权延缓结算的办理时间，缓付甚至拒付工程款</w:t>
      </w:r>
      <w:r>
        <w:rPr>
          <w:rFonts w:hint="eastAsia" w:ascii="宋体" w:hAnsi="宋体" w:eastAsia="宋体" w:cs="宋体"/>
          <w:color w:val="auto"/>
          <w:highlight w:val="none"/>
        </w:rPr>
        <w:t>。</w:t>
      </w:r>
    </w:p>
    <w:p w14:paraId="4BA29613">
      <w:pPr>
        <w:pStyle w:val="4"/>
        <w:rPr>
          <w:rFonts w:hint="eastAsia" w:ascii="宋体" w:hAnsi="宋体" w:eastAsia="宋体" w:cs="宋体"/>
          <w:color w:val="auto"/>
          <w:highlight w:val="none"/>
        </w:rPr>
      </w:pPr>
      <w:bookmarkStart w:id="1419" w:name="_Toc373478403"/>
      <w:bookmarkStart w:id="1420" w:name="_Toc78449845"/>
      <w:bookmarkStart w:id="1421" w:name="_Toc407135259"/>
      <w:bookmarkStart w:id="1422" w:name="_Toc1470255881"/>
      <w:bookmarkStart w:id="1423" w:name="_Toc373227756"/>
      <w:bookmarkStart w:id="1424" w:name="_Toc389065321"/>
      <w:bookmarkStart w:id="1425" w:name="_Toc2090321864"/>
      <w:r>
        <w:rPr>
          <w:rFonts w:hint="eastAsia" w:ascii="宋体" w:hAnsi="宋体" w:eastAsia="宋体" w:cs="宋体"/>
          <w:color w:val="auto"/>
          <w:highlight w:val="none"/>
        </w:rPr>
        <w:t>13.3 工程试车</w:t>
      </w:r>
      <w:bookmarkEnd w:id="1419"/>
      <w:bookmarkEnd w:id="1420"/>
      <w:bookmarkEnd w:id="1421"/>
      <w:bookmarkEnd w:id="1422"/>
      <w:bookmarkEnd w:id="1423"/>
      <w:bookmarkEnd w:id="1424"/>
      <w:bookmarkEnd w:id="1425"/>
    </w:p>
    <w:bookmarkEnd w:id="1417"/>
    <w:p w14:paraId="0378849C">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13.3.1 试车程序</w:t>
      </w:r>
    </w:p>
    <w:p w14:paraId="0175FD78">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kern w:val="0"/>
          <w:highlight w:val="none"/>
        </w:rPr>
        <w:t>工程试车内容：</w:t>
      </w:r>
      <w:r>
        <w:rPr>
          <w:rFonts w:hint="eastAsia" w:ascii="宋体" w:hAnsi="宋体" w:eastAsia="宋体" w:cs="宋体"/>
          <w:color w:val="auto"/>
          <w:highlight w:val="none"/>
          <w:u w:val="single"/>
          <w:lang w:val="en-US" w:eastAsia="zh-CN"/>
        </w:rPr>
        <w:t>无</w:t>
      </w:r>
      <w:r>
        <w:rPr>
          <w:rFonts w:hint="eastAsia" w:ascii="宋体" w:hAnsi="宋体" w:eastAsia="宋体" w:cs="宋体"/>
          <w:color w:val="auto"/>
          <w:highlight w:val="none"/>
        </w:rPr>
        <w:t>。</w:t>
      </w:r>
    </w:p>
    <w:p w14:paraId="5B804F72">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（1）单机无负荷试车费用由</w:t>
      </w:r>
      <w:r>
        <w:rPr>
          <w:rFonts w:hint="eastAsia" w:ascii="宋体" w:hAnsi="宋体" w:eastAsia="宋体" w:cs="宋体"/>
          <w:color w:val="auto"/>
          <w:highlight w:val="none"/>
          <w:u w:val="single"/>
          <w:lang w:val="en-US" w:eastAsia="zh-CN"/>
        </w:rPr>
        <w:t xml:space="preserve">  /   </w:t>
      </w:r>
      <w:r>
        <w:rPr>
          <w:rFonts w:hint="eastAsia" w:ascii="宋体" w:hAnsi="宋体" w:eastAsia="宋体" w:cs="宋体"/>
          <w:color w:val="auto"/>
          <w:kern w:val="0"/>
          <w:highlight w:val="none"/>
        </w:rPr>
        <w:t>承担；</w:t>
      </w:r>
    </w:p>
    <w:p w14:paraId="7C454827">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（2）无负荷联动试车费用由</w:t>
      </w:r>
      <w:r>
        <w:rPr>
          <w:rFonts w:hint="eastAsia" w:ascii="宋体" w:hAnsi="宋体" w:eastAsia="宋体" w:cs="宋体"/>
          <w:color w:val="auto"/>
          <w:highlight w:val="none"/>
          <w:u w:val="single"/>
          <w:lang w:val="en-US" w:eastAsia="zh-CN"/>
        </w:rPr>
        <w:t xml:space="preserve">   /  </w:t>
      </w:r>
      <w:r>
        <w:rPr>
          <w:rFonts w:hint="eastAsia" w:ascii="宋体" w:hAnsi="宋体" w:eastAsia="宋体" w:cs="宋体"/>
          <w:color w:val="auto"/>
          <w:kern w:val="0"/>
          <w:highlight w:val="none"/>
        </w:rPr>
        <w:t>承担。</w:t>
      </w:r>
    </w:p>
    <w:p w14:paraId="601D250D">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13.3.3 投料试车</w:t>
      </w:r>
    </w:p>
    <w:p w14:paraId="4C7F2044">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kern w:val="0"/>
          <w:highlight w:val="none"/>
        </w:rPr>
        <w:t>关于投料试车相关事项的约定：</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rPr>
        <w:t>。</w:t>
      </w:r>
    </w:p>
    <w:p w14:paraId="4723C0CA">
      <w:pPr>
        <w:pStyle w:val="4"/>
        <w:rPr>
          <w:rFonts w:hint="eastAsia" w:ascii="宋体" w:hAnsi="宋体" w:eastAsia="宋体" w:cs="宋体"/>
          <w:color w:val="auto"/>
          <w:highlight w:val="none"/>
        </w:rPr>
      </w:pPr>
      <w:bookmarkStart w:id="1426" w:name="_Toc78449846"/>
      <w:bookmarkStart w:id="1427" w:name="_Toc407135260"/>
      <w:bookmarkStart w:id="1428" w:name="_Toc10307455"/>
      <w:bookmarkStart w:id="1429" w:name="_Toc373227757"/>
      <w:bookmarkStart w:id="1430" w:name="_Toc389065322"/>
      <w:bookmarkStart w:id="1431" w:name="_Toc550030550"/>
      <w:bookmarkStart w:id="1432" w:name="_Toc373478404"/>
      <w:r>
        <w:rPr>
          <w:rFonts w:hint="eastAsia" w:ascii="宋体" w:hAnsi="宋体" w:eastAsia="宋体" w:cs="宋体"/>
          <w:color w:val="auto"/>
          <w:highlight w:val="none"/>
        </w:rPr>
        <w:t>13.6 竣工退场</w:t>
      </w:r>
      <w:bookmarkEnd w:id="1426"/>
      <w:bookmarkEnd w:id="1427"/>
      <w:bookmarkEnd w:id="1428"/>
      <w:bookmarkEnd w:id="1429"/>
      <w:bookmarkEnd w:id="1430"/>
      <w:bookmarkEnd w:id="1431"/>
      <w:bookmarkEnd w:id="1432"/>
    </w:p>
    <w:p w14:paraId="00C94941">
      <w:pPr>
        <w:spacing w:line="360" w:lineRule="auto"/>
        <w:ind w:firstLine="420" w:firstLineChars="200"/>
        <w:jc w:val="left"/>
        <w:outlineLvl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13.6.1 竣工退场</w:t>
      </w:r>
    </w:p>
    <w:p w14:paraId="73D05591">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承包人完成竣工退场的期限：</w:t>
      </w:r>
      <w:r>
        <w:rPr>
          <w:rFonts w:hint="eastAsia" w:ascii="宋体" w:hAnsi="宋体" w:eastAsia="宋体" w:cs="宋体"/>
          <w:color w:val="auto"/>
          <w:kern w:val="0"/>
          <w:highlight w:val="none"/>
          <w:u w:val="single"/>
          <w:lang w:val="en-US" w:eastAsia="zh-CN"/>
        </w:rPr>
        <w:t>按发包人要求</w:t>
      </w:r>
      <w:r>
        <w:rPr>
          <w:rFonts w:hint="eastAsia" w:ascii="宋体" w:hAnsi="宋体" w:eastAsia="宋体" w:cs="宋体"/>
          <w:color w:val="auto"/>
          <w:kern w:val="0"/>
          <w:highlight w:val="none"/>
        </w:rPr>
        <w:t>。</w:t>
      </w:r>
    </w:p>
    <w:p w14:paraId="6FEB57E6">
      <w:pPr>
        <w:pStyle w:val="3"/>
        <w:rPr>
          <w:rFonts w:hint="eastAsia" w:ascii="宋体" w:hAnsi="宋体" w:eastAsia="宋体" w:cs="宋体"/>
          <w:color w:val="auto"/>
          <w:highlight w:val="none"/>
        </w:rPr>
      </w:pPr>
      <w:bookmarkStart w:id="1433" w:name="_Toc1385490858"/>
      <w:bookmarkStart w:id="1434" w:name="_Toc351203646"/>
      <w:bookmarkStart w:id="1435" w:name="_Toc1950258056"/>
      <w:bookmarkStart w:id="1436" w:name="_Toc407135261"/>
      <w:bookmarkStart w:id="1437" w:name="_Toc373227758"/>
      <w:bookmarkStart w:id="1438" w:name="_Toc389065323"/>
      <w:bookmarkStart w:id="1439" w:name="_Toc373478405"/>
      <w:bookmarkStart w:id="1440" w:name="_Toc78449847"/>
      <w:r>
        <w:rPr>
          <w:rFonts w:hint="eastAsia" w:ascii="宋体" w:hAnsi="宋体" w:eastAsia="宋体" w:cs="宋体"/>
          <w:color w:val="auto"/>
          <w:highlight w:val="none"/>
        </w:rPr>
        <w:t>14. 竣工结算</w:t>
      </w:r>
      <w:bookmarkEnd w:id="1433"/>
      <w:bookmarkEnd w:id="1434"/>
      <w:bookmarkEnd w:id="1435"/>
      <w:bookmarkEnd w:id="1436"/>
      <w:bookmarkEnd w:id="1437"/>
      <w:bookmarkEnd w:id="1438"/>
      <w:bookmarkEnd w:id="1439"/>
      <w:bookmarkEnd w:id="1440"/>
    </w:p>
    <w:p w14:paraId="5A3D58C6">
      <w:pPr>
        <w:pStyle w:val="4"/>
        <w:rPr>
          <w:rFonts w:hint="eastAsia" w:ascii="宋体" w:hAnsi="宋体" w:eastAsia="宋体" w:cs="宋体"/>
          <w:color w:val="auto"/>
          <w:highlight w:val="none"/>
        </w:rPr>
      </w:pPr>
      <w:bookmarkStart w:id="1441" w:name="_Toc407135262"/>
      <w:bookmarkStart w:id="1442" w:name="_Toc389065324"/>
      <w:bookmarkStart w:id="1443" w:name="_Toc373227759"/>
      <w:bookmarkStart w:id="1444" w:name="_Toc174652718"/>
      <w:bookmarkStart w:id="1445" w:name="_Toc1973954660"/>
      <w:bookmarkStart w:id="1446" w:name="_Toc78449848"/>
      <w:bookmarkStart w:id="1447" w:name="_Toc373478406"/>
      <w:r>
        <w:rPr>
          <w:rFonts w:hint="eastAsia" w:ascii="宋体" w:hAnsi="宋体" w:eastAsia="宋体" w:cs="宋体"/>
          <w:color w:val="auto"/>
          <w:highlight w:val="none"/>
        </w:rPr>
        <w:t>14.1 竣工付款申请</w:t>
      </w:r>
      <w:bookmarkEnd w:id="1441"/>
      <w:bookmarkEnd w:id="1442"/>
      <w:bookmarkEnd w:id="1443"/>
      <w:bookmarkEnd w:id="1444"/>
      <w:bookmarkEnd w:id="1445"/>
      <w:bookmarkEnd w:id="1446"/>
      <w:bookmarkEnd w:id="1447"/>
    </w:p>
    <w:p w14:paraId="167D7DC2">
      <w:pPr>
        <w:numPr>
          <w:ilvl w:val="0"/>
          <w:numId w:val="0"/>
        </w:numPr>
        <w:spacing w:line="400" w:lineRule="exact"/>
        <w:ind w:left="0"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自竣工结算完毕之日起 </w:t>
      </w:r>
      <w:r>
        <w:rPr>
          <w:rFonts w:hint="eastAsia" w:ascii="宋体" w:hAnsi="宋体" w:eastAsia="宋体" w:cs="宋体"/>
          <w:color w:val="auto"/>
          <w:highlight w:val="none"/>
          <w:u w:val="single"/>
          <w:lang w:val="en-US" w:eastAsia="zh-CN"/>
        </w:rPr>
        <w:t>60</w:t>
      </w:r>
      <w:r>
        <w:rPr>
          <w:rFonts w:hint="eastAsia" w:ascii="宋体" w:hAnsi="宋体" w:eastAsia="宋体" w:cs="宋体"/>
          <w:color w:val="auto"/>
          <w:highlight w:val="none"/>
          <w:u w:val="single"/>
        </w:rPr>
        <w:t xml:space="preserve"> 天内，</w:t>
      </w:r>
      <w:r>
        <w:rPr>
          <w:rFonts w:hint="eastAsia" w:ascii="宋体" w:hAnsi="宋体" w:eastAsia="宋体" w:cs="宋体"/>
          <w:color w:val="auto"/>
          <w:highlight w:val="none"/>
          <w:u w:val="single"/>
          <w:lang w:val="en-US" w:eastAsia="zh-CN"/>
        </w:rPr>
        <w:t>由承包人向发包人提出竣工付款申请</w:t>
      </w:r>
      <w:r>
        <w:rPr>
          <w:rFonts w:hint="eastAsia" w:ascii="宋体" w:hAnsi="宋体" w:eastAsia="宋体" w:cs="宋体"/>
          <w:color w:val="auto"/>
          <w:highlight w:val="none"/>
          <w:u w:val="single"/>
        </w:rPr>
        <w:t>。</w:t>
      </w:r>
    </w:p>
    <w:p w14:paraId="4C6059C9">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auto"/>
          <w:highlight w:val="none"/>
          <w:u w:val="single"/>
        </w:rPr>
      </w:pPr>
      <w:r>
        <w:rPr>
          <w:rFonts w:hint="eastAsia" w:hAnsi="宋体" w:cs="宋体"/>
          <w:color w:val="auto"/>
          <w:highlight w:val="none"/>
        </w:rPr>
        <w:t>竣工付款申请</w:t>
      </w:r>
      <w:r>
        <w:rPr>
          <w:rFonts w:hint="eastAsia" w:hAnsi="宋体" w:cs="宋体"/>
          <w:color w:val="auto"/>
          <w:highlight w:val="none"/>
          <w:u w:val="single"/>
          <w:lang w:val="en-US" w:eastAsia="zh-CN"/>
        </w:rPr>
        <w:t>材料</w:t>
      </w:r>
      <w:r>
        <w:rPr>
          <w:rFonts w:hint="eastAsia" w:hAnsi="宋体" w:cs="宋体"/>
          <w:color w:val="auto"/>
          <w:highlight w:val="none"/>
        </w:rPr>
        <w:t>应包括的内容：</w:t>
      </w:r>
      <w:r>
        <w:rPr>
          <w:rFonts w:hint="eastAsia" w:hAnsi="宋体" w:cs="宋体"/>
          <w:color w:val="auto"/>
          <w:highlight w:val="none"/>
          <w:u w:val="single"/>
          <w:lang w:val="en-US" w:eastAsia="zh-CN"/>
        </w:rPr>
        <w:t>请款函、</w:t>
      </w:r>
      <w:r>
        <w:rPr>
          <w:rFonts w:hint="eastAsia" w:hAnsi="宋体" w:cs="宋体"/>
          <w:color w:val="auto"/>
          <w:highlight w:val="none"/>
          <w:u w:val="single"/>
        </w:rPr>
        <w:t>合同、结算书、</w:t>
      </w:r>
      <w:r>
        <w:rPr>
          <w:rFonts w:hint="eastAsia" w:hAnsi="宋体" w:cs="宋体"/>
          <w:color w:val="auto"/>
          <w:highlight w:val="none"/>
          <w:u w:val="single"/>
          <w:lang w:val="en-US" w:eastAsia="zh-CN"/>
        </w:rPr>
        <w:t>竣工验收报告</w:t>
      </w:r>
      <w:r>
        <w:rPr>
          <w:rFonts w:hint="eastAsia" w:hAnsi="宋体" w:cs="宋体"/>
          <w:color w:val="auto"/>
          <w:highlight w:val="none"/>
          <w:u w:val="single"/>
        </w:rPr>
        <w:t>等发包人要求的资料（具体请款时与</w:t>
      </w:r>
      <w:r>
        <w:rPr>
          <w:rFonts w:hint="eastAsia" w:hAnsi="宋体" w:cs="宋体"/>
          <w:color w:val="auto"/>
          <w:highlight w:val="none"/>
          <w:u w:val="single"/>
          <w:lang w:val="en-US" w:eastAsia="zh-CN"/>
        </w:rPr>
        <w:t>发包人</w:t>
      </w:r>
      <w:r>
        <w:rPr>
          <w:rFonts w:hint="eastAsia" w:hAnsi="宋体" w:cs="宋体"/>
          <w:color w:val="auto"/>
          <w:highlight w:val="none"/>
          <w:u w:val="single"/>
        </w:rPr>
        <w:t>对接）。</w:t>
      </w:r>
    </w:p>
    <w:p w14:paraId="0CD2125A">
      <w:pPr>
        <w:pStyle w:val="4"/>
        <w:rPr>
          <w:rFonts w:hint="eastAsia" w:ascii="宋体" w:hAnsi="宋体" w:eastAsia="宋体" w:cs="宋体"/>
          <w:color w:val="auto"/>
          <w:highlight w:val="none"/>
        </w:rPr>
      </w:pPr>
      <w:bookmarkStart w:id="1448" w:name="_Toc373478407"/>
      <w:bookmarkStart w:id="1449" w:name="_Toc407135263"/>
      <w:bookmarkStart w:id="1450" w:name="_Toc373227760"/>
      <w:bookmarkStart w:id="1451" w:name="_Toc489920513"/>
      <w:bookmarkStart w:id="1452" w:name="_Toc667492935"/>
      <w:bookmarkStart w:id="1453" w:name="_Toc78449849"/>
      <w:bookmarkStart w:id="1454" w:name="_Toc389065325"/>
      <w:r>
        <w:rPr>
          <w:rFonts w:hint="eastAsia" w:ascii="宋体" w:hAnsi="宋体" w:eastAsia="宋体" w:cs="宋体"/>
          <w:color w:val="auto"/>
          <w:highlight w:val="none"/>
        </w:rPr>
        <w:t>14.2 竣工结算审核</w:t>
      </w:r>
      <w:bookmarkEnd w:id="1448"/>
      <w:bookmarkEnd w:id="1449"/>
      <w:bookmarkEnd w:id="1450"/>
      <w:bookmarkEnd w:id="1451"/>
      <w:bookmarkEnd w:id="1452"/>
      <w:bookmarkEnd w:id="1453"/>
      <w:bookmarkEnd w:id="1454"/>
    </w:p>
    <w:p w14:paraId="54C0A82D">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发包人审批竣工</w:t>
      </w:r>
      <w:r>
        <w:rPr>
          <w:rFonts w:hint="eastAsia" w:ascii="宋体" w:hAnsi="宋体" w:cs="宋体"/>
          <w:color w:val="auto"/>
          <w:highlight w:val="none"/>
          <w:lang w:val="en-US" w:eastAsia="zh-CN"/>
        </w:rPr>
        <w:t>结算</w:t>
      </w:r>
      <w:r>
        <w:rPr>
          <w:rFonts w:hint="eastAsia" w:ascii="宋体" w:hAnsi="宋体" w:eastAsia="宋体" w:cs="宋体"/>
          <w:color w:val="auto"/>
          <w:highlight w:val="none"/>
        </w:rPr>
        <w:t>申请的期限：</w:t>
      </w:r>
    </w:p>
    <w:tbl>
      <w:tblPr>
        <w:tblStyle w:val="14"/>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6FB4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vAlign w:val="center"/>
          </w:tcPr>
          <w:p w14:paraId="3BF7CC0C">
            <w:pPr>
              <w:spacing w:line="360" w:lineRule="auto"/>
              <w:rPr>
                <w:rFonts w:hint="eastAsia" w:ascii="宋体" w:hAnsi="宋体" w:eastAsia="宋体" w:cs="宋体"/>
                <w:color w:val="auto"/>
                <w:highlight w:val="none"/>
              </w:rPr>
            </w:pPr>
          </w:p>
        </w:tc>
        <w:tc>
          <w:tcPr>
            <w:tcW w:w="2466" w:type="dxa"/>
            <w:tcBorders>
              <w:tl2br w:val="nil"/>
              <w:tr2bl w:val="nil"/>
            </w:tcBorders>
            <w:vAlign w:val="center"/>
          </w:tcPr>
          <w:p w14:paraId="718215B6">
            <w:pPr>
              <w:spacing w:line="360" w:lineRule="auto"/>
              <w:ind w:firstLine="27" w:firstLineChars="13"/>
              <w:jc w:val="center"/>
              <w:rPr>
                <w:rFonts w:hint="eastAsia" w:ascii="宋体" w:hAnsi="宋体" w:eastAsia="宋体" w:cs="宋体"/>
                <w:color w:val="auto"/>
                <w:highlight w:val="none"/>
              </w:rPr>
            </w:pPr>
            <w:r>
              <w:rPr>
                <w:rFonts w:hint="eastAsia" w:ascii="宋体" w:hAnsi="宋体" w:eastAsia="宋体" w:cs="宋体"/>
                <w:color w:val="auto"/>
                <w:highlight w:val="none"/>
              </w:rPr>
              <w:t>工程竣工结算报告金额</w:t>
            </w:r>
          </w:p>
        </w:tc>
        <w:tc>
          <w:tcPr>
            <w:tcW w:w="5967" w:type="dxa"/>
            <w:tcBorders>
              <w:tl2br w:val="nil"/>
              <w:tr2bl w:val="nil"/>
            </w:tcBorders>
            <w:vAlign w:val="center"/>
          </w:tcPr>
          <w:p w14:paraId="13DF392B">
            <w:pPr>
              <w:spacing w:line="360" w:lineRule="auto"/>
              <w:ind w:firstLine="436" w:firstLineChars="208"/>
              <w:jc w:val="center"/>
              <w:rPr>
                <w:rFonts w:hint="eastAsia" w:ascii="宋体" w:hAnsi="宋体" w:eastAsia="宋体" w:cs="宋体"/>
                <w:color w:val="auto"/>
                <w:highlight w:val="none"/>
              </w:rPr>
            </w:pPr>
            <w:r>
              <w:rPr>
                <w:rFonts w:hint="eastAsia" w:ascii="宋体" w:hAnsi="宋体" w:eastAsia="宋体" w:cs="宋体"/>
                <w:color w:val="auto"/>
                <w:highlight w:val="none"/>
              </w:rPr>
              <w:t>发包人审查时间</w:t>
            </w:r>
          </w:p>
        </w:tc>
      </w:tr>
      <w:tr w14:paraId="1425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vAlign w:val="center"/>
          </w:tcPr>
          <w:p w14:paraId="0A2E6F34">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2466" w:type="dxa"/>
            <w:tcBorders>
              <w:tl2br w:val="nil"/>
              <w:tr2bl w:val="nil"/>
            </w:tcBorders>
            <w:vAlign w:val="center"/>
          </w:tcPr>
          <w:p w14:paraId="12587D50">
            <w:pPr>
              <w:spacing w:line="360" w:lineRule="auto"/>
              <w:ind w:firstLine="27" w:firstLineChars="13"/>
              <w:jc w:val="center"/>
              <w:rPr>
                <w:rFonts w:hint="eastAsia" w:ascii="宋体" w:hAnsi="宋体" w:eastAsia="宋体" w:cs="宋体"/>
                <w:color w:val="auto"/>
                <w:highlight w:val="none"/>
              </w:rPr>
            </w:pPr>
            <w:r>
              <w:rPr>
                <w:rFonts w:hint="eastAsia" w:ascii="宋体" w:hAnsi="宋体" w:eastAsia="宋体" w:cs="宋体"/>
                <w:color w:val="auto"/>
                <w:highlight w:val="none"/>
              </w:rPr>
              <w:t>500万元以下</w:t>
            </w:r>
          </w:p>
        </w:tc>
        <w:tc>
          <w:tcPr>
            <w:tcW w:w="5967" w:type="dxa"/>
            <w:tcBorders>
              <w:tl2br w:val="nil"/>
              <w:tr2bl w:val="nil"/>
            </w:tcBorders>
            <w:vAlign w:val="center"/>
          </w:tcPr>
          <w:p w14:paraId="07DD30AF">
            <w:pPr>
              <w:spacing w:line="360" w:lineRule="auto"/>
              <w:ind w:firstLine="436" w:firstLineChars="208"/>
              <w:jc w:val="center"/>
              <w:rPr>
                <w:rFonts w:hint="eastAsia" w:ascii="宋体" w:hAnsi="宋体" w:eastAsia="宋体" w:cs="宋体"/>
                <w:color w:val="auto"/>
                <w:highlight w:val="none"/>
              </w:rPr>
            </w:pPr>
            <w:r>
              <w:rPr>
                <w:rFonts w:hint="eastAsia" w:ascii="宋体" w:hAnsi="宋体" w:eastAsia="宋体" w:cs="宋体"/>
                <w:color w:val="auto"/>
                <w:highlight w:val="none"/>
              </w:rPr>
              <w:t>从接到竣工结算报告和完整的竣工结算资料之日起20天</w:t>
            </w:r>
          </w:p>
        </w:tc>
      </w:tr>
      <w:tr w14:paraId="5810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vAlign w:val="center"/>
          </w:tcPr>
          <w:p w14:paraId="46476AAC">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2466" w:type="dxa"/>
            <w:tcBorders>
              <w:tl2br w:val="nil"/>
              <w:tr2bl w:val="nil"/>
            </w:tcBorders>
            <w:vAlign w:val="center"/>
          </w:tcPr>
          <w:p w14:paraId="7899D1CA">
            <w:pPr>
              <w:spacing w:line="360" w:lineRule="auto"/>
              <w:ind w:firstLine="27" w:firstLineChars="13"/>
              <w:jc w:val="center"/>
              <w:rPr>
                <w:rFonts w:hint="eastAsia" w:ascii="宋体" w:hAnsi="宋体" w:eastAsia="宋体" w:cs="宋体"/>
                <w:color w:val="auto"/>
                <w:highlight w:val="none"/>
              </w:rPr>
            </w:pPr>
            <w:r>
              <w:rPr>
                <w:rFonts w:hint="eastAsia" w:ascii="宋体" w:hAnsi="宋体" w:eastAsia="宋体" w:cs="宋体"/>
                <w:color w:val="auto"/>
                <w:highlight w:val="none"/>
              </w:rPr>
              <w:t>500万元-2000万元</w:t>
            </w:r>
          </w:p>
        </w:tc>
        <w:tc>
          <w:tcPr>
            <w:tcW w:w="5967" w:type="dxa"/>
            <w:tcBorders>
              <w:tl2br w:val="nil"/>
              <w:tr2bl w:val="nil"/>
            </w:tcBorders>
            <w:vAlign w:val="center"/>
          </w:tcPr>
          <w:p w14:paraId="6527535E">
            <w:pPr>
              <w:spacing w:line="360" w:lineRule="auto"/>
              <w:ind w:firstLine="436" w:firstLineChars="208"/>
              <w:jc w:val="center"/>
              <w:rPr>
                <w:rFonts w:hint="eastAsia" w:ascii="宋体" w:hAnsi="宋体" w:eastAsia="宋体" w:cs="宋体"/>
                <w:color w:val="auto"/>
                <w:highlight w:val="none"/>
              </w:rPr>
            </w:pPr>
            <w:r>
              <w:rPr>
                <w:rFonts w:hint="eastAsia" w:ascii="宋体" w:hAnsi="宋体" w:eastAsia="宋体" w:cs="宋体"/>
                <w:color w:val="auto"/>
                <w:highlight w:val="none"/>
              </w:rPr>
              <w:t>从接到竣工结算报告和完整的竣工结算资料之日起30天</w:t>
            </w:r>
          </w:p>
        </w:tc>
      </w:tr>
      <w:tr w14:paraId="303A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vAlign w:val="center"/>
          </w:tcPr>
          <w:p w14:paraId="1542F5D6">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2466" w:type="dxa"/>
            <w:tcBorders>
              <w:tl2br w:val="nil"/>
              <w:tr2bl w:val="nil"/>
            </w:tcBorders>
            <w:vAlign w:val="center"/>
          </w:tcPr>
          <w:p w14:paraId="0D98AA70">
            <w:pPr>
              <w:spacing w:line="360" w:lineRule="auto"/>
              <w:ind w:firstLine="27" w:firstLineChars="13"/>
              <w:jc w:val="center"/>
              <w:rPr>
                <w:rFonts w:hint="eastAsia" w:ascii="宋体" w:hAnsi="宋体" w:eastAsia="宋体" w:cs="宋体"/>
                <w:color w:val="auto"/>
                <w:highlight w:val="none"/>
              </w:rPr>
            </w:pPr>
            <w:r>
              <w:rPr>
                <w:rFonts w:hint="eastAsia" w:ascii="宋体" w:hAnsi="宋体" w:eastAsia="宋体" w:cs="宋体"/>
                <w:color w:val="auto"/>
                <w:highlight w:val="none"/>
              </w:rPr>
              <w:t>2000万元-5000万元</w:t>
            </w:r>
          </w:p>
        </w:tc>
        <w:tc>
          <w:tcPr>
            <w:tcW w:w="5967" w:type="dxa"/>
            <w:tcBorders>
              <w:tl2br w:val="nil"/>
              <w:tr2bl w:val="nil"/>
            </w:tcBorders>
            <w:vAlign w:val="center"/>
          </w:tcPr>
          <w:p w14:paraId="452E14CA">
            <w:pPr>
              <w:spacing w:line="360" w:lineRule="auto"/>
              <w:ind w:firstLine="436" w:firstLineChars="208"/>
              <w:jc w:val="center"/>
              <w:rPr>
                <w:rFonts w:hint="eastAsia" w:ascii="宋体" w:hAnsi="宋体" w:eastAsia="宋体" w:cs="宋体"/>
                <w:color w:val="auto"/>
                <w:highlight w:val="none"/>
              </w:rPr>
            </w:pPr>
            <w:r>
              <w:rPr>
                <w:rFonts w:hint="eastAsia" w:ascii="宋体" w:hAnsi="宋体" w:eastAsia="宋体" w:cs="宋体"/>
                <w:color w:val="auto"/>
                <w:highlight w:val="none"/>
              </w:rPr>
              <w:t>从接到竣工结算报告和完整的竣工结算资料之日起45天</w:t>
            </w:r>
          </w:p>
        </w:tc>
      </w:tr>
      <w:tr w14:paraId="6F30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vAlign w:val="center"/>
          </w:tcPr>
          <w:p w14:paraId="5E3FE96F">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2466" w:type="dxa"/>
            <w:tcBorders>
              <w:tl2br w:val="nil"/>
              <w:tr2bl w:val="nil"/>
            </w:tcBorders>
            <w:vAlign w:val="center"/>
          </w:tcPr>
          <w:p w14:paraId="16540B75">
            <w:pPr>
              <w:spacing w:line="360" w:lineRule="auto"/>
              <w:ind w:firstLine="27" w:firstLineChars="13"/>
              <w:jc w:val="center"/>
              <w:rPr>
                <w:rFonts w:hint="eastAsia" w:ascii="宋体" w:hAnsi="宋体" w:eastAsia="宋体" w:cs="宋体"/>
                <w:color w:val="auto"/>
                <w:highlight w:val="none"/>
              </w:rPr>
            </w:pPr>
            <w:r>
              <w:rPr>
                <w:rFonts w:hint="eastAsia" w:ascii="宋体" w:hAnsi="宋体" w:eastAsia="宋体" w:cs="宋体"/>
                <w:color w:val="auto"/>
                <w:highlight w:val="none"/>
              </w:rPr>
              <w:t>5000万元以上</w:t>
            </w:r>
          </w:p>
        </w:tc>
        <w:tc>
          <w:tcPr>
            <w:tcW w:w="5967" w:type="dxa"/>
            <w:tcBorders>
              <w:tl2br w:val="nil"/>
              <w:tr2bl w:val="nil"/>
            </w:tcBorders>
            <w:vAlign w:val="center"/>
          </w:tcPr>
          <w:p w14:paraId="13D00C75">
            <w:pPr>
              <w:spacing w:line="360" w:lineRule="auto"/>
              <w:ind w:firstLine="436" w:firstLineChars="208"/>
              <w:jc w:val="center"/>
              <w:rPr>
                <w:rFonts w:hint="eastAsia" w:ascii="宋体" w:hAnsi="宋体" w:eastAsia="宋体" w:cs="宋体"/>
                <w:color w:val="auto"/>
                <w:highlight w:val="none"/>
              </w:rPr>
            </w:pPr>
            <w:r>
              <w:rPr>
                <w:rFonts w:hint="eastAsia" w:ascii="宋体" w:hAnsi="宋体" w:eastAsia="宋体" w:cs="宋体"/>
                <w:color w:val="auto"/>
                <w:highlight w:val="none"/>
              </w:rPr>
              <w:t>从接到竣工结算报告和完整的竣工结算资料之日起60天</w:t>
            </w:r>
          </w:p>
        </w:tc>
      </w:tr>
      <w:tr w14:paraId="5DF8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vAlign w:val="center"/>
          </w:tcPr>
          <w:p w14:paraId="710C03AF">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2466" w:type="dxa"/>
            <w:tcBorders>
              <w:tl2br w:val="nil"/>
              <w:tr2bl w:val="nil"/>
            </w:tcBorders>
            <w:vAlign w:val="center"/>
          </w:tcPr>
          <w:p w14:paraId="25B25B99">
            <w:pPr>
              <w:spacing w:line="360" w:lineRule="auto"/>
              <w:ind w:firstLine="27" w:firstLineChars="13"/>
              <w:jc w:val="center"/>
              <w:rPr>
                <w:rFonts w:hint="eastAsia" w:ascii="宋体" w:hAnsi="宋体" w:eastAsia="宋体" w:cs="宋体"/>
                <w:color w:val="auto"/>
                <w:highlight w:val="none"/>
              </w:rPr>
            </w:pPr>
            <w:r>
              <w:rPr>
                <w:rFonts w:hint="eastAsia" w:ascii="宋体" w:hAnsi="宋体" w:eastAsia="宋体" w:cs="宋体"/>
                <w:color w:val="auto"/>
                <w:highlight w:val="none"/>
              </w:rPr>
              <w:t>5000万以上每增加0.5亿(不足0.5亿不增加)</w:t>
            </w:r>
          </w:p>
        </w:tc>
        <w:tc>
          <w:tcPr>
            <w:tcW w:w="5967" w:type="dxa"/>
            <w:tcBorders>
              <w:tl2br w:val="nil"/>
              <w:tr2bl w:val="nil"/>
            </w:tcBorders>
            <w:vAlign w:val="center"/>
          </w:tcPr>
          <w:p w14:paraId="0DCE80E0">
            <w:pPr>
              <w:spacing w:line="360" w:lineRule="auto"/>
              <w:ind w:firstLine="436" w:firstLineChars="208"/>
              <w:jc w:val="center"/>
              <w:rPr>
                <w:rFonts w:hint="eastAsia" w:ascii="宋体" w:hAnsi="宋体" w:eastAsia="宋体" w:cs="宋体"/>
                <w:color w:val="auto"/>
                <w:highlight w:val="none"/>
              </w:rPr>
            </w:pPr>
            <w:r>
              <w:rPr>
                <w:rFonts w:hint="eastAsia" w:ascii="宋体" w:hAnsi="宋体" w:eastAsia="宋体" w:cs="宋体"/>
                <w:color w:val="auto"/>
                <w:highlight w:val="none"/>
              </w:rPr>
              <w:t>增加10天</w:t>
            </w:r>
          </w:p>
        </w:tc>
      </w:tr>
    </w:tbl>
    <w:p w14:paraId="0E4EA8F7">
      <w:pPr>
        <w:spacing w:line="360" w:lineRule="auto"/>
        <w:ind w:firstLine="420" w:firstLineChars="200"/>
        <w:jc w:val="left"/>
        <w:rPr>
          <w:rFonts w:hint="eastAsia" w:ascii="宋体" w:hAnsi="宋体" w:eastAsia="宋体" w:cs="宋体"/>
        </w:rPr>
      </w:pPr>
      <w:bookmarkStart w:id="1455" w:name="_Toc78449850"/>
      <w:bookmarkStart w:id="1456" w:name="_Toc407135264"/>
      <w:bookmarkStart w:id="1457" w:name="_Toc540165641"/>
      <w:bookmarkStart w:id="1458" w:name="_Toc373227761"/>
      <w:bookmarkStart w:id="1459" w:name="_Toc1203653078"/>
      <w:bookmarkStart w:id="1460" w:name="_Toc389065326"/>
      <w:bookmarkStart w:id="1461" w:name="_Toc373478408"/>
      <w:r>
        <w:rPr>
          <w:rFonts w:hint="eastAsia" w:ascii="宋体" w:hAnsi="宋体" w:eastAsia="宋体" w:cs="宋体"/>
        </w:rPr>
        <w:t>因承包人提供的结算资料不完整而需要补充或承包人不按时对账耽误时间时，审查时间应相应顺延。</w:t>
      </w:r>
    </w:p>
    <w:p w14:paraId="0B88A372">
      <w:pPr>
        <w:spacing w:line="360" w:lineRule="auto"/>
        <w:ind w:firstLine="420" w:firstLineChars="200"/>
        <w:rPr>
          <w:rFonts w:hint="eastAsia" w:ascii="宋体" w:hAnsi="宋体" w:eastAsia="宋体" w:cs="宋体"/>
        </w:rPr>
      </w:pPr>
      <w:r>
        <w:rPr>
          <w:rFonts w:hint="eastAsia" w:ascii="宋体" w:hAnsi="宋体" w:eastAsia="宋体" w:cs="宋体"/>
        </w:rPr>
        <w:t>竣工结算审核约定：</w:t>
      </w:r>
    </w:p>
    <w:p w14:paraId="172F9C5C">
      <w:pPr>
        <w:numPr>
          <w:ilvl w:val="0"/>
          <w:numId w:val="4"/>
        </w:numPr>
        <w:spacing w:line="400" w:lineRule="exact"/>
        <w:ind w:left="0" w:firstLine="411" w:firstLineChars="196"/>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工程竣工验收报告经发包人认可后 </w:t>
      </w:r>
      <w:r>
        <w:rPr>
          <w:rFonts w:hint="eastAsia" w:ascii="宋体" w:hAnsi="宋体" w:eastAsia="宋体" w:cs="宋体"/>
          <w:color w:val="auto"/>
          <w:highlight w:val="none"/>
          <w:u w:val="single"/>
          <w:lang w:val="en-US" w:eastAsia="zh-CN"/>
        </w:rPr>
        <w:t>30</w:t>
      </w:r>
      <w:r>
        <w:rPr>
          <w:rFonts w:hint="eastAsia" w:ascii="宋体" w:hAnsi="宋体" w:eastAsia="宋体" w:cs="宋体"/>
          <w:color w:val="auto"/>
          <w:highlight w:val="none"/>
          <w:u w:val="single"/>
        </w:rPr>
        <w:t xml:space="preserve"> 天内，承包人向发包人递交竣工验收合格资料及完整的结算资料和报告，双方按照本工程合同约定的价格形式及价款调整办法进行工程竣工结算。</w:t>
      </w:r>
    </w:p>
    <w:p w14:paraId="54B7FC4C">
      <w:pPr>
        <w:numPr>
          <w:ilvl w:val="0"/>
          <w:numId w:val="4"/>
        </w:numPr>
        <w:spacing w:line="400" w:lineRule="exact"/>
        <w:ind w:left="0" w:firstLine="411" w:firstLineChars="196"/>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u w:val="single"/>
        </w:rPr>
        <w:t xml:space="preserve">发包人收到承包人递交的竣工结算报告及结算资料之日起 </w:t>
      </w:r>
      <w:r>
        <w:rPr>
          <w:rFonts w:hint="eastAsia" w:ascii="宋体" w:hAnsi="宋体" w:eastAsia="宋体" w:cs="宋体"/>
          <w:color w:val="auto"/>
          <w:highlight w:val="none"/>
          <w:u w:val="single"/>
          <w:lang w:val="en-US" w:eastAsia="zh-CN"/>
        </w:rPr>
        <w:t>30</w:t>
      </w:r>
      <w:r>
        <w:rPr>
          <w:rFonts w:hint="eastAsia" w:ascii="宋体" w:hAnsi="宋体" w:eastAsia="宋体" w:cs="宋体"/>
          <w:color w:val="auto"/>
          <w:highlight w:val="none"/>
          <w:u w:val="single"/>
        </w:rPr>
        <w:t xml:space="preserve"> 天内</w:t>
      </w:r>
      <w:r>
        <w:rPr>
          <w:rFonts w:hint="eastAsia" w:ascii="宋体" w:hAnsi="宋体" w:eastAsia="宋体" w:cs="宋体"/>
          <w:color w:val="auto"/>
          <w:highlight w:val="none"/>
          <w:u w:val="single"/>
          <w:lang w:val="en-US" w:eastAsia="zh-CN"/>
        </w:rPr>
        <w:t>对结算材料的完整性及合理性</w:t>
      </w:r>
      <w:r>
        <w:rPr>
          <w:rFonts w:hint="eastAsia" w:ascii="宋体" w:hAnsi="宋体" w:eastAsia="宋体" w:cs="宋体"/>
          <w:color w:val="auto"/>
          <w:highlight w:val="none"/>
          <w:u w:val="single"/>
        </w:rPr>
        <w:t>进行审核，并给予确认或者提出</w:t>
      </w:r>
      <w:r>
        <w:rPr>
          <w:rFonts w:hint="eastAsia" w:ascii="宋体" w:hAnsi="宋体" w:eastAsia="宋体" w:cs="宋体"/>
          <w:color w:val="auto"/>
          <w:highlight w:val="none"/>
          <w:u w:val="single"/>
          <w:lang w:val="en-US" w:eastAsia="zh-CN"/>
        </w:rPr>
        <w:t>初步</w:t>
      </w:r>
      <w:r>
        <w:rPr>
          <w:rFonts w:hint="eastAsia" w:ascii="宋体" w:hAnsi="宋体" w:eastAsia="宋体" w:cs="宋体"/>
          <w:color w:val="auto"/>
          <w:highlight w:val="none"/>
          <w:u w:val="single"/>
        </w:rPr>
        <w:t xml:space="preserve">审核意见。承包人对发包人审核意见有异议的，应在收到发包人确认的价款或审核意见之日起 </w:t>
      </w:r>
      <w:r>
        <w:rPr>
          <w:rFonts w:hint="eastAsia" w:ascii="宋体" w:hAnsi="宋体" w:eastAsia="宋体" w:cs="宋体"/>
          <w:color w:val="auto"/>
          <w:highlight w:val="none"/>
          <w:u w:val="single"/>
          <w:lang w:val="en-US" w:eastAsia="zh-CN"/>
        </w:rPr>
        <w:t>7</w:t>
      </w:r>
      <w:r>
        <w:rPr>
          <w:rFonts w:hint="eastAsia" w:ascii="宋体" w:hAnsi="宋体" w:eastAsia="宋体" w:cs="宋体"/>
          <w:color w:val="auto"/>
          <w:highlight w:val="none"/>
          <w:u w:val="single"/>
        </w:rPr>
        <w:t xml:space="preserve"> 天内提出异议，必要时合同当事人要当面核对</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本工程属于政府投资项目，竣工结算应由市财政局或其委托的第三批评审机构对承包人提交的结算进行评审，最终结算价以市财政局或其委托的第三批评审机构出具的评审报告为准。</w:t>
      </w:r>
    </w:p>
    <w:p w14:paraId="675EE703">
      <w:pPr>
        <w:pStyle w:val="4"/>
        <w:rPr>
          <w:rFonts w:hint="eastAsia" w:ascii="宋体" w:hAnsi="宋体" w:eastAsia="宋体" w:cs="宋体"/>
          <w:color w:val="auto"/>
          <w:highlight w:val="none"/>
        </w:rPr>
      </w:pPr>
      <w:r>
        <w:rPr>
          <w:rFonts w:hint="eastAsia" w:ascii="宋体" w:hAnsi="宋体" w:eastAsia="宋体" w:cs="宋体"/>
          <w:color w:val="auto"/>
          <w:highlight w:val="none"/>
        </w:rPr>
        <w:t>14.4 最终结清</w:t>
      </w:r>
      <w:bookmarkEnd w:id="1455"/>
      <w:bookmarkEnd w:id="1456"/>
      <w:bookmarkEnd w:id="1457"/>
      <w:bookmarkEnd w:id="1458"/>
      <w:bookmarkEnd w:id="1459"/>
      <w:bookmarkEnd w:id="1460"/>
      <w:bookmarkEnd w:id="1461"/>
    </w:p>
    <w:p w14:paraId="7CED502C">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14.4.1 最终结清申请单</w:t>
      </w:r>
    </w:p>
    <w:p w14:paraId="20640B7D">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承包人提交最终结清申请单的份数：</w:t>
      </w:r>
      <w:r>
        <w:rPr>
          <w:rFonts w:hint="eastAsia" w:ascii="宋体" w:hAnsi="宋体" w:eastAsia="宋体" w:cs="宋体"/>
          <w:spacing w:val="-3"/>
          <w:sz w:val="21"/>
          <w:szCs w:val="21"/>
          <w:u w:val="single" w:color="auto"/>
        </w:rPr>
        <w:t>一</w:t>
      </w:r>
      <w:r>
        <w:rPr>
          <w:rFonts w:hint="eastAsia" w:ascii="宋体" w:hAnsi="宋体" w:eastAsia="宋体" w:cs="宋体"/>
          <w:spacing w:val="-4"/>
          <w:sz w:val="21"/>
          <w:szCs w:val="21"/>
          <w:u w:val="single" w:color="auto"/>
        </w:rPr>
        <w:t>式叁份</w:t>
      </w:r>
      <w:r>
        <w:rPr>
          <w:rFonts w:hint="eastAsia" w:ascii="宋体" w:hAnsi="宋体" w:eastAsia="宋体" w:cs="宋体"/>
          <w:color w:val="auto"/>
          <w:highlight w:val="none"/>
        </w:rPr>
        <w:t>。</w:t>
      </w:r>
    </w:p>
    <w:p w14:paraId="7CDD1F68">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kern w:val="0"/>
          <w:highlight w:val="none"/>
        </w:rPr>
        <w:t>承包人提交最终结算申请单的期限：</w:t>
      </w:r>
      <w:r>
        <w:rPr>
          <w:rFonts w:hint="eastAsia" w:ascii="宋体" w:hAnsi="宋体" w:eastAsia="宋体" w:cs="宋体"/>
          <w:color w:val="auto"/>
          <w:kern w:val="0"/>
          <w:highlight w:val="none"/>
          <w:u w:val="single"/>
        </w:rPr>
        <w:t>双方确认审计总额后28天</w:t>
      </w:r>
      <w:r>
        <w:rPr>
          <w:rFonts w:hint="eastAsia" w:ascii="宋体" w:hAnsi="宋体" w:eastAsia="宋体" w:cs="宋体"/>
          <w:color w:val="auto"/>
          <w:highlight w:val="none"/>
        </w:rPr>
        <w:t xml:space="preserve">。 </w:t>
      </w:r>
    </w:p>
    <w:p w14:paraId="273066B0">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14.4.2 最终结清证书和支付</w:t>
      </w:r>
    </w:p>
    <w:p w14:paraId="475B4C93">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（1）发包人完成最终结清申请单的审批并颁发最终结清证书的期限：</w:t>
      </w:r>
      <w:r>
        <w:rPr>
          <w:rFonts w:hint="eastAsia" w:ascii="宋体" w:hAnsi="宋体" w:eastAsia="宋体" w:cs="宋体"/>
          <w:color w:val="auto"/>
          <w:kern w:val="0"/>
          <w:highlight w:val="none"/>
          <w:u w:val="single"/>
        </w:rPr>
        <w:t>双方确认审计总额后28天</w:t>
      </w:r>
      <w:r>
        <w:rPr>
          <w:rFonts w:hint="eastAsia" w:ascii="宋体" w:hAnsi="宋体" w:eastAsia="宋体" w:cs="宋体"/>
          <w:color w:val="auto"/>
          <w:highlight w:val="none"/>
        </w:rPr>
        <w:t>。</w:t>
      </w:r>
    </w:p>
    <w:p w14:paraId="7CC328B2">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（2）发包人完成支付的期限：</w:t>
      </w:r>
      <w:r>
        <w:rPr>
          <w:rFonts w:hint="eastAsia" w:ascii="宋体" w:hAnsi="宋体" w:eastAsia="宋体" w:cs="宋体"/>
          <w:color w:val="auto"/>
          <w:kern w:val="0"/>
          <w:highlight w:val="none"/>
          <w:u w:val="single"/>
        </w:rPr>
        <w:t>双方确认审计总额后</w:t>
      </w:r>
      <w:r>
        <w:rPr>
          <w:rFonts w:hint="eastAsia" w:ascii="宋体" w:hAnsi="宋体" w:eastAsia="宋体" w:cs="宋体"/>
          <w:color w:val="auto"/>
          <w:kern w:val="0"/>
          <w:highlight w:val="none"/>
          <w:u w:val="single"/>
          <w:lang w:val="en-US" w:eastAsia="zh-CN"/>
        </w:rPr>
        <w:t>45</w:t>
      </w:r>
      <w:r>
        <w:rPr>
          <w:rFonts w:hint="eastAsia" w:ascii="宋体" w:hAnsi="宋体" w:eastAsia="宋体" w:cs="宋体"/>
          <w:color w:val="auto"/>
          <w:kern w:val="0"/>
          <w:highlight w:val="none"/>
          <w:u w:val="single"/>
        </w:rPr>
        <w:t>天</w:t>
      </w:r>
      <w:r>
        <w:rPr>
          <w:rFonts w:hint="eastAsia" w:ascii="宋体" w:hAnsi="宋体" w:cs="宋体"/>
          <w:color w:val="auto"/>
          <w:kern w:val="0"/>
          <w:highlight w:val="none"/>
          <w:u w:val="single"/>
          <w:lang w:eastAsia="zh-CN"/>
        </w:rPr>
        <w:t>，</w:t>
      </w:r>
      <w:r>
        <w:rPr>
          <w:rFonts w:hint="eastAsia" w:ascii="宋体" w:hAnsi="宋体" w:cs="宋体"/>
          <w:color w:val="auto"/>
          <w:kern w:val="0"/>
          <w:highlight w:val="none"/>
          <w:u w:val="single"/>
          <w:lang w:val="en-US" w:eastAsia="zh-CN"/>
        </w:rPr>
        <w:t>由承包人提出书面申请，具体时间以市财政拨付到位为准</w:t>
      </w:r>
      <w:r>
        <w:rPr>
          <w:rFonts w:hint="eastAsia" w:ascii="宋体" w:hAnsi="宋体" w:eastAsia="宋体" w:cs="宋体"/>
          <w:color w:val="auto"/>
          <w:highlight w:val="none"/>
        </w:rPr>
        <w:t>。</w:t>
      </w:r>
    </w:p>
    <w:bookmarkEnd w:id="1406"/>
    <w:bookmarkEnd w:id="1407"/>
    <w:bookmarkEnd w:id="1408"/>
    <w:bookmarkEnd w:id="1409"/>
    <w:bookmarkEnd w:id="1410"/>
    <w:bookmarkEnd w:id="1411"/>
    <w:bookmarkEnd w:id="1412"/>
    <w:bookmarkEnd w:id="1418"/>
    <w:p w14:paraId="2592EE20">
      <w:pPr>
        <w:pStyle w:val="3"/>
        <w:rPr>
          <w:rFonts w:hint="eastAsia" w:ascii="宋体" w:hAnsi="宋体" w:eastAsia="宋体" w:cs="宋体"/>
          <w:color w:val="auto"/>
          <w:highlight w:val="none"/>
        </w:rPr>
      </w:pPr>
      <w:bookmarkStart w:id="1462" w:name="_Toc78449851"/>
      <w:bookmarkStart w:id="1463" w:name="_Toc351203647"/>
      <w:bookmarkStart w:id="1464" w:name="_Toc373227762"/>
      <w:bookmarkStart w:id="1465" w:name="_Toc905081407"/>
      <w:bookmarkStart w:id="1466" w:name="_Toc407135265"/>
      <w:bookmarkStart w:id="1467" w:name="_Toc373478409"/>
      <w:bookmarkStart w:id="1468" w:name="_Toc389065327"/>
      <w:bookmarkStart w:id="1469" w:name="_Toc1294213766"/>
      <w:bookmarkStart w:id="1470" w:name="_Toc267251483"/>
      <w:bookmarkStart w:id="1471" w:name="_Toc267251484"/>
      <w:bookmarkStart w:id="1472" w:name="_Toc267251482"/>
      <w:bookmarkStart w:id="1473" w:name="_Toc267251485"/>
      <w:bookmarkStart w:id="1474" w:name="_Toc267251489"/>
      <w:bookmarkStart w:id="1475" w:name="_Toc267251486"/>
      <w:bookmarkStart w:id="1476" w:name="_Toc267251488"/>
      <w:bookmarkStart w:id="1477" w:name="_Toc267251490"/>
      <w:bookmarkStart w:id="1478" w:name="_Toc267251499"/>
      <w:bookmarkStart w:id="1479" w:name="_Toc267251497"/>
      <w:bookmarkStart w:id="1480" w:name="_Toc267251494"/>
      <w:bookmarkStart w:id="1481" w:name="_Toc267251498"/>
      <w:bookmarkStart w:id="1482" w:name="_Toc267251496"/>
      <w:bookmarkStart w:id="1483" w:name="_Toc267251492"/>
      <w:bookmarkStart w:id="1484" w:name="_Toc267251491"/>
      <w:bookmarkStart w:id="1485" w:name="_Toc267251502"/>
      <w:bookmarkStart w:id="1486" w:name="_Toc267251495"/>
      <w:bookmarkStart w:id="1487" w:name="_Toc267251501"/>
      <w:bookmarkStart w:id="1488" w:name="_Toc267251493"/>
      <w:bookmarkStart w:id="1489" w:name="_Toc267251503"/>
      <w:bookmarkStart w:id="1490" w:name="_Toc267251506"/>
      <w:bookmarkStart w:id="1491" w:name="_Toc267251504"/>
      <w:bookmarkStart w:id="1492" w:name="_Toc267251507"/>
      <w:bookmarkStart w:id="1493" w:name="_Toc267251508"/>
      <w:bookmarkStart w:id="1494" w:name="_Toc267251509"/>
      <w:bookmarkStart w:id="1495" w:name="_Toc267251510"/>
      <w:bookmarkStart w:id="1496" w:name="_Toc267251511"/>
      <w:bookmarkStart w:id="1497" w:name="_Toc267251514"/>
      <w:bookmarkStart w:id="1498" w:name="_Toc267251513"/>
      <w:bookmarkStart w:id="1499" w:name="_Toc267251515"/>
      <w:r>
        <w:rPr>
          <w:rFonts w:hint="eastAsia" w:ascii="宋体" w:hAnsi="宋体" w:eastAsia="宋体" w:cs="宋体"/>
          <w:color w:val="auto"/>
          <w:highlight w:val="none"/>
        </w:rPr>
        <w:t>15. 缺陷责任期与保修</w:t>
      </w:r>
      <w:bookmarkEnd w:id="1462"/>
      <w:bookmarkEnd w:id="1463"/>
      <w:bookmarkEnd w:id="1464"/>
      <w:bookmarkEnd w:id="1465"/>
      <w:bookmarkEnd w:id="1466"/>
      <w:bookmarkEnd w:id="1467"/>
      <w:bookmarkEnd w:id="1468"/>
      <w:bookmarkEnd w:id="1469"/>
    </w:p>
    <w:p w14:paraId="0AD57CA1">
      <w:pPr>
        <w:pStyle w:val="4"/>
        <w:rPr>
          <w:rFonts w:hint="eastAsia" w:ascii="宋体" w:hAnsi="宋体" w:eastAsia="宋体" w:cs="宋体"/>
          <w:color w:val="auto"/>
          <w:highlight w:val="none"/>
        </w:rPr>
      </w:pPr>
      <w:bookmarkStart w:id="1500" w:name="_Toc78449852"/>
      <w:bookmarkStart w:id="1501" w:name="_Toc373478410"/>
      <w:bookmarkStart w:id="1502" w:name="_Toc407135266"/>
      <w:bookmarkStart w:id="1503" w:name="_Toc389065328"/>
      <w:bookmarkStart w:id="1504" w:name="_Toc1468458868"/>
      <w:bookmarkStart w:id="1505" w:name="_Toc1845278067"/>
      <w:bookmarkStart w:id="1506" w:name="_Toc373227763"/>
      <w:r>
        <w:rPr>
          <w:rFonts w:hint="eastAsia" w:ascii="宋体" w:hAnsi="宋体" w:eastAsia="宋体" w:cs="宋体"/>
          <w:color w:val="auto"/>
          <w:highlight w:val="none"/>
        </w:rPr>
        <w:t>15.2 缺陷责任期</w:t>
      </w:r>
      <w:bookmarkEnd w:id="1470"/>
      <w:bookmarkEnd w:id="1500"/>
      <w:bookmarkEnd w:id="1501"/>
      <w:bookmarkEnd w:id="1502"/>
      <w:bookmarkEnd w:id="1503"/>
      <w:bookmarkEnd w:id="1504"/>
      <w:bookmarkEnd w:id="1505"/>
      <w:bookmarkEnd w:id="1506"/>
    </w:p>
    <w:p w14:paraId="4FDAD310">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缺陷责任期的具体期限：</w:t>
      </w:r>
      <w:r>
        <w:rPr>
          <w:rFonts w:hint="eastAsia" w:ascii="宋体" w:hAnsi="宋体" w:eastAsia="宋体" w:cs="宋体"/>
          <w:color w:val="auto"/>
          <w:highlight w:val="none"/>
          <w:u w:val="single"/>
          <w:lang w:eastAsia="zh-CN"/>
        </w:rPr>
        <w:t>竣工验收合格之日起</w:t>
      </w:r>
      <w:r>
        <w:rPr>
          <w:rFonts w:hint="eastAsia" w:ascii="宋体" w:hAnsi="宋体" w:eastAsia="宋体" w:cs="宋体"/>
          <w:color w:val="auto"/>
          <w:highlight w:val="none"/>
          <w:u w:val="single"/>
          <w:lang w:val="en-US" w:eastAsia="zh-CN"/>
        </w:rPr>
        <w:t>24个月</w:t>
      </w:r>
      <w:r>
        <w:rPr>
          <w:rFonts w:hint="eastAsia" w:ascii="宋体" w:hAnsi="宋体" w:eastAsia="宋体" w:cs="宋体"/>
          <w:color w:val="auto"/>
          <w:highlight w:val="none"/>
        </w:rPr>
        <w:t>。</w:t>
      </w:r>
    </w:p>
    <w:p w14:paraId="183414ED">
      <w:pPr>
        <w:pStyle w:val="4"/>
        <w:rPr>
          <w:rFonts w:hint="eastAsia" w:ascii="宋体" w:hAnsi="宋体" w:eastAsia="宋体" w:cs="宋体"/>
          <w:color w:val="auto"/>
          <w:highlight w:val="none"/>
        </w:rPr>
      </w:pPr>
      <w:bookmarkStart w:id="1507" w:name="_Toc1004692311"/>
      <w:bookmarkStart w:id="1508" w:name="_Toc389065329"/>
      <w:bookmarkStart w:id="1509" w:name="_Toc666080472"/>
      <w:bookmarkStart w:id="1510" w:name="_Toc78449853"/>
      <w:bookmarkStart w:id="1511" w:name="_Toc407135267"/>
      <w:bookmarkStart w:id="1512" w:name="_Toc373478411"/>
      <w:bookmarkStart w:id="1513" w:name="_Toc373227764"/>
      <w:r>
        <w:rPr>
          <w:rFonts w:hint="eastAsia" w:ascii="宋体" w:hAnsi="宋体" w:eastAsia="宋体" w:cs="宋体"/>
          <w:color w:val="auto"/>
          <w:highlight w:val="none"/>
        </w:rPr>
        <w:t>15.3 质量保证金</w:t>
      </w:r>
      <w:bookmarkEnd w:id="1507"/>
      <w:bookmarkEnd w:id="1508"/>
      <w:bookmarkEnd w:id="1509"/>
      <w:bookmarkEnd w:id="1510"/>
      <w:bookmarkEnd w:id="1511"/>
      <w:bookmarkEnd w:id="1512"/>
      <w:bookmarkEnd w:id="1513"/>
    </w:p>
    <w:p w14:paraId="5B4E60BE">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关于是否扣留质量保证金的约定：</w:t>
      </w:r>
      <w:r>
        <w:rPr>
          <w:rFonts w:hint="eastAsia" w:ascii="宋体" w:hAnsi="宋体" w:eastAsia="宋体" w:cs="宋体"/>
          <w:color w:val="000000"/>
          <w:szCs w:val="21"/>
          <w:u w:val="single"/>
        </w:rPr>
        <w:t>扣留质量保证金</w:t>
      </w:r>
      <w:r>
        <w:rPr>
          <w:rFonts w:hint="eastAsia" w:ascii="宋体" w:hAnsi="宋体" w:eastAsia="宋体" w:cs="宋体"/>
          <w:color w:val="auto"/>
          <w:highlight w:val="none"/>
        </w:rPr>
        <w:t>。</w:t>
      </w:r>
    </w:p>
    <w:p w14:paraId="0DE7CDF6">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在工程项目竣工前，承包人按专用合同条款第3.7条提供履约担保的，发包人不得同时预留工程质量保证金。</w:t>
      </w:r>
    </w:p>
    <w:p w14:paraId="0F0FB371">
      <w:pPr>
        <w:spacing w:line="360" w:lineRule="auto"/>
        <w:ind w:firstLine="420" w:firstLineChars="200"/>
        <w:jc w:val="left"/>
        <w:outlineLvl w:val="0"/>
        <w:rPr>
          <w:rFonts w:hint="eastAsia" w:ascii="宋体" w:hAnsi="宋体" w:eastAsia="宋体" w:cs="宋体"/>
          <w:color w:val="auto"/>
          <w:highlight w:val="none"/>
        </w:rPr>
      </w:pPr>
      <w:r>
        <w:rPr>
          <w:rFonts w:hint="eastAsia" w:ascii="宋体" w:hAnsi="宋体" w:eastAsia="宋体" w:cs="宋体"/>
          <w:color w:val="auto"/>
          <w:highlight w:val="none"/>
        </w:rPr>
        <w:t>15.3.1 承包人提供质量保证金的方式</w:t>
      </w:r>
    </w:p>
    <w:p w14:paraId="5744920B">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质量保证金采用以下第</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（2）</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种方式：</w:t>
      </w:r>
    </w:p>
    <w:p w14:paraId="4B5ED9AB">
      <w:pPr>
        <w:autoSpaceDE w:val="0"/>
        <w:autoSpaceDN w:val="0"/>
        <w:adjustRightInd w:val="0"/>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（1）质量保证金保函</w:t>
      </w:r>
      <w:r>
        <w:rPr>
          <w:rFonts w:hint="eastAsia" w:ascii="宋体" w:hAnsi="宋体" w:eastAsia="宋体" w:cs="宋体"/>
          <w:color w:val="auto"/>
          <w:highlight w:val="none"/>
        </w:rPr>
        <w:t>（银行保函、电子保函、保证保险保函、工程担保保函</w:t>
      </w:r>
      <w:r>
        <w:rPr>
          <w:rFonts w:hint="eastAsia" w:ascii="宋体" w:hAnsi="宋体" w:eastAsia="宋体" w:cs="宋体"/>
          <w:color w:val="auto"/>
          <w:highlight w:val="none"/>
          <w:lang w:eastAsia="zh-CN"/>
        </w:rPr>
        <w:t>，</w:t>
      </w:r>
      <w:r>
        <w:rPr>
          <w:rFonts w:hint="eastAsia" w:ascii="宋体" w:hAnsi="宋体" w:eastAsia="宋体" w:cs="宋体"/>
          <w:color w:val="auto"/>
          <w:kern w:val="0"/>
          <w:highlight w:val="none"/>
        </w:rPr>
        <w:t>工程担保保证人应将出具的保函相关信息录入“广西建筑市场监管云”平台（http://gxjzsc.caihcloud.com），以实现保函查询及验真功能</w:t>
      </w:r>
      <w:r>
        <w:rPr>
          <w:rFonts w:hint="eastAsia" w:ascii="宋体" w:hAnsi="宋体" w:eastAsia="宋体" w:cs="宋体"/>
          <w:color w:val="auto"/>
          <w:kern w:val="0"/>
          <w:highlight w:val="none"/>
          <w:lang w:eastAsia="zh-CN"/>
        </w:rPr>
        <w:t>。</w:t>
      </w:r>
      <w:r>
        <w:rPr>
          <w:rFonts w:hint="eastAsia" w:ascii="宋体" w:hAnsi="宋体" w:eastAsia="宋体" w:cs="宋体"/>
          <w:color w:val="auto"/>
          <w:highlight w:val="none"/>
        </w:rPr>
        <w:t>）</w:t>
      </w:r>
      <w:r>
        <w:rPr>
          <w:rFonts w:hint="eastAsia" w:ascii="宋体" w:hAnsi="宋体" w:eastAsia="宋体" w:cs="宋体"/>
          <w:color w:val="auto"/>
          <w:kern w:val="0"/>
          <w:highlight w:val="none"/>
        </w:rPr>
        <w:t>，保证金额为：</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u w:val="single"/>
          <w:lang w:val="en-US" w:eastAsia="zh-CN"/>
        </w:rPr>
        <w:t>/</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w:t>
      </w:r>
    </w:p>
    <w:p w14:paraId="412124F4">
      <w:pPr>
        <w:autoSpaceDE w:val="0"/>
        <w:autoSpaceDN w:val="0"/>
        <w:adjustRightInd w:val="0"/>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r>
        <w:rPr>
          <w:rFonts w:hint="eastAsia" w:ascii="宋体" w:hAnsi="宋体" w:eastAsia="宋体" w:cs="宋体"/>
          <w:color w:val="auto"/>
          <w:highlight w:val="none"/>
        </w:rPr>
        <w:t>发包人按工程价款结算总额的</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%（不得超过3%）预留工程质量保证金，待缺陷责任期满后返还，是否付息及利息计算方式为：</w:t>
      </w:r>
      <w:r>
        <w:rPr>
          <w:rFonts w:hint="eastAsia" w:ascii="宋体" w:hAnsi="宋体" w:eastAsia="宋体" w:cs="宋体"/>
          <w:color w:val="auto"/>
          <w:highlight w:val="none"/>
          <w:u w:val="single"/>
          <w:lang w:eastAsia="zh-CN"/>
        </w:rPr>
        <w:t>否</w:t>
      </w:r>
      <w:r>
        <w:rPr>
          <w:rFonts w:hint="eastAsia" w:ascii="宋体" w:hAnsi="宋体" w:eastAsia="宋体" w:cs="宋体"/>
          <w:color w:val="auto"/>
          <w:kern w:val="0"/>
          <w:highlight w:val="none"/>
        </w:rPr>
        <w:t>；</w:t>
      </w:r>
    </w:p>
    <w:p w14:paraId="643755C6">
      <w:pPr>
        <w:autoSpaceDE w:val="0"/>
        <w:autoSpaceDN w:val="0"/>
        <w:adjustRightInd w:val="0"/>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（3）其他方式：</w:t>
      </w:r>
      <w:r>
        <w:rPr>
          <w:rFonts w:hint="eastAsia" w:ascii="宋体" w:hAnsi="宋体" w:eastAsia="宋体" w:cs="宋体"/>
          <w:color w:val="auto"/>
          <w:highlight w:val="none"/>
        </w:rPr>
        <w:t>银行转账、电汇或网上支付等</w:t>
      </w:r>
      <w:r>
        <w:rPr>
          <w:rFonts w:hint="eastAsia" w:ascii="宋体" w:hAnsi="宋体" w:eastAsia="宋体" w:cs="宋体"/>
          <w:color w:val="auto"/>
          <w:highlight w:val="none"/>
          <w:lang w:eastAsia="zh-CN"/>
        </w:rPr>
        <w:t>形</w:t>
      </w:r>
      <w:r>
        <w:rPr>
          <w:rFonts w:hint="eastAsia" w:ascii="宋体" w:hAnsi="宋体" w:eastAsia="宋体" w:cs="宋体"/>
          <w:color w:val="auto"/>
          <w:highlight w:val="none"/>
        </w:rPr>
        <w:t>式。</w:t>
      </w:r>
    </w:p>
    <w:p w14:paraId="278BC8C4">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15.3.2 质量保证金的扣留</w:t>
      </w:r>
    </w:p>
    <w:p w14:paraId="2CB3B4C1">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质量保证金的扣留采取以下第</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（2）</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种方式：</w:t>
      </w:r>
    </w:p>
    <w:p w14:paraId="0A9835F6">
      <w:pPr>
        <w:autoSpaceDE w:val="0"/>
        <w:autoSpaceDN w:val="0"/>
        <w:adjustRightInd w:val="0"/>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（1）在不缴纳履</w:t>
      </w:r>
      <w:r>
        <w:rPr>
          <w:rFonts w:hint="eastAsia" w:ascii="宋体" w:hAnsi="宋体" w:eastAsia="宋体" w:cs="宋体"/>
          <w:color w:val="auto"/>
          <w:kern w:val="0"/>
          <w:highlight w:val="none"/>
          <w:lang w:val="en-US" w:eastAsia="zh-CN"/>
        </w:rPr>
        <w:t>约</w:t>
      </w:r>
      <w:r>
        <w:rPr>
          <w:rFonts w:hint="eastAsia" w:ascii="宋体" w:hAnsi="宋体" w:eastAsia="宋体" w:cs="宋体"/>
          <w:color w:val="auto"/>
          <w:kern w:val="0"/>
          <w:highlight w:val="none"/>
        </w:rPr>
        <w:t>保证金情况下，按支付工程进度款时逐次扣留，质量保证金的计算基数不包括预付款的支付、扣回以及价格调整的金额；</w:t>
      </w:r>
    </w:p>
    <w:p w14:paraId="24729008">
      <w:pPr>
        <w:autoSpaceDE w:val="0"/>
        <w:autoSpaceDN w:val="0"/>
        <w:adjustRightInd w:val="0"/>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（2）工程竣工结算时，一次性扣留质量保证金，由承包人以银行保函、保证保险替代预留质量保证金，保函金额不得高于工程价款结算总额的3%；</w:t>
      </w:r>
    </w:p>
    <w:p w14:paraId="55F346D5">
      <w:pPr>
        <w:autoSpaceDE w:val="0"/>
        <w:autoSpaceDN w:val="0"/>
        <w:adjustRightInd w:val="0"/>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（3）其他扣留方式:</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rPr>
        <w:t>银行转账、电汇或网上支付、保函（银行保函、电子保函、保证保险保函、工程担保保函）等</w:t>
      </w:r>
      <w:r>
        <w:rPr>
          <w:rFonts w:hint="eastAsia" w:ascii="宋体" w:hAnsi="宋体" w:eastAsia="宋体" w:cs="宋体"/>
          <w:color w:val="auto"/>
          <w:highlight w:val="none"/>
          <w:lang w:eastAsia="zh-CN"/>
        </w:rPr>
        <w:t>形</w:t>
      </w:r>
      <w:r>
        <w:rPr>
          <w:rFonts w:hint="eastAsia" w:ascii="宋体" w:hAnsi="宋体" w:eastAsia="宋体" w:cs="宋体"/>
          <w:color w:val="auto"/>
          <w:highlight w:val="none"/>
        </w:rPr>
        <w:t>式</w:t>
      </w:r>
      <w:r>
        <w:rPr>
          <w:rFonts w:hint="eastAsia" w:ascii="宋体" w:hAnsi="宋体" w:eastAsia="宋体" w:cs="宋体"/>
          <w:color w:val="auto"/>
          <w:kern w:val="0"/>
          <w:highlight w:val="none"/>
        </w:rPr>
        <w:t>。</w:t>
      </w:r>
    </w:p>
    <w:p w14:paraId="126FF60F">
      <w:pPr>
        <w:spacing w:line="360" w:lineRule="auto"/>
        <w:ind w:firstLine="420" w:firstLineChars="200"/>
        <w:jc w:val="left"/>
        <w:rPr>
          <w:rFonts w:hint="eastAsia" w:ascii="宋体" w:hAnsi="宋体" w:eastAsia="宋体" w:cs="宋体"/>
          <w:color w:val="000000"/>
          <w:kern w:val="0"/>
          <w:highlight w:val="none"/>
          <w:u w:val="single"/>
        </w:rPr>
      </w:pPr>
      <w:r>
        <w:rPr>
          <w:rFonts w:hint="eastAsia" w:ascii="宋体" w:hAnsi="宋体" w:eastAsia="宋体" w:cs="宋体"/>
          <w:color w:val="000000"/>
          <w:highlight w:val="none"/>
        </w:rPr>
        <w:t>关于质量保证金的补充约定：</w:t>
      </w:r>
      <w:r>
        <w:rPr>
          <w:rFonts w:hint="eastAsia" w:ascii="宋体" w:hAnsi="宋体" w:eastAsia="宋体" w:cs="宋体"/>
          <w:color w:val="000000"/>
          <w:kern w:val="0"/>
          <w:highlight w:val="none"/>
          <w:u w:val="single"/>
          <w:lang w:eastAsia="zh-CN"/>
        </w:rPr>
        <w:t>无</w:t>
      </w:r>
      <w:r>
        <w:rPr>
          <w:rFonts w:hint="eastAsia" w:ascii="宋体" w:hAnsi="宋体" w:eastAsia="宋体" w:cs="宋体"/>
          <w:color w:val="000000"/>
          <w:kern w:val="0"/>
          <w:highlight w:val="none"/>
        </w:rPr>
        <w:t>。</w:t>
      </w:r>
    </w:p>
    <w:bookmarkEnd w:id="1471"/>
    <w:bookmarkEnd w:id="1472"/>
    <w:p w14:paraId="7822E9C9">
      <w:pPr>
        <w:pStyle w:val="4"/>
        <w:rPr>
          <w:rFonts w:hint="eastAsia" w:ascii="宋体" w:hAnsi="宋体" w:eastAsia="宋体" w:cs="宋体"/>
          <w:color w:val="000000"/>
          <w:highlight w:val="none"/>
        </w:rPr>
      </w:pPr>
      <w:bookmarkStart w:id="1514" w:name="_Toc78449854"/>
      <w:bookmarkStart w:id="1515" w:name="_Toc373227765"/>
      <w:bookmarkStart w:id="1516" w:name="_Toc373478412"/>
      <w:bookmarkStart w:id="1517" w:name="_Toc407135268"/>
      <w:bookmarkStart w:id="1518" w:name="_Toc389065330"/>
      <w:bookmarkStart w:id="1519" w:name="_Toc1902722111"/>
      <w:bookmarkStart w:id="1520" w:name="_Toc196306762"/>
      <w:r>
        <w:rPr>
          <w:rFonts w:hint="eastAsia" w:ascii="宋体" w:hAnsi="宋体" w:eastAsia="宋体" w:cs="宋体"/>
          <w:color w:val="000000"/>
          <w:highlight w:val="none"/>
        </w:rPr>
        <w:t>15.4 保修</w:t>
      </w:r>
      <w:bookmarkEnd w:id="1514"/>
      <w:bookmarkEnd w:id="1515"/>
      <w:bookmarkEnd w:id="1516"/>
      <w:bookmarkEnd w:id="1517"/>
      <w:bookmarkEnd w:id="1518"/>
      <w:bookmarkEnd w:id="1519"/>
      <w:bookmarkEnd w:id="1520"/>
    </w:p>
    <w:bookmarkEnd w:id="1473"/>
    <w:p w14:paraId="6DE07558">
      <w:pPr>
        <w:spacing w:line="360" w:lineRule="auto"/>
        <w:ind w:firstLine="409" w:firstLineChars="195"/>
        <w:jc w:val="left"/>
        <w:outlineLvl w:val="0"/>
        <w:rPr>
          <w:rFonts w:hint="eastAsia" w:ascii="宋体" w:hAnsi="宋体" w:eastAsia="宋体" w:cs="宋体"/>
          <w:color w:val="000000"/>
          <w:highlight w:val="none"/>
        </w:rPr>
      </w:pPr>
      <w:r>
        <w:rPr>
          <w:rFonts w:hint="eastAsia" w:ascii="宋体" w:hAnsi="宋体" w:eastAsia="宋体" w:cs="宋体"/>
          <w:color w:val="000000"/>
          <w:highlight w:val="none"/>
        </w:rPr>
        <w:t>15.4.1 保修责任</w:t>
      </w:r>
    </w:p>
    <w:p w14:paraId="72D4CD53">
      <w:pPr>
        <w:spacing w:line="360" w:lineRule="auto"/>
        <w:ind w:firstLine="409" w:firstLineChars="195"/>
        <w:jc w:val="left"/>
        <w:rPr>
          <w:rFonts w:hint="eastAsia" w:ascii="宋体" w:hAnsi="宋体" w:eastAsia="宋体" w:cs="宋体"/>
          <w:color w:val="000000"/>
          <w:kern w:val="0"/>
          <w:highlight w:val="none"/>
        </w:rPr>
      </w:pPr>
      <w:r>
        <w:rPr>
          <w:rFonts w:hint="eastAsia" w:ascii="宋体" w:hAnsi="宋体" w:eastAsia="宋体" w:cs="宋体"/>
          <w:color w:val="000000"/>
          <w:highlight w:val="none"/>
        </w:rPr>
        <w:t>工程保修期为：</w:t>
      </w:r>
      <w:r>
        <w:rPr>
          <w:rFonts w:hint="eastAsia" w:ascii="宋体" w:hAnsi="宋体" w:eastAsia="宋体" w:cs="宋体"/>
          <w:color w:val="000000"/>
          <w:highlight w:val="none"/>
          <w:u w:val="single"/>
        </w:rPr>
        <w:t>地基基础工程和主体结构工程为设计文件规定的该工程的合理使用年限， 本工程为 50 年；屋面防水工程、有防水要求的卫生间、房间和外墙面的防渗漏为 5 年；电气管线、给排水管道、设备安装为2年</w:t>
      </w:r>
      <w:r>
        <w:rPr>
          <w:rFonts w:hint="eastAsia" w:ascii="宋体" w:hAnsi="宋体" w:eastAsia="宋体" w:cs="宋体"/>
          <w:color w:val="000000"/>
          <w:kern w:val="0"/>
          <w:highlight w:val="none"/>
        </w:rPr>
        <w:t>。</w:t>
      </w:r>
    </w:p>
    <w:p w14:paraId="0D454973">
      <w:pPr>
        <w:spacing w:line="360" w:lineRule="auto"/>
        <w:ind w:firstLine="409" w:firstLineChars="195"/>
        <w:jc w:val="left"/>
        <w:rPr>
          <w:rFonts w:hint="eastAsia" w:ascii="宋体" w:hAnsi="宋体" w:eastAsia="宋体" w:cs="宋体"/>
          <w:color w:val="000000"/>
          <w:kern w:val="0"/>
          <w:highlight w:val="none"/>
          <w:u w:val="single"/>
        </w:rPr>
      </w:pPr>
      <w:r>
        <w:rPr>
          <w:rFonts w:hint="eastAsia" w:ascii="宋体" w:hAnsi="宋体" w:eastAsia="宋体" w:cs="宋体"/>
          <w:color w:val="000000"/>
          <w:highlight w:val="none"/>
        </w:rPr>
        <w:t>工程保修书具体内容见合同附件2。</w:t>
      </w:r>
    </w:p>
    <w:p w14:paraId="6552965A">
      <w:pPr>
        <w:spacing w:line="360" w:lineRule="auto"/>
        <w:ind w:firstLine="409" w:firstLineChars="195"/>
        <w:jc w:val="left"/>
        <w:rPr>
          <w:rFonts w:hint="eastAsia" w:ascii="宋体" w:hAnsi="宋体" w:eastAsia="宋体" w:cs="宋体"/>
          <w:color w:val="000000"/>
          <w:highlight w:val="none"/>
        </w:rPr>
      </w:pPr>
      <w:r>
        <w:rPr>
          <w:rFonts w:hint="eastAsia" w:ascii="宋体" w:hAnsi="宋体" w:eastAsia="宋体" w:cs="宋体"/>
          <w:color w:val="000000"/>
          <w:highlight w:val="none"/>
        </w:rPr>
        <w:t>15.4.3 修复通知</w:t>
      </w:r>
    </w:p>
    <w:p w14:paraId="14E0EAB7">
      <w:pPr>
        <w:spacing w:line="360" w:lineRule="auto"/>
        <w:ind w:firstLine="409" w:firstLineChars="195"/>
        <w:jc w:val="left"/>
        <w:rPr>
          <w:rFonts w:hint="eastAsia" w:ascii="宋体" w:hAnsi="宋体" w:eastAsia="宋体" w:cs="宋体"/>
          <w:color w:val="000000"/>
          <w:kern w:val="0"/>
          <w:highlight w:val="none"/>
          <w:u w:val="single"/>
        </w:rPr>
      </w:pPr>
      <w:r>
        <w:rPr>
          <w:rFonts w:hint="eastAsia" w:ascii="宋体" w:hAnsi="宋体" w:eastAsia="宋体" w:cs="宋体"/>
          <w:color w:val="000000"/>
          <w:kern w:val="0"/>
          <w:highlight w:val="none"/>
        </w:rPr>
        <w:t>承包人收到保修通知并到达工程现场的合理时间：</w:t>
      </w:r>
      <w:r>
        <w:rPr>
          <w:rFonts w:hint="eastAsia" w:ascii="宋体" w:hAnsi="宋体" w:eastAsia="宋体" w:cs="宋体"/>
          <w:color w:val="000000"/>
          <w:kern w:val="0"/>
          <w:highlight w:val="none"/>
          <w:u w:val="single"/>
          <w:lang w:val="en-US" w:eastAsia="zh-CN"/>
        </w:rPr>
        <w:t>收到通知后24小时内</w:t>
      </w:r>
      <w:r>
        <w:rPr>
          <w:rFonts w:hint="eastAsia" w:ascii="宋体" w:hAnsi="宋体" w:eastAsia="宋体" w:cs="宋体"/>
          <w:color w:val="000000"/>
          <w:kern w:val="0"/>
          <w:highlight w:val="none"/>
        </w:rPr>
        <w:t>。</w:t>
      </w:r>
    </w:p>
    <w:bookmarkEnd w:id="1474"/>
    <w:bookmarkEnd w:id="1475"/>
    <w:bookmarkEnd w:id="1476"/>
    <w:bookmarkEnd w:id="1477"/>
    <w:p w14:paraId="706AEE4A">
      <w:pPr>
        <w:pStyle w:val="3"/>
        <w:rPr>
          <w:rFonts w:hint="eastAsia" w:ascii="宋体" w:hAnsi="宋体" w:eastAsia="宋体" w:cs="宋体"/>
          <w:color w:val="auto"/>
          <w:highlight w:val="none"/>
        </w:rPr>
      </w:pPr>
      <w:bookmarkStart w:id="1521" w:name="_Toc351203648"/>
      <w:bookmarkStart w:id="1522" w:name="_Toc78449855"/>
      <w:bookmarkStart w:id="1523" w:name="_Toc389065331"/>
      <w:bookmarkStart w:id="1524" w:name="_Toc1725581915"/>
      <w:bookmarkStart w:id="1525" w:name="_Toc1360137061"/>
      <w:bookmarkStart w:id="1526" w:name="_Toc373478413"/>
      <w:bookmarkStart w:id="1527" w:name="_Toc373227766"/>
      <w:bookmarkStart w:id="1528" w:name="_Toc407135269"/>
      <w:bookmarkStart w:id="1529" w:name="_Toc280868717"/>
      <w:bookmarkStart w:id="1530" w:name="_Toc280868718"/>
      <w:r>
        <w:rPr>
          <w:rFonts w:hint="eastAsia" w:ascii="宋体" w:hAnsi="宋体" w:eastAsia="宋体" w:cs="宋体"/>
          <w:color w:val="auto"/>
          <w:highlight w:val="none"/>
        </w:rPr>
        <w:t>16. 违约</w:t>
      </w:r>
      <w:bookmarkEnd w:id="1521"/>
      <w:bookmarkEnd w:id="1522"/>
      <w:bookmarkEnd w:id="1523"/>
      <w:bookmarkEnd w:id="1524"/>
      <w:bookmarkEnd w:id="1525"/>
      <w:bookmarkEnd w:id="1526"/>
      <w:bookmarkEnd w:id="1527"/>
      <w:bookmarkEnd w:id="1528"/>
    </w:p>
    <w:p w14:paraId="758A4061">
      <w:pPr>
        <w:pStyle w:val="4"/>
        <w:rPr>
          <w:rFonts w:hint="eastAsia" w:ascii="宋体" w:hAnsi="宋体" w:eastAsia="宋体" w:cs="宋体"/>
          <w:color w:val="auto"/>
          <w:highlight w:val="none"/>
        </w:rPr>
      </w:pPr>
      <w:bookmarkStart w:id="1531" w:name="_Toc373478414"/>
      <w:bookmarkStart w:id="1532" w:name="_Toc1973395665"/>
      <w:bookmarkStart w:id="1533" w:name="_Toc373227767"/>
      <w:bookmarkStart w:id="1534" w:name="_Toc1535389315"/>
      <w:bookmarkStart w:id="1535" w:name="_Toc389065332"/>
      <w:bookmarkStart w:id="1536" w:name="_Toc407135270"/>
      <w:bookmarkStart w:id="1537" w:name="_Toc78449856"/>
      <w:r>
        <w:rPr>
          <w:rFonts w:hint="eastAsia" w:ascii="宋体" w:hAnsi="宋体" w:eastAsia="宋体" w:cs="宋体"/>
          <w:color w:val="auto"/>
          <w:highlight w:val="none"/>
        </w:rPr>
        <w:t>16.1 发包人违约</w:t>
      </w:r>
      <w:bookmarkEnd w:id="1531"/>
      <w:bookmarkEnd w:id="1532"/>
      <w:bookmarkEnd w:id="1533"/>
      <w:bookmarkEnd w:id="1534"/>
      <w:bookmarkEnd w:id="1535"/>
      <w:bookmarkEnd w:id="1536"/>
      <w:bookmarkEnd w:id="1537"/>
    </w:p>
    <w:p w14:paraId="58B8BAE6">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16.1.1发包人违约的情形</w:t>
      </w:r>
    </w:p>
    <w:p w14:paraId="32E006F2">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发包人违约的其他情形： </w:t>
      </w:r>
      <w:r>
        <w:rPr>
          <w:rFonts w:hint="eastAsia" w:ascii="宋体" w:hAnsi="宋体" w:eastAsia="宋体" w:cs="宋体"/>
          <w:color w:val="auto"/>
          <w:kern w:val="0"/>
          <w:highlight w:val="none"/>
          <w:u w:val="single"/>
        </w:rPr>
        <w:t>按本合同《通用条款》执行</w:t>
      </w:r>
      <w:r>
        <w:rPr>
          <w:rFonts w:hint="eastAsia" w:ascii="宋体" w:hAnsi="宋体" w:eastAsia="宋体" w:cs="宋体"/>
          <w:color w:val="auto"/>
          <w:kern w:val="0"/>
          <w:highlight w:val="none"/>
        </w:rPr>
        <w:t>。</w:t>
      </w:r>
    </w:p>
    <w:p w14:paraId="016A5B63">
      <w:pPr>
        <w:spacing w:line="360" w:lineRule="auto"/>
        <w:ind w:firstLine="420" w:firstLineChars="200"/>
        <w:jc w:val="left"/>
        <w:outlineLvl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16.1.2 发包人违约的责任</w:t>
      </w:r>
    </w:p>
    <w:p w14:paraId="44536B28">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发包人违约责任的承担方式和计算方法：</w:t>
      </w:r>
    </w:p>
    <w:p w14:paraId="2B84AF7F">
      <w:pPr>
        <w:spacing w:line="360" w:lineRule="auto"/>
        <w:ind w:firstLine="420" w:firstLineChars="200"/>
        <w:jc w:val="left"/>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rPr>
        <w:t>（1）因发包人原因未能在计划开工日期前7天内下达开工通知的违约责任：</w:t>
      </w:r>
      <w:r>
        <w:rPr>
          <w:rFonts w:hint="eastAsia" w:ascii="宋体" w:hAnsi="宋体" w:eastAsia="宋体" w:cs="宋体"/>
          <w:color w:val="auto"/>
          <w:kern w:val="0"/>
          <w:highlight w:val="none"/>
          <w:u w:val="single"/>
          <w:lang w:eastAsia="zh-CN"/>
        </w:rPr>
        <w:t>顺延工期</w:t>
      </w:r>
      <w:r>
        <w:rPr>
          <w:rFonts w:hint="eastAsia" w:ascii="宋体" w:hAnsi="宋体" w:eastAsia="宋体" w:cs="宋体"/>
          <w:color w:val="auto"/>
          <w:kern w:val="0"/>
          <w:highlight w:val="none"/>
        </w:rPr>
        <w:t>。</w:t>
      </w:r>
    </w:p>
    <w:p w14:paraId="5B89293F">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（2）因发包人原因未能按合同约定支付合同价款的违约责任：</w:t>
      </w:r>
      <w:r>
        <w:rPr>
          <w:rFonts w:hint="eastAsia" w:ascii="宋体" w:hAnsi="宋体" w:eastAsia="宋体" w:cs="宋体"/>
          <w:color w:val="auto"/>
          <w:kern w:val="0"/>
          <w:highlight w:val="none"/>
          <w:u w:val="single"/>
        </w:rPr>
        <w:t>承包人与发包人签订延期付款协议，延期付款协议须经财政部门及双方认可</w:t>
      </w:r>
      <w:r>
        <w:rPr>
          <w:rFonts w:hint="eastAsia" w:ascii="宋体" w:hAnsi="宋体" w:eastAsia="宋体" w:cs="宋体"/>
          <w:color w:val="auto"/>
          <w:kern w:val="0"/>
          <w:highlight w:val="none"/>
        </w:rPr>
        <w:t>。</w:t>
      </w:r>
    </w:p>
    <w:p w14:paraId="153129F2">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（3）发包人违反</w:t>
      </w:r>
      <w:r>
        <w:rPr>
          <w:rFonts w:hint="eastAsia" w:ascii="宋体" w:hAnsi="宋体" w:eastAsia="宋体" w:cs="宋体"/>
          <w:color w:val="auto"/>
          <w:kern w:val="0"/>
          <w:highlight w:val="none"/>
          <w:lang w:eastAsia="zh-CN"/>
        </w:rPr>
        <w:t>《专用合同条款》</w:t>
      </w:r>
      <w:r>
        <w:rPr>
          <w:rFonts w:hint="eastAsia" w:ascii="宋体" w:hAnsi="宋体" w:eastAsia="宋体" w:cs="宋体"/>
          <w:color w:val="auto"/>
          <w:kern w:val="0"/>
          <w:highlight w:val="none"/>
        </w:rPr>
        <w:t>第10.1款〔变更的范围〕第（2）项约定，自行实施被取消的工作或转由他人实施的违约责任：</w:t>
      </w:r>
      <w:r>
        <w:rPr>
          <w:rFonts w:hint="eastAsia" w:ascii="宋体" w:hAnsi="宋体" w:eastAsia="宋体" w:cs="宋体"/>
          <w:color w:val="auto"/>
          <w:kern w:val="0"/>
          <w:highlight w:val="none"/>
          <w:u w:val="single"/>
          <w:lang w:eastAsia="zh-CN"/>
        </w:rPr>
        <w:t>无</w:t>
      </w:r>
      <w:r>
        <w:rPr>
          <w:rFonts w:hint="eastAsia" w:ascii="宋体" w:hAnsi="宋体" w:eastAsia="宋体" w:cs="宋体"/>
          <w:color w:val="auto"/>
          <w:kern w:val="0"/>
          <w:highlight w:val="none"/>
        </w:rPr>
        <w:t>。</w:t>
      </w:r>
    </w:p>
    <w:p w14:paraId="0BB9C788">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（4）发包人提供的材料、工程设备的规格、数量或质量不符合合同约定，或因发包人原因导致交货日期延误或交货地点变更等情况的违约责任：</w:t>
      </w:r>
      <w:r>
        <w:rPr>
          <w:rFonts w:hint="eastAsia" w:ascii="宋体" w:hAnsi="宋体" w:eastAsia="宋体" w:cs="宋体"/>
          <w:color w:val="000000"/>
          <w:szCs w:val="21"/>
          <w:highlight w:val="none"/>
          <w:u w:val="single"/>
          <w:lang w:eastAsia="zh-CN"/>
        </w:rPr>
        <w:t>无</w:t>
      </w:r>
      <w:r>
        <w:rPr>
          <w:rFonts w:hint="eastAsia" w:ascii="宋体" w:hAnsi="宋体" w:eastAsia="宋体" w:cs="宋体"/>
          <w:color w:val="auto"/>
          <w:kern w:val="0"/>
          <w:highlight w:val="none"/>
        </w:rPr>
        <w:t>。</w:t>
      </w:r>
    </w:p>
    <w:p w14:paraId="365980CE">
      <w:pPr>
        <w:spacing w:line="360" w:lineRule="auto"/>
        <w:ind w:firstLine="420" w:firstLineChars="200"/>
        <w:jc w:val="left"/>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rPr>
        <w:t>（5）因发包人违反合同约定造成暂停施工的违约责任：</w:t>
      </w:r>
      <w:r>
        <w:rPr>
          <w:rFonts w:hint="eastAsia" w:ascii="宋体" w:hAnsi="宋体" w:eastAsia="宋体" w:cs="宋体"/>
          <w:color w:val="auto"/>
          <w:kern w:val="0"/>
          <w:highlight w:val="none"/>
          <w:u w:val="single"/>
        </w:rPr>
        <w:t>影响关键线路工期的工期相应顺延</w:t>
      </w:r>
      <w:r>
        <w:rPr>
          <w:rFonts w:hint="eastAsia" w:ascii="宋体" w:hAnsi="宋体" w:eastAsia="宋体" w:cs="宋体"/>
          <w:color w:val="auto"/>
          <w:kern w:val="0"/>
          <w:highlight w:val="none"/>
        </w:rPr>
        <w:t>。</w:t>
      </w:r>
    </w:p>
    <w:p w14:paraId="2E7CA827">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（6）发包人无正当理由没有在约定期限内发出复工指示，导致承包人无法复工的违约责任：</w:t>
      </w:r>
      <w:r>
        <w:rPr>
          <w:rFonts w:hint="eastAsia" w:ascii="宋体" w:hAnsi="宋体" w:eastAsia="宋体" w:cs="宋体"/>
          <w:color w:val="000000"/>
          <w:szCs w:val="21"/>
          <w:highlight w:val="none"/>
          <w:u w:val="single"/>
        </w:rPr>
        <w:t>所耽误的工期相应顺延</w:t>
      </w:r>
      <w:r>
        <w:rPr>
          <w:rFonts w:hint="eastAsia" w:ascii="宋体" w:hAnsi="宋体" w:eastAsia="宋体" w:cs="宋体"/>
          <w:color w:val="auto"/>
          <w:kern w:val="0"/>
          <w:highlight w:val="none"/>
        </w:rPr>
        <w:t>。</w:t>
      </w:r>
    </w:p>
    <w:p w14:paraId="6972D327">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（7）其他：</w:t>
      </w:r>
      <w:r>
        <w:rPr>
          <w:rFonts w:hint="eastAsia" w:ascii="宋体" w:hAnsi="宋体" w:eastAsia="宋体" w:cs="宋体"/>
          <w:color w:val="auto"/>
          <w:kern w:val="0"/>
          <w:highlight w:val="none"/>
          <w:u w:val="single"/>
          <w:lang w:eastAsia="zh-CN"/>
        </w:rPr>
        <w:t>无</w:t>
      </w:r>
      <w:r>
        <w:rPr>
          <w:rFonts w:hint="eastAsia" w:ascii="宋体" w:hAnsi="宋体" w:eastAsia="宋体" w:cs="宋体"/>
          <w:color w:val="auto"/>
          <w:kern w:val="0"/>
          <w:highlight w:val="none"/>
        </w:rPr>
        <w:t>。</w:t>
      </w:r>
    </w:p>
    <w:p w14:paraId="2D6F792D">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16.1.3 因发包人违约解除合同</w:t>
      </w:r>
    </w:p>
    <w:p w14:paraId="49DBCCD5">
      <w:pPr>
        <w:autoSpaceDE w:val="0"/>
        <w:autoSpaceDN w:val="0"/>
        <w:adjustRightInd w:val="0"/>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承包人按16.1.1项〔发包人违约的情形〕约定暂停施工满</w:t>
      </w:r>
      <w:r>
        <w:rPr>
          <w:rFonts w:hint="eastAsia" w:ascii="宋体" w:hAnsi="宋体" w:eastAsia="宋体" w:cs="宋体"/>
          <w:color w:val="auto"/>
          <w:kern w:val="0"/>
          <w:highlight w:val="none"/>
          <w:u w:val="single"/>
          <w:lang w:val="en-US" w:eastAsia="zh-CN"/>
        </w:rPr>
        <w:t xml:space="preserve"> / </w:t>
      </w:r>
      <w:r>
        <w:rPr>
          <w:rFonts w:hint="eastAsia" w:ascii="宋体" w:hAnsi="宋体" w:eastAsia="宋体" w:cs="宋体"/>
          <w:color w:val="auto"/>
          <w:kern w:val="0"/>
          <w:highlight w:val="none"/>
        </w:rPr>
        <w:t>天后发包人仍不纠正其违约行为并致使合同目的不能实现的，承包人有权解除合同。</w:t>
      </w:r>
    </w:p>
    <w:p w14:paraId="3CF17412">
      <w:pPr>
        <w:pStyle w:val="4"/>
        <w:rPr>
          <w:rFonts w:hint="eastAsia" w:ascii="宋体" w:hAnsi="宋体" w:eastAsia="宋体" w:cs="宋体"/>
          <w:color w:val="auto"/>
          <w:highlight w:val="none"/>
        </w:rPr>
      </w:pPr>
      <w:bookmarkStart w:id="1538" w:name="_Toc373478415"/>
      <w:bookmarkStart w:id="1539" w:name="_Toc389065333"/>
      <w:bookmarkStart w:id="1540" w:name="_Toc78449857"/>
      <w:bookmarkStart w:id="1541" w:name="_Toc61078193"/>
      <w:bookmarkStart w:id="1542" w:name="_Toc247586342"/>
      <w:bookmarkStart w:id="1543" w:name="_Toc407135271"/>
      <w:bookmarkStart w:id="1544" w:name="_Toc373227768"/>
      <w:r>
        <w:rPr>
          <w:rFonts w:hint="eastAsia" w:ascii="宋体" w:hAnsi="宋体" w:eastAsia="宋体" w:cs="宋体"/>
          <w:color w:val="auto"/>
          <w:highlight w:val="none"/>
        </w:rPr>
        <w:t>16.2 承包人违约</w:t>
      </w:r>
      <w:bookmarkEnd w:id="1538"/>
      <w:bookmarkEnd w:id="1539"/>
      <w:bookmarkEnd w:id="1540"/>
      <w:bookmarkEnd w:id="1541"/>
      <w:bookmarkEnd w:id="1542"/>
      <w:bookmarkEnd w:id="1543"/>
      <w:bookmarkEnd w:id="1544"/>
    </w:p>
    <w:p w14:paraId="3EA6726F">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16.2.1 承包人违约的情形</w:t>
      </w:r>
    </w:p>
    <w:p w14:paraId="287CC417">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承包人违约的其他情形：</w:t>
      </w:r>
    </w:p>
    <w:p w14:paraId="182E840B">
      <w:pPr>
        <w:spacing w:line="360" w:lineRule="auto"/>
        <w:ind w:firstLine="420" w:firstLineChars="200"/>
        <w:jc w:val="left"/>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u w:val="single"/>
        </w:rPr>
        <w:t>(1) 承包人在保修期内拒绝按规定进行修复，或经监理人检验认为修复质量不合格而承包人拒绝再进行修补的， 发包人将扣除承包人全部质量保修金；</w:t>
      </w:r>
    </w:p>
    <w:p w14:paraId="114D2B82">
      <w:pPr>
        <w:spacing w:line="360" w:lineRule="auto"/>
        <w:ind w:firstLine="420" w:firstLineChars="200"/>
        <w:jc w:val="left"/>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u w:val="single"/>
        </w:rPr>
        <w:t>(2）承包人违约有以下情况之一者，发包人有权采取合同规定的以下措施处理并视情节轻重予以罚款：</w:t>
      </w:r>
    </w:p>
    <w:p w14:paraId="58D9682C">
      <w:pPr>
        <w:spacing w:line="360" w:lineRule="auto"/>
        <w:ind w:firstLine="420" w:firstLineChars="200"/>
        <w:jc w:val="left"/>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u w:val="single"/>
        </w:rPr>
        <w:t>A、未经监理工程师审查批准，施工期内自行调走主要施工机械，经发现不及时调回的，视为承包人违约，发包人有权收取违约金，金额为</w:t>
      </w:r>
      <w:r>
        <w:rPr>
          <w:rFonts w:hint="eastAsia" w:ascii="宋体" w:hAnsi="宋体" w:eastAsia="宋体" w:cs="宋体"/>
          <w:color w:val="auto"/>
          <w:kern w:val="0"/>
          <w:highlight w:val="none"/>
          <w:u w:val="single"/>
          <w:lang w:val="en-US" w:eastAsia="zh-CN"/>
        </w:rPr>
        <w:t>合同价</w:t>
      </w:r>
      <w:r>
        <w:rPr>
          <w:rFonts w:hint="eastAsia" w:ascii="宋体" w:hAnsi="宋体" w:eastAsia="宋体" w:cs="宋体"/>
          <w:color w:val="auto"/>
          <w:kern w:val="0"/>
          <w:highlight w:val="none"/>
          <w:u w:val="single"/>
        </w:rPr>
        <w:t>的10-50 ％（视情节严重而定）。</w:t>
      </w:r>
    </w:p>
    <w:p w14:paraId="01932C20">
      <w:pPr>
        <w:spacing w:line="360" w:lineRule="auto"/>
        <w:ind w:firstLine="420" w:firstLineChars="200"/>
        <w:jc w:val="left"/>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u w:val="single"/>
        </w:rPr>
        <w:t>B、违约金金额</w:t>
      </w:r>
      <w:r>
        <w:rPr>
          <w:rFonts w:hint="eastAsia" w:ascii="宋体" w:hAnsi="宋体" w:eastAsia="宋体" w:cs="宋体"/>
          <w:color w:val="auto"/>
          <w:kern w:val="0"/>
          <w:highlight w:val="none"/>
          <w:u w:val="single"/>
          <w:lang w:val="en-US" w:eastAsia="zh-CN"/>
        </w:rPr>
        <w:t>可</w:t>
      </w:r>
      <w:r>
        <w:rPr>
          <w:rFonts w:hint="eastAsia" w:ascii="宋体" w:hAnsi="宋体" w:eastAsia="宋体" w:cs="宋体"/>
          <w:color w:val="auto"/>
          <w:kern w:val="0"/>
          <w:highlight w:val="none"/>
          <w:u w:val="single"/>
        </w:rPr>
        <w:t>在承包人的计量支付款内扣除</w:t>
      </w:r>
      <w:r>
        <w:rPr>
          <w:rFonts w:hint="eastAsia" w:ascii="宋体" w:hAnsi="宋体" w:eastAsia="宋体" w:cs="宋体"/>
          <w:color w:val="auto"/>
          <w:kern w:val="0"/>
          <w:highlight w:val="none"/>
          <w:u w:val="single"/>
          <w:lang w:eastAsia="zh-CN"/>
        </w:rPr>
        <w:t>，</w:t>
      </w:r>
      <w:r>
        <w:rPr>
          <w:rFonts w:hint="eastAsia" w:ascii="宋体" w:hAnsi="宋体" w:eastAsia="宋体" w:cs="宋体"/>
          <w:color w:val="auto"/>
          <w:kern w:val="0"/>
          <w:highlight w:val="none"/>
          <w:u w:val="single"/>
          <w:lang w:val="en-US" w:eastAsia="zh-CN"/>
        </w:rPr>
        <w:t>也可就违约责任向承包人索赔</w:t>
      </w:r>
      <w:r>
        <w:rPr>
          <w:rFonts w:hint="eastAsia" w:ascii="宋体" w:hAnsi="宋体" w:eastAsia="宋体" w:cs="宋体"/>
          <w:color w:val="auto"/>
          <w:kern w:val="0"/>
          <w:highlight w:val="none"/>
          <w:u w:val="single"/>
        </w:rPr>
        <w:t>。</w:t>
      </w:r>
    </w:p>
    <w:p w14:paraId="5D56DE11">
      <w:pPr>
        <w:spacing w:line="360" w:lineRule="auto"/>
        <w:ind w:firstLine="420" w:firstLineChars="200"/>
        <w:jc w:val="left"/>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u w:val="single"/>
        </w:rPr>
        <w:t xml:space="preserve">C、承包人在合同期内完成合同规定的全部工程且质量合格可于工程竣工验收后 15 天内申请返还全部或部分罚款，返还金额由监理工程师审核， 发包人批准，罚款金额返还时不包括银行利息； </w:t>
      </w:r>
    </w:p>
    <w:p w14:paraId="3DF6957A">
      <w:pPr>
        <w:spacing w:line="360" w:lineRule="auto"/>
        <w:ind w:firstLine="420" w:firstLineChars="200"/>
        <w:jc w:val="left"/>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u w:val="single"/>
        </w:rPr>
        <w:t>(3）承包人有违反《南宁市建设工程造价管理办法》（南宁市人民政府令2007年第5号） 规定的，按规定给予处罚。</w:t>
      </w:r>
    </w:p>
    <w:p w14:paraId="37B6A0D7">
      <w:pPr>
        <w:spacing w:line="360" w:lineRule="auto"/>
        <w:ind w:firstLine="420" w:firstLineChars="200"/>
        <w:jc w:val="left"/>
        <w:outlineLvl w:val="0"/>
        <w:rPr>
          <w:rFonts w:hint="eastAsia" w:ascii="宋体" w:hAnsi="宋体" w:eastAsia="宋体" w:cs="宋体"/>
          <w:color w:val="auto"/>
          <w:kern w:val="0"/>
          <w:highlight w:val="none"/>
        </w:rPr>
      </w:pPr>
      <w:r>
        <w:rPr>
          <w:rFonts w:hint="eastAsia" w:ascii="宋体" w:hAnsi="宋体" w:eastAsia="宋体" w:cs="宋体"/>
          <w:color w:val="auto"/>
          <w:kern w:val="0"/>
          <w:highlight w:val="none"/>
        </w:rPr>
        <w:t>16.2.2承包人违约的责任</w:t>
      </w:r>
    </w:p>
    <w:p w14:paraId="1B6C8DEC">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承包人违约责任的承担方式和计算方法：</w:t>
      </w:r>
    </w:p>
    <w:p w14:paraId="38BC41BD">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承包人有本合同通用条款第16.2.1（2）、（3）条内容情形的，承包人无条件返工处理，修复至工程质量要求并承担相关费用，并在发包人规定的时间内完成返工，否则发包人有权扣罚该分项工程10%的工程款作为处罚。</w:t>
      </w:r>
    </w:p>
    <w:p w14:paraId="5A95D15F">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（2）承包人有本合同通用条款第16.2.1（6）条情形的，或经监理人检验认为修复质量不合格而承包人拒绝再进行修补的，发包人将扣除承包人全部质量保证金。</w:t>
      </w:r>
    </w:p>
    <w:p w14:paraId="38BD69F9">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3）承包人有本专用合同条款3.2、3.3条违约责任的，发包人有权扣除承包人的违约金。违约金金额均在承包人计量支付款内扣除。监理人预先下发含有罚款意向的指令，如承包人不及时采取措施纠正，则在指令下达后十五天下发罚款通知书（不再陈述罚款理由）。承包人在合同期内，完成合同规定的全部工程，且质量合格，在本工程施工竣工验收后十五天内可申请返还全部或部分罚款，返还金额由监理人审核，发包人批准。罚款金额返还时不包括银行利息。</w:t>
      </w:r>
    </w:p>
    <w:p w14:paraId="7D54C774">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16.2.3 因承包人违约解除合同</w:t>
      </w:r>
    </w:p>
    <w:p w14:paraId="12B01585">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关于承包人违约解除合同的特别约定：</w:t>
      </w:r>
      <w:r>
        <w:rPr>
          <w:rFonts w:hint="eastAsia" w:ascii="宋体" w:hAnsi="宋体" w:eastAsia="宋体" w:cs="宋体"/>
          <w:color w:val="auto"/>
          <w:kern w:val="0"/>
          <w:highlight w:val="none"/>
          <w:u w:val="single"/>
        </w:rPr>
        <w:t>承包人有违反以下情况之一的，发包人有权解除合同，并</w:t>
      </w:r>
      <w:r>
        <w:rPr>
          <w:rFonts w:hint="eastAsia" w:ascii="宋体" w:hAnsi="宋体" w:eastAsia="宋体" w:cs="宋体"/>
          <w:color w:val="auto"/>
          <w:kern w:val="0"/>
          <w:highlight w:val="none"/>
          <w:u w:val="single"/>
          <w:lang w:val="en-US" w:eastAsia="zh-CN"/>
        </w:rPr>
        <w:t>按规定追究承包人违约责任</w:t>
      </w:r>
      <w:r>
        <w:rPr>
          <w:rFonts w:hint="eastAsia" w:ascii="宋体" w:hAnsi="宋体" w:eastAsia="宋体" w:cs="宋体"/>
          <w:color w:val="auto"/>
          <w:kern w:val="0"/>
          <w:highlight w:val="none"/>
        </w:rPr>
        <w:t>。</w:t>
      </w:r>
    </w:p>
    <w:p w14:paraId="04C14FFC">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(1)承包人无正当理由不按开工通知的要求及时进场组织施工和不按签订协议书时商定的进度计划有效地开展施工准备，造成工期延误的；</w:t>
      </w:r>
    </w:p>
    <w:p w14:paraId="355F9E68">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(2)承包人违反本合同通用条款第3.5条规定私自将合同或合同的任何部分或任何权利转让给其他人，或私自将工程或工程的一部分分包出去的；</w:t>
      </w:r>
    </w:p>
    <w:p w14:paraId="04F3DDF1">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(3)未经监理人批准，承包人私自将已按</w:t>
      </w:r>
      <w:r>
        <w:rPr>
          <w:rFonts w:hint="eastAsia" w:ascii="宋体" w:hAnsi="宋体" w:eastAsia="宋体" w:cs="宋体"/>
          <w:color w:val="auto"/>
          <w:kern w:val="0"/>
          <w:highlight w:val="none"/>
          <w:lang w:val="en-US" w:eastAsia="zh-CN"/>
        </w:rPr>
        <w:t>合同</w:t>
      </w:r>
      <w:r>
        <w:rPr>
          <w:rFonts w:hint="eastAsia" w:ascii="宋体" w:hAnsi="宋体" w:eastAsia="宋体" w:cs="宋体"/>
          <w:color w:val="auto"/>
          <w:kern w:val="0"/>
          <w:highlight w:val="none"/>
        </w:rPr>
        <w:t>文件承诺进入工地的工程设备、施工设备、临时工程或材料撤离工地的；</w:t>
      </w:r>
    </w:p>
    <w:p w14:paraId="5629C82C">
      <w:pPr>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(4)由于承包人原因拒绝按合同进度计划及时完成合同规定的工程，而又未采取有效措施赶上进度，造成工期严重延误的；</w:t>
      </w:r>
    </w:p>
    <w:p w14:paraId="242A10AF">
      <w:pPr>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(5)承包人否认合同有效或拒绝履行合同规定的承包人义务，或由于法律、财务等原因导致承包人无法继续履行或实质上已停止履行合同的义务的；</w:t>
      </w:r>
    </w:p>
    <w:p w14:paraId="37B95FF4">
      <w:pPr>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(6)合同签订</w:t>
      </w:r>
      <w:r>
        <w:rPr>
          <w:rFonts w:hint="eastAsia" w:ascii="宋体" w:hAnsi="宋体" w:eastAsia="宋体" w:cs="宋体"/>
          <w:color w:val="auto"/>
          <w:highlight w:val="none"/>
        </w:rPr>
        <w:t>且具备法定开工条件后</w:t>
      </w:r>
      <w:r>
        <w:rPr>
          <w:rFonts w:hint="eastAsia" w:ascii="宋体" w:hAnsi="宋体" w:eastAsia="宋体" w:cs="宋体"/>
          <w:color w:val="auto"/>
          <w:kern w:val="0"/>
          <w:highlight w:val="none"/>
        </w:rPr>
        <w:t>之日起十五日内，承包人无法按合同规定及</w:t>
      </w:r>
      <w:r>
        <w:rPr>
          <w:rFonts w:hint="eastAsia" w:ascii="宋体" w:hAnsi="宋体" w:eastAsia="宋体" w:cs="宋体"/>
          <w:color w:val="auto"/>
          <w:kern w:val="0"/>
          <w:highlight w:val="none"/>
          <w:lang w:val="en-US" w:eastAsia="zh-CN"/>
        </w:rPr>
        <w:t>合同</w:t>
      </w:r>
      <w:r>
        <w:rPr>
          <w:rFonts w:hint="eastAsia" w:ascii="宋体" w:hAnsi="宋体" w:eastAsia="宋体" w:cs="宋体"/>
          <w:color w:val="auto"/>
          <w:kern w:val="0"/>
          <w:highlight w:val="none"/>
        </w:rPr>
        <w:t>文件的承诺进场经监理工程师认可的该施工阶段应有的全部人员和机械的。</w:t>
      </w:r>
    </w:p>
    <w:p w14:paraId="7C48D8F8">
      <w:pPr>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发包人继续使用承包人在施工现场的材料、设备、临时工程、承包人文件和由承包人或以其名义编制的其他文件的费用承担方式：</w:t>
      </w:r>
      <w:r>
        <w:rPr>
          <w:rFonts w:hint="eastAsia" w:ascii="宋体" w:hAnsi="宋体" w:eastAsia="宋体" w:cs="宋体"/>
          <w:color w:val="auto"/>
          <w:kern w:val="0"/>
          <w:highlight w:val="none"/>
          <w:u w:val="single"/>
          <w:lang w:eastAsia="zh-CN"/>
        </w:rPr>
        <w:t>承包人承担</w:t>
      </w:r>
      <w:r>
        <w:rPr>
          <w:rFonts w:hint="eastAsia" w:ascii="宋体" w:hAnsi="宋体" w:eastAsia="宋体" w:cs="宋体"/>
          <w:color w:val="auto"/>
          <w:kern w:val="0"/>
          <w:highlight w:val="none"/>
        </w:rPr>
        <w:t>。</w:t>
      </w:r>
    </w:p>
    <w:p w14:paraId="61C015F6">
      <w:pPr>
        <w:pStyle w:val="3"/>
        <w:rPr>
          <w:rFonts w:hint="eastAsia" w:ascii="宋体" w:hAnsi="宋体" w:eastAsia="宋体" w:cs="宋体"/>
          <w:color w:val="auto"/>
          <w:highlight w:val="none"/>
        </w:rPr>
      </w:pPr>
      <w:bookmarkStart w:id="1545" w:name="_Toc407135272"/>
      <w:bookmarkStart w:id="1546" w:name="_Toc389065334"/>
      <w:bookmarkStart w:id="1547" w:name="_Toc78449858"/>
      <w:bookmarkStart w:id="1548" w:name="_Toc351203649"/>
      <w:bookmarkStart w:id="1549" w:name="_Toc373478416"/>
      <w:bookmarkStart w:id="1550" w:name="_Toc373227769"/>
      <w:bookmarkStart w:id="1551" w:name="_Toc1117922953"/>
      <w:bookmarkStart w:id="1552" w:name="_Toc1753556740"/>
      <w:r>
        <w:rPr>
          <w:rFonts w:hint="eastAsia" w:ascii="宋体" w:hAnsi="宋体" w:eastAsia="宋体" w:cs="宋体"/>
          <w:color w:val="auto"/>
          <w:highlight w:val="none"/>
        </w:rPr>
        <w:t>17. 不可抗力</w:t>
      </w:r>
      <w:bookmarkEnd w:id="1545"/>
      <w:bookmarkEnd w:id="1546"/>
      <w:bookmarkEnd w:id="1547"/>
      <w:bookmarkEnd w:id="1548"/>
      <w:bookmarkEnd w:id="1549"/>
      <w:bookmarkEnd w:id="1550"/>
      <w:bookmarkEnd w:id="1551"/>
      <w:bookmarkEnd w:id="1552"/>
      <w:r>
        <w:rPr>
          <w:rFonts w:hint="eastAsia" w:ascii="宋体" w:hAnsi="宋体" w:eastAsia="宋体" w:cs="宋体"/>
          <w:color w:val="auto"/>
          <w:highlight w:val="none"/>
        </w:rPr>
        <w:t xml:space="preserve"> </w:t>
      </w:r>
      <w:bookmarkEnd w:id="1529"/>
    </w:p>
    <w:p w14:paraId="032AA516">
      <w:pPr>
        <w:pStyle w:val="4"/>
        <w:rPr>
          <w:rFonts w:hint="eastAsia" w:ascii="宋体" w:hAnsi="宋体" w:eastAsia="宋体" w:cs="宋体"/>
          <w:color w:val="auto"/>
          <w:highlight w:val="none"/>
        </w:rPr>
      </w:pPr>
      <w:bookmarkStart w:id="1553" w:name="_Toc407135273"/>
      <w:bookmarkStart w:id="1554" w:name="_Toc429574049"/>
      <w:bookmarkStart w:id="1555" w:name="_Toc666312941"/>
      <w:bookmarkStart w:id="1556" w:name="_Toc373227770"/>
      <w:bookmarkStart w:id="1557" w:name="_Toc78449859"/>
      <w:bookmarkStart w:id="1558" w:name="_Toc373478417"/>
      <w:bookmarkStart w:id="1559" w:name="_Toc389065335"/>
      <w:r>
        <w:rPr>
          <w:rFonts w:hint="eastAsia" w:ascii="宋体" w:hAnsi="宋体" w:eastAsia="宋体" w:cs="宋体"/>
          <w:color w:val="auto"/>
          <w:highlight w:val="none"/>
        </w:rPr>
        <w:t>17.1 不可抗力的确认</w:t>
      </w:r>
      <w:bookmarkEnd w:id="1553"/>
      <w:bookmarkEnd w:id="1554"/>
      <w:bookmarkEnd w:id="1555"/>
      <w:bookmarkEnd w:id="1556"/>
      <w:bookmarkEnd w:id="1557"/>
      <w:bookmarkEnd w:id="1558"/>
      <w:bookmarkEnd w:id="1559"/>
    </w:p>
    <w:p w14:paraId="218FBB66">
      <w:pPr>
        <w:spacing w:line="360" w:lineRule="auto"/>
        <w:ind w:firstLine="420" w:firstLineChars="200"/>
        <w:jc w:val="left"/>
        <w:rPr>
          <w:rFonts w:hint="eastAsia" w:ascii="宋体" w:hAnsi="宋体" w:eastAsia="宋体" w:cs="宋体"/>
          <w:color w:val="auto"/>
          <w:kern w:val="0"/>
          <w:highlight w:val="none"/>
          <w:u w:val="single"/>
        </w:rPr>
      </w:pPr>
      <w:r>
        <w:rPr>
          <w:rFonts w:hint="eastAsia" w:ascii="宋体" w:hAnsi="宋体" w:eastAsia="宋体" w:cs="宋体"/>
          <w:color w:val="auto"/>
          <w:highlight w:val="none"/>
        </w:rPr>
        <w:t>除通用合同条款约定的不可抗力事件之外，视为不可抗力的其他情形：</w:t>
      </w:r>
      <w:r>
        <w:rPr>
          <w:rFonts w:hint="eastAsia" w:ascii="宋体" w:hAnsi="宋体" w:eastAsia="宋体" w:cs="宋体"/>
          <w:color w:val="auto"/>
          <w:highlight w:val="none"/>
          <w:u w:val="single"/>
        </w:rPr>
        <w:t>① 6 级以上的地震；②10级以上的持续3天的大风；③暴雨级以上的持续3天的大雨；④50年以上未发生过，持续3天的高温天气⑤50年以上未发生过，持续 3 天的严寒天气；⑥50年以上未发生过的洪水；⑦ 战争、战乱、空中巨型物坠落；⑧其他不可预见的不可抗力；⑨由于任何爆炸性核装置或其看 不见的任何核燃料或核燃料燃烧后的核废物、放射性有毒炸药，或其他有害物质所引起的放射性污染</w:t>
      </w:r>
      <w:r>
        <w:rPr>
          <w:rFonts w:hint="eastAsia" w:ascii="宋体" w:hAnsi="宋体" w:eastAsia="宋体" w:cs="宋体"/>
          <w:color w:val="auto"/>
          <w:highlight w:val="none"/>
        </w:rPr>
        <w:t>。</w:t>
      </w:r>
    </w:p>
    <w:p w14:paraId="05470072">
      <w:pPr>
        <w:pStyle w:val="4"/>
        <w:rPr>
          <w:rFonts w:hint="eastAsia" w:ascii="宋体" w:hAnsi="宋体" w:eastAsia="宋体" w:cs="宋体"/>
          <w:color w:val="auto"/>
          <w:highlight w:val="none"/>
        </w:rPr>
      </w:pPr>
      <w:bookmarkStart w:id="1560" w:name="_Toc407135274"/>
      <w:bookmarkStart w:id="1561" w:name="_Toc1951449751"/>
      <w:bookmarkStart w:id="1562" w:name="_Toc373227771"/>
      <w:bookmarkStart w:id="1563" w:name="_Toc389065336"/>
      <w:bookmarkStart w:id="1564" w:name="_Toc373478418"/>
      <w:bookmarkStart w:id="1565" w:name="_Toc78449860"/>
      <w:bookmarkStart w:id="1566" w:name="_Toc658729758"/>
      <w:r>
        <w:rPr>
          <w:rFonts w:hint="eastAsia" w:ascii="宋体" w:hAnsi="宋体" w:eastAsia="宋体" w:cs="宋体"/>
          <w:color w:val="auto"/>
          <w:highlight w:val="none"/>
        </w:rPr>
        <w:t>17.4 因不可抗力解除合同</w:t>
      </w:r>
      <w:bookmarkEnd w:id="1560"/>
      <w:bookmarkEnd w:id="1561"/>
      <w:bookmarkEnd w:id="1562"/>
      <w:bookmarkEnd w:id="1563"/>
      <w:bookmarkEnd w:id="1564"/>
      <w:bookmarkEnd w:id="1565"/>
      <w:bookmarkEnd w:id="1566"/>
    </w:p>
    <w:p w14:paraId="7924EDDD">
      <w:pPr>
        <w:spacing w:line="360" w:lineRule="auto"/>
        <w:ind w:firstLine="420" w:firstLineChars="200"/>
        <w:jc w:val="left"/>
        <w:rPr>
          <w:rFonts w:hint="eastAsia" w:ascii="宋体" w:hAnsi="宋体" w:eastAsia="宋体" w:cs="宋体"/>
          <w:color w:val="000000"/>
          <w:highlight w:val="none"/>
        </w:rPr>
      </w:pPr>
      <w:r>
        <w:rPr>
          <w:rFonts w:hint="eastAsia" w:ascii="宋体" w:hAnsi="宋体" w:eastAsia="宋体" w:cs="宋体"/>
          <w:color w:val="000000"/>
          <w:highlight w:val="none"/>
        </w:rPr>
        <w:t>合同解除后，发包人应在商定或确定发包人应支付款项后</w:t>
      </w:r>
      <w:r>
        <w:rPr>
          <w:rFonts w:hint="eastAsia" w:ascii="宋体" w:hAnsi="宋体" w:eastAsia="宋体" w:cs="宋体"/>
          <w:color w:val="000000"/>
          <w:highlight w:val="none"/>
          <w:u w:val="single"/>
          <w:lang w:val="en-US" w:eastAsia="zh-CN"/>
        </w:rPr>
        <w:t xml:space="preserve"> /  </w:t>
      </w:r>
      <w:r>
        <w:rPr>
          <w:rFonts w:hint="eastAsia" w:ascii="宋体" w:hAnsi="宋体" w:eastAsia="宋体" w:cs="宋体"/>
          <w:color w:val="000000"/>
          <w:highlight w:val="none"/>
        </w:rPr>
        <w:t>天内完成款项的支付。</w:t>
      </w:r>
    </w:p>
    <w:p w14:paraId="7F332CD4">
      <w:pPr>
        <w:pStyle w:val="3"/>
        <w:rPr>
          <w:rFonts w:hint="eastAsia" w:ascii="宋体" w:hAnsi="宋体" w:eastAsia="宋体" w:cs="宋体"/>
          <w:color w:val="auto"/>
          <w:highlight w:val="none"/>
        </w:rPr>
      </w:pPr>
      <w:bookmarkStart w:id="1567" w:name="_Toc351203650"/>
      <w:bookmarkStart w:id="1568" w:name="_Toc612072600"/>
      <w:bookmarkStart w:id="1569" w:name="_Toc407135275"/>
      <w:bookmarkStart w:id="1570" w:name="_Toc373227772"/>
      <w:bookmarkStart w:id="1571" w:name="_Toc389065337"/>
      <w:bookmarkStart w:id="1572" w:name="_Toc78449861"/>
      <w:bookmarkStart w:id="1573" w:name="_Toc373478419"/>
      <w:bookmarkStart w:id="1574" w:name="_Toc56822299"/>
      <w:r>
        <w:rPr>
          <w:rFonts w:hint="eastAsia" w:ascii="宋体" w:hAnsi="宋体" w:eastAsia="宋体" w:cs="宋体"/>
          <w:color w:val="auto"/>
          <w:highlight w:val="none"/>
        </w:rPr>
        <w:t>18. 保险</w:t>
      </w:r>
      <w:bookmarkEnd w:id="1567"/>
      <w:bookmarkEnd w:id="1568"/>
      <w:bookmarkEnd w:id="1569"/>
      <w:bookmarkEnd w:id="1570"/>
      <w:bookmarkEnd w:id="1571"/>
      <w:bookmarkEnd w:id="1572"/>
      <w:bookmarkEnd w:id="1573"/>
      <w:bookmarkEnd w:id="1574"/>
    </w:p>
    <w:bookmarkEnd w:id="1530"/>
    <w:p w14:paraId="1C171965">
      <w:pPr>
        <w:pStyle w:val="4"/>
        <w:rPr>
          <w:rFonts w:hint="eastAsia" w:ascii="宋体" w:hAnsi="宋体" w:eastAsia="宋体" w:cs="宋体"/>
          <w:color w:val="auto"/>
          <w:highlight w:val="none"/>
        </w:rPr>
      </w:pPr>
      <w:bookmarkStart w:id="1575" w:name="_Toc2075285517"/>
      <w:bookmarkStart w:id="1576" w:name="_Toc373478420"/>
      <w:bookmarkStart w:id="1577" w:name="_Toc389065338"/>
      <w:bookmarkStart w:id="1578" w:name="_Toc78449862"/>
      <w:bookmarkStart w:id="1579" w:name="_Toc373227773"/>
      <w:bookmarkStart w:id="1580" w:name="_Toc1446953302"/>
      <w:bookmarkStart w:id="1581" w:name="_Toc407135276"/>
      <w:r>
        <w:rPr>
          <w:rFonts w:hint="eastAsia" w:ascii="宋体" w:hAnsi="宋体" w:eastAsia="宋体" w:cs="宋体"/>
          <w:color w:val="auto"/>
          <w:highlight w:val="none"/>
        </w:rPr>
        <w:t>18.1 工程保险</w:t>
      </w:r>
      <w:bookmarkEnd w:id="1575"/>
      <w:bookmarkEnd w:id="1576"/>
      <w:bookmarkEnd w:id="1577"/>
      <w:bookmarkEnd w:id="1578"/>
      <w:bookmarkEnd w:id="1579"/>
      <w:bookmarkEnd w:id="1580"/>
      <w:bookmarkEnd w:id="1581"/>
    </w:p>
    <w:p w14:paraId="36D58CC1">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关于工程保险的特别约定：</w:t>
      </w:r>
      <w:r>
        <w:rPr>
          <w:rFonts w:hint="eastAsia" w:ascii="宋体" w:hAnsi="宋体" w:eastAsia="宋体" w:cs="宋体"/>
          <w:color w:val="auto"/>
          <w:highlight w:val="none"/>
          <w:u w:val="single"/>
        </w:rPr>
        <w:t>发包人可根据需要投保工程质量保险；对已投保的工程项目，承包人应积极配合保险公司开展相关工作</w:t>
      </w:r>
      <w:r>
        <w:rPr>
          <w:rFonts w:hint="eastAsia" w:ascii="宋体" w:hAnsi="宋体" w:eastAsia="宋体" w:cs="宋体"/>
          <w:color w:val="auto"/>
          <w:kern w:val="0"/>
          <w:highlight w:val="none"/>
        </w:rPr>
        <w:t>。</w:t>
      </w:r>
    </w:p>
    <w:p w14:paraId="4DB6EF1F">
      <w:pPr>
        <w:pStyle w:val="4"/>
        <w:rPr>
          <w:rFonts w:hint="eastAsia" w:ascii="宋体" w:hAnsi="宋体" w:eastAsia="宋体" w:cs="宋体"/>
          <w:color w:val="auto"/>
          <w:highlight w:val="none"/>
        </w:rPr>
      </w:pPr>
      <w:bookmarkStart w:id="1582" w:name="_Toc454766369"/>
      <w:bookmarkStart w:id="1583" w:name="_Toc78449863"/>
      <w:bookmarkStart w:id="1584" w:name="_Toc407135277"/>
      <w:bookmarkStart w:id="1585" w:name="_Toc389065339"/>
      <w:bookmarkStart w:id="1586" w:name="_Toc373227774"/>
      <w:bookmarkStart w:id="1587" w:name="_Toc2001387503"/>
      <w:bookmarkStart w:id="1588" w:name="_Toc373478421"/>
      <w:r>
        <w:rPr>
          <w:rFonts w:hint="eastAsia" w:ascii="宋体" w:hAnsi="宋体" w:eastAsia="宋体" w:cs="宋体"/>
          <w:color w:val="auto"/>
          <w:highlight w:val="none"/>
        </w:rPr>
        <w:t>18.3 其他保险</w:t>
      </w:r>
      <w:bookmarkEnd w:id="1582"/>
      <w:bookmarkEnd w:id="1583"/>
      <w:bookmarkEnd w:id="1584"/>
      <w:bookmarkEnd w:id="1585"/>
      <w:bookmarkEnd w:id="1586"/>
      <w:bookmarkEnd w:id="1587"/>
      <w:bookmarkEnd w:id="1588"/>
    </w:p>
    <w:p w14:paraId="465BD5FB">
      <w:pPr>
        <w:spacing w:line="360" w:lineRule="auto"/>
        <w:ind w:firstLine="420" w:firstLineChars="200"/>
        <w:jc w:val="left"/>
        <w:rPr>
          <w:rFonts w:hint="eastAsia" w:ascii="宋体" w:hAnsi="宋体" w:eastAsia="宋体" w:cs="宋体"/>
          <w:color w:val="auto"/>
          <w:highlight w:val="none"/>
        </w:rPr>
      </w:pPr>
      <w:bookmarkStart w:id="1589" w:name="_Toc407135278"/>
      <w:bookmarkStart w:id="1590" w:name="_Toc78449864"/>
      <w:bookmarkStart w:id="1591" w:name="_Toc2102614655"/>
      <w:bookmarkStart w:id="1592" w:name="_Toc373478422"/>
      <w:bookmarkStart w:id="1593" w:name="_Toc1114527236"/>
      <w:bookmarkStart w:id="1594" w:name="_Toc389065340"/>
      <w:bookmarkStart w:id="1595" w:name="_Toc373227775"/>
      <w:r>
        <w:rPr>
          <w:rFonts w:hint="eastAsia" w:ascii="宋体" w:hAnsi="宋体" w:eastAsia="宋体" w:cs="宋体"/>
          <w:color w:val="auto"/>
          <w:highlight w:val="none"/>
        </w:rPr>
        <w:t>关于工程保险的特别约定：</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u w:val="single"/>
          <w:lang w:val="en-US" w:eastAsia="zh-CN"/>
        </w:rPr>
        <w:t>依据广西壮族自治区住房和城乡建设厅文件桂建发 (2023) 6 号文件规定，</w:t>
      </w:r>
      <w:r>
        <w:rPr>
          <w:rFonts w:hint="eastAsia" w:ascii="宋体" w:hAnsi="宋体" w:eastAsia="宋体" w:cs="宋体"/>
          <w:color w:val="auto"/>
          <w:kern w:val="0"/>
          <w:highlight w:val="none"/>
          <w:u w:val="single"/>
        </w:rPr>
        <w:t>安全生产责任保险费按分部分项工程费及措施项目费（含单价及总价措施项目费）为计算基数乘以 0.2%计入暂估价，工程结算时，由发承包双方根据工程实际情况确认的安全生产责任保险费计入工程造价</w:t>
      </w:r>
      <w:r>
        <w:rPr>
          <w:rFonts w:hint="eastAsia" w:ascii="宋体" w:hAnsi="宋体" w:eastAsia="宋体" w:cs="宋体"/>
          <w:color w:val="auto"/>
          <w:kern w:val="0"/>
          <w:highlight w:val="none"/>
        </w:rPr>
        <w:t>。</w:t>
      </w:r>
    </w:p>
    <w:p w14:paraId="523B5E3A">
      <w:pPr>
        <w:pStyle w:val="4"/>
        <w:rPr>
          <w:rFonts w:hint="eastAsia" w:ascii="宋体" w:hAnsi="宋体" w:eastAsia="宋体" w:cs="宋体"/>
          <w:color w:val="auto"/>
          <w:highlight w:val="none"/>
        </w:rPr>
      </w:pPr>
      <w:r>
        <w:rPr>
          <w:rFonts w:hint="eastAsia" w:ascii="宋体" w:hAnsi="宋体" w:eastAsia="宋体" w:cs="宋体"/>
          <w:color w:val="auto"/>
          <w:highlight w:val="none"/>
        </w:rPr>
        <w:t>18.7 通知义务</w:t>
      </w:r>
      <w:bookmarkEnd w:id="1589"/>
      <w:bookmarkEnd w:id="1590"/>
      <w:bookmarkEnd w:id="1591"/>
      <w:bookmarkEnd w:id="1592"/>
      <w:bookmarkEnd w:id="1593"/>
      <w:bookmarkEnd w:id="1594"/>
      <w:bookmarkEnd w:id="1595"/>
    </w:p>
    <w:p w14:paraId="675D81DC">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kern w:val="0"/>
          <w:highlight w:val="none"/>
        </w:rPr>
        <w:t>关于变更保险合同时的通知义务的约定：</w:t>
      </w:r>
      <w:r>
        <w:rPr>
          <w:rFonts w:hint="eastAsia" w:ascii="宋体" w:hAnsi="宋体" w:eastAsia="宋体" w:cs="宋体"/>
          <w:color w:val="auto"/>
          <w:kern w:val="0"/>
          <w:highlight w:val="none"/>
          <w:u w:val="single"/>
        </w:rPr>
        <w:t>发包人变更除工伤保险之外的保险合同时，应事先征得承包人同意，并通知监理人；承包人变更除工伤保险之外的保险合同时，应事先征得发包人同意，并通知监理人。保险事故发生时，投保人应按照保险合同规定的条件和期限及时向保险人报告。发包人和承包人应当在知道保险事故发生后及时通知对方</w:t>
      </w:r>
      <w:r>
        <w:rPr>
          <w:rFonts w:hint="eastAsia" w:ascii="宋体" w:hAnsi="宋体" w:eastAsia="宋体" w:cs="宋体"/>
          <w:color w:val="auto"/>
          <w:highlight w:val="none"/>
        </w:rPr>
        <w:t>。</w:t>
      </w:r>
    </w:p>
    <w:bookmarkEnd w:id="1478"/>
    <w:bookmarkEnd w:id="1479"/>
    <w:bookmarkEnd w:id="1480"/>
    <w:bookmarkEnd w:id="1481"/>
    <w:bookmarkEnd w:id="1482"/>
    <w:bookmarkEnd w:id="1483"/>
    <w:bookmarkEnd w:id="1484"/>
    <w:bookmarkEnd w:id="1485"/>
    <w:bookmarkEnd w:id="1486"/>
    <w:bookmarkEnd w:id="1487"/>
    <w:bookmarkEnd w:id="1488"/>
    <w:bookmarkEnd w:id="1489"/>
    <w:p w14:paraId="6CD4FBCD">
      <w:pPr>
        <w:pStyle w:val="3"/>
        <w:rPr>
          <w:rFonts w:hint="eastAsia" w:ascii="宋体" w:hAnsi="宋体" w:eastAsia="宋体" w:cs="宋体"/>
          <w:color w:val="auto"/>
          <w:highlight w:val="none"/>
        </w:rPr>
      </w:pPr>
      <w:bookmarkStart w:id="1596" w:name="_Toc351203651"/>
      <w:bookmarkStart w:id="1597" w:name="_Toc373478423"/>
      <w:bookmarkStart w:id="1598" w:name="_Toc78449865"/>
      <w:bookmarkStart w:id="1599" w:name="_Toc407135279"/>
      <w:bookmarkStart w:id="1600" w:name="_Toc1959910599"/>
      <w:bookmarkStart w:id="1601" w:name="_Toc1430568476"/>
      <w:bookmarkStart w:id="1602" w:name="_Toc389065341"/>
      <w:bookmarkStart w:id="1603" w:name="_Toc373227776"/>
      <w:r>
        <w:rPr>
          <w:rFonts w:hint="eastAsia" w:ascii="宋体" w:hAnsi="宋体" w:eastAsia="宋体" w:cs="宋体"/>
          <w:color w:val="auto"/>
          <w:highlight w:val="none"/>
        </w:rPr>
        <w:t>20. 争议解决</w:t>
      </w:r>
      <w:bookmarkEnd w:id="1596"/>
      <w:bookmarkEnd w:id="1597"/>
      <w:bookmarkEnd w:id="1598"/>
      <w:bookmarkEnd w:id="1599"/>
      <w:bookmarkEnd w:id="1600"/>
      <w:bookmarkEnd w:id="1601"/>
      <w:bookmarkEnd w:id="1602"/>
      <w:bookmarkEnd w:id="1603"/>
    </w:p>
    <w:bookmarkEnd w:id="1490"/>
    <w:bookmarkEnd w:id="1491"/>
    <w:p w14:paraId="0AD322E9">
      <w:pPr>
        <w:pStyle w:val="4"/>
        <w:rPr>
          <w:rFonts w:hint="eastAsia" w:ascii="宋体" w:hAnsi="宋体" w:eastAsia="宋体" w:cs="宋体"/>
          <w:color w:val="auto"/>
          <w:highlight w:val="none"/>
        </w:rPr>
      </w:pPr>
      <w:bookmarkStart w:id="1604" w:name="_Toc389065342"/>
      <w:bookmarkStart w:id="1605" w:name="_Toc2138124043"/>
      <w:bookmarkStart w:id="1606" w:name="_Toc373227777"/>
      <w:bookmarkStart w:id="1607" w:name="_Toc78449866"/>
      <w:bookmarkStart w:id="1608" w:name="_Toc373478424"/>
      <w:bookmarkStart w:id="1609" w:name="_Toc1645489822"/>
      <w:bookmarkStart w:id="1610" w:name="_Toc407135280"/>
      <w:r>
        <w:rPr>
          <w:rFonts w:hint="eastAsia" w:ascii="宋体" w:hAnsi="宋体" w:eastAsia="宋体" w:cs="宋体"/>
          <w:color w:val="auto"/>
          <w:highlight w:val="none"/>
        </w:rPr>
        <w:t>20.3 争</w:t>
      </w:r>
      <w:bookmarkEnd w:id="1492"/>
      <w:r>
        <w:rPr>
          <w:rFonts w:hint="eastAsia" w:ascii="宋体" w:hAnsi="宋体" w:eastAsia="宋体" w:cs="宋体"/>
          <w:color w:val="auto"/>
          <w:highlight w:val="none"/>
        </w:rPr>
        <w:t>议评审</w:t>
      </w:r>
      <w:bookmarkEnd w:id="1604"/>
      <w:bookmarkEnd w:id="1605"/>
      <w:bookmarkEnd w:id="1606"/>
      <w:bookmarkEnd w:id="1607"/>
      <w:bookmarkEnd w:id="1608"/>
      <w:bookmarkEnd w:id="1609"/>
      <w:bookmarkEnd w:id="1610"/>
    </w:p>
    <w:p w14:paraId="69CDACDF">
      <w:pPr>
        <w:spacing w:line="360" w:lineRule="auto"/>
        <w:ind w:left="149" w:leftChars="71" w:firstLine="315" w:firstLineChars="150"/>
        <w:jc w:val="left"/>
        <w:rPr>
          <w:rFonts w:hint="eastAsia" w:ascii="宋体" w:hAnsi="宋体" w:eastAsia="宋体" w:cs="宋体"/>
          <w:color w:val="auto"/>
          <w:highlight w:val="none"/>
          <w:u w:val="single"/>
        </w:rPr>
      </w:pPr>
      <w:r>
        <w:rPr>
          <w:rFonts w:hint="eastAsia" w:ascii="宋体" w:hAnsi="宋体" w:eastAsia="宋体" w:cs="宋体"/>
          <w:color w:val="auto"/>
          <w:highlight w:val="none"/>
        </w:rPr>
        <w:t>合同当事人是否同意将工程争议提交争议评审小组决定：</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6839C110">
      <w:pPr>
        <w:spacing w:line="360" w:lineRule="auto"/>
        <w:ind w:firstLine="420" w:firstLineChars="200"/>
        <w:jc w:val="left"/>
        <w:outlineLvl w:val="0"/>
        <w:rPr>
          <w:rFonts w:hint="eastAsia" w:ascii="宋体" w:hAnsi="宋体" w:eastAsia="宋体" w:cs="宋体"/>
          <w:color w:val="auto"/>
          <w:highlight w:val="none"/>
        </w:rPr>
      </w:pPr>
      <w:r>
        <w:rPr>
          <w:rFonts w:hint="eastAsia" w:ascii="宋体" w:hAnsi="宋体" w:eastAsia="宋体" w:cs="宋体"/>
          <w:color w:val="auto"/>
          <w:highlight w:val="none"/>
        </w:rPr>
        <w:t>20.3.1 争议评审小组的确定</w:t>
      </w:r>
    </w:p>
    <w:p w14:paraId="5125B640">
      <w:pPr>
        <w:spacing w:line="360" w:lineRule="auto"/>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争议评审小组成员的确定：</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32ADC2B4">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选定争议评审员的期限：</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655D3AEF">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争议评审小组成员的报酬承担方式：</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2EBC225">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其他事项的约定：</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31B9F09D">
      <w:pPr>
        <w:autoSpaceDE w:val="0"/>
        <w:autoSpaceDN w:val="0"/>
        <w:adjustRightInd w:val="0"/>
        <w:spacing w:line="360" w:lineRule="auto"/>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20.3.2 争议评审小组的决定</w:t>
      </w:r>
    </w:p>
    <w:p w14:paraId="59655DFC">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合同当事人关于本项的约定：</w:t>
      </w:r>
      <w:r>
        <w:rPr>
          <w:rFonts w:hint="eastAsia" w:ascii="宋体" w:hAnsi="宋体" w:eastAsia="宋体" w:cs="宋体"/>
          <w:color w:val="auto"/>
          <w:highlight w:val="none"/>
          <w:u w:val="single"/>
          <w:lang w:eastAsia="zh-CN"/>
        </w:rPr>
        <w:t>另行商定</w:t>
      </w:r>
      <w:r>
        <w:rPr>
          <w:rFonts w:hint="eastAsia" w:ascii="宋体" w:hAnsi="宋体" w:eastAsia="宋体" w:cs="宋体"/>
          <w:color w:val="auto"/>
          <w:highlight w:val="none"/>
        </w:rPr>
        <w:t>。</w:t>
      </w:r>
    </w:p>
    <w:p w14:paraId="553FFFC6">
      <w:pPr>
        <w:pStyle w:val="4"/>
        <w:rPr>
          <w:rFonts w:hint="eastAsia" w:ascii="宋体" w:hAnsi="宋体" w:eastAsia="宋体" w:cs="宋体"/>
          <w:color w:val="auto"/>
          <w:highlight w:val="none"/>
        </w:rPr>
      </w:pPr>
      <w:bookmarkStart w:id="1611" w:name="_Toc407135281"/>
      <w:bookmarkStart w:id="1612" w:name="_Toc373227778"/>
      <w:bookmarkStart w:id="1613" w:name="_Toc389065343"/>
      <w:bookmarkStart w:id="1614" w:name="_Toc1156795721"/>
      <w:bookmarkStart w:id="1615" w:name="_Toc78449867"/>
      <w:bookmarkStart w:id="1616" w:name="_Toc373478425"/>
      <w:bookmarkStart w:id="1617" w:name="_Toc1456517022"/>
      <w:r>
        <w:rPr>
          <w:rFonts w:hint="eastAsia" w:ascii="宋体" w:hAnsi="宋体" w:eastAsia="宋体" w:cs="宋体"/>
          <w:color w:val="auto"/>
          <w:highlight w:val="none"/>
        </w:rPr>
        <w:t>20.4 仲裁或诉讼</w:t>
      </w:r>
      <w:bookmarkEnd w:id="1493"/>
      <w:bookmarkEnd w:id="1611"/>
      <w:bookmarkEnd w:id="1612"/>
      <w:bookmarkEnd w:id="1613"/>
      <w:bookmarkEnd w:id="1614"/>
      <w:bookmarkEnd w:id="1615"/>
      <w:bookmarkEnd w:id="1616"/>
      <w:bookmarkEnd w:id="1617"/>
    </w:p>
    <w:p w14:paraId="5318872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因合同及合同有关事项发生的争议，按下列第</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（2）</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种方式解决：</w:t>
      </w:r>
    </w:p>
    <w:p w14:paraId="511FACD2">
      <w:pPr>
        <w:spacing w:line="360" w:lineRule="auto"/>
        <w:ind w:firstLine="420" w:firstLineChars="200"/>
        <w:jc w:val="left"/>
        <w:rPr>
          <w:rFonts w:hint="eastAsia" w:ascii="宋体" w:hAnsi="宋体" w:eastAsia="宋体" w:cs="宋体"/>
          <w:color w:val="000000"/>
          <w:highlight w:val="none"/>
        </w:rPr>
      </w:pPr>
      <w:r>
        <w:rPr>
          <w:rFonts w:hint="eastAsia" w:ascii="宋体" w:hAnsi="宋体" w:eastAsia="宋体" w:cs="宋体"/>
          <w:color w:val="auto"/>
          <w:highlight w:val="none"/>
        </w:rPr>
        <w:t>（1）提请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仲裁委员会按照该会仲裁规则进行仲裁，仲裁裁决是终局的，对合同双方均有约束力。</w:t>
      </w:r>
    </w:p>
    <w:p w14:paraId="2F98C1F5">
      <w:pPr>
        <w:spacing w:line="360" w:lineRule="auto"/>
        <w:ind w:firstLine="420" w:firstLineChars="200"/>
        <w:jc w:val="left"/>
        <w:rPr>
          <w:rFonts w:hint="eastAsia" w:ascii="宋体" w:hAnsi="宋体" w:eastAsia="宋体" w:cs="宋体"/>
          <w:color w:val="000000"/>
          <w:highlight w:val="none"/>
        </w:rPr>
      </w:pPr>
      <w:r>
        <w:rPr>
          <w:rFonts w:hint="eastAsia" w:ascii="宋体" w:hAnsi="宋体" w:eastAsia="宋体" w:cs="宋体"/>
          <w:color w:val="000000"/>
          <w:highlight w:val="none"/>
        </w:rPr>
        <w:t>（2）向</w:t>
      </w:r>
      <w:r>
        <w:rPr>
          <w:rFonts w:hint="eastAsia" w:ascii="宋体" w:hAnsi="宋体" w:cs="宋体"/>
          <w:color w:val="000000"/>
          <w:sz w:val="21"/>
          <w:u w:val="single"/>
          <w:lang w:val="en-US" w:eastAsia="zh-CN"/>
        </w:rPr>
        <w:t>横州市</w:t>
      </w:r>
      <w:r>
        <w:rPr>
          <w:rFonts w:hint="eastAsia" w:ascii="宋体" w:hAnsi="宋体" w:eastAsia="宋体" w:cs="宋体"/>
          <w:color w:val="000000"/>
          <w:highlight w:val="none"/>
        </w:rPr>
        <w:t>人民法院起诉。</w:t>
      </w:r>
      <w:bookmarkEnd w:id="1494"/>
      <w:bookmarkEnd w:id="1495"/>
      <w:bookmarkEnd w:id="1496"/>
      <w:bookmarkEnd w:id="1497"/>
      <w:bookmarkEnd w:id="1498"/>
      <w:bookmarkEnd w:id="1499"/>
    </w:p>
    <w:p w14:paraId="5F5C4008">
      <w:pPr>
        <w:spacing w:line="360" w:lineRule="auto"/>
        <w:ind w:firstLine="420" w:firstLineChars="200"/>
        <w:jc w:val="left"/>
        <w:rPr>
          <w:rFonts w:hint="eastAsia" w:ascii="宋体" w:hAnsi="宋体" w:eastAsia="宋体" w:cs="宋体"/>
          <w:color w:val="000000"/>
          <w:highlight w:val="none"/>
        </w:rPr>
      </w:pPr>
      <w:r>
        <w:rPr>
          <w:rFonts w:hint="eastAsia" w:ascii="宋体" w:hAnsi="宋体" w:eastAsia="宋体" w:cs="宋体"/>
          <w:color w:val="000000"/>
          <w:highlight w:val="none"/>
        </w:rPr>
        <w:t>以上条款的违约金或罚款等，经监理和</w:t>
      </w:r>
      <w:r>
        <w:rPr>
          <w:rFonts w:hint="eastAsia" w:ascii="宋体" w:hAnsi="宋体" w:eastAsia="宋体" w:cs="宋体"/>
          <w:color w:val="000000"/>
          <w:highlight w:val="none"/>
          <w:lang w:eastAsia="zh-CN"/>
        </w:rPr>
        <w:t>发包人</w:t>
      </w:r>
      <w:r>
        <w:rPr>
          <w:rFonts w:hint="eastAsia" w:ascii="宋体" w:hAnsi="宋体" w:eastAsia="宋体" w:cs="宋体"/>
          <w:color w:val="000000"/>
          <w:highlight w:val="none"/>
        </w:rPr>
        <w:t>确认签字后从本期工程款中扣除。</w:t>
      </w:r>
      <w:bookmarkStart w:id="1618" w:name="_Toc351203652"/>
    </w:p>
    <w:p w14:paraId="542B2205">
      <w:pPr>
        <w:spacing w:line="360" w:lineRule="auto"/>
        <w:jc w:val="left"/>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附件</w:t>
      </w:r>
      <w:bookmarkEnd w:id="1618"/>
    </w:p>
    <w:p w14:paraId="71C1D06B">
      <w:pPr>
        <w:spacing w:line="360" w:lineRule="auto"/>
        <w:jc w:val="left"/>
        <w:rPr>
          <w:rFonts w:hint="eastAsia" w:ascii="宋体" w:hAnsi="宋体" w:eastAsia="宋体" w:cs="宋体"/>
          <w:color w:val="000000"/>
          <w:highlight w:val="none"/>
        </w:rPr>
      </w:pPr>
      <w:r>
        <w:rPr>
          <w:rFonts w:hint="eastAsia" w:ascii="宋体" w:hAnsi="宋体" w:eastAsia="宋体" w:cs="宋体"/>
          <w:color w:val="000000"/>
          <w:highlight w:val="none"/>
        </w:rPr>
        <w:t>附件1：承包人承揽工程项目一览表</w:t>
      </w:r>
    </w:p>
    <w:p w14:paraId="6E4E86F5">
      <w:pPr>
        <w:spacing w:line="360" w:lineRule="auto"/>
        <w:jc w:val="left"/>
        <w:rPr>
          <w:rFonts w:hint="eastAsia" w:ascii="宋体" w:hAnsi="宋体" w:eastAsia="宋体" w:cs="宋体"/>
          <w:color w:val="000000"/>
          <w:highlight w:val="none"/>
        </w:rPr>
      </w:pPr>
      <w:r>
        <w:rPr>
          <w:rFonts w:hint="eastAsia" w:ascii="宋体" w:hAnsi="宋体" w:eastAsia="宋体" w:cs="宋体"/>
          <w:color w:val="000000"/>
          <w:highlight w:val="none"/>
        </w:rPr>
        <w:t>附件2：工程质量保修书</w:t>
      </w:r>
    </w:p>
    <w:p w14:paraId="54297576">
      <w:pPr>
        <w:spacing w:line="360" w:lineRule="auto"/>
        <w:jc w:val="left"/>
        <w:rPr>
          <w:rFonts w:hint="eastAsia" w:ascii="宋体" w:hAnsi="宋体" w:eastAsia="宋体" w:cs="宋体"/>
          <w:color w:val="000000"/>
          <w:highlight w:val="none"/>
        </w:rPr>
      </w:pPr>
      <w:r>
        <w:rPr>
          <w:rFonts w:hint="eastAsia" w:ascii="宋体" w:hAnsi="宋体" w:eastAsia="宋体" w:cs="宋体"/>
          <w:color w:val="000000"/>
          <w:highlight w:val="none"/>
        </w:rPr>
        <w:t>附件3：承包人用于本工程施工的机械设备表</w:t>
      </w:r>
    </w:p>
    <w:p w14:paraId="08A4C3D4">
      <w:pPr>
        <w:spacing w:line="360" w:lineRule="auto"/>
        <w:jc w:val="left"/>
        <w:rPr>
          <w:rFonts w:hint="eastAsia" w:ascii="宋体" w:hAnsi="宋体" w:eastAsia="宋体" w:cs="宋体"/>
          <w:color w:val="000000"/>
          <w:highlight w:val="none"/>
        </w:rPr>
      </w:pPr>
      <w:r>
        <w:rPr>
          <w:rFonts w:hint="eastAsia" w:ascii="宋体" w:hAnsi="宋体" w:eastAsia="宋体" w:cs="宋体"/>
          <w:color w:val="000000"/>
          <w:highlight w:val="none"/>
        </w:rPr>
        <w:t>附件4：承包人主要施工管理人员表</w:t>
      </w:r>
    </w:p>
    <w:p w14:paraId="1710219B">
      <w:pPr>
        <w:spacing w:line="360" w:lineRule="auto"/>
        <w:jc w:val="left"/>
        <w:rPr>
          <w:rFonts w:hint="eastAsia" w:ascii="宋体" w:hAnsi="宋体" w:eastAsia="宋体" w:cs="宋体"/>
          <w:color w:val="000000"/>
        </w:rPr>
      </w:pPr>
      <w:r>
        <w:rPr>
          <w:rFonts w:hint="eastAsia" w:ascii="宋体" w:hAnsi="宋体" w:eastAsia="宋体" w:cs="宋体"/>
          <w:color w:val="000000"/>
          <w:highlight w:val="none"/>
        </w:rPr>
        <w:t>附件5：</w:t>
      </w:r>
      <w:r>
        <w:rPr>
          <w:rFonts w:hint="eastAsia" w:ascii="宋体" w:hAnsi="宋体" w:eastAsia="宋体" w:cs="宋体"/>
          <w:color w:val="000000"/>
        </w:rPr>
        <w:t xml:space="preserve">施工单位资质证书正本及营业执照正本（彩色扫描） </w:t>
      </w:r>
    </w:p>
    <w:p w14:paraId="6B72A454">
      <w:pPr>
        <w:spacing w:line="360" w:lineRule="auto"/>
        <w:jc w:val="left"/>
        <w:rPr>
          <w:rFonts w:hint="eastAsia" w:ascii="宋体" w:hAnsi="宋体" w:cs="宋体"/>
          <w:color w:val="000000"/>
          <w:lang w:val="en-US" w:eastAsia="zh-CN"/>
        </w:rPr>
      </w:pPr>
      <w:r>
        <w:rPr>
          <w:rFonts w:hint="eastAsia" w:ascii="宋体" w:hAnsi="宋体" w:cs="宋体"/>
          <w:color w:val="000000"/>
          <w:lang w:val="en-US" w:eastAsia="zh-CN"/>
        </w:rPr>
        <w:t>附件6：中标通知书</w:t>
      </w:r>
    </w:p>
    <w:p w14:paraId="29D2EAD9">
      <w:pPr>
        <w:spacing w:line="360" w:lineRule="auto"/>
        <w:jc w:val="left"/>
        <w:rPr>
          <w:rFonts w:hint="eastAsia" w:ascii="宋体" w:hAnsi="宋体" w:cs="宋体"/>
          <w:color w:val="000000"/>
          <w:lang w:val="en-US" w:eastAsia="zh-CN"/>
        </w:rPr>
      </w:pPr>
      <w:r>
        <w:rPr>
          <w:rFonts w:hint="eastAsia" w:ascii="宋体" w:hAnsi="宋体" w:cs="宋体"/>
          <w:color w:val="000000"/>
          <w:lang w:val="en-US" w:eastAsia="zh-CN"/>
        </w:rPr>
        <w:t>附件7：预付款担保格式（独立保函、非独立保函）</w:t>
      </w:r>
    </w:p>
    <w:p w14:paraId="3F3E287F">
      <w:pPr>
        <w:spacing w:line="360" w:lineRule="auto"/>
        <w:jc w:val="left"/>
        <w:rPr>
          <w:rFonts w:hint="eastAsia" w:ascii="宋体" w:hAnsi="宋体" w:cs="宋体"/>
          <w:color w:val="000000"/>
          <w:lang w:val="en-US" w:eastAsia="zh-CN"/>
        </w:rPr>
      </w:pPr>
      <w:r>
        <w:rPr>
          <w:rFonts w:hint="eastAsia" w:ascii="宋体" w:hAnsi="宋体" w:cs="宋体"/>
          <w:color w:val="000000"/>
          <w:lang w:val="en-US" w:eastAsia="zh-CN"/>
        </w:rPr>
        <w:t>附件8：支付担保格式（独立保函、非独立保函）</w:t>
      </w:r>
    </w:p>
    <w:p w14:paraId="515F8609">
      <w:pPr>
        <w:spacing w:line="360" w:lineRule="auto"/>
        <w:jc w:val="left"/>
        <w:rPr>
          <w:rFonts w:hint="eastAsia" w:ascii="宋体" w:hAnsi="宋体" w:cs="宋体"/>
          <w:color w:val="000000"/>
          <w:lang w:val="en-US" w:eastAsia="zh-CN"/>
        </w:rPr>
      </w:pPr>
      <w:r>
        <w:rPr>
          <w:rFonts w:hint="eastAsia" w:ascii="宋体" w:hAnsi="宋体" w:cs="宋体"/>
          <w:color w:val="000000"/>
          <w:lang w:val="en-US" w:eastAsia="zh-CN"/>
        </w:rPr>
        <w:t>附件9：预付款支付申请（核准）表</w:t>
      </w:r>
    </w:p>
    <w:p w14:paraId="342597FE">
      <w:pPr>
        <w:spacing w:line="360" w:lineRule="auto"/>
        <w:jc w:val="left"/>
        <w:rPr>
          <w:rFonts w:hint="eastAsia" w:ascii="宋体" w:hAnsi="宋体" w:cs="宋体"/>
          <w:color w:val="000000"/>
          <w:lang w:val="en-US" w:eastAsia="zh-CN"/>
        </w:rPr>
      </w:pPr>
      <w:r>
        <w:rPr>
          <w:rFonts w:hint="eastAsia" w:ascii="宋体" w:hAnsi="宋体" w:cs="宋体"/>
          <w:color w:val="000000"/>
          <w:lang w:val="en-US" w:eastAsia="zh-CN"/>
        </w:rPr>
        <w:t>附件10：进度款支付申请（核准）表</w:t>
      </w:r>
    </w:p>
    <w:p w14:paraId="156FA0DE">
      <w:pPr>
        <w:spacing w:line="360" w:lineRule="auto"/>
        <w:jc w:val="left"/>
        <w:rPr>
          <w:rFonts w:hint="eastAsia" w:ascii="宋体" w:hAnsi="宋体" w:cs="宋体"/>
          <w:color w:val="000000"/>
          <w:lang w:val="en-US" w:eastAsia="zh-CN"/>
        </w:rPr>
      </w:pPr>
      <w:r>
        <w:rPr>
          <w:rFonts w:hint="eastAsia" w:ascii="宋体" w:hAnsi="宋体" w:cs="宋体"/>
          <w:color w:val="000000"/>
          <w:lang w:val="en-US" w:eastAsia="zh-CN"/>
        </w:rPr>
        <w:t>附件11：竣工结算款支付申请（核准）表</w:t>
      </w:r>
    </w:p>
    <w:p w14:paraId="3D333C19">
      <w:pPr>
        <w:spacing w:line="360" w:lineRule="auto"/>
        <w:jc w:val="left"/>
        <w:rPr>
          <w:rFonts w:hint="eastAsia" w:ascii="宋体" w:hAnsi="宋体" w:cs="宋体"/>
          <w:color w:val="000000"/>
          <w:lang w:val="en-US" w:eastAsia="zh-CN"/>
        </w:rPr>
      </w:pPr>
      <w:r>
        <w:rPr>
          <w:rFonts w:hint="eastAsia" w:ascii="宋体" w:hAnsi="宋体" w:cs="宋体"/>
          <w:color w:val="000000"/>
          <w:lang w:val="en-US" w:eastAsia="zh-CN"/>
        </w:rPr>
        <w:t>附件12：最终结算款支付申请（核准）表</w:t>
      </w:r>
    </w:p>
    <w:p w14:paraId="2A1A1534">
      <w:pPr>
        <w:spacing w:line="360" w:lineRule="auto"/>
        <w:jc w:val="left"/>
        <w:rPr>
          <w:rFonts w:ascii="宋体" w:hAnsi="宋体" w:eastAsia="宋体" w:cs="宋体"/>
          <w:color w:val="000000"/>
          <w:lang w:val="en-US" w:eastAsia="zh-CN"/>
        </w:rPr>
      </w:pPr>
      <w:r>
        <w:rPr>
          <w:rFonts w:hint="eastAsia" w:ascii="宋体" w:hAnsi="宋体" w:cs="宋体"/>
          <w:color w:val="000000"/>
          <w:lang w:val="en-US" w:eastAsia="zh-CN"/>
        </w:rPr>
        <w:t>附件13：总价合同进度款支付分解表</w:t>
      </w:r>
    </w:p>
    <w:p w14:paraId="44D72112">
      <w:pPr>
        <w:spacing w:before="166" w:beforeLines="50" w:after="166" w:afterLines="50" w:line="440" w:lineRule="exact"/>
        <w:jc w:val="lef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附件1：</w:t>
      </w:r>
    </w:p>
    <w:p w14:paraId="7641244C">
      <w:pPr>
        <w:spacing w:before="166" w:beforeLines="50" w:after="166" w:afterLines="50" w:line="440" w:lineRule="exact"/>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承包人承揽工程项目一览表</w:t>
      </w:r>
    </w:p>
    <w:tbl>
      <w:tblPr>
        <w:tblStyle w:val="14"/>
        <w:tblW w:w="98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34"/>
        <w:gridCol w:w="977"/>
        <w:gridCol w:w="1455"/>
        <w:gridCol w:w="870"/>
        <w:gridCol w:w="930"/>
        <w:gridCol w:w="847"/>
        <w:gridCol w:w="990"/>
        <w:gridCol w:w="1020"/>
        <w:gridCol w:w="870"/>
        <w:gridCol w:w="795"/>
      </w:tblGrid>
      <w:tr w14:paraId="6E7D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34" w:type="dxa"/>
            <w:tcBorders>
              <w:tl2br w:val="nil"/>
              <w:tr2bl w:val="nil"/>
            </w:tcBorders>
            <w:vAlign w:val="center"/>
          </w:tcPr>
          <w:p w14:paraId="2A5C220E">
            <w:pPr>
              <w:pStyle w:val="6"/>
              <w:keepNext/>
              <w:spacing w:after="0" w:line="440" w:lineRule="exact"/>
              <w:ind w:left="63" w:right="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单位工程名称</w:t>
            </w:r>
          </w:p>
        </w:tc>
        <w:tc>
          <w:tcPr>
            <w:tcW w:w="977" w:type="dxa"/>
            <w:tcBorders>
              <w:tl2br w:val="nil"/>
              <w:tr2bl w:val="nil"/>
            </w:tcBorders>
            <w:vAlign w:val="center"/>
          </w:tcPr>
          <w:p w14:paraId="71419DF6">
            <w:pPr>
              <w:pStyle w:val="6"/>
              <w:keepNext/>
              <w:spacing w:after="0" w:line="440" w:lineRule="exact"/>
              <w:ind w:left="63" w:right="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建设规模</w:t>
            </w:r>
          </w:p>
        </w:tc>
        <w:tc>
          <w:tcPr>
            <w:tcW w:w="1455" w:type="dxa"/>
            <w:tcBorders>
              <w:tl2br w:val="nil"/>
              <w:tr2bl w:val="nil"/>
            </w:tcBorders>
            <w:vAlign w:val="center"/>
          </w:tcPr>
          <w:p w14:paraId="0AF27F03">
            <w:pPr>
              <w:pStyle w:val="6"/>
              <w:keepNext/>
              <w:spacing w:after="0" w:line="440" w:lineRule="exact"/>
              <w:ind w:left="63" w:right="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建筑面积(平方米)</w:t>
            </w:r>
          </w:p>
        </w:tc>
        <w:tc>
          <w:tcPr>
            <w:tcW w:w="870" w:type="dxa"/>
            <w:tcBorders>
              <w:tl2br w:val="nil"/>
              <w:tr2bl w:val="nil"/>
            </w:tcBorders>
            <w:vAlign w:val="center"/>
          </w:tcPr>
          <w:p w14:paraId="0D4BA59A">
            <w:pPr>
              <w:pStyle w:val="6"/>
              <w:keepNext/>
              <w:spacing w:after="0" w:line="440" w:lineRule="exact"/>
              <w:ind w:left="63" w:right="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结构形式</w:t>
            </w:r>
          </w:p>
        </w:tc>
        <w:tc>
          <w:tcPr>
            <w:tcW w:w="930" w:type="dxa"/>
            <w:tcBorders>
              <w:tl2br w:val="nil"/>
              <w:tr2bl w:val="nil"/>
            </w:tcBorders>
            <w:vAlign w:val="center"/>
          </w:tcPr>
          <w:p w14:paraId="6ADE1578">
            <w:pPr>
              <w:pStyle w:val="6"/>
              <w:keepNext/>
              <w:spacing w:after="0" w:line="440" w:lineRule="exact"/>
              <w:ind w:left="63" w:right="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层数</w:t>
            </w:r>
          </w:p>
        </w:tc>
        <w:tc>
          <w:tcPr>
            <w:tcW w:w="847" w:type="dxa"/>
            <w:tcBorders>
              <w:tl2br w:val="nil"/>
              <w:tr2bl w:val="nil"/>
            </w:tcBorders>
            <w:vAlign w:val="center"/>
          </w:tcPr>
          <w:p w14:paraId="1F6BCD64">
            <w:pPr>
              <w:pStyle w:val="6"/>
              <w:keepNext/>
              <w:spacing w:after="0" w:line="440" w:lineRule="exact"/>
              <w:ind w:left="63" w:right="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生产能力</w:t>
            </w:r>
          </w:p>
        </w:tc>
        <w:tc>
          <w:tcPr>
            <w:tcW w:w="990" w:type="dxa"/>
            <w:tcBorders>
              <w:tl2br w:val="nil"/>
              <w:tr2bl w:val="nil"/>
            </w:tcBorders>
            <w:vAlign w:val="center"/>
          </w:tcPr>
          <w:p w14:paraId="7C5AD711">
            <w:pPr>
              <w:pStyle w:val="6"/>
              <w:keepNext/>
              <w:spacing w:after="0" w:line="440" w:lineRule="exact"/>
              <w:ind w:left="63" w:right="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设备安装内容</w:t>
            </w:r>
          </w:p>
        </w:tc>
        <w:tc>
          <w:tcPr>
            <w:tcW w:w="1020" w:type="dxa"/>
            <w:tcBorders>
              <w:tl2br w:val="nil"/>
              <w:tr2bl w:val="nil"/>
            </w:tcBorders>
            <w:vAlign w:val="center"/>
          </w:tcPr>
          <w:p w14:paraId="1E9F3584">
            <w:pPr>
              <w:pStyle w:val="6"/>
              <w:keepNext/>
              <w:spacing w:after="0" w:line="440" w:lineRule="exact"/>
              <w:ind w:left="63" w:right="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合同价格（元）</w:t>
            </w:r>
          </w:p>
        </w:tc>
        <w:tc>
          <w:tcPr>
            <w:tcW w:w="870" w:type="dxa"/>
            <w:tcBorders>
              <w:tl2br w:val="nil"/>
              <w:tr2bl w:val="nil"/>
            </w:tcBorders>
            <w:vAlign w:val="center"/>
          </w:tcPr>
          <w:p w14:paraId="19C41D40">
            <w:pPr>
              <w:pStyle w:val="6"/>
              <w:keepNext/>
              <w:spacing w:after="0" w:line="440" w:lineRule="exact"/>
              <w:ind w:left="63" w:right="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开工日期</w:t>
            </w:r>
          </w:p>
        </w:tc>
        <w:tc>
          <w:tcPr>
            <w:tcW w:w="795" w:type="dxa"/>
            <w:tcBorders>
              <w:tl2br w:val="nil"/>
              <w:tr2bl w:val="nil"/>
            </w:tcBorders>
            <w:vAlign w:val="center"/>
          </w:tcPr>
          <w:p w14:paraId="192A707B">
            <w:pPr>
              <w:pStyle w:val="6"/>
              <w:keepNext/>
              <w:spacing w:after="0" w:line="440" w:lineRule="exact"/>
              <w:ind w:left="63" w:right="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竣工日期</w:t>
            </w:r>
          </w:p>
        </w:tc>
      </w:tr>
      <w:tr w14:paraId="39ED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34" w:type="dxa"/>
            <w:tcBorders>
              <w:tl2br w:val="nil"/>
              <w:tr2bl w:val="nil"/>
            </w:tcBorders>
            <w:vAlign w:val="center"/>
          </w:tcPr>
          <w:p w14:paraId="720702C7">
            <w:pPr>
              <w:pStyle w:val="6"/>
              <w:keepNext/>
              <w:spacing w:after="0" w:line="440" w:lineRule="exact"/>
              <w:ind w:left="63" w:right="63"/>
              <w:rPr>
                <w:rFonts w:hint="eastAsia" w:ascii="宋体" w:hAnsi="宋体" w:eastAsia="宋体" w:cs="宋体"/>
                <w:color w:val="auto"/>
                <w:sz w:val="24"/>
                <w:szCs w:val="24"/>
                <w:highlight w:val="none"/>
                <w:lang w:val="en-US" w:eastAsia="zh-CN"/>
              </w:rPr>
            </w:pPr>
          </w:p>
        </w:tc>
        <w:tc>
          <w:tcPr>
            <w:tcW w:w="977" w:type="dxa"/>
            <w:tcBorders>
              <w:tl2br w:val="nil"/>
              <w:tr2bl w:val="nil"/>
            </w:tcBorders>
            <w:vAlign w:val="center"/>
          </w:tcPr>
          <w:p w14:paraId="56E5C403">
            <w:pPr>
              <w:pStyle w:val="6"/>
              <w:keepNext/>
              <w:spacing w:after="0" w:line="440" w:lineRule="exact"/>
              <w:ind w:left="63" w:right="63"/>
              <w:rPr>
                <w:rFonts w:hint="eastAsia" w:ascii="宋体" w:hAnsi="宋体" w:eastAsia="宋体" w:cs="宋体"/>
                <w:color w:val="auto"/>
                <w:sz w:val="24"/>
                <w:szCs w:val="24"/>
                <w:highlight w:val="none"/>
                <w:lang w:val="en-US" w:eastAsia="zh-CN"/>
              </w:rPr>
            </w:pPr>
          </w:p>
        </w:tc>
        <w:tc>
          <w:tcPr>
            <w:tcW w:w="1455" w:type="dxa"/>
            <w:tcBorders>
              <w:tl2br w:val="nil"/>
              <w:tr2bl w:val="nil"/>
            </w:tcBorders>
            <w:vAlign w:val="center"/>
          </w:tcPr>
          <w:p w14:paraId="035CFA2A">
            <w:pPr>
              <w:pStyle w:val="6"/>
              <w:keepNext/>
              <w:spacing w:after="0" w:line="440" w:lineRule="exact"/>
              <w:ind w:left="63" w:right="63"/>
              <w:rPr>
                <w:rFonts w:hint="eastAsia" w:ascii="宋体" w:hAnsi="宋体" w:eastAsia="宋体" w:cs="宋体"/>
                <w:color w:val="auto"/>
                <w:sz w:val="24"/>
                <w:szCs w:val="24"/>
                <w:highlight w:val="none"/>
                <w:lang w:val="en-US" w:eastAsia="zh-CN"/>
              </w:rPr>
            </w:pPr>
          </w:p>
        </w:tc>
        <w:tc>
          <w:tcPr>
            <w:tcW w:w="870" w:type="dxa"/>
            <w:tcBorders>
              <w:tl2br w:val="nil"/>
              <w:tr2bl w:val="nil"/>
            </w:tcBorders>
            <w:vAlign w:val="center"/>
          </w:tcPr>
          <w:p w14:paraId="19ACC735">
            <w:pPr>
              <w:pStyle w:val="6"/>
              <w:keepNext/>
              <w:spacing w:after="0" w:line="440" w:lineRule="exact"/>
              <w:ind w:left="63" w:right="63"/>
              <w:rPr>
                <w:rFonts w:hint="eastAsia" w:ascii="宋体" w:hAnsi="宋体" w:eastAsia="宋体" w:cs="宋体"/>
                <w:color w:val="auto"/>
                <w:sz w:val="24"/>
                <w:szCs w:val="24"/>
                <w:highlight w:val="none"/>
                <w:lang w:val="en-US" w:eastAsia="zh-CN"/>
              </w:rPr>
            </w:pPr>
          </w:p>
        </w:tc>
        <w:tc>
          <w:tcPr>
            <w:tcW w:w="930" w:type="dxa"/>
            <w:tcBorders>
              <w:tl2br w:val="nil"/>
              <w:tr2bl w:val="nil"/>
            </w:tcBorders>
            <w:vAlign w:val="center"/>
          </w:tcPr>
          <w:p w14:paraId="099AE2BA">
            <w:pPr>
              <w:pStyle w:val="6"/>
              <w:keepNext/>
              <w:spacing w:after="0" w:line="440" w:lineRule="exact"/>
              <w:ind w:left="63" w:right="63"/>
              <w:rPr>
                <w:rFonts w:hint="eastAsia" w:ascii="宋体" w:hAnsi="宋体" w:eastAsia="宋体" w:cs="宋体"/>
                <w:color w:val="auto"/>
                <w:sz w:val="24"/>
                <w:szCs w:val="24"/>
                <w:highlight w:val="none"/>
                <w:lang w:val="en-US" w:eastAsia="zh-CN"/>
              </w:rPr>
            </w:pPr>
          </w:p>
        </w:tc>
        <w:tc>
          <w:tcPr>
            <w:tcW w:w="847" w:type="dxa"/>
            <w:tcBorders>
              <w:tl2br w:val="nil"/>
              <w:tr2bl w:val="nil"/>
            </w:tcBorders>
            <w:vAlign w:val="center"/>
          </w:tcPr>
          <w:p w14:paraId="4FB3251F">
            <w:pPr>
              <w:pStyle w:val="6"/>
              <w:keepNext/>
              <w:spacing w:after="0" w:line="440" w:lineRule="exact"/>
              <w:ind w:left="63" w:right="63"/>
              <w:rPr>
                <w:rFonts w:hint="eastAsia" w:ascii="宋体" w:hAnsi="宋体" w:eastAsia="宋体" w:cs="宋体"/>
                <w:color w:val="auto"/>
                <w:sz w:val="24"/>
                <w:szCs w:val="24"/>
                <w:highlight w:val="none"/>
                <w:lang w:val="en-US" w:eastAsia="zh-CN"/>
              </w:rPr>
            </w:pPr>
          </w:p>
        </w:tc>
        <w:tc>
          <w:tcPr>
            <w:tcW w:w="990" w:type="dxa"/>
            <w:tcBorders>
              <w:tl2br w:val="nil"/>
              <w:tr2bl w:val="nil"/>
            </w:tcBorders>
            <w:vAlign w:val="center"/>
          </w:tcPr>
          <w:p w14:paraId="74284DB1">
            <w:pPr>
              <w:pStyle w:val="6"/>
              <w:keepNext/>
              <w:spacing w:after="0" w:line="440" w:lineRule="exact"/>
              <w:ind w:left="63" w:right="63"/>
              <w:rPr>
                <w:rFonts w:hint="eastAsia" w:ascii="宋体" w:hAnsi="宋体" w:eastAsia="宋体" w:cs="宋体"/>
                <w:color w:val="auto"/>
                <w:sz w:val="24"/>
                <w:szCs w:val="24"/>
                <w:highlight w:val="none"/>
                <w:lang w:val="en-US" w:eastAsia="zh-CN"/>
              </w:rPr>
            </w:pPr>
          </w:p>
        </w:tc>
        <w:tc>
          <w:tcPr>
            <w:tcW w:w="1020" w:type="dxa"/>
            <w:tcBorders>
              <w:tl2br w:val="nil"/>
              <w:tr2bl w:val="nil"/>
            </w:tcBorders>
            <w:vAlign w:val="center"/>
          </w:tcPr>
          <w:p w14:paraId="4097FCF9">
            <w:pPr>
              <w:pStyle w:val="6"/>
              <w:keepNext/>
              <w:spacing w:after="0" w:line="440" w:lineRule="exact"/>
              <w:ind w:left="63" w:right="63"/>
              <w:rPr>
                <w:rFonts w:hint="eastAsia" w:ascii="宋体" w:hAnsi="宋体" w:eastAsia="宋体" w:cs="宋体"/>
                <w:color w:val="auto"/>
                <w:sz w:val="24"/>
                <w:szCs w:val="24"/>
                <w:highlight w:val="none"/>
                <w:lang w:val="en-US" w:eastAsia="zh-CN"/>
              </w:rPr>
            </w:pPr>
          </w:p>
        </w:tc>
        <w:tc>
          <w:tcPr>
            <w:tcW w:w="870" w:type="dxa"/>
            <w:tcBorders>
              <w:tl2br w:val="nil"/>
              <w:tr2bl w:val="nil"/>
            </w:tcBorders>
            <w:vAlign w:val="center"/>
          </w:tcPr>
          <w:p w14:paraId="5363628B">
            <w:pPr>
              <w:pStyle w:val="6"/>
              <w:keepNext/>
              <w:spacing w:after="0" w:line="440" w:lineRule="exact"/>
              <w:ind w:left="63" w:right="63"/>
              <w:rPr>
                <w:rFonts w:hint="eastAsia" w:ascii="宋体" w:hAnsi="宋体" w:eastAsia="宋体" w:cs="宋体"/>
                <w:color w:val="auto"/>
                <w:sz w:val="24"/>
                <w:szCs w:val="24"/>
                <w:highlight w:val="none"/>
                <w:lang w:val="en-US" w:eastAsia="zh-CN"/>
              </w:rPr>
            </w:pPr>
          </w:p>
        </w:tc>
        <w:tc>
          <w:tcPr>
            <w:tcW w:w="795" w:type="dxa"/>
            <w:tcBorders>
              <w:tl2br w:val="nil"/>
              <w:tr2bl w:val="nil"/>
            </w:tcBorders>
            <w:vAlign w:val="center"/>
          </w:tcPr>
          <w:p w14:paraId="0A9606AC">
            <w:pPr>
              <w:pStyle w:val="6"/>
              <w:keepNext/>
              <w:spacing w:after="0" w:line="440" w:lineRule="exact"/>
              <w:ind w:left="63" w:right="63"/>
              <w:rPr>
                <w:rFonts w:hint="eastAsia" w:ascii="宋体" w:hAnsi="宋体" w:eastAsia="宋体" w:cs="宋体"/>
                <w:color w:val="auto"/>
                <w:sz w:val="24"/>
                <w:szCs w:val="24"/>
                <w:highlight w:val="none"/>
                <w:lang w:val="en-US" w:eastAsia="zh-CN"/>
              </w:rPr>
            </w:pPr>
          </w:p>
        </w:tc>
      </w:tr>
      <w:tr w14:paraId="4047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34" w:type="dxa"/>
            <w:tcBorders>
              <w:tl2br w:val="nil"/>
              <w:tr2bl w:val="nil"/>
            </w:tcBorders>
            <w:vAlign w:val="center"/>
          </w:tcPr>
          <w:p w14:paraId="197FBADD">
            <w:pPr>
              <w:pStyle w:val="6"/>
              <w:keepNext/>
              <w:spacing w:after="0" w:line="440" w:lineRule="exact"/>
              <w:ind w:left="63" w:right="63"/>
              <w:rPr>
                <w:rFonts w:hint="eastAsia" w:ascii="宋体" w:hAnsi="宋体" w:eastAsia="宋体" w:cs="宋体"/>
                <w:color w:val="auto"/>
                <w:sz w:val="24"/>
                <w:szCs w:val="24"/>
                <w:highlight w:val="none"/>
              </w:rPr>
            </w:pPr>
          </w:p>
        </w:tc>
        <w:tc>
          <w:tcPr>
            <w:tcW w:w="977" w:type="dxa"/>
            <w:tcBorders>
              <w:tl2br w:val="nil"/>
              <w:tr2bl w:val="nil"/>
            </w:tcBorders>
            <w:vAlign w:val="center"/>
          </w:tcPr>
          <w:p w14:paraId="6DA48FBA">
            <w:pPr>
              <w:pStyle w:val="6"/>
              <w:keepNext/>
              <w:spacing w:after="0" w:line="440" w:lineRule="exact"/>
              <w:ind w:left="63" w:right="63"/>
              <w:rPr>
                <w:rFonts w:hint="eastAsia" w:ascii="宋体" w:hAnsi="宋体" w:eastAsia="宋体" w:cs="宋体"/>
                <w:color w:val="auto"/>
                <w:sz w:val="24"/>
                <w:szCs w:val="24"/>
                <w:highlight w:val="none"/>
              </w:rPr>
            </w:pPr>
          </w:p>
        </w:tc>
        <w:tc>
          <w:tcPr>
            <w:tcW w:w="1455" w:type="dxa"/>
            <w:tcBorders>
              <w:tl2br w:val="nil"/>
              <w:tr2bl w:val="nil"/>
            </w:tcBorders>
            <w:vAlign w:val="center"/>
          </w:tcPr>
          <w:p w14:paraId="6646F501">
            <w:pPr>
              <w:pStyle w:val="6"/>
              <w:keepNext/>
              <w:spacing w:after="0" w:line="440" w:lineRule="exact"/>
              <w:ind w:left="63" w:right="63"/>
              <w:rPr>
                <w:rFonts w:hint="eastAsia" w:ascii="宋体" w:hAnsi="宋体" w:eastAsia="宋体" w:cs="宋体"/>
                <w:color w:val="auto"/>
                <w:sz w:val="24"/>
                <w:szCs w:val="24"/>
                <w:highlight w:val="none"/>
              </w:rPr>
            </w:pPr>
          </w:p>
        </w:tc>
        <w:tc>
          <w:tcPr>
            <w:tcW w:w="870" w:type="dxa"/>
            <w:tcBorders>
              <w:tl2br w:val="nil"/>
              <w:tr2bl w:val="nil"/>
            </w:tcBorders>
            <w:vAlign w:val="center"/>
          </w:tcPr>
          <w:p w14:paraId="302BBED9">
            <w:pPr>
              <w:pStyle w:val="6"/>
              <w:keepNext/>
              <w:spacing w:after="0" w:line="440" w:lineRule="exact"/>
              <w:ind w:left="63" w:right="63"/>
              <w:rPr>
                <w:rFonts w:hint="eastAsia" w:ascii="宋体" w:hAnsi="宋体" w:eastAsia="宋体" w:cs="宋体"/>
                <w:color w:val="auto"/>
                <w:sz w:val="24"/>
                <w:szCs w:val="24"/>
                <w:highlight w:val="none"/>
              </w:rPr>
            </w:pPr>
          </w:p>
        </w:tc>
        <w:tc>
          <w:tcPr>
            <w:tcW w:w="930" w:type="dxa"/>
            <w:tcBorders>
              <w:tl2br w:val="nil"/>
              <w:tr2bl w:val="nil"/>
            </w:tcBorders>
            <w:vAlign w:val="center"/>
          </w:tcPr>
          <w:p w14:paraId="2AA999AA">
            <w:pPr>
              <w:pStyle w:val="6"/>
              <w:keepNext/>
              <w:spacing w:after="0" w:line="440" w:lineRule="exact"/>
              <w:ind w:left="63" w:right="63"/>
              <w:rPr>
                <w:rFonts w:hint="eastAsia" w:ascii="宋体" w:hAnsi="宋体" w:eastAsia="宋体" w:cs="宋体"/>
                <w:color w:val="auto"/>
                <w:sz w:val="24"/>
                <w:szCs w:val="24"/>
                <w:highlight w:val="none"/>
              </w:rPr>
            </w:pPr>
          </w:p>
        </w:tc>
        <w:tc>
          <w:tcPr>
            <w:tcW w:w="847" w:type="dxa"/>
            <w:tcBorders>
              <w:tl2br w:val="nil"/>
              <w:tr2bl w:val="nil"/>
            </w:tcBorders>
            <w:vAlign w:val="center"/>
          </w:tcPr>
          <w:p w14:paraId="219AFD4C">
            <w:pPr>
              <w:pStyle w:val="6"/>
              <w:keepNext/>
              <w:spacing w:after="0" w:line="440" w:lineRule="exact"/>
              <w:ind w:left="63" w:right="63"/>
              <w:rPr>
                <w:rFonts w:hint="eastAsia" w:ascii="宋体" w:hAnsi="宋体" w:eastAsia="宋体" w:cs="宋体"/>
                <w:color w:val="auto"/>
                <w:sz w:val="24"/>
                <w:szCs w:val="24"/>
                <w:highlight w:val="none"/>
              </w:rPr>
            </w:pPr>
          </w:p>
        </w:tc>
        <w:tc>
          <w:tcPr>
            <w:tcW w:w="990" w:type="dxa"/>
            <w:tcBorders>
              <w:tl2br w:val="nil"/>
              <w:tr2bl w:val="nil"/>
            </w:tcBorders>
            <w:vAlign w:val="center"/>
          </w:tcPr>
          <w:p w14:paraId="62D9B1EF">
            <w:pPr>
              <w:pStyle w:val="6"/>
              <w:keepNext/>
              <w:spacing w:after="0" w:line="440" w:lineRule="exact"/>
              <w:ind w:left="63" w:right="63"/>
              <w:rPr>
                <w:rFonts w:hint="eastAsia" w:ascii="宋体" w:hAnsi="宋体" w:eastAsia="宋体" w:cs="宋体"/>
                <w:color w:val="auto"/>
                <w:sz w:val="24"/>
                <w:szCs w:val="24"/>
                <w:highlight w:val="none"/>
              </w:rPr>
            </w:pPr>
          </w:p>
        </w:tc>
        <w:tc>
          <w:tcPr>
            <w:tcW w:w="1020" w:type="dxa"/>
            <w:tcBorders>
              <w:tl2br w:val="nil"/>
              <w:tr2bl w:val="nil"/>
            </w:tcBorders>
            <w:vAlign w:val="center"/>
          </w:tcPr>
          <w:p w14:paraId="52861C3D">
            <w:pPr>
              <w:pStyle w:val="6"/>
              <w:keepNext/>
              <w:spacing w:after="0" w:line="440" w:lineRule="exact"/>
              <w:ind w:left="63" w:right="63"/>
              <w:rPr>
                <w:rFonts w:hint="eastAsia" w:ascii="宋体" w:hAnsi="宋体" w:eastAsia="宋体" w:cs="宋体"/>
                <w:color w:val="auto"/>
                <w:sz w:val="24"/>
                <w:szCs w:val="24"/>
                <w:highlight w:val="none"/>
              </w:rPr>
            </w:pPr>
          </w:p>
        </w:tc>
        <w:tc>
          <w:tcPr>
            <w:tcW w:w="870" w:type="dxa"/>
            <w:tcBorders>
              <w:tl2br w:val="nil"/>
              <w:tr2bl w:val="nil"/>
            </w:tcBorders>
            <w:vAlign w:val="center"/>
          </w:tcPr>
          <w:p w14:paraId="233F53C6">
            <w:pPr>
              <w:pStyle w:val="6"/>
              <w:keepNext/>
              <w:spacing w:after="0" w:line="440" w:lineRule="exact"/>
              <w:ind w:left="63" w:right="63"/>
              <w:rPr>
                <w:rFonts w:hint="eastAsia" w:ascii="宋体" w:hAnsi="宋体" w:eastAsia="宋体" w:cs="宋体"/>
                <w:color w:val="auto"/>
                <w:sz w:val="24"/>
                <w:szCs w:val="24"/>
                <w:highlight w:val="none"/>
              </w:rPr>
            </w:pPr>
          </w:p>
        </w:tc>
        <w:tc>
          <w:tcPr>
            <w:tcW w:w="795" w:type="dxa"/>
            <w:tcBorders>
              <w:tl2br w:val="nil"/>
              <w:tr2bl w:val="nil"/>
            </w:tcBorders>
            <w:vAlign w:val="center"/>
          </w:tcPr>
          <w:p w14:paraId="7C01DBC0">
            <w:pPr>
              <w:pStyle w:val="6"/>
              <w:keepNext/>
              <w:spacing w:after="0" w:line="440" w:lineRule="exact"/>
              <w:ind w:left="63" w:right="63"/>
              <w:rPr>
                <w:rFonts w:hint="eastAsia" w:ascii="宋体" w:hAnsi="宋体" w:eastAsia="宋体" w:cs="宋体"/>
                <w:color w:val="auto"/>
                <w:sz w:val="24"/>
                <w:szCs w:val="24"/>
                <w:highlight w:val="none"/>
              </w:rPr>
            </w:pPr>
          </w:p>
        </w:tc>
      </w:tr>
      <w:tr w14:paraId="0234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34" w:type="dxa"/>
            <w:tcBorders>
              <w:tl2br w:val="nil"/>
              <w:tr2bl w:val="nil"/>
            </w:tcBorders>
            <w:vAlign w:val="center"/>
          </w:tcPr>
          <w:p w14:paraId="1F80D65E">
            <w:pPr>
              <w:pStyle w:val="6"/>
              <w:keepNext/>
              <w:spacing w:after="0" w:line="440" w:lineRule="exact"/>
              <w:ind w:left="63" w:right="63"/>
              <w:rPr>
                <w:rFonts w:hint="eastAsia" w:ascii="宋体" w:hAnsi="宋体" w:eastAsia="宋体" w:cs="宋体"/>
                <w:color w:val="auto"/>
                <w:sz w:val="24"/>
                <w:szCs w:val="24"/>
                <w:highlight w:val="none"/>
              </w:rPr>
            </w:pPr>
          </w:p>
        </w:tc>
        <w:tc>
          <w:tcPr>
            <w:tcW w:w="977" w:type="dxa"/>
            <w:tcBorders>
              <w:tl2br w:val="nil"/>
              <w:tr2bl w:val="nil"/>
            </w:tcBorders>
            <w:vAlign w:val="center"/>
          </w:tcPr>
          <w:p w14:paraId="02894642">
            <w:pPr>
              <w:pStyle w:val="6"/>
              <w:keepNext/>
              <w:spacing w:after="0" w:line="440" w:lineRule="exact"/>
              <w:ind w:left="63" w:right="63"/>
              <w:rPr>
                <w:rFonts w:hint="eastAsia" w:ascii="宋体" w:hAnsi="宋体" w:eastAsia="宋体" w:cs="宋体"/>
                <w:color w:val="auto"/>
                <w:sz w:val="24"/>
                <w:szCs w:val="24"/>
                <w:highlight w:val="none"/>
              </w:rPr>
            </w:pPr>
          </w:p>
        </w:tc>
        <w:tc>
          <w:tcPr>
            <w:tcW w:w="1455" w:type="dxa"/>
            <w:tcBorders>
              <w:tl2br w:val="nil"/>
              <w:tr2bl w:val="nil"/>
            </w:tcBorders>
            <w:vAlign w:val="center"/>
          </w:tcPr>
          <w:p w14:paraId="7575E411">
            <w:pPr>
              <w:pStyle w:val="6"/>
              <w:keepNext/>
              <w:spacing w:after="0" w:line="440" w:lineRule="exact"/>
              <w:ind w:left="63" w:right="63"/>
              <w:rPr>
                <w:rFonts w:hint="eastAsia" w:ascii="宋体" w:hAnsi="宋体" w:eastAsia="宋体" w:cs="宋体"/>
                <w:color w:val="auto"/>
                <w:sz w:val="24"/>
                <w:szCs w:val="24"/>
                <w:highlight w:val="none"/>
              </w:rPr>
            </w:pPr>
          </w:p>
        </w:tc>
        <w:tc>
          <w:tcPr>
            <w:tcW w:w="870" w:type="dxa"/>
            <w:tcBorders>
              <w:tl2br w:val="nil"/>
              <w:tr2bl w:val="nil"/>
            </w:tcBorders>
            <w:vAlign w:val="center"/>
          </w:tcPr>
          <w:p w14:paraId="31903BDA">
            <w:pPr>
              <w:pStyle w:val="6"/>
              <w:keepNext/>
              <w:spacing w:after="0" w:line="440" w:lineRule="exact"/>
              <w:ind w:left="63" w:right="63"/>
              <w:rPr>
                <w:rFonts w:hint="eastAsia" w:ascii="宋体" w:hAnsi="宋体" w:eastAsia="宋体" w:cs="宋体"/>
                <w:color w:val="auto"/>
                <w:sz w:val="24"/>
                <w:szCs w:val="24"/>
                <w:highlight w:val="none"/>
              </w:rPr>
            </w:pPr>
          </w:p>
        </w:tc>
        <w:tc>
          <w:tcPr>
            <w:tcW w:w="930" w:type="dxa"/>
            <w:tcBorders>
              <w:tl2br w:val="nil"/>
              <w:tr2bl w:val="nil"/>
            </w:tcBorders>
            <w:vAlign w:val="center"/>
          </w:tcPr>
          <w:p w14:paraId="51CE2C5D">
            <w:pPr>
              <w:pStyle w:val="6"/>
              <w:keepNext/>
              <w:spacing w:after="0" w:line="440" w:lineRule="exact"/>
              <w:ind w:left="63" w:right="63"/>
              <w:rPr>
                <w:rFonts w:hint="eastAsia" w:ascii="宋体" w:hAnsi="宋体" w:eastAsia="宋体" w:cs="宋体"/>
                <w:color w:val="auto"/>
                <w:sz w:val="24"/>
                <w:szCs w:val="24"/>
                <w:highlight w:val="none"/>
              </w:rPr>
            </w:pPr>
          </w:p>
        </w:tc>
        <w:tc>
          <w:tcPr>
            <w:tcW w:w="847" w:type="dxa"/>
            <w:tcBorders>
              <w:tl2br w:val="nil"/>
              <w:tr2bl w:val="nil"/>
            </w:tcBorders>
            <w:vAlign w:val="center"/>
          </w:tcPr>
          <w:p w14:paraId="6E3C720A">
            <w:pPr>
              <w:pStyle w:val="6"/>
              <w:keepNext/>
              <w:spacing w:after="0" w:line="440" w:lineRule="exact"/>
              <w:ind w:left="63" w:right="63"/>
              <w:rPr>
                <w:rFonts w:hint="eastAsia" w:ascii="宋体" w:hAnsi="宋体" w:eastAsia="宋体" w:cs="宋体"/>
                <w:color w:val="auto"/>
                <w:sz w:val="24"/>
                <w:szCs w:val="24"/>
                <w:highlight w:val="none"/>
              </w:rPr>
            </w:pPr>
          </w:p>
        </w:tc>
        <w:tc>
          <w:tcPr>
            <w:tcW w:w="990" w:type="dxa"/>
            <w:tcBorders>
              <w:tl2br w:val="nil"/>
              <w:tr2bl w:val="nil"/>
            </w:tcBorders>
            <w:vAlign w:val="center"/>
          </w:tcPr>
          <w:p w14:paraId="172E3A1E">
            <w:pPr>
              <w:pStyle w:val="6"/>
              <w:keepNext/>
              <w:spacing w:after="0" w:line="440" w:lineRule="exact"/>
              <w:ind w:left="63" w:right="63"/>
              <w:rPr>
                <w:rFonts w:hint="eastAsia" w:ascii="宋体" w:hAnsi="宋体" w:eastAsia="宋体" w:cs="宋体"/>
                <w:color w:val="auto"/>
                <w:sz w:val="24"/>
                <w:szCs w:val="24"/>
                <w:highlight w:val="none"/>
              </w:rPr>
            </w:pPr>
          </w:p>
        </w:tc>
        <w:tc>
          <w:tcPr>
            <w:tcW w:w="1020" w:type="dxa"/>
            <w:tcBorders>
              <w:tl2br w:val="nil"/>
              <w:tr2bl w:val="nil"/>
            </w:tcBorders>
            <w:vAlign w:val="center"/>
          </w:tcPr>
          <w:p w14:paraId="75362B42">
            <w:pPr>
              <w:pStyle w:val="6"/>
              <w:keepNext/>
              <w:spacing w:after="0" w:line="440" w:lineRule="exact"/>
              <w:ind w:left="63" w:right="63"/>
              <w:rPr>
                <w:rFonts w:hint="eastAsia" w:ascii="宋体" w:hAnsi="宋体" w:eastAsia="宋体" w:cs="宋体"/>
                <w:color w:val="auto"/>
                <w:sz w:val="24"/>
                <w:szCs w:val="24"/>
                <w:highlight w:val="none"/>
              </w:rPr>
            </w:pPr>
          </w:p>
        </w:tc>
        <w:tc>
          <w:tcPr>
            <w:tcW w:w="870" w:type="dxa"/>
            <w:tcBorders>
              <w:tl2br w:val="nil"/>
              <w:tr2bl w:val="nil"/>
            </w:tcBorders>
            <w:vAlign w:val="center"/>
          </w:tcPr>
          <w:p w14:paraId="28B45DAE">
            <w:pPr>
              <w:pStyle w:val="6"/>
              <w:keepNext/>
              <w:spacing w:after="0" w:line="440" w:lineRule="exact"/>
              <w:ind w:left="63" w:right="63"/>
              <w:rPr>
                <w:rFonts w:hint="eastAsia" w:ascii="宋体" w:hAnsi="宋体" w:eastAsia="宋体" w:cs="宋体"/>
                <w:color w:val="auto"/>
                <w:sz w:val="24"/>
                <w:szCs w:val="24"/>
                <w:highlight w:val="none"/>
              </w:rPr>
            </w:pPr>
          </w:p>
        </w:tc>
        <w:tc>
          <w:tcPr>
            <w:tcW w:w="795" w:type="dxa"/>
            <w:tcBorders>
              <w:tl2br w:val="nil"/>
              <w:tr2bl w:val="nil"/>
            </w:tcBorders>
            <w:vAlign w:val="center"/>
          </w:tcPr>
          <w:p w14:paraId="2DD09F9F">
            <w:pPr>
              <w:pStyle w:val="6"/>
              <w:keepNext/>
              <w:spacing w:after="0" w:line="440" w:lineRule="exact"/>
              <w:ind w:left="63" w:right="63"/>
              <w:rPr>
                <w:rFonts w:hint="eastAsia" w:ascii="宋体" w:hAnsi="宋体" w:eastAsia="宋体" w:cs="宋体"/>
                <w:color w:val="auto"/>
                <w:sz w:val="24"/>
                <w:szCs w:val="24"/>
                <w:highlight w:val="none"/>
              </w:rPr>
            </w:pPr>
          </w:p>
        </w:tc>
      </w:tr>
    </w:tbl>
    <w:p w14:paraId="146172DE">
      <w:pPr>
        <w:spacing w:line="360" w:lineRule="auto"/>
        <w:rPr>
          <w:rFonts w:hint="eastAsia" w:ascii="宋体" w:hAnsi="宋体" w:eastAsia="宋体" w:cs="宋体"/>
          <w:color w:val="FF0000"/>
        </w:rPr>
        <w:sectPr>
          <w:footerReference r:id="rId80" w:type="default"/>
          <w:pgSz w:w="11905" w:h="16838"/>
          <w:pgMar w:top="1134" w:right="1134" w:bottom="1134" w:left="1134" w:header="720" w:footer="720" w:gutter="0"/>
          <w:pgNumType w:fmt="decimal"/>
          <w:cols w:space="720" w:num="1"/>
          <w:docGrid w:type="lines" w:linePitch="331" w:charSpace="0"/>
        </w:sectPr>
      </w:pPr>
    </w:p>
    <w:p w14:paraId="4B906335">
      <w:pPr>
        <w:spacing w:line="360" w:lineRule="auto"/>
        <w:rPr>
          <w:rFonts w:hint="eastAsia" w:ascii="宋体" w:hAnsi="宋体" w:eastAsia="宋体" w:cs="宋体"/>
          <w:color w:val="FF0000"/>
        </w:rPr>
      </w:pPr>
    </w:p>
    <w:p w14:paraId="0409D48E">
      <w:pPr>
        <w:spacing w:line="440" w:lineRule="exac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附件2：</w:t>
      </w:r>
    </w:p>
    <w:p w14:paraId="03811866">
      <w:pPr>
        <w:spacing w:before="166" w:beforeLines="50" w:after="166" w:afterLines="50" w:line="44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工程质量保修书（房屋建筑工程）</w:t>
      </w:r>
    </w:p>
    <w:p w14:paraId="62FF676A">
      <w:pPr>
        <w:spacing w:line="4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发包人（全称）：</w:t>
      </w:r>
      <w:r>
        <w:rPr>
          <w:rFonts w:hint="eastAsia" w:ascii="宋体" w:hAnsi="宋体" w:eastAsia="宋体" w:cs="宋体"/>
          <w:color w:val="auto"/>
          <w:w w:val="100"/>
          <w:u w:val="single"/>
          <w:lang w:val="en-US" w:eastAsia="zh-CN"/>
        </w:rPr>
        <w:t xml:space="preserve"> </w:t>
      </w:r>
      <w:r>
        <w:rPr>
          <w:rFonts w:hint="eastAsia" w:ascii="宋体" w:hAnsi="宋体" w:eastAsia="宋体" w:cs="宋体"/>
          <w:color w:val="auto"/>
          <w:spacing w:val="-1"/>
          <w:sz w:val="21"/>
          <w:u w:val="single"/>
          <w:lang w:val="en-US" w:eastAsia="zh-CN"/>
        </w:rPr>
        <w:t xml:space="preserve">                    </w:t>
      </w:r>
      <w:r>
        <w:rPr>
          <w:rFonts w:hint="eastAsia" w:ascii="宋体" w:hAnsi="宋体" w:eastAsia="宋体" w:cs="宋体"/>
          <w:color w:val="auto"/>
          <w:w w:val="100"/>
          <w:u w:val="single"/>
        </w:rPr>
        <w:t xml:space="preserve"> </w:t>
      </w:r>
    </w:p>
    <w:p w14:paraId="26E256FF">
      <w:pPr>
        <w:spacing w:line="4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承包人（全称）：</w:t>
      </w:r>
      <w:r>
        <w:rPr>
          <w:rFonts w:hint="eastAsia" w:ascii="宋体" w:hAnsi="宋体" w:eastAsia="宋体" w:cs="宋体"/>
          <w:color w:val="auto"/>
          <w:w w:val="100"/>
          <w:u w:val="single"/>
          <w:lang w:val="en-US" w:eastAsia="zh-CN"/>
        </w:rPr>
        <w:t xml:space="preserve">                     </w:t>
      </w:r>
      <w:r>
        <w:rPr>
          <w:rFonts w:hint="eastAsia" w:ascii="宋体" w:hAnsi="宋体" w:eastAsia="宋体" w:cs="宋体"/>
          <w:color w:val="auto"/>
          <w:w w:val="100"/>
          <w:u w:val="single"/>
        </w:rPr>
        <w:t xml:space="preserve"> </w:t>
      </w:r>
      <w:r>
        <w:rPr>
          <w:rFonts w:hint="eastAsia" w:ascii="宋体" w:hAnsi="宋体" w:eastAsia="宋体" w:cs="宋体"/>
          <w:color w:val="auto"/>
          <w:highlight w:val="none"/>
        </w:rPr>
        <w:t xml:space="preserve"> </w:t>
      </w:r>
    </w:p>
    <w:p w14:paraId="7046D1FE">
      <w:pPr>
        <w:spacing w:line="440" w:lineRule="exact"/>
        <w:rPr>
          <w:rFonts w:hint="eastAsia" w:ascii="宋体" w:hAnsi="宋体" w:eastAsia="宋体" w:cs="宋体"/>
          <w:color w:val="auto"/>
          <w:highlight w:val="none"/>
        </w:rPr>
      </w:pPr>
    </w:p>
    <w:p w14:paraId="1F0A8A8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发包人和承包人根据《中华人民共和国建筑法》和《建设工程质量管理条例》，经协商一致就</w:t>
      </w:r>
      <w:r>
        <w:rPr>
          <w:rFonts w:hint="eastAsia" w:ascii="宋体" w:hAnsi="宋体" w:cs="宋体"/>
          <w:color w:val="auto"/>
          <w:u w:val="single"/>
          <w:lang w:val="en-US" w:eastAsia="zh-CN"/>
        </w:rPr>
        <w:t xml:space="preserve">     </w:t>
      </w:r>
      <w:r>
        <w:rPr>
          <w:rFonts w:hint="eastAsia" w:ascii="宋体" w:hAnsi="宋体" w:eastAsia="宋体" w:cs="宋体"/>
          <w:color w:val="auto"/>
          <w:highlight w:val="none"/>
        </w:rPr>
        <w:t>（工程全称）签订工程质量保修书。</w:t>
      </w:r>
    </w:p>
    <w:p w14:paraId="23F3194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一、工程质量保修范围和内容</w:t>
      </w:r>
    </w:p>
    <w:p w14:paraId="2C72B6D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承包人在质量保修期内，按照有关法律规定和合同约定，承担工程质量保修责任。</w:t>
      </w:r>
    </w:p>
    <w:p w14:paraId="48DFF7C5">
      <w:pPr>
        <w:spacing w:line="360" w:lineRule="auto"/>
        <w:ind w:firstLine="420"/>
        <w:rPr>
          <w:rFonts w:hint="eastAsia" w:ascii="宋体" w:hAnsi="宋体" w:eastAsia="宋体" w:cs="宋体"/>
          <w:color w:val="000000"/>
          <w:highlight w:val="none"/>
        </w:rPr>
      </w:pPr>
      <w:r>
        <w:rPr>
          <w:rFonts w:hint="eastAsia" w:ascii="宋体" w:hAnsi="宋体" w:eastAsia="宋体" w:cs="宋体"/>
          <w:color w:val="auto"/>
          <w:highlight w:val="none"/>
        </w:rPr>
        <w:t>质量保修范围包括地基基础工程、主体结构工程，屋面防水工程、有防水要求的卫生间、房间和外墙面的防渗漏，供热</w:t>
      </w:r>
      <w:r>
        <w:rPr>
          <w:rFonts w:hint="eastAsia" w:ascii="宋体" w:hAnsi="宋体" w:eastAsia="宋体" w:cs="宋体"/>
          <w:color w:val="000000"/>
          <w:highlight w:val="none"/>
        </w:rPr>
        <w:t>与供冷系统，电气管线、给排水管道、设备安装和装修工程，以及双方约定的其他项目。具体保修的内容，双方约定如下：</w:t>
      </w:r>
      <w:r>
        <w:rPr>
          <w:rFonts w:hint="eastAsia" w:ascii="宋体" w:hAnsi="宋体" w:eastAsia="宋体" w:cs="宋体"/>
          <w:color w:val="000000"/>
          <w:highlight w:val="none"/>
          <w:u w:val="single"/>
          <w:lang w:eastAsia="zh-CN"/>
        </w:rPr>
        <w:t>无</w:t>
      </w:r>
      <w:r>
        <w:rPr>
          <w:rFonts w:hint="eastAsia" w:ascii="宋体" w:hAnsi="宋体" w:eastAsia="宋体" w:cs="宋体"/>
          <w:color w:val="000000"/>
          <w:highlight w:val="none"/>
        </w:rPr>
        <w:t>。</w:t>
      </w:r>
    </w:p>
    <w:p w14:paraId="59312648">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二、质量保修期</w:t>
      </w:r>
    </w:p>
    <w:p w14:paraId="7F3BDA6D">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根据《建设工程质量管理条例》及有关规定，工程的质量保修期如下：</w:t>
      </w:r>
    </w:p>
    <w:p w14:paraId="44CCF456">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1．地基基础工程和主体结构工程为设计文件规定的工程合理使用年限；</w:t>
      </w:r>
    </w:p>
    <w:p w14:paraId="541F0575">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2．屋面防水工程、有防水要求的卫生间、房间和外墙面的防渗为</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sz w:val="21"/>
          <w:u w:val="single"/>
          <w:lang w:val="en-US" w:eastAsia="zh-CN"/>
        </w:rPr>
        <w:t xml:space="preserve"> 5 </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年；</w:t>
      </w:r>
    </w:p>
    <w:p w14:paraId="4C501311">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3．装修工程为</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sz w:val="21"/>
          <w:u w:val="single"/>
          <w:lang w:val="en-US" w:eastAsia="zh-CN"/>
        </w:rPr>
        <w:t xml:space="preserve"> 2 </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年；</w:t>
      </w:r>
    </w:p>
    <w:p w14:paraId="3F28AE10">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4．电气管线、给排水管道、设备安装工程为</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sz w:val="21"/>
          <w:u w:val="single"/>
          <w:lang w:val="en-US" w:eastAsia="zh-CN"/>
        </w:rPr>
        <w:t xml:space="preserve"> 2 </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年；</w:t>
      </w:r>
    </w:p>
    <w:p w14:paraId="48E69757">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5．供热与供冷系统为</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sz w:val="21"/>
          <w:u w:val="single"/>
          <w:lang w:val="en-US" w:eastAsia="zh-CN"/>
        </w:rPr>
        <w:t xml:space="preserve"> 2 </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个采暖期、供冷期；</w:t>
      </w:r>
    </w:p>
    <w:p w14:paraId="204A435A">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6．住宅小区内的给排水设施、道路等配套工程为</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sz w:val="21"/>
          <w:u w:val="single"/>
          <w:lang w:val="en-US" w:eastAsia="zh-CN"/>
        </w:rPr>
        <w:t xml:space="preserve"> 2 </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年；</w:t>
      </w:r>
    </w:p>
    <w:p w14:paraId="4B0415DA">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7．其他项目保修期限约定如下：</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w:t>
      </w:r>
    </w:p>
    <w:p w14:paraId="2CC98104">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质量保修期自工程竣工验收合格之日起计算。</w:t>
      </w:r>
    </w:p>
    <w:p w14:paraId="2223C9F3">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三、缺陷责任期</w:t>
      </w:r>
    </w:p>
    <w:p w14:paraId="0D1E87DC">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工程缺陷责任期为</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w w:val="100"/>
          <w:u w:val="single"/>
          <w:lang w:val="en-US" w:eastAsia="zh-CN"/>
        </w:rPr>
        <w:t>24</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个月（最长不超过24个月），缺陷责任期自工程竣工验收合格之日起计算。单位工程先于全部工程进行验收，单位工程缺陷责任期自单位工程验收合格之日起算。</w:t>
      </w:r>
    </w:p>
    <w:p w14:paraId="47D2C225">
      <w:pPr>
        <w:spacing w:line="360" w:lineRule="auto"/>
        <w:ind w:firstLine="420"/>
        <w:rPr>
          <w:rFonts w:hint="eastAsia" w:ascii="宋体" w:hAnsi="宋体" w:eastAsia="宋体" w:cs="宋体"/>
          <w:color w:val="auto"/>
          <w:highlight w:val="none"/>
        </w:rPr>
      </w:pPr>
      <w:r>
        <w:rPr>
          <w:rFonts w:hint="eastAsia" w:ascii="宋体" w:hAnsi="宋体" w:eastAsia="宋体" w:cs="宋体"/>
          <w:color w:val="000000"/>
          <w:highlight w:val="none"/>
        </w:rPr>
        <w:t>缺陷责任期</w:t>
      </w:r>
      <w:r>
        <w:rPr>
          <w:rFonts w:hint="eastAsia" w:ascii="宋体" w:hAnsi="宋体" w:eastAsia="宋体" w:cs="宋体"/>
          <w:color w:val="000000"/>
          <w:highlight w:val="none"/>
          <w:u w:val="single"/>
        </w:rPr>
        <w:t>满</w:t>
      </w:r>
      <w:r>
        <w:rPr>
          <w:rFonts w:hint="eastAsia" w:ascii="宋体" w:hAnsi="宋体" w:eastAsia="宋体" w:cs="宋体"/>
          <w:color w:val="000000"/>
          <w:highlight w:val="none"/>
        </w:rPr>
        <w:t>之日起</w:t>
      </w:r>
      <w:r>
        <w:rPr>
          <w:rFonts w:hint="eastAsia" w:ascii="宋体" w:hAnsi="宋体" w:eastAsia="宋体" w:cs="宋体"/>
          <w:color w:val="000000"/>
          <w:highlight w:val="none"/>
          <w:u w:val="single"/>
        </w:rPr>
        <w:t xml:space="preserve"> </w:t>
      </w:r>
      <w:r>
        <w:rPr>
          <w:rFonts w:hint="eastAsia" w:ascii="宋体" w:hAnsi="宋体" w:cs="宋体"/>
          <w:color w:val="000000"/>
          <w:w w:val="100"/>
          <w:u w:val="single"/>
          <w:lang w:val="en-US" w:eastAsia="zh-CN"/>
        </w:rPr>
        <w:t>60</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天</w:t>
      </w:r>
      <w:r>
        <w:rPr>
          <w:rFonts w:hint="eastAsia" w:ascii="宋体" w:hAnsi="宋体" w:eastAsia="宋体" w:cs="宋体"/>
          <w:color w:val="000000"/>
          <w:highlight w:val="none"/>
          <w:u w:val="single"/>
        </w:rPr>
        <w:t>（按合同约定期限），</w:t>
      </w:r>
      <w:r>
        <w:rPr>
          <w:rFonts w:hint="eastAsia" w:ascii="宋体" w:hAnsi="宋体" w:eastAsia="宋体" w:cs="宋体"/>
          <w:color w:val="000000"/>
          <w:highlight w:val="none"/>
        </w:rPr>
        <w:t>发包人应退还剩余的质量保证金</w:t>
      </w:r>
      <w:r>
        <w:rPr>
          <w:rFonts w:hint="eastAsia" w:ascii="宋体" w:hAnsi="宋体" w:eastAsia="宋体" w:cs="宋体"/>
          <w:color w:val="auto"/>
          <w:highlight w:val="none"/>
        </w:rPr>
        <w:t>。</w:t>
      </w:r>
    </w:p>
    <w:p w14:paraId="42F9B5C2">
      <w:pPr>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四、质量保修责任</w:t>
      </w:r>
    </w:p>
    <w:p w14:paraId="049358D3">
      <w:pPr>
        <w:spacing w:line="360" w:lineRule="auto"/>
        <w:ind w:left="105" w:leftChars="50" w:firstLine="430" w:firstLineChars="205"/>
        <w:rPr>
          <w:rFonts w:hint="eastAsia" w:ascii="宋体" w:hAnsi="宋体" w:eastAsia="宋体" w:cs="宋体"/>
          <w:color w:val="auto"/>
          <w:highlight w:val="none"/>
        </w:rPr>
      </w:pPr>
      <w:r>
        <w:rPr>
          <w:rFonts w:hint="eastAsia" w:ascii="宋体" w:hAnsi="宋体" w:eastAsia="宋体" w:cs="宋体"/>
          <w:color w:val="auto"/>
          <w:highlight w:val="none"/>
        </w:rPr>
        <w:t>1．属于保修范围、内容的项目，承包人应当在接到保修通知之</w:t>
      </w:r>
      <w:r>
        <w:rPr>
          <w:rFonts w:hint="eastAsia" w:ascii="宋体" w:hAnsi="宋体" w:eastAsia="宋体" w:cs="宋体"/>
          <w:color w:val="000000"/>
          <w:highlight w:val="none"/>
        </w:rPr>
        <w:t>日起</w:t>
      </w:r>
      <w:r>
        <w:rPr>
          <w:rFonts w:hint="eastAsia" w:ascii="宋体" w:hAnsi="宋体" w:eastAsia="宋体" w:cs="宋体"/>
          <w:color w:val="000000"/>
          <w:highlight w:val="none"/>
          <w:u w:val="single"/>
        </w:rPr>
        <w:t xml:space="preserve">  </w:t>
      </w:r>
      <w:r>
        <w:rPr>
          <w:rFonts w:hint="eastAsia" w:ascii="宋体" w:hAnsi="宋体" w:eastAsia="宋体" w:cs="宋体"/>
          <w:color w:val="000000"/>
          <w:sz w:val="21"/>
          <w:u w:val="single"/>
          <w:lang w:val="en-US" w:eastAsia="zh-CN"/>
        </w:rPr>
        <w:t>3</w:t>
      </w:r>
      <w:r>
        <w:rPr>
          <w:rFonts w:hint="eastAsia" w:ascii="宋体" w:hAnsi="宋体" w:eastAsia="宋体" w:cs="宋体"/>
          <w:color w:val="000000"/>
          <w:highlight w:val="none"/>
          <w:u w:val="single"/>
        </w:rPr>
        <w:t xml:space="preserve">  </w:t>
      </w:r>
      <w:r>
        <w:rPr>
          <w:rFonts w:hint="eastAsia" w:ascii="宋体" w:hAnsi="宋体" w:eastAsia="宋体" w:cs="宋体"/>
          <w:color w:val="000000"/>
          <w:highlight w:val="none"/>
        </w:rPr>
        <w:t>天内派人保修。承包人不在约定期限内派人保修的，发包人可以委托他人修理，修理费用从质量保证金内扣除。</w:t>
      </w:r>
    </w:p>
    <w:p w14:paraId="43B857E8">
      <w:pPr>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2．发生紧急事故需抢修的，承包人在接到事故通知后，应当立即到达事故现场抢修。</w:t>
      </w:r>
    </w:p>
    <w:p w14:paraId="5E869311">
      <w:pPr>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DB13384">
      <w:pPr>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4．质量保修完成后，由发包人组织验收。</w:t>
      </w:r>
    </w:p>
    <w:p w14:paraId="7D01985A">
      <w:pPr>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五、保修费用</w:t>
      </w:r>
    </w:p>
    <w:p w14:paraId="31E1478F">
      <w:pPr>
        <w:tabs>
          <w:tab w:val="left" w:pos="7380"/>
        </w:tabs>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保修费用由造成质量缺陷的责任方承担。</w:t>
      </w:r>
    </w:p>
    <w:p w14:paraId="39B44170">
      <w:pPr>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六、双方约定的其他工程质量保</w:t>
      </w:r>
      <w:r>
        <w:rPr>
          <w:rFonts w:hint="eastAsia" w:ascii="宋体" w:hAnsi="宋体" w:eastAsia="宋体" w:cs="宋体"/>
          <w:color w:val="000000"/>
          <w:highlight w:val="none"/>
        </w:rPr>
        <w:t>修事项：</w:t>
      </w:r>
      <w:r>
        <w:rPr>
          <w:rFonts w:hint="eastAsia" w:ascii="宋体" w:hAnsi="宋体" w:eastAsia="宋体" w:cs="宋体"/>
          <w:color w:val="000000"/>
          <w:sz w:val="21"/>
          <w:u w:val="single"/>
          <w:lang w:val="en-US" w:eastAsia="zh-CN"/>
        </w:rPr>
        <w:t>无</w:t>
      </w:r>
      <w:r>
        <w:rPr>
          <w:rFonts w:hint="eastAsia" w:ascii="宋体" w:hAnsi="宋体" w:eastAsia="宋体" w:cs="宋体"/>
          <w:color w:val="000000"/>
          <w:highlight w:val="none"/>
        </w:rPr>
        <w:t>。</w:t>
      </w:r>
    </w:p>
    <w:p w14:paraId="17AB6F31">
      <w:pPr>
        <w:spacing w:line="360" w:lineRule="auto"/>
        <w:ind w:firstLine="399" w:firstLineChars="190"/>
        <w:rPr>
          <w:rFonts w:hint="eastAsia" w:ascii="宋体" w:hAnsi="宋体" w:eastAsia="宋体" w:cs="宋体"/>
          <w:color w:val="auto"/>
          <w:highlight w:val="none"/>
        </w:rPr>
      </w:pPr>
      <w:r>
        <w:rPr>
          <w:rFonts w:hint="eastAsia" w:ascii="宋体" w:hAnsi="宋体" w:eastAsia="宋体" w:cs="宋体"/>
          <w:color w:val="auto"/>
          <w:highlight w:val="none"/>
        </w:rPr>
        <w:t>工程质量保修书由发包人、承包人在工程竣工验收前共同签署，作为施工合同附件，其有效期限至保修期满。</w:t>
      </w:r>
    </w:p>
    <w:p w14:paraId="6C023ED3">
      <w:pPr>
        <w:spacing w:line="360" w:lineRule="auto"/>
        <w:ind w:firstLine="420"/>
        <w:rPr>
          <w:rFonts w:hint="eastAsia" w:ascii="宋体" w:hAnsi="宋体" w:eastAsia="宋体" w:cs="宋体"/>
          <w:color w:val="000000"/>
          <w:highlight w:val="none"/>
        </w:rPr>
      </w:pPr>
    </w:p>
    <w:p w14:paraId="24E306D5">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发包人（公章）：</w:t>
      </w:r>
      <w:r>
        <w:rPr>
          <w:rFonts w:hint="eastAsia" w:ascii="宋体" w:hAnsi="宋体" w:eastAsia="宋体" w:cs="宋体"/>
          <w:color w:val="auto"/>
          <w:spacing w:val="-1"/>
          <w:sz w:val="21"/>
          <w:u w:val="none"/>
          <w:lang w:val="en-US" w:eastAsia="zh-CN"/>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承包人（公章）：</w:t>
      </w:r>
      <w:r>
        <w:rPr>
          <w:rFonts w:hint="eastAsia" w:ascii="宋体" w:hAnsi="宋体" w:eastAsia="宋体" w:cs="宋体"/>
          <w:color w:val="auto"/>
          <w:highlight w:val="none"/>
          <w:lang w:val="en-US" w:eastAsia="zh-CN"/>
        </w:rPr>
        <w:t xml:space="preserve"> </w:t>
      </w:r>
    </w:p>
    <w:p w14:paraId="4D968715">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bCs/>
          <w:color w:val="auto"/>
          <w:sz w:val="21"/>
          <w:lang w:val="en-US" w:eastAsia="zh-CN"/>
        </w:rPr>
      </w:pPr>
      <w:r>
        <w:rPr>
          <w:rFonts w:hint="eastAsia" w:ascii="宋体" w:hAnsi="宋体" w:eastAsia="宋体" w:cs="宋体"/>
          <w:color w:val="auto"/>
          <w:highlight w:val="none"/>
        </w:rPr>
        <w:t>地  址：</w:t>
      </w:r>
      <w:r>
        <w:rPr>
          <w:rFonts w:hint="eastAsia" w:ascii="宋体" w:hAnsi="宋体" w:eastAsia="宋体" w:cs="宋体"/>
          <w:color w:val="auto"/>
          <w:spacing w:val="-7"/>
          <w:sz w:val="21"/>
          <w:lang w:val="en-US" w:eastAsia="zh-CN"/>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地  址：</w:t>
      </w:r>
      <w:r>
        <w:rPr>
          <w:rFonts w:hint="eastAsia" w:ascii="宋体" w:hAnsi="宋体" w:cs="宋体"/>
          <w:color w:val="auto"/>
          <w:highlight w:val="none"/>
          <w:lang w:val="en-US" w:eastAsia="zh-CN"/>
        </w:rPr>
        <w:t xml:space="preserve">            </w:t>
      </w:r>
    </w:p>
    <w:p w14:paraId="0BFB18D9">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法定代表人（签字</w:t>
      </w:r>
      <w:r>
        <w:rPr>
          <w:rFonts w:hint="eastAsia" w:ascii="宋体" w:hAnsi="宋体" w:cs="宋体"/>
          <w:color w:val="auto"/>
          <w:highlight w:val="none"/>
          <w:lang w:val="en-US" w:eastAsia="zh-CN"/>
        </w:rPr>
        <w:t>或盖章</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法定代表人（签字</w:t>
      </w:r>
      <w:r>
        <w:rPr>
          <w:rFonts w:hint="eastAsia" w:ascii="宋体" w:hAnsi="宋体" w:cs="宋体"/>
          <w:color w:val="auto"/>
          <w:highlight w:val="none"/>
          <w:lang w:val="en-US" w:eastAsia="zh-CN"/>
        </w:rPr>
        <w:t>或盖章</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14:paraId="173D098D">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委托代理人（签字）：</w:t>
      </w:r>
      <w:r>
        <w:rPr>
          <w:rFonts w:hint="eastAsia" w:ascii="宋体" w:hAnsi="宋体" w:eastAsia="宋体" w:cs="宋体"/>
          <w:color w:val="auto"/>
          <w:highlight w:val="none"/>
          <w:u w:val="single"/>
        </w:rPr>
        <w:t></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委托代理人（签字）：</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14:paraId="6B3755F5">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color w:val="auto"/>
          <w:highlight w:val="none"/>
          <w:u w:val="single"/>
          <w:lang w:val="en-US"/>
        </w:rPr>
      </w:pPr>
      <w:r>
        <w:rPr>
          <w:rFonts w:hint="eastAsia" w:ascii="宋体" w:hAnsi="宋体" w:eastAsia="宋体" w:cs="宋体"/>
          <w:color w:val="auto"/>
          <w:highlight w:val="none"/>
        </w:rPr>
        <w:t>电  话：</w:t>
      </w:r>
      <w:r>
        <w:rPr>
          <w:rFonts w:hint="eastAsia" w:ascii="宋体" w:hAnsi="宋体" w:eastAsia="宋体" w:cs="宋体"/>
          <w:color w:val="auto"/>
          <w:sz w:val="21"/>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电  话：</w:t>
      </w:r>
      <w:r>
        <w:rPr>
          <w:rFonts w:hint="eastAsia" w:ascii="宋体" w:hAnsi="宋体" w:eastAsia="宋体" w:cs="宋体"/>
          <w:bCs/>
          <w:color w:val="auto"/>
          <w:sz w:val="21"/>
          <w:lang w:val="en-US" w:eastAsia="zh-CN"/>
        </w:rPr>
        <w:t xml:space="preserve"> </w:t>
      </w:r>
      <w:r>
        <w:rPr>
          <w:rFonts w:hint="eastAsia" w:ascii="宋体" w:hAnsi="宋体" w:eastAsia="宋体" w:cs="宋体"/>
          <w:bCs/>
          <w:color w:val="auto"/>
          <w:sz w:val="21"/>
          <w:u w:val="single"/>
          <w:lang w:val="en-US" w:eastAsia="zh-CN"/>
        </w:rPr>
        <w:t xml:space="preserve">           </w:t>
      </w:r>
      <w:r>
        <w:rPr>
          <w:rFonts w:hint="eastAsia" w:ascii="宋体" w:hAnsi="宋体" w:cs="宋体"/>
          <w:bCs/>
          <w:color w:val="auto"/>
          <w:sz w:val="21"/>
          <w:u w:val="single"/>
          <w:lang w:val="en-US" w:eastAsia="zh-CN"/>
        </w:rPr>
        <w:t xml:space="preserve">      </w:t>
      </w:r>
      <w:r>
        <w:rPr>
          <w:rFonts w:hint="eastAsia" w:ascii="宋体" w:hAnsi="宋体" w:eastAsia="宋体" w:cs="宋体"/>
          <w:bCs/>
          <w:color w:val="auto"/>
          <w:sz w:val="21"/>
          <w:u w:val="single"/>
          <w:lang w:val="en-US" w:eastAsia="zh-CN"/>
        </w:rPr>
        <w:t xml:space="preserve">                  </w:t>
      </w:r>
    </w:p>
    <w:p w14:paraId="7DAADF17">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传  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传  真：</w:t>
      </w:r>
      <w:r>
        <w:rPr>
          <w:rFonts w:hint="eastAsia" w:ascii="宋体" w:hAnsi="宋体" w:eastAsia="宋体" w:cs="宋体"/>
          <w:bCs/>
          <w:color w:val="auto"/>
          <w:sz w:val="21"/>
          <w:lang w:val="en-US" w:eastAsia="zh-CN"/>
        </w:rPr>
        <w:t xml:space="preserve"> </w:t>
      </w:r>
      <w:r>
        <w:rPr>
          <w:rFonts w:hint="eastAsia" w:ascii="宋体" w:hAnsi="宋体" w:eastAsia="宋体" w:cs="宋体"/>
          <w:bCs/>
          <w:color w:val="auto"/>
          <w:sz w:val="21"/>
          <w:u w:val="single"/>
          <w:lang w:val="en-US" w:eastAsia="zh-CN"/>
        </w:rPr>
        <w:t xml:space="preserve">            </w:t>
      </w:r>
      <w:r>
        <w:rPr>
          <w:rFonts w:hint="eastAsia" w:ascii="宋体" w:hAnsi="宋体" w:cs="宋体"/>
          <w:bCs/>
          <w:color w:val="auto"/>
          <w:sz w:val="21"/>
          <w:u w:val="single"/>
          <w:lang w:val="en-US" w:eastAsia="zh-CN"/>
        </w:rPr>
        <w:t xml:space="preserve">     </w:t>
      </w:r>
      <w:r>
        <w:rPr>
          <w:rFonts w:hint="eastAsia" w:ascii="宋体" w:hAnsi="宋体" w:eastAsia="宋体" w:cs="宋体"/>
          <w:bCs/>
          <w:color w:val="auto"/>
          <w:sz w:val="21"/>
          <w:u w:val="single"/>
          <w:lang w:val="en-US" w:eastAsia="zh-CN"/>
        </w:rPr>
        <w:t xml:space="preserve">                </w:t>
      </w:r>
    </w:p>
    <w:p w14:paraId="49CD7D4E">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开户银行：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开户银行：</w:t>
      </w:r>
      <w:r>
        <w:rPr>
          <w:rFonts w:hint="eastAsia" w:ascii="宋体" w:hAnsi="宋体" w:eastAsia="宋体" w:cs="宋体"/>
          <w:color w:val="auto"/>
          <w:highlight w:val="none"/>
          <w:u w:val="single"/>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w:t>
      </w:r>
    </w:p>
    <w:p w14:paraId="423CE50B">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账  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账  号：</w:t>
      </w:r>
      <w:r>
        <w:rPr>
          <w:rFonts w:hint="eastAsia" w:ascii="宋体" w:hAnsi="宋体" w:eastAsia="宋体" w:cs="宋体"/>
          <w:color w:val="auto"/>
          <w:highlight w:val="none"/>
          <w:u w:val="single"/>
          <w:lang w:val="en-US" w:eastAsia="zh-CN"/>
        </w:rPr>
        <w:t xml:space="preserve">                                       </w:t>
      </w:r>
    </w:p>
    <w:p w14:paraId="0363B845">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bCs/>
          <w:color w:val="auto"/>
          <w:sz w:val="21"/>
          <w:lang w:val="en-US" w:eastAsia="zh-CN"/>
        </w:rPr>
        <w:sectPr>
          <w:pgSz w:w="11905" w:h="16838"/>
          <w:pgMar w:top="1134" w:right="1134" w:bottom="1134" w:left="1134" w:header="720" w:footer="720" w:gutter="0"/>
          <w:pgNumType w:fmt="decimal"/>
          <w:cols w:space="720" w:num="1"/>
          <w:docGrid w:type="lines" w:linePitch="331" w:charSpace="0"/>
        </w:sectPr>
      </w:pPr>
      <w:r>
        <w:rPr>
          <w:rFonts w:hint="eastAsia" w:ascii="宋体" w:hAnsi="宋体" w:eastAsia="宋体" w:cs="宋体"/>
          <w:color w:val="auto"/>
          <w:highlight w:val="none"/>
        </w:rPr>
        <w:t>邮政编码：</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 xml:space="preserve">          邮政编码：</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bCs/>
          <w:color w:val="auto"/>
          <w:sz w:val="21"/>
          <w:u w:val="single"/>
          <w:lang w:val="en-US" w:eastAsia="zh-CN"/>
        </w:rPr>
        <w:t xml:space="preserve">                         </w:t>
      </w:r>
    </w:p>
    <w:p w14:paraId="1EBA1C16">
      <w:pPr>
        <w:spacing w:line="440" w:lineRule="exac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附件3：</w:t>
      </w:r>
    </w:p>
    <w:p w14:paraId="54C8D983">
      <w:pPr>
        <w:spacing w:before="166" w:beforeLines="50" w:after="166" w:afterLines="50" w:line="440" w:lineRule="exact"/>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承包人用于本工程施工的机械设备表</w:t>
      </w:r>
    </w:p>
    <w:tbl>
      <w:tblPr>
        <w:tblStyle w:val="14"/>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962"/>
        <w:gridCol w:w="979"/>
      </w:tblGrid>
      <w:tr w14:paraId="665E8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l2br w:val="nil"/>
              <w:tr2bl w:val="nil"/>
            </w:tcBorders>
            <w:vAlign w:val="center"/>
          </w:tcPr>
          <w:p w14:paraId="7F330C27">
            <w:pPr>
              <w:pStyle w:val="6"/>
              <w:keepNext/>
              <w:spacing w:after="0" w:line="440" w:lineRule="exact"/>
              <w:ind w:left="63" w:right="63"/>
              <w:rPr>
                <w:rFonts w:hint="eastAsia" w:ascii="宋体" w:hAnsi="宋体" w:eastAsia="宋体" w:cs="宋体"/>
                <w:color w:val="auto"/>
                <w:kern w:val="2"/>
                <w:sz w:val="28"/>
                <w:szCs w:val="30"/>
                <w:highlight w:val="none"/>
                <w:lang w:val="en-US" w:eastAsia="zh-CN"/>
              </w:rPr>
            </w:pPr>
            <w:r>
              <w:rPr>
                <w:rFonts w:hint="eastAsia" w:ascii="宋体" w:hAnsi="宋体" w:eastAsia="宋体" w:cs="宋体"/>
                <w:color w:val="auto"/>
                <w:kern w:val="2"/>
                <w:sz w:val="28"/>
                <w:szCs w:val="30"/>
                <w:highlight w:val="none"/>
                <w:lang w:val="en-US" w:eastAsia="zh-CN"/>
              </w:rPr>
              <w:t>序号</w:t>
            </w:r>
          </w:p>
        </w:tc>
        <w:tc>
          <w:tcPr>
            <w:tcW w:w="1418" w:type="dxa"/>
            <w:tcBorders>
              <w:top w:val="single" w:color="auto" w:sz="12" w:space="0"/>
              <w:bottom w:val="double" w:color="auto" w:sz="6" w:space="0"/>
              <w:tl2br w:val="nil"/>
              <w:tr2bl w:val="nil"/>
            </w:tcBorders>
            <w:vAlign w:val="center"/>
          </w:tcPr>
          <w:p w14:paraId="7E264334">
            <w:pPr>
              <w:pStyle w:val="6"/>
              <w:keepNext/>
              <w:spacing w:after="0" w:line="440" w:lineRule="exact"/>
              <w:ind w:left="63" w:right="63"/>
              <w:rPr>
                <w:rFonts w:hint="eastAsia" w:ascii="宋体" w:hAnsi="宋体" w:eastAsia="宋体" w:cs="宋体"/>
                <w:color w:val="auto"/>
                <w:kern w:val="2"/>
                <w:sz w:val="28"/>
                <w:szCs w:val="30"/>
                <w:highlight w:val="none"/>
                <w:lang w:val="en-US" w:eastAsia="zh-CN"/>
              </w:rPr>
            </w:pPr>
            <w:r>
              <w:rPr>
                <w:rFonts w:hint="eastAsia" w:ascii="宋体" w:hAnsi="宋体" w:eastAsia="宋体" w:cs="宋体"/>
                <w:color w:val="auto"/>
                <w:kern w:val="2"/>
                <w:sz w:val="28"/>
                <w:szCs w:val="30"/>
                <w:highlight w:val="none"/>
                <w:lang w:val="en-US" w:eastAsia="zh-CN"/>
              </w:rPr>
              <w:t>机械或设备名称</w:t>
            </w:r>
          </w:p>
        </w:tc>
        <w:tc>
          <w:tcPr>
            <w:tcW w:w="850" w:type="dxa"/>
            <w:tcBorders>
              <w:top w:val="single" w:color="auto" w:sz="12" w:space="0"/>
              <w:bottom w:val="double" w:color="auto" w:sz="6" w:space="0"/>
              <w:tl2br w:val="nil"/>
              <w:tr2bl w:val="nil"/>
            </w:tcBorders>
            <w:vAlign w:val="center"/>
          </w:tcPr>
          <w:p w14:paraId="787871FF">
            <w:pPr>
              <w:pStyle w:val="6"/>
              <w:keepNext/>
              <w:spacing w:after="0" w:line="440" w:lineRule="exact"/>
              <w:ind w:left="63" w:right="63"/>
              <w:rPr>
                <w:rFonts w:hint="eastAsia" w:ascii="宋体" w:hAnsi="宋体" w:eastAsia="宋体" w:cs="宋体"/>
                <w:color w:val="auto"/>
                <w:kern w:val="2"/>
                <w:sz w:val="28"/>
                <w:szCs w:val="30"/>
                <w:highlight w:val="none"/>
                <w:lang w:val="en-US" w:eastAsia="zh-CN"/>
              </w:rPr>
            </w:pPr>
            <w:r>
              <w:rPr>
                <w:rFonts w:hint="eastAsia" w:ascii="宋体" w:hAnsi="宋体" w:eastAsia="宋体" w:cs="宋体"/>
                <w:color w:val="auto"/>
                <w:kern w:val="2"/>
                <w:sz w:val="28"/>
                <w:szCs w:val="30"/>
                <w:highlight w:val="none"/>
                <w:lang w:val="en-US" w:eastAsia="zh-CN"/>
              </w:rPr>
              <w:t>规格型号</w:t>
            </w:r>
          </w:p>
        </w:tc>
        <w:tc>
          <w:tcPr>
            <w:tcW w:w="1058" w:type="dxa"/>
            <w:tcBorders>
              <w:top w:val="single" w:color="auto" w:sz="12" w:space="0"/>
              <w:bottom w:val="double" w:color="auto" w:sz="6" w:space="0"/>
              <w:tl2br w:val="nil"/>
              <w:tr2bl w:val="nil"/>
            </w:tcBorders>
            <w:vAlign w:val="center"/>
          </w:tcPr>
          <w:p w14:paraId="4F558AA6">
            <w:pPr>
              <w:pStyle w:val="6"/>
              <w:keepNext/>
              <w:spacing w:after="0" w:line="440" w:lineRule="exact"/>
              <w:ind w:left="63" w:right="63"/>
              <w:rPr>
                <w:rFonts w:hint="eastAsia" w:ascii="宋体" w:hAnsi="宋体" w:eastAsia="宋体" w:cs="宋体"/>
                <w:color w:val="auto"/>
                <w:kern w:val="2"/>
                <w:sz w:val="28"/>
                <w:szCs w:val="30"/>
                <w:highlight w:val="none"/>
                <w:lang w:val="en-US" w:eastAsia="zh-CN"/>
              </w:rPr>
            </w:pPr>
            <w:r>
              <w:rPr>
                <w:rFonts w:hint="eastAsia" w:ascii="宋体" w:hAnsi="宋体" w:eastAsia="宋体" w:cs="宋体"/>
                <w:color w:val="auto"/>
                <w:kern w:val="2"/>
                <w:sz w:val="28"/>
                <w:szCs w:val="30"/>
                <w:highlight w:val="none"/>
                <w:lang w:val="en-US" w:eastAsia="zh-CN"/>
              </w:rPr>
              <w:t>数量</w:t>
            </w:r>
          </w:p>
        </w:tc>
        <w:tc>
          <w:tcPr>
            <w:tcW w:w="880" w:type="dxa"/>
            <w:tcBorders>
              <w:top w:val="single" w:color="auto" w:sz="12" w:space="0"/>
              <w:bottom w:val="double" w:color="auto" w:sz="6" w:space="0"/>
              <w:tl2br w:val="nil"/>
              <w:tr2bl w:val="nil"/>
            </w:tcBorders>
            <w:vAlign w:val="center"/>
          </w:tcPr>
          <w:p w14:paraId="56F5CA41">
            <w:pPr>
              <w:pStyle w:val="6"/>
              <w:keepNext/>
              <w:spacing w:after="0" w:line="440" w:lineRule="exact"/>
              <w:ind w:left="63" w:right="63"/>
              <w:rPr>
                <w:rFonts w:hint="eastAsia" w:ascii="宋体" w:hAnsi="宋体" w:eastAsia="宋体" w:cs="宋体"/>
                <w:color w:val="auto"/>
                <w:kern w:val="2"/>
                <w:sz w:val="28"/>
                <w:szCs w:val="30"/>
                <w:highlight w:val="none"/>
                <w:lang w:val="en-US" w:eastAsia="zh-CN"/>
              </w:rPr>
            </w:pPr>
            <w:r>
              <w:rPr>
                <w:rFonts w:hint="eastAsia" w:ascii="宋体" w:hAnsi="宋体" w:eastAsia="宋体" w:cs="宋体"/>
                <w:color w:val="auto"/>
                <w:kern w:val="2"/>
                <w:sz w:val="28"/>
                <w:szCs w:val="30"/>
                <w:highlight w:val="none"/>
                <w:lang w:val="en-US" w:eastAsia="zh-CN"/>
              </w:rPr>
              <w:t>产地</w:t>
            </w:r>
          </w:p>
        </w:tc>
        <w:tc>
          <w:tcPr>
            <w:tcW w:w="1020" w:type="dxa"/>
            <w:tcBorders>
              <w:top w:val="single" w:color="auto" w:sz="12" w:space="0"/>
              <w:bottom w:val="double" w:color="auto" w:sz="6" w:space="0"/>
              <w:tl2br w:val="nil"/>
              <w:tr2bl w:val="nil"/>
            </w:tcBorders>
            <w:vAlign w:val="center"/>
          </w:tcPr>
          <w:p w14:paraId="0CFE3E8F">
            <w:pPr>
              <w:pStyle w:val="6"/>
              <w:keepNext/>
              <w:spacing w:after="0" w:line="440" w:lineRule="exact"/>
              <w:ind w:left="63" w:right="63"/>
              <w:rPr>
                <w:rFonts w:hint="eastAsia" w:ascii="宋体" w:hAnsi="宋体" w:eastAsia="宋体" w:cs="宋体"/>
                <w:color w:val="auto"/>
                <w:kern w:val="2"/>
                <w:sz w:val="28"/>
                <w:szCs w:val="30"/>
                <w:highlight w:val="none"/>
                <w:lang w:val="en-US" w:eastAsia="zh-CN"/>
              </w:rPr>
            </w:pPr>
            <w:r>
              <w:rPr>
                <w:rFonts w:hint="eastAsia" w:ascii="宋体" w:hAnsi="宋体" w:eastAsia="宋体" w:cs="宋体"/>
                <w:color w:val="auto"/>
                <w:kern w:val="2"/>
                <w:sz w:val="28"/>
                <w:szCs w:val="30"/>
                <w:highlight w:val="none"/>
                <w:lang w:val="en-US" w:eastAsia="zh-CN"/>
              </w:rPr>
              <w:t>制造年份</w:t>
            </w:r>
          </w:p>
        </w:tc>
        <w:tc>
          <w:tcPr>
            <w:tcW w:w="1480" w:type="dxa"/>
            <w:tcBorders>
              <w:top w:val="single" w:color="auto" w:sz="12" w:space="0"/>
              <w:bottom w:val="double" w:color="auto" w:sz="6" w:space="0"/>
              <w:tl2br w:val="nil"/>
              <w:tr2bl w:val="nil"/>
            </w:tcBorders>
            <w:vAlign w:val="center"/>
          </w:tcPr>
          <w:p w14:paraId="43E2BEE5">
            <w:pPr>
              <w:pStyle w:val="6"/>
              <w:keepNext/>
              <w:spacing w:after="0" w:line="440" w:lineRule="exact"/>
              <w:ind w:left="63" w:right="63"/>
              <w:rPr>
                <w:rFonts w:hint="eastAsia" w:ascii="宋体" w:hAnsi="宋体" w:eastAsia="宋体" w:cs="宋体"/>
                <w:color w:val="auto"/>
                <w:kern w:val="2"/>
                <w:sz w:val="28"/>
                <w:szCs w:val="30"/>
                <w:highlight w:val="none"/>
                <w:lang w:val="en-US" w:eastAsia="zh-CN"/>
              </w:rPr>
            </w:pPr>
            <w:r>
              <w:rPr>
                <w:rFonts w:hint="eastAsia" w:ascii="宋体" w:hAnsi="宋体" w:eastAsia="宋体" w:cs="宋体"/>
                <w:color w:val="auto"/>
                <w:kern w:val="2"/>
                <w:sz w:val="28"/>
                <w:szCs w:val="30"/>
                <w:highlight w:val="none"/>
                <w:lang w:val="en-US" w:eastAsia="zh-CN"/>
              </w:rPr>
              <w:t>额定功率(kW)</w:t>
            </w:r>
          </w:p>
        </w:tc>
        <w:tc>
          <w:tcPr>
            <w:tcW w:w="962" w:type="dxa"/>
            <w:tcBorders>
              <w:top w:val="single" w:color="auto" w:sz="12" w:space="0"/>
              <w:bottom w:val="double" w:color="auto" w:sz="6" w:space="0"/>
              <w:tl2br w:val="nil"/>
              <w:tr2bl w:val="nil"/>
            </w:tcBorders>
            <w:vAlign w:val="center"/>
          </w:tcPr>
          <w:p w14:paraId="1DC30D92">
            <w:pPr>
              <w:pStyle w:val="6"/>
              <w:keepNext/>
              <w:spacing w:after="0" w:line="440" w:lineRule="exact"/>
              <w:ind w:left="63" w:right="63"/>
              <w:rPr>
                <w:rFonts w:hint="eastAsia" w:ascii="宋体" w:hAnsi="宋体" w:eastAsia="宋体" w:cs="宋体"/>
                <w:color w:val="auto"/>
                <w:kern w:val="2"/>
                <w:sz w:val="28"/>
                <w:szCs w:val="30"/>
                <w:highlight w:val="none"/>
                <w:lang w:val="en-US" w:eastAsia="zh-CN"/>
              </w:rPr>
            </w:pPr>
            <w:r>
              <w:rPr>
                <w:rFonts w:hint="eastAsia" w:ascii="宋体" w:hAnsi="宋体" w:eastAsia="宋体" w:cs="宋体"/>
                <w:color w:val="auto"/>
                <w:kern w:val="2"/>
                <w:sz w:val="28"/>
                <w:szCs w:val="30"/>
                <w:highlight w:val="none"/>
                <w:lang w:val="en-US" w:eastAsia="zh-CN"/>
              </w:rPr>
              <w:t>生产能力</w:t>
            </w:r>
          </w:p>
        </w:tc>
        <w:tc>
          <w:tcPr>
            <w:tcW w:w="979" w:type="dxa"/>
            <w:tcBorders>
              <w:top w:val="single" w:color="auto" w:sz="12" w:space="0"/>
              <w:bottom w:val="double" w:color="auto" w:sz="6" w:space="0"/>
              <w:tl2br w:val="nil"/>
              <w:tr2bl w:val="nil"/>
            </w:tcBorders>
            <w:vAlign w:val="center"/>
          </w:tcPr>
          <w:p w14:paraId="0BD30A31">
            <w:pPr>
              <w:pStyle w:val="6"/>
              <w:keepNext/>
              <w:spacing w:after="0" w:line="440" w:lineRule="exact"/>
              <w:ind w:left="63" w:right="63"/>
              <w:rPr>
                <w:rFonts w:hint="eastAsia" w:ascii="宋体" w:hAnsi="宋体" w:eastAsia="宋体" w:cs="宋体"/>
                <w:color w:val="auto"/>
                <w:kern w:val="2"/>
                <w:sz w:val="28"/>
                <w:szCs w:val="30"/>
                <w:highlight w:val="none"/>
                <w:lang w:val="en-US" w:eastAsia="zh-CN"/>
              </w:rPr>
            </w:pPr>
            <w:r>
              <w:rPr>
                <w:rFonts w:hint="eastAsia" w:ascii="宋体" w:hAnsi="宋体" w:eastAsia="宋体" w:cs="宋体"/>
                <w:color w:val="auto"/>
                <w:kern w:val="2"/>
                <w:sz w:val="28"/>
                <w:szCs w:val="30"/>
                <w:highlight w:val="none"/>
                <w:lang w:val="en-US" w:eastAsia="zh-CN"/>
              </w:rPr>
              <w:t>备注</w:t>
            </w:r>
          </w:p>
        </w:tc>
      </w:tr>
      <w:tr w14:paraId="4FF0C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l2br w:val="nil"/>
              <w:tr2bl w:val="nil"/>
            </w:tcBorders>
            <w:vAlign w:val="center"/>
          </w:tcPr>
          <w:p w14:paraId="2F73A8D7">
            <w:pPr>
              <w:pStyle w:val="6"/>
              <w:keepNext/>
              <w:spacing w:after="0" w:line="440" w:lineRule="exact"/>
              <w:ind w:left="63" w:right="63"/>
              <w:rPr>
                <w:rFonts w:ascii="宋体" w:hAnsi="宋体" w:eastAsia="宋体" w:cs="宋体"/>
                <w:color w:val="auto"/>
                <w:kern w:val="2"/>
                <w:sz w:val="30"/>
                <w:szCs w:val="30"/>
                <w:highlight w:val="none"/>
                <w:lang w:val="en-US" w:eastAsia="zh-CN"/>
              </w:rPr>
            </w:pPr>
          </w:p>
        </w:tc>
        <w:tc>
          <w:tcPr>
            <w:tcW w:w="1418" w:type="dxa"/>
            <w:tcBorders>
              <w:top w:val="double" w:color="auto" w:sz="6" w:space="0"/>
              <w:bottom w:val="single" w:color="auto" w:sz="6" w:space="0"/>
              <w:tl2br w:val="nil"/>
              <w:tr2bl w:val="nil"/>
            </w:tcBorders>
            <w:vAlign w:val="center"/>
          </w:tcPr>
          <w:p w14:paraId="3DD73138">
            <w:pPr>
              <w:pStyle w:val="6"/>
              <w:keepNext/>
              <w:spacing w:after="0" w:line="440" w:lineRule="exact"/>
              <w:ind w:left="63" w:right="63"/>
              <w:rPr>
                <w:rFonts w:ascii="宋体" w:hAnsi="宋体" w:eastAsia="宋体" w:cs="宋体"/>
                <w:color w:val="auto"/>
                <w:kern w:val="2"/>
                <w:sz w:val="30"/>
                <w:szCs w:val="30"/>
                <w:highlight w:val="none"/>
                <w:lang w:val="en-US" w:eastAsia="zh-CN"/>
              </w:rPr>
            </w:pPr>
          </w:p>
        </w:tc>
        <w:tc>
          <w:tcPr>
            <w:tcW w:w="850" w:type="dxa"/>
            <w:tcBorders>
              <w:top w:val="double" w:color="auto" w:sz="6" w:space="0"/>
              <w:bottom w:val="single" w:color="auto" w:sz="6" w:space="0"/>
              <w:tl2br w:val="nil"/>
              <w:tr2bl w:val="nil"/>
            </w:tcBorders>
            <w:vAlign w:val="center"/>
          </w:tcPr>
          <w:p w14:paraId="7070731E">
            <w:pPr>
              <w:pStyle w:val="6"/>
              <w:keepNext/>
              <w:spacing w:after="0" w:line="440" w:lineRule="exact"/>
              <w:ind w:left="63" w:right="63"/>
              <w:rPr>
                <w:rFonts w:ascii="宋体" w:hAnsi="宋体" w:eastAsia="宋体" w:cs="宋体"/>
                <w:color w:val="auto"/>
                <w:kern w:val="2"/>
                <w:sz w:val="30"/>
                <w:szCs w:val="30"/>
                <w:highlight w:val="none"/>
                <w:lang w:val="en-US" w:eastAsia="zh-CN"/>
              </w:rPr>
            </w:pPr>
          </w:p>
        </w:tc>
        <w:tc>
          <w:tcPr>
            <w:tcW w:w="1058" w:type="dxa"/>
            <w:tcBorders>
              <w:top w:val="double" w:color="auto" w:sz="6" w:space="0"/>
              <w:bottom w:val="single" w:color="auto" w:sz="6" w:space="0"/>
              <w:tl2br w:val="nil"/>
              <w:tr2bl w:val="nil"/>
            </w:tcBorders>
            <w:vAlign w:val="center"/>
          </w:tcPr>
          <w:p w14:paraId="60348C4E">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80" w:type="dxa"/>
            <w:tcBorders>
              <w:top w:val="double" w:color="auto" w:sz="6" w:space="0"/>
              <w:bottom w:val="single" w:color="auto" w:sz="6" w:space="0"/>
              <w:tl2br w:val="nil"/>
              <w:tr2bl w:val="nil"/>
            </w:tcBorders>
            <w:vAlign w:val="center"/>
          </w:tcPr>
          <w:p w14:paraId="38391A4D">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20" w:type="dxa"/>
            <w:tcBorders>
              <w:top w:val="double" w:color="auto" w:sz="6" w:space="0"/>
              <w:bottom w:val="single" w:color="auto" w:sz="6" w:space="0"/>
              <w:tl2br w:val="nil"/>
              <w:tr2bl w:val="nil"/>
            </w:tcBorders>
            <w:vAlign w:val="center"/>
          </w:tcPr>
          <w:p w14:paraId="7998A3A2">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80" w:type="dxa"/>
            <w:tcBorders>
              <w:top w:val="double" w:color="auto" w:sz="6" w:space="0"/>
              <w:bottom w:val="single" w:color="auto" w:sz="6" w:space="0"/>
              <w:tl2br w:val="nil"/>
              <w:tr2bl w:val="nil"/>
            </w:tcBorders>
            <w:vAlign w:val="center"/>
          </w:tcPr>
          <w:p w14:paraId="5E190083">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62" w:type="dxa"/>
            <w:tcBorders>
              <w:top w:val="double" w:color="auto" w:sz="6" w:space="0"/>
              <w:bottom w:val="single" w:color="auto" w:sz="6" w:space="0"/>
              <w:tl2br w:val="nil"/>
              <w:tr2bl w:val="nil"/>
            </w:tcBorders>
            <w:vAlign w:val="center"/>
          </w:tcPr>
          <w:p w14:paraId="1C9490D5">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79" w:type="dxa"/>
            <w:tcBorders>
              <w:top w:val="double" w:color="auto" w:sz="6" w:space="0"/>
              <w:bottom w:val="single" w:color="auto" w:sz="6" w:space="0"/>
              <w:tl2br w:val="nil"/>
              <w:tr2bl w:val="nil"/>
            </w:tcBorders>
            <w:vAlign w:val="center"/>
          </w:tcPr>
          <w:p w14:paraId="02A67025">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r>
      <w:tr w14:paraId="6C8EA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l2br w:val="nil"/>
              <w:tr2bl w:val="nil"/>
            </w:tcBorders>
            <w:vAlign w:val="center"/>
          </w:tcPr>
          <w:p w14:paraId="79209C7B">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18" w:type="dxa"/>
            <w:tcBorders>
              <w:top w:val="nil"/>
              <w:tl2br w:val="nil"/>
              <w:tr2bl w:val="nil"/>
            </w:tcBorders>
            <w:vAlign w:val="center"/>
          </w:tcPr>
          <w:p w14:paraId="10EFB925">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50" w:type="dxa"/>
            <w:tcBorders>
              <w:top w:val="nil"/>
              <w:tl2br w:val="nil"/>
              <w:tr2bl w:val="nil"/>
            </w:tcBorders>
            <w:vAlign w:val="center"/>
          </w:tcPr>
          <w:p w14:paraId="2D7CB558">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58" w:type="dxa"/>
            <w:tcBorders>
              <w:top w:val="nil"/>
              <w:tl2br w:val="nil"/>
              <w:tr2bl w:val="nil"/>
            </w:tcBorders>
            <w:vAlign w:val="center"/>
          </w:tcPr>
          <w:p w14:paraId="415E4C4D">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80" w:type="dxa"/>
            <w:tcBorders>
              <w:top w:val="nil"/>
              <w:tl2br w:val="nil"/>
              <w:tr2bl w:val="nil"/>
            </w:tcBorders>
            <w:vAlign w:val="center"/>
          </w:tcPr>
          <w:p w14:paraId="10C02D12">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20" w:type="dxa"/>
            <w:tcBorders>
              <w:top w:val="nil"/>
              <w:tl2br w:val="nil"/>
              <w:tr2bl w:val="nil"/>
            </w:tcBorders>
            <w:vAlign w:val="center"/>
          </w:tcPr>
          <w:p w14:paraId="689E2258">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80" w:type="dxa"/>
            <w:tcBorders>
              <w:top w:val="nil"/>
              <w:tl2br w:val="nil"/>
              <w:tr2bl w:val="nil"/>
            </w:tcBorders>
            <w:vAlign w:val="center"/>
          </w:tcPr>
          <w:p w14:paraId="32AFFE1B">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62" w:type="dxa"/>
            <w:tcBorders>
              <w:top w:val="nil"/>
              <w:tl2br w:val="nil"/>
              <w:tr2bl w:val="nil"/>
            </w:tcBorders>
            <w:vAlign w:val="center"/>
          </w:tcPr>
          <w:p w14:paraId="4F74C14E">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79" w:type="dxa"/>
            <w:tcBorders>
              <w:top w:val="nil"/>
              <w:tl2br w:val="nil"/>
              <w:tr2bl w:val="nil"/>
            </w:tcBorders>
            <w:vAlign w:val="center"/>
          </w:tcPr>
          <w:p w14:paraId="6CF15BF3">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r>
      <w:tr w14:paraId="0021C0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vAlign w:val="center"/>
          </w:tcPr>
          <w:p w14:paraId="4732E43B">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18" w:type="dxa"/>
            <w:tcBorders>
              <w:tl2br w:val="nil"/>
              <w:tr2bl w:val="nil"/>
            </w:tcBorders>
            <w:vAlign w:val="center"/>
          </w:tcPr>
          <w:p w14:paraId="1B112501">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50" w:type="dxa"/>
            <w:tcBorders>
              <w:tl2br w:val="nil"/>
              <w:tr2bl w:val="nil"/>
            </w:tcBorders>
            <w:vAlign w:val="center"/>
          </w:tcPr>
          <w:p w14:paraId="54B6118C">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58" w:type="dxa"/>
            <w:tcBorders>
              <w:tl2br w:val="nil"/>
              <w:tr2bl w:val="nil"/>
            </w:tcBorders>
            <w:vAlign w:val="center"/>
          </w:tcPr>
          <w:p w14:paraId="5F80D3DF">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80" w:type="dxa"/>
            <w:tcBorders>
              <w:tl2br w:val="nil"/>
              <w:tr2bl w:val="nil"/>
            </w:tcBorders>
            <w:vAlign w:val="center"/>
          </w:tcPr>
          <w:p w14:paraId="3F80E247">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20" w:type="dxa"/>
            <w:tcBorders>
              <w:tl2br w:val="nil"/>
              <w:tr2bl w:val="nil"/>
            </w:tcBorders>
            <w:vAlign w:val="center"/>
          </w:tcPr>
          <w:p w14:paraId="06A10B74">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80" w:type="dxa"/>
            <w:tcBorders>
              <w:tl2br w:val="nil"/>
              <w:tr2bl w:val="nil"/>
            </w:tcBorders>
            <w:vAlign w:val="center"/>
          </w:tcPr>
          <w:p w14:paraId="56E1122A">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62" w:type="dxa"/>
            <w:tcBorders>
              <w:tl2br w:val="nil"/>
              <w:tr2bl w:val="nil"/>
            </w:tcBorders>
            <w:vAlign w:val="center"/>
          </w:tcPr>
          <w:p w14:paraId="54958347">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79" w:type="dxa"/>
            <w:tcBorders>
              <w:tl2br w:val="nil"/>
              <w:tr2bl w:val="nil"/>
            </w:tcBorders>
            <w:vAlign w:val="center"/>
          </w:tcPr>
          <w:p w14:paraId="44BA4B2E">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r>
      <w:tr w14:paraId="083779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vAlign w:val="center"/>
          </w:tcPr>
          <w:p w14:paraId="1080DCFD">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18" w:type="dxa"/>
            <w:tcBorders>
              <w:tl2br w:val="nil"/>
              <w:tr2bl w:val="nil"/>
            </w:tcBorders>
            <w:vAlign w:val="center"/>
          </w:tcPr>
          <w:p w14:paraId="7A07360C">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50" w:type="dxa"/>
            <w:tcBorders>
              <w:tl2br w:val="nil"/>
              <w:tr2bl w:val="nil"/>
            </w:tcBorders>
            <w:vAlign w:val="center"/>
          </w:tcPr>
          <w:p w14:paraId="2A66E4E4">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58" w:type="dxa"/>
            <w:tcBorders>
              <w:tl2br w:val="nil"/>
              <w:tr2bl w:val="nil"/>
            </w:tcBorders>
            <w:vAlign w:val="center"/>
          </w:tcPr>
          <w:p w14:paraId="4FCDE741">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80" w:type="dxa"/>
            <w:tcBorders>
              <w:tl2br w:val="nil"/>
              <w:tr2bl w:val="nil"/>
            </w:tcBorders>
            <w:vAlign w:val="center"/>
          </w:tcPr>
          <w:p w14:paraId="4468F494">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20" w:type="dxa"/>
            <w:tcBorders>
              <w:tl2br w:val="nil"/>
              <w:tr2bl w:val="nil"/>
            </w:tcBorders>
            <w:vAlign w:val="center"/>
          </w:tcPr>
          <w:p w14:paraId="66B93BEC">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80" w:type="dxa"/>
            <w:tcBorders>
              <w:tl2br w:val="nil"/>
              <w:tr2bl w:val="nil"/>
            </w:tcBorders>
            <w:vAlign w:val="center"/>
          </w:tcPr>
          <w:p w14:paraId="774C8DAD">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62" w:type="dxa"/>
            <w:tcBorders>
              <w:tl2br w:val="nil"/>
              <w:tr2bl w:val="nil"/>
            </w:tcBorders>
            <w:vAlign w:val="center"/>
          </w:tcPr>
          <w:p w14:paraId="2A230F00">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79" w:type="dxa"/>
            <w:tcBorders>
              <w:tl2br w:val="nil"/>
              <w:tr2bl w:val="nil"/>
            </w:tcBorders>
            <w:vAlign w:val="center"/>
          </w:tcPr>
          <w:p w14:paraId="41139DA5">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r>
      <w:tr w14:paraId="55934C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vAlign w:val="center"/>
          </w:tcPr>
          <w:p w14:paraId="2D7CDA65">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18" w:type="dxa"/>
            <w:tcBorders>
              <w:tl2br w:val="nil"/>
              <w:tr2bl w:val="nil"/>
            </w:tcBorders>
            <w:vAlign w:val="center"/>
          </w:tcPr>
          <w:p w14:paraId="0F2741FD">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50" w:type="dxa"/>
            <w:tcBorders>
              <w:tl2br w:val="nil"/>
              <w:tr2bl w:val="nil"/>
            </w:tcBorders>
            <w:vAlign w:val="center"/>
          </w:tcPr>
          <w:p w14:paraId="450E15E4">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58" w:type="dxa"/>
            <w:tcBorders>
              <w:tl2br w:val="nil"/>
              <w:tr2bl w:val="nil"/>
            </w:tcBorders>
            <w:vAlign w:val="center"/>
          </w:tcPr>
          <w:p w14:paraId="4D5019B6">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80" w:type="dxa"/>
            <w:tcBorders>
              <w:tl2br w:val="nil"/>
              <w:tr2bl w:val="nil"/>
            </w:tcBorders>
            <w:vAlign w:val="center"/>
          </w:tcPr>
          <w:p w14:paraId="641B6F4B">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20" w:type="dxa"/>
            <w:tcBorders>
              <w:tl2br w:val="nil"/>
              <w:tr2bl w:val="nil"/>
            </w:tcBorders>
            <w:vAlign w:val="center"/>
          </w:tcPr>
          <w:p w14:paraId="3FD9F800">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80" w:type="dxa"/>
            <w:tcBorders>
              <w:tl2br w:val="nil"/>
              <w:tr2bl w:val="nil"/>
            </w:tcBorders>
            <w:vAlign w:val="center"/>
          </w:tcPr>
          <w:p w14:paraId="4C915CBA">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62" w:type="dxa"/>
            <w:tcBorders>
              <w:tl2br w:val="nil"/>
              <w:tr2bl w:val="nil"/>
            </w:tcBorders>
            <w:vAlign w:val="center"/>
          </w:tcPr>
          <w:p w14:paraId="59DA57F9">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79" w:type="dxa"/>
            <w:tcBorders>
              <w:tl2br w:val="nil"/>
              <w:tr2bl w:val="nil"/>
            </w:tcBorders>
            <w:vAlign w:val="center"/>
          </w:tcPr>
          <w:p w14:paraId="6D152D94">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r>
      <w:tr w14:paraId="6F36B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vAlign w:val="center"/>
          </w:tcPr>
          <w:p w14:paraId="253D1315">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18" w:type="dxa"/>
            <w:tcBorders>
              <w:tl2br w:val="nil"/>
              <w:tr2bl w:val="nil"/>
            </w:tcBorders>
            <w:vAlign w:val="center"/>
          </w:tcPr>
          <w:p w14:paraId="7FA4DEDF">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50" w:type="dxa"/>
            <w:tcBorders>
              <w:tl2br w:val="nil"/>
              <w:tr2bl w:val="nil"/>
            </w:tcBorders>
            <w:vAlign w:val="center"/>
          </w:tcPr>
          <w:p w14:paraId="68863E83">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58" w:type="dxa"/>
            <w:tcBorders>
              <w:tl2br w:val="nil"/>
              <w:tr2bl w:val="nil"/>
            </w:tcBorders>
            <w:vAlign w:val="center"/>
          </w:tcPr>
          <w:p w14:paraId="4DD5C401">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80" w:type="dxa"/>
            <w:tcBorders>
              <w:tl2br w:val="nil"/>
              <w:tr2bl w:val="nil"/>
            </w:tcBorders>
            <w:vAlign w:val="center"/>
          </w:tcPr>
          <w:p w14:paraId="0EC6D407">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20" w:type="dxa"/>
            <w:tcBorders>
              <w:tl2br w:val="nil"/>
              <w:tr2bl w:val="nil"/>
            </w:tcBorders>
            <w:vAlign w:val="center"/>
          </w:tcPr>
          <w:p w14:paraId="485EDF5D">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80" w:type="dxa"/>
            <w:tcBorders>
              <w:tl2br w:val="nil"/>
              <w:tr2bl w:val="nil"/>
            </w:tcBorders>
            <w:vAlign w:val="center"/>
          </w:tcPr>
          <w:p w14:paraId="5B52C895">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62" w:type="dxa"/>
            <w:tcBorders>
              <w:tl2br w:val="nil"/>
              <w:tr2bl w:val="nil"/>
            </w:tcBorders>
            <w:vAlign w:val="center"/>
          </w:tcPr>
          <w:p w14:paraId="1BBF6500">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79" w:type="dxa"/>
            <w:tcBorders>
              <w:tl2br w:val="nil"/>
              <w:tr2bl w:val="nil"/>
            </w:tcBorders>
            <w:vAlign w:val="center"/>
          </w:tcPr>
          <w:p w14:paraId="464B7ED5">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r>
      <w:tr w14:paraId="29F8F2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vAlign w:val="center"/>
          </w:tcPr>
          <w:p w14:paraId="3FD7D7D8">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18" w:type="dxa"/>
            <w:tcBorders>
              <w:tl2br w:val="nil"/>
              <w:tr2bl w:val="nil"/>
            </w:tcBorders>
            <w:vAlign w:val="center"/>
          </w:tcPr>
          <w:p w14:paraId="04F8DBEC">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50" w:type="dxa"/>
            <w:tcBorders>
              <w:tl2br w:val="nil"/>
              <w:tr2bl w:val="nil"/>
            </w:tcBorders>
            <w:vAlign w:val="center"/>
          </w:tcPr>
          <w:p w14:paraId="4B660894">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58" w:type="dxa"/>
            <w:tcBorders>
              <w:tl2br w:val="nil"/>
              <w:tr2bl w:val="nil"/>
            </w:tcBorders>
            <w:vAlign w:val="center"/>
          </w:tcPr>
          <w:p w14:paraId="5E612251">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80" w:type="dxa"/>
            <w:tcBorders>
              <w:tl2br w:val="nil"/>
              <w:tr2bl w:val="nil"/>
            </w:tcBorders>
            <w:vAlign w:val="center"/>
          </w:tcPr>
          <w:p w14:paraId="6E59BED9">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20" w:type="dxa"/>
            <w:tcBorders>
              <w:tl2br w:val="nil"/>
              <w:tr2bl w:val="nil"/>
            </w:tcBorders>
            <w:vAlign w:val="center"/>
          </w:tcPr>
          <w:p w14:paraId="42479F1C">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80" w:type="dxa"/>
            <w:tcBorders>
              <w:tl2br w:val="nil"/>
              <w:tr2bl w:val="nil"/>
            </w:tcBorders>
            <w:vAlign w:val="center"/>
          </w:tcPr>
          <w:p w14:paraId="61C9FF62">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62" w:type="dxa"/>
            <w:tcBorders>
              <w:tl2br w:val="nil"/>
              <w:tr2bl w:val="nil"/>
            </w:tcBorders>
            <w:vAlign w:val="center"/>
          </w:tcPr>
          <w:p w14:paraId="6C0932D2">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79" w:type="dxa"/>
            <w:tcBorders>
              <w:tl2br w:val="nil"/>
              <w:tr2bl w:val="nil"/>
            </w:tcBorders>
            <w:vAlign w:val="center"/>
          </w:tcPr>
          <w:p w14:paraId="79B8121B">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r>
      <w:tr w14:paraId="6CA541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vAlign w:val="center"/>
          </w:tcPr>
          <w:p w14:paraId="072682A2">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18" w:type="dxa"/>
            <w:tcBorders>
              <w:tl2br w:val="nil"/>
              <w:tr2bl w:val="nil"/>
            </w:tcBorders>
            <w:vAlign w:val="center"/>
          </w:tcPr>
          <w:p w14:paraId="52B8E436">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50" w:type="dxa"/>
            <w:tcBorders>
              <w:tl2br w:val="nil"/>
              <w:tr2bl w:val="nil"/>
            </w:tcBorders>
            <w:vAlign w:val="center"/>
          </w:tcPr>
          <w:p w14:paraId="25EFF109">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58" w:type="dxa"/>
            <w:tcBorders>
              <w:tl2br w:val="nil"/>
              <w:tr2bl w:val="nil"/>
            </w:tcBorders>
            <w:vAlign w:val="center"/>
          </w:tcPr>
          <w:p w14:paraId="355D2D66">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80" w:type="dxa"/>
            <w:tcBorders>
              <w:tl2br w:val="nil"/>
              <w:tr2bl w:val="nil"/>
            </w:tcBorders>
            <w:vAlign w:val="center"/>
          </w:tcPr>
          <w:p w14:paraId="59A2B784">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20" w:type="dxa"/>
            <w:tcBorders>
              <w:tl2br w:val="nil"/>
              <w:tr2bl w:val="nil"/>
            </w:tcBorders>
            <w:vAlign w:val="center"/>
          </w:tcPr>
          <w:p w14:paraId="4796CA81">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80" w:type="dxa"/>
            <w:tcBorders>
              <w:tl2br w:val="nil"/>
              <w:tr2bl w:val="nil"/>
            </w:tcBorders>
            <w:vAlign w:val="center"/>
          </w:tcPr>
          <w:p w14:paraId="3CCBF2C4">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62" w:type="dxa"/>
            <w:tcBorders>
              <w:tl2br w:val="nil"/>
              <w:tr2bl w:val="nil"/>
            </w:tcBorders>
            <w:vAlign w:val="center"/>
          </w:tcPr>
          <w:p w14:paraId="4E43CAC7">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79" w:type="dxa"/>
            <w:tcBorders>
              <w:tl2br w:val="nil"/>
              <w:tr2bl w:val="nil"/>
            </w:tcBorders>
            <w:vAlign w:val="center"/>
          </w:tcPr>
          <w:p w14:paraId="3B7196BA">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r>
      <w:tr w14:paraId="3F2681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7E270621">
            <w:pPr>
              <w:rPr>
                <w:rFonts w:hint="eastAsia" w:ascii="宋体" w:hAnsi="宋体" w:eastAsia="宋体" w:cs="宋体"/>
                <w:color w:val="auto"/>
                <w:sz w:val="30"/>
                <w:szCs w:val="30"/>
                <w:highlight w:val="none"/>
              </w:rPr>
            </w:pPr>
          </w:p>
        </w:tc>
        <w:tc>
          <w:tcPr>
            <w:tcW w:w="1418" w:type="dxa"/>
            <w:tcBorders>
              <w:tl2br w:val="nil"/>
              <w:tr2bl w:val="nil"/>
            </w:tcBorders>
          </w:tcPr>
          <w:p w14:paraId="4004AE5A">
            <w:pPr>
              <w:rPr>
                <w:rFonts w:hint="eastAsia" w:ascii="宋体" w:hAnsi="宋体" w:eastAsia="宋体" w:cs="宋体"/>
                <w:color w:val="auto"/>
                <w:sz w:val="30"/>
                <w:szCs w:val="30"/>
                <w:highlight w:val="none"/>
              </w:rPr>
            </w:pPr>
          </w:p>
        </w:tc>
        <w:tc>
          <w:tcPr>
            <w:tcW w:w="850" w:type="dxa"/>
            <w:tcBorders>
              <w:tl2br w:val="nil"/>
              <w:tr2bl w:val="nil"/>
            </w:tcBorders>
          </w:tcPr>
          <w:p w14:paraId="76EF73E9">
            <w:pPr>
              <w:rPr>
                <w:rFonts w:hint="eastAsia" w:ascii="宋体" w:hAnsi="宋体" w:eastAsia="宋体" w:cs="宋体"/>
                <w:color w:val="auto"/>
                <w:sz w:val="30"/>
                <w:szCs w:val="30"/>
                <w:highlight w:val="none"/>
              </w:rPr>
            </w:pPr>
          </w:p>
        </w:tc>
        <w:tc>
          <w:tcPr>
            <w:tcW w:w="1058" w:type="dxa"/>
            <w:tcBorders>
              <w:tl2br w:val="nil"/>
              <w:tr2bl w:val="nil"/>
            </w:tcBorders>
          </w:tcPr>
          <w:p w14:paraId="074FA2F9">
            <w:pPr>
              <w:rPr>
                <w:rFonts w:hint="eastAsia" w:ascii="宋体" w:hAnsi="宋体" w:eastAsia="宋体" w:cs="宋体"/>
                <w:color w:val="auto"/>
                <w:sz w:val="30"/>
                <w:szCs w:val="30"/>
                <w:highlight w:val="none"/>
              </w:rPr>
            </w:pPr>
          </w:p>
        </w:tc>
        <w:tc>
          <w:tcPr>
            <w:tcW w:w="880" w:type="dxa"/>
            <w:tcBorders>
              <w:tl2br w:val="nil"/>
              <w:tr2bl w:val="nil"/>
            </w:tcBorders>
          </w:tcPr>
          <w:p w14:paraId="1F0E9974">
            <w:pPr>
              <w:rPr>
                <w:rFonts w:hint="eastAsia" w:ascii="宋体" w:hAnsi="宋体" w:eastAsia="宋体" w:cs="宋体"/>
                <w:color w:val="auto"/>
                <w:sz w:val="30"/>
                <w:szCs w:val="30"/>
                <w:highlight w:val="none"/>
              </w:rPr>
            </w:pPr>
          </w:p>
        </w:tc>
        <w:tc>
          <w:tcPr>
            <w:tcW w:w="1020" w:type="dxa"/>
            <w:tcBorders>
              <w:tl2br w:val="nil"/>
              <w:tr2bl w:val="nil"/>
            </w:tcBorders>
          </w:tcPr>
          <w:p w14:paraId="003AAA30">
            <w:pPr>
              <w:rPr>
                <w:rFonts w:hint="eastAsia" w:ascii="宋体" w:hAnsi="宋体" w:eastAsia="宋体" w:cs="宋体"/>
                <w:color w:val="auto"/>
                <w:sz w:val="30"/>
                <w:szCs w:val="30"/>
                <w:highlight w:val="none"/>
              </w:rPr>
            </w:pPr>
          </w:p>
        </w:tc>
        <w:tc>
          <w:tcPr>
            <w:tcW w:w="1480" w:type="dxa"/>
            <w:tcBorders>
              <w:tl2br w:val="nil"/>
              <w:tr2bl w:val="nil"/>
            </w:tcBorders>
          </w:tcPr>
          <w:p w14:paraId="304A34E0">
            <w:pPr>
              <w:rPr>
                <w:rFonts w:hint="eastAsia" w:ascii="宋体" w:hAnsi="宋体" w:eastAsia="宋体" w:cs="宋体"/>
                <w:color w:val="auto"/>
                <w:sz w:val="30"/>
                <w:szCs w:val="30"/>
                <w:highlight w:val="none"/>
              </w:rPr>
            </w:pPr>
          </w:p>
        </w:tc>
        <w:tc>
          <w:tcPr>
            <w:tcW w:w="962" w:type="dxa"/>
            <w:tcBorders>
              <w:tl2br w:val="nil"/>
              <w:tr2bl w:val="nil"/>
            </w:tcBorders>
          </w:tcPr>
          <w:p w14:paraId="1CBC778C">
            <w:pPr>
              <w:rPr>
                <w:rFonts w:hint="eastAsia" w:ascii="宋体" w:hAnsi="宋体" w:eastAsia="宋体" w:cs="宋体"/>
                <w:color w:val="auto"/>
                <w:sz w:val="30"/>
                <w:szCs w:val="30"/>
                <w:highlight w:val="none"/>
              </w:rPr>
            </w:pPr>
          </w:p>
        </w:tc>
        <w:tc>
          <w:tcPr>
            <w:tcW w:w="979" w:type="dxa"/>
            <w:tcBorders>
              <w:tl2br w:val="nil"/>
              <w:tr2bl w:val="nil"/>
            </w:tcBorders>
          </w:tcPr>
          <w:p w14:paraId="6695165F">
            <w:pPr>
              <w:rPr>
                <w:rFonts w:hint="eastAsia" w:ascii="宋体" w:hAnsi="宋体" w:eastAsia="宋体" w:cs="宋体"/>
                <w:color w:val="auto"/>
                <w:sz w:val="30"/>
                <w:szCs w:val="30"/>
                <w:highlight w:val="none"/>
              </w:rPr>
            </w:pPr>
          </w:p>
        </w:tc>
      </w:tr>
      <w:tr w14:paraId="63F78A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vAlign w:val="center"/>
          </w:tcPr>
          <w:p w14:paraId="52F62D40">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18" w:type="dxa"/>
            <w:tcBorders>
              <w:tl2br w:val="nil"/>
              <w:tr2bl w:val="nil"/>
            </w:tcBorders>
            <w:vAlign w:val="center"/>
          </w:tcPr>
          <w:p w14:paraId="02CDBC0A">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50" w:type="dxa"/>
            <w:tcBorders>
              <w:tl2br w:val="nil"/>
              <w:tr2bl w:val="nil"/>
            </w:tcBorders>
            <w:vAlign w:val="center"/>
          </w:tcPr>
          <w:p w14:paraId="61657934">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58" w:type="dxa"/>
            <w:tcBorders>
              <w:tl2br w:val="nil"/>
              <w:tr2bl w:val="nil"/>
            </w:tcBorders>
            <w:vAlign w:val="center"/>
          </w:tcPr>
          <w:p w14:paraId="0D26A631">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880" w:type="dxa"/>
            <w:tcBorders>
              <w:tl2br w:val="nil"/>
              <w:tr2bl w:val="nil"/>
            </w:tcBorders>
            <w:vAlign w:val="center"/>
          </w:tcPr>
          <w:p w14:paraId="09618702">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020" w:type="dxa"/>
            <w:tcBorders>
              <w:tl2br w:val="nil"/>
              <w:tr2bl w:val="nil"/>
            </w:tcBorders>
            <w:vAlign w:val="center"/>
          </w:tcPr>
          <w:p w14:paraId="40B12BD2">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1480" w:type="dxa"/>
            <w:tcBorders>
              <w:tl2br w:val="nil"/>
              <w:tr2bl w:val="nil"/>
            </w:tcBorders>
            <w:vAlign w:val="center"/>
          </w:tcPr>
          <w:p w14:paraId="1BA5A002">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62" w:type="dxa"/>
            <w:tcBorders>
              <w:tl2br w:val="nil"/>
              <w:tr2bl w:val="nil"/>
            </w:tcBorders>
            <w:vAlign w:val="center"/>
          </w:tcPr>
          <w:p w14:paraId="22CB2EBA">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c>
          <w:tcPr>
            <w:tcW w:w="979" w:type="dxa"/>
            <w:tcBorders>
              <w:tl2br w:val="nil"/>
              <w:tr2bl w:val="nil"/>
            </w:tcBorders>
            <w:vAlign w:val="center"/>
          </w:tcPr>
          <w:p w14:paraId="7BFB0408">
            <w:pPr>
              <w:pStyle w:val="6"/>
              <w:keepNext/>
              <w:spacing w:after="0" w:line="440" w:lineRule="exact"/>
              <w:ind w:left="63" w:right="63"/>
              <w:rPr>
                <w:rFonts w:hint="eastAsia" w:ascii="宋体" w:hAnsi="宋体" w:eastAsia="宋体" w:cs="宋体"/>
                <w:color w:val="auto"/>
                <w:kern w:val="2"/>
                <w:sz w:val="30"/>
                <w:szCs w:val="30"/>
                <w:highlight w:val="none"/>
                <w:lang w:val="en-US" w:eastAsia="zh-CN"/>
              </w:rPr>
            </w:pPr>
          </w:p>
        </w:tc>
      </w:tr>
      <w:tr w14:paraId="38B80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45672554">
            <w:pPr>
              <w:rPr>
                <w:rFonts w:hint="eastAsia" w:ascii="宋体" w:hAnsi="宋体" w:eastAsia="宋体" w:cs="宋体"/>
                <w:color w:val="auto"/>
                <w:sz w:val="30"/>
                <w:szCs w:val="30"/>
                <w:highlight w:val="none"/>
              </w:rPr>
            </w:pPr>
          </w:p>
        </w:tc>
        <w:tc>
          <w:tcPr>
            <w:tcW w:w="1418" w:type="dxa"/>
            <w:tcBorders>
              <w:tl2br w:val="nil"/>
              <w:tr2bl w:val="nil"/>
            </w:tcBorders>
          </w:tcPr>
          <w:p w14:paraId="7AFC49D6">
            <w:pPr>
              <w:rPr>
                <w:rFonts w:hint="eastAsia" w:ascii="宋体" w:hAnsi="宋体" w:eastAsia="宋体" w:cs="宋体"/>
                <w:color w:val="auto"/>
                <w:sz w:val="30"/>
                <w:szCs w:val="30"/>
                <w:highlight w:val="none"/>
              </w:rPr>
            </w:pPr>
          </w:p>
        </w:tc>
        <w:tc>
          <w:tcPr>
            <w:tcW w:w="850" w:type="dxa"/>
            <w:tcBorders>
              <w:tl2br w:val="nil"/>
              <w:tr2bl w:val="nil"/>
            </w:tcBorders>
          </w:tcPr>
          <w:p w14:paraId="575C237E">
            <w:pPr>
              <w:rPr>
                <w:rFonts w:hint="eastAsia" w:ascii="宋体" w:hAnsi="宋体" w:eastAsia="宋体" w:cs="宋体"/>
                <w:color w:val="auto"/>
                <w:sz w:val="30"/>
                <w:szCs w:val="30"/>
                <w:highlight w:val="none"/>
              </w:rPr>
            </w:pPr>
          </w:p>
        </w:tc>
        <w:tc>
          <w:tcPr>
            <w:tcW w:w="1058" w:type="dxa"/>
            <w:tcBorders>
              <w:tl2br w:val="nil"/>
              <w:tr2bl w:val="nil"/>
            </w:tcBorders>
          </w:tcPr>
          <w:p w14:paraId="2FCC280A">
            <w:pPr>
              <w:rPr>
                <w:rFonts w:hint="eastAsia" w:ascii="宋体" w:hAnsi="宋体" w:eastAsia="宋体" w:cs="宋体"/>
                <w:color w:val="auto"/>
                <w:sz w:val="30"/>
                <w:szCs w:val="30"/>
                <w:highlight w:val="none"/>
              </w:rPr>
            </w:pPr>
          </w:p>
        </w:tc>
        <w:tc>
          <w:tcPr>
            <w:tcW w:w="880" w:type="dxa"/>
            <w:tcBorders>
              <w:tl2br w:val="nil"/>
              <w:tr2bl w:val="nil"/>
            </w:tcBorders>
          </w:tcPr>
          <w:p w14:paraId="06F0163D">
            <w:pPr>
              <w:rPr>
                <w:rFonts w:hint="eastAsia" w:ascii="宋体" w:hAnsi="宋体" w:eastAsia="宋体" w:cs="宋体"/>
                <w:color w:val="auto"/>
                <w:sz w:val="30"/>
                <w:szCs w:val="30"/>
                <w:highlight w:val="none"/>
              </w:rPr>
            </w:pPr>
          </w:p>
        </w:tc>
        <w:tc>
          <w:tcPr>
            <w:tcW w:w="1020" w:type="dxa"/>
            <w:tcBorders>
              <w:tl2br w:val="nil"/>
              <w:tr2bl w:val="nil"/>
            </w:tcBorders>
          </w:tcPr>
          <w:p w14:paraId="27692A2E">
            <w:pPr>
              <w:rPr>
                <w:rFonts w:hint="eastAsia" w:ascii="宋体" w:hAnsi="宋体" w:eastAsia="宋体" w:cs="宋体"/>
                <w:color w:val="auto"/>
                <w:sz w:val="30"/>
                <w:szCs w:val="30"/>
                <w:highlight w:val="none"/>
              </w:rPr>
            </w:pPr>
          </w:p>
        </w:tc>
        <w:tc>
          <w:tcPr>
            <w:tcW w:w="1480" w:type="dxa"/>
            <w:tcBorders>
              <w:tl2br w:val="nil"/>
              <w:tr2bl w:val="nil"/>
            </w:tcBorders>
          </w:tcPr>
          <w:p w14:paraId="43DE6935">
            <w:pPr>
              <w:rPr>
                <w:rFonts w:hint="eastAsia" w:ascii="宋体" w:hAnsi="宋体" w:eastAsia="宋体" w:cs="宋体"/>
                <w:color w:val="auto"/>
                <w:sz w:val="30"/>
                <w:szCs w:val="30"/>
                <w:highlight w:val="none"/>
              </w:rPr>
            </w:pPr>
          </w:p>
        </w:tc>
        <w:tc>
          <w:tcPr>
            <w:tcW w:w="962" w:type="dxa"/>
            <w:tcBorders>
              <w:tl2br w:val="nil"/>
              <w:tr2bl w:val="nil"/>
            </w:tcBorders>
          </w:tcPr>
          <w:p w14:paraId="4E718432">
            <w:pPr>
              <w:rPr>
                <w:rFonts w:hint="eastAsia" w:ascii="宋体" w:hAnsi="宋体" w:eastAsia="宋体" w:cs="宋体"/>
                <w:color w:val="auto"/>
                <w:sz w:val="30"/>
                <w:szCs w:val="30"/>
                <w:highlight w:val="none"/>
              </w:rPr>
            </w:pPr>
          </w:p>
        </w:tc>
        <w:tc>
          <w:tcPr>
            <w:tcW w:w="979" w:type="dxa"/>
            <w:tcBorders>
              <w:tl2br w:val="nil"/>
              <w:tr2bl w:val="nil"/>
            </w:tcBorders>
          </w:tcPr>
          <w:p w14:paraId="0E7D1BA7">
            <w:pPr>
              <w:rPr>
                <w:rFonts w:hint="eastAsia" w:ascii="宋体" w:hAnsi="宋体" w:eastAsia="宋体" w:cs="宋体"/>
                <w:color w:val="auto"/>
                <w:sz w:val="30"/>
                <w:szCs w:val="30"/>
                <w:highlight w:val="none"/>
              </w:rPr>
            </w:pPr>
          </w:p>
        </w:tc>
      </w:tr>
      <w:tr w14:paraId="1200B5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479487E7">
            <w:pPr>
              <w:rPr>
                <w:rFonts w:hint="eastAsia" w:ascii="宋体" w:hAnsi="宋体" w:eastAsia="宋体" w:cs="宋体"/>
                <w:color w:val="auto"/>
                <w:sz w:val="30"/>
                <w:szCs w:val="30"/>
                <w:highlight w:val="none"/>
              </w:rPr>
            </w:pPr>
          </w:p>
        </w:tc>
        <w:tc>
          <w:tcPr>
            <w:tcW w:w="1418" w:type="dxa"/>
            <w:tcBorders>
              <w:tl2br w:val="nil"/>
              <w:tr2bl w:val="nil"/>
            </w:tcBorders>
          </w:tcPr>
          <w:p w14:paraId="608F1897">
            <w:pPr>
              <w:rPr>
                <w:rFonts w:hint="eastAsia" w:ascii="宋体" w:hAnsi="宋体" w:eastAsia="宋体" w:cs="宋体"/>
                <w:color w:val="auto"/>
                <w:sz w:val="30"/>
                <w:szCs w:val="30"/>
                <w:highlight w:val="none"/>
              </w:rPr>
            </w:pPr>
          </w:p>
        </w:tc>
        <w:tc>
          <w:tcPr>
            <w:tcW w:w="850" w:type="dxa"/>
            <w:tcBorders>
              <w:tl2br w:val="nil"/>
              <w:tr2bl w:val="nil"/>
            </w:tcBorders>
          </w:tcPr>
          <w:p w14:paraId="59595CF1">
            <w:pPr>
              <w:rPr>
                <w:rFonts w:hint="eastAsia" w:ascii="宋体" w:hAnsi="宋体" w:eastAsia="宋体" w:cs="宋体"/>
                <w:color w:val="auto"/>
                <w:sz w:val="30"/>
                <w:szCs w:val="30"/>
                <w:highlight w:val="none"/>
              </w:rPr>
            </w:pPr>
          </w:p>
        </w:tc>
        <w:tc>
          <w:tcPr>
            <w:tcW w:w="1058" w:type="dxa"/>
            <w:tcBorders>
              <w:tl2br w:val="nil"/>
              <w:tr2bl w:val="nil"/>
            </w:tcBorders>
          </w:tcPr>
          <w:p w14:paraId="25255FB7">
            <w:pPr>
              <w:rPr>
                <w:rFonts w:hint="eastAsia" w:ascii="宋体" w:hAnsi="宋体" w:eastAsia="宋体" w:cs="宋体"/>
                <w:color w:val="auto"/>
                <w:sz w:val="30"/>
                <w:szCs w:val="30"/>
                <w:highlight w:val="none"/>
              </w:rPr>
            </w:pPr>
          </w:p>
        </w:tc>
        <w:tc>
          <w:tcPr>
            <w:tcW w:w="880" w:type="dxa"/>
            <w:tcBorders>
              <w:tl2br w:val="nil"/>
              <w:tr2bl w:val="nil"/>
            </w:tcBorders>
          </w:tcPr>
          <w:p w14:paraId="4C874D98">
            <w:pPr>
              <w:rPr>
                <w:rFonts w:hint="eastAsia" w:ascii="宋体" w:hAnsi="宋体" w:eastAsia="宋体" w:cs="宋体"/>
                <w:color w:val="auto"/>
                <w:sz w:val="30"/>
                <w:szCs w:val="30"/>
                <w:highlight w:val="none"/>
              </w:rPr>
            </w:pPr>
          </w:p>
        </w:tc>
        <w:tc>
          <w:tcPr>
            <w:tcW w:w="1020" w:type="dxa"/>
            <w:tcBorders>
              <w:tl2br w:val="nil"/>
              <w:tr2bl w:val="nil"/>
            </w:tcBorders>
          </w:tcPr>
          <w:p w14:paraId="3D81040A">
            <w:pPr>
              <w:rPr>
                <w:rFonts w:hint="eastAsia" w:ascii="宋体" w:hAnsi="宋体" w:eastAsia="宋体" w:cs="宋体"/>
                <w:color w:val="auto"/>
                <w:sz w:val="30"/>
                <w:szCs w:val="30"/>
                <w:highlight w:val="none"/>
              </w:rPr>
            </w:pPr>
          </w:p>
        </w:tc>
        <w:tc>
          <w:tcPr>
            <w:tcW w:w="1480" w:type="dxa"/>
            <w:tcBorders>
              <w:tl2br w:val="nil"/>
              <w:tr2bl w:val="nil"/>
            </w:tcBorders>
          </w:tcPr>
          <w:p w14:paraId="543C4067">
            <w:pPr>
              <w:rPr>
                <w:rFonts w:hint="eastAsia" w:ascii="宋体" w:hAnsi="宋体" w:eastAsia="宋体" w:cs="宋体"/>
                <w:color w:val="auto"/>
                <w:sz w:val="30"/>
                <w:szCs w:val="30"/>
                <w:highlight w:val="none"/>
              </w:rPr>
            </w:pPr>
          </w:p>
        </w:tc>
        <w:tc>
          <w:tcPr>
            <w:tcW w:w="962" w:type="dxa"/>
            <w:tcBorders>
              <w:tl2br w:val="nil"/>
              <w:tr2bl w:val="nil"/>
            </w:tcBorders>
          </w:tcPr>
          <w:p w14:paraId="60EA57F9">
            <w:pPr>
              <w:rPr>
                <w:rFonts w:hint="eastAsia" w:ascii="宋体" w:hAnsi="宋体" w:eastAsia="宋体" w:cs="宋体"/>
                <w:color w:val="auto"/>
                <w:sz w:val="30"/>
                <w:szCs w:val="30"/>
                <w:highlight w:val="none"/>
              </w:rPr>
            </w:pPr>
          </w:p>
        </w:tc>
        <w:tc>
          <w:tcPr>
            <w:tcW w:w="979" w:type="dxa"/>
            <w:tcBorders>
              <w:tl2br w:val="nil"/>
              <w:tr2bl w:val="nil"/>
            </w:tcBorders>
          </w:tcPr>
          <w:p w14:paraId="5F58011E">
            <w:pPr>
              <w:rPr>
                <w:rFonts w:hint="eastAsia" w:ascii="宋体" w:hAnsi="宋体" w:eastAsia="宋体" w:cs="宋体"/>
                <w:color w:val="auto"/>
                <w:sz w:val="30"/>
                <w:szCs w:val="30"/>
                <w:highlight w:val="none"/>
              </w:rPr>
            </w:pPr>
          </w:p>
        </w:tc>
      </w:tr>
      <w:tr w14:paraId="3A597A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3AD7E732">
            <w:pPr>
              <w:rPr>
                <w:rFonts w:hint="eastAsia" w:ascii="宋体" w:hAnsi="宋体" w:eastAsia="宋体" w:cs="宋体"/>
                <w:color w:val="auto"/>
                <w:sz w:val="30"/>
                <w:szCs w:val="30"/>
                <w:highlight w:val="none"/>
              </w:rPr>
            </w:pPr>
          </w:p>
        </w:tc>
        <w:tc>
          <w:tcPr>
            <w:tcW w:w="1418" w:type="dxa"/>
            <w:tcBorders>
              <w:tl2br w:val="nil"/>
              <w:tr2bl w:val="nil"/>
            </w:tcBorders>
          </w:tcPr>
          <w:p w14:paraId="2CE94911">
            <w:pPr>
              <w:rPr>
                <w:rFonts w:hint="eastAsia" w:ascii="宋体" w:hAnsi="宋体" w:eastAsia="宋体" w:cs="宋体"/>
                <w:color w:val="auto"/>
                <w:sz w:val="30"/>
                <w:szCs w:val="30"/>
                <w:highlight w:val="none"/>
              </w:rPr>
            </w:pPr>
          </w:p>
        </w:tc>
        <w:tc>
          <w:tcPr>
            <w:tcW w:w="850" w:type="dxa"/>
            <w:tcBorders>
              <w:tl2br w:val="nil"/>
              <w:tr2bl w:val="nil"/>
            </w:tcBorders>
          </w:tcPr>
          <w:p w14:paraId="1C17DC3D">
            <w:pPr>
              <w:rPr>
                <w:rFonts w:hint="eastAsia" w:ascii="宋体" w:hAnsi="宋体" w:eastAsia="宋体" w:cs="宋体"/>
                <w:color w:val="auto"/>
                <w:sz w:val="30"/>
                <w:szCs w:val="30"/>
                <w:highlight w:val="none"/>
              </w:rPr>
            </w:pPr>
          </w:p>
        </w:tc>
        <w:tc>
          <w:tcPr>
            <w:tcW w:w="1058" w:type="dxa"/>
            <w:tcBorders>
              <w:tl2br w:val="nil"/>
              <w:tr2bl w:val="nil"/>
            </w:tcBorders>
          </w:tcPr>
          <w:p w14:paraId="1CE1DD4C">
            <w:pPr>
              <w:rPr>
                <w:rFonts w:hint="eastAsia" w:ascii="宋体" w:hAnsi="宋体" w:eastAsia="宋体" w:cs="宋体"/>
                <w:color w:val="auto"/>
                <w:sz w:val="30"/>
                <w:szCs w:val="30"/>
                <w:highlight w:val="none"/>
              </w:rPr>
            </w:pPr>
          </w:p>
        </w:tc>
        <w:tc>
          <w:tcPr>
            <w:tcW w:w="880" w:type="dxa"/>
            <w:tcBorders>
              <w:tl2br w:val="nil"/>
              <w:tr2bl w:val="nil"/>
            </w:tcBorders>
          </w:tcPr>
          <w:p w14:paraId="580DEA84">
            <w:pPr>
              <w:rPr>
                <w:rFonts w:hint="eastAsia" w:ascii="宋体" w:hAnsi="宋体" w:eastAsia="宋体" w:cs="宋体"/>
                <w:color w:val="auto"/>
                <w:sz w:val="30"/>
                <w:szCs w:val="30"/>
                <w:highlight w:val="none"/>
              </w:rPr>
            </w:pPr>
          </w:p>
        </w:tc>
        <w:tc>
          <w:tcPr>
            <w:tcW w:w="1020" w:type="dxa"/>
            <w:tcBorders>
              <w:tl2br w:val="nil"/>
              <w:tr2bl w:val="nil"/>
            </w:tcBorders>
          </w:tcPr>
          <w:p w14:paraId="34F9E463">
            <w:pPr>
              <w:rPr>
                <w:rFonts w:hint="eastAsia" w:ascii="宋体" w:hAnsi="宋体" w:eastAsia="宋体" w:cs="宋体"/>
                <w:color w:val="auto"/>
                <w:sz w:val="30"/>
                <w:szCs w:val="30"/>
                <w:highlight w:val="none"/>
              </w:rPr>
            </w:pPr>
          </w:p>
        </w:tc>
        <w:tc>
          <w:tcPr>
            <w:tcW w:w="1480" w:type="dxa"/>
            <w:tcBorders>
              <w:tl2br w:val="nil"/>
              <w:tr2bl w:val="nil"/>
            </w:tcBorders>
          </w:tcPr>
          <w:p w14:paraId="1D45F59B">
            <w:pPr>
              <w:rPr>
                <w:rFonts w:hint="eastAsia" w:ascii="宋体" w:hAnsi="宋体" w:eastAsia="宋体" w:cs="宋体"/>
                <w:color w:val="auto"/>
                <w:sz w:val="30"/>
                <w:szCs w:val="30"/>
                <w:highlight w:val="none"/>
              </w:rPr>
            </w:pPr>
          </w:p>
        </w:tc>
        <w:tc>
          <w:tcPr>
            <w:tcW w:w="962" w:type="dxa"/>
            <w:tcBorders>
              <w:tl2br w:val="nil"/>
              <w:tr2bl w:val="nil"/>
            </w:tcBorders>
          </w:tcPr>
          <w:p w14:paraId="41568945">
            <w:pPr>
              <w:rPr>
                <w:rFonts w:hint="eastAsia" w:ascii="宋体" w:hAnsi="宋体" w:eastAsia="宋体" w:cs="宋体"/>
                <w:color w:val="auto"/>
                <w:sz w:val="30"/>
                <w:szCs w:val="30"/>
                <w:highlight w:val="none"/>
              </w:rPr>
            </w:pPr>
          </w:p>
        </w:tc>
        <w:tc>
          <w:tcPr>
            <w:tcW w:w="979" w:type="dxa"/>
            <w:tcBorders>
              <w:tl2br w:val="nil"/>
              <w:tr2bl w:val="nil"/>
            </w:tcBorders>
          </w:tcPr>
          <w:p w14:paraId="5850DF82">
            <w:pPr>
              <w:rPr>
                <w:rFonts w:hint="eastAsia" w:ascii="宋体" w:hAnsi="宋体" w:eastAsia="宋体" w:cs="宋体"/>
                <w:color w:val="auto"/>
                <w:sz w:val="30"/>
                <w:szCs w:val="30"/>
                <w:highlight w:val="none"/>
              </w:rPr>
            </w:pPr>
          </w:p>
        </w:tc>
      </w:tr>
      <w:tr w14:paraId="767B9A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38AACF1F">
            <w:pPr>
              <w:rPr>
                <w:rFonts w:hint="eastAsia" w:ascii="宋体" w:hAnsi="宋体" w:eastAsia="宋体" w:cs="宋体"/>
                <w:color w:val="auto"/>
                <w:sz w:val="30"/>
                <w:szCs w:val="30"/>
                <w:highlight w:val="none"/>
              </w:rPr>
            </w:pPr>
          </w:p>
        </w:tc>
        <w:tc>
          <w:tcPr>
            <w:tcW w:w="1418" w:type="dxa"/>
            <w:tcBorders>
              <w:tl2br w:val="nil"/>
              <w:tr2bl w:val="nil"/>
            </w:tcBorders>
          </w:tcPr>
          <w:p w14:paraId="7407F703">
            <w:pPr>
              <w:rPr>
                <w:rFonts w:hint="eastAsia" w:ascii="宋体" w:hAnsi="宋体" w:eastAsia="宋体" w:cs="宋体"/>
                <w:color w:val="auto"/>
                <w:sz w:val="30"/>
                <w:szCs w:val="30"/>
                <w:highlight w:val="none"/>
              </w:rPr>
            </w:pPr>
          </w:p>
        </w:tc>
        <w:tc>
          <w:tcPr>
            <w:tcW w:w="850" w:type="dxa"/>
            <w:tcBorders>
              <w:tl2br w:val="nil"/>
              <w:tr2bl w:val="nil"/>
            </w:tcBorders>
          </w:tcPr>
          <w:p w14:paraId="46A6B729">
            <w:pPr>
              <w:rPr>
                <w:rFonts w:hint="eastAsia" w:ascii="宋体" w:hAnsi="宋体" w:eastAsia="宋体" w:cs="宋体"/>
                <w:color w:val="auto"/>
                <w:sz w:val="30"/>
                <w:szCs w:val="30"/>
                <w:highlight w:val="none"/>
              </w:rPr>
            </w:pPr>
          </w:p>
        </w:tc>
        <w:tc>
          <w:tcPr>
            <w:tcW w:w="1058" w:type="dxa"/>
            <w:tcBorders>
              <w:tl2br w:val="nil"/>
              <w:tr2bl w:val="nil"/>
            </w:tcBorders>
          </w:tcPr>
          <w:p w14:paraId="263B2F52">
            <w:pPr>
              <w:rPr>
                <w:rFonts w:hint="eastAsia" w:ascii="宋体" w:hAnsi="宋体" w:eastAsia="宋体" w:cs="宋体"/>
                <w:color w:val="auto"/>
                <w:sz w:val="30"/>
                <w:szCs w:val="30"/>
                <w:highlight w:val="none"/>
              </w:rPr>
            </w:pPr>
          </w:p>
        </w:tc>
        <w:tc>
          <w:tcPr>
            <w:tcW w:w="880" w:type="dxa"/>
            <w:tcBorders>
              <w:tl2br w:val="nil"/>
              <w:tr2bl w:val="nil"/>
            </w:tcBorders>
          </w:tcPr>
          <w:p w14:paraId="3FBFB6D2">
            <w:pPr>
              <w:rPr>
                <w:rFonts w:hint="eastAsia" w:ascii="宋体" w:hAnsi="宋体" w:eastAsia="宋体" w:cs="宋体"/>
                <w:color w:val="auto"/>
                <w:sz w:val="30"/>
                <w:szCs w:val="30"/>
                <w:highlight w:val="none"/>
              </w:rPr>
            </w:pPr>
          </w:p>
        </w:tc>
        <w:tc>
          <w:tcPr>
            <w:tcW w:w="1020" w:type="dxa"/>
            <w:tcBorders>
              <w:tl2br w:val="nil"/>
              <w:tr2bl w:val="nil"/>
            </w:tcBorders>
          </w:tcPr>
          <w:p w14:paraId="5E1CD116">
            <w:pPr>
              <w:rPr>
                <w:rFonts w:hint="eastAsia" w:ascii="宋体" w:hAnsi="宋体" w:eastAsia="宋体" w:cs="宋体"/>
                <w:color w:val="auto"/>
                <w:sz w:val="30"/>
                <w:szCs w:val="30"/>
                <w:highlight w:val="none"/>
              </w:rPr>
            </w:pPr>
          </w:p>
        </w:tc>
        <w:tc>
          <w:tcPr>
            <w:tcW w:w="1480" w:type="dxa"/>
            <w:tcBorders>
              <w:tl2br w:val="nil"/>
              <w:tr2bl w:val="nil"/>
            </w:tcBorders>
          </w:tcPr>
          <w:p w14:paraId="3DF46FD5">
            <w:pPr>
              <w:rPr>
                <w:rFonts w:hint="eastAsia" w:ascii="宋体" w:hAnsi="宋体" w:eastAsia="宋体" w:cs="宋体"/>
                <w:color w:val="auto"/>
                <w:sz w:val="30"/>
                <w:szCs w:val="30"/>
                <w:highlight w:val="none"/>
              </w:rPr>
            </w:pPr>
          </w:p>
        </w:tc>
        <w:tc>
          <w:tcPr>
            <w:tcW w:w="962" w:type="dxa"/>
            <w:tcBorders>
              <w:tl2br w:val="nil"/>
              <w:tr2bl w:val="nil"/>
            </w:tcBorders>
          </w:tcPr>
          <w:p w14:paraId="1E4B1CFB">
            <w:pPr>
              <w:rPr>
                <w:rFonts w:hint="eastAsia" w:ascii="宋体" w:hAnsi="宋体" w:eastAsia="宋体" w:cs="宋体"/>
                <w:color w:val="auto"/>
                <w:sz w:val="30"/>
                <w:szCs w:val="30"/>
                <w:highlight w:val="none"/>
              </w:rPr>
            </w:pPr>
          </w:p>
        </w:tc>
        <w:tc>
          <w:tcPr>
            <w:tcW w:w="979" w:type="dxa"/>
            <w:tcBorders>
              <w:tl2br w:val="nil"/>
              <w:tr2bl w:val="nil"/>
            </w:tcBorders>
          </w:tcPr>
          <w:p w14:paraId="4F3B1D70">
            <w:pPr>
              <w:rPr>
                <w:rFonts w:hint="eastAsia" w:ascii="宋体" w:hAnsi="宋体" w:eastAsia="宋体" w:cs="宋体"/>
                <w:color w:val="auto"/>
                <w:sz w:val="30"/>
                <w:szCs w:val="30"/>
                <w:highlight w:val="none"/>
              </w:rPr>
            </w:pPr>
          </w:p>
        </w:tc>
      </w:tr>
      <w:tr w14:paraId="03F14E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5A02062D">
            <w:pPr>
              <w:rPr>
                <w:rFonts w:hint="eastAsia" w:ascii="宋体" w:hAnsi="宋体" w:eastAsia="宋体" w:cs="宋体"/>
                <w:color w:val="auto"/>
                <w:sz w:val="30"/>
                <w:szCs w:val="30"/>
                <w:highlight w:val="none"/>
              </w:rPr>
            </w:pPr>
          </w:p>
        </w:tc>
        <w:tc>
          <w:tcPr>
            <w:tcW w:w="1418" w:type="dxa"/>
            <w:tcBorders>
              <w:tl2br w:val="nil"/>
              <w:tr2bl w:val="nil"/>
            </w:tcBorders>
          </w:tcPr>
          <w:p w14:paraId="4858BAAE">
            <w:pPr>
              <w:rPr>
                <w:rFonts w:hint="eastAsia" w:ascii="宋体" w:hAnsi="宋体" w:eastAsia="宋体" w:cs="宋体"/>
                <w:color w:val="auto"/>
                <w:sz w:val="30"/>
                <w:szCs w:val="30"/>
                <w:highlight w:val="none"/>
              </w:rPr>
            </w:pPr>
          </w:p>
        </w:tc>
        <w:tc>
          <w:tcPr>
            <w:tcW w:w="850" w:type="dxa"/>
            <w:tcBorders>
              <w:tl2br w:val="nil"/>
              <w:tr2bl w:val="nil"/>
            </w:tcBorders>
          </w:tcPr>
          <w:p w14:paraId="2F231FE5">
            <w:pPr>
              <w:rPr>
                <w:rFonts w:hint="eastAsia" w:ascii="宋体" w:hAnsi="宋体" w:eastAsia="宋体" w:cs="宋体"/>
                <w:color w:val="auto"/>
                <w:sz w:val="30"/>
                <w:szCs w:val="30"/>
                <w:highlight w:val="none"/>
              </w:rPr>
            </w:pPr>
          </w:p>
        </w:tc>
        <w:tc>
          <w:tcPr>
            <w:tcW w:w="1058" w:type="dxa"/>
            <w:tcBorders>
              <w:tl2br w:val="nil"/>
              <w:tr2bl w:val="nil"/>
            </w:tcBorders>
          </w:tcPr>
          <w:p w14:paraId="2E0542C2">
            <w:pPr>
              <w:rPr>
                <w:rFonts w:hint="eastAsia" w:ascii="宋体" w:hAnsi="宋体" w:eastAsia="宋体" w:cs="宋体"/>
                <w:color w:val="auto"/>
                <w:sz w:val="30"/>
                <w:szCs w:val="30"/>
                <w:highlight w:val="none"/>
              </w:rPr>
            </w:pPr>
          </w:p>
        </w:tc>
        <w:tc>
          <w:tcPr>
            <w:tcW w:w="880" w:type="dxa"/>
            <w:tcBorders>
              <w:tl2br w:val="nil"/>
              <w:tr2bl w:val="nil"/>
            </w:tcBorders>
          </w:tcPr>
          <w:p w14:paraId="3D5D1FD8">
            <w:pPr>
              <w:rPr>
                <w:rFonts w:hint="eastAsia" w:ascii="宋体" w:hAnsi="宋体" w:eastAsia="宋体" w:cs="宋体"/>
                <w:color w:val="auto"/>
                <w:sz w:val="30"/>
                <w:szCs w:val="30"/>
                <w:highlight w:val="none"/>
              </w:rPr>
            </w:pPr>
          </w:p>
        </w:tc>
        <w:tc>
          <w:tcPr>
            <w:tcW w:w="1020" w:type="dxa"/>
            <w:tcBorders>
              <w:tl2br w:val="nil"/>
              <w:tr2bl w:val="nil"/>
            </w:tcBorders>
          </w:tcPr>
          <w:p w14:paraId="4F561F56">
            <w:pPr>
              <w:rPr>
                <w:rFonts w:hint="eastAsia" w:ascii="宋体" w:hAnsi="宋体" w:eastAsia="宋体" w:cs="宋体"/>
                <w:color w:val="auto"/>
                <w:sz w:val="30"/>
                <w:szCs w:val="30"/>
                <w:highlight w:val="none"/>
              </w:rPr>
            </w:pPr>
          </w:p>
        </w:tc>
        <w:tc>
          <w:tcPr>
            <w:tcW w:w="1480" w:type="dxa"/>
            <w:tcBorders>
              <w:tl2br w:val="nil"/>
              <w:tr2bl w:val="nil"/>
            </w:tcBorders>
          </w:tcPr>
          <w:p w14:paraId="6536BA16">
            <w:pPr>
              <w:rPr>
                <w:rFonts w:hint="eastAsia" w:ascii="宋体" w:hAnsi="宋体" w:eastAsia="宋体" w:cs="宋体"/>
                <w:color w:val="auto"/>
                <w:sz w:val="30"/>
                <w:szCs w:val="30"/>
                <w:highlight w:val="none"/>
              </w:rPr>
            </w:pPr>
          </w:p>
        </w:tc>
        <w:tc>
          <w:tcPr>
            <w:tcW w:w="962" w:type="dxa"/>
            <w:tcBorders>
              <w:tl2br w:val="nil"/>
              <w:tr2bl w:val="nil"/>
            </w:tcBorders>
          </w:tcPr>
          <w:p w14:paraId="4BEF2669">
            <w:pPr>
              <w:rPr>
                <w:rFonts w:hint="eastAsia" w:ascii="宋体" w:hAnsi="宋体" w:eastAsia="宋体" w:cs="宋体"/>
                <w:color w:val="auto"/>
                <w:sz w:val="30"/>
                <w:szCs w:val="30"/>
                <w:highlight w:val="none"/>
              </w:rPr>
            </w:pPr>
          </w:p>
        </w:tc>
        <w:tc>
          <w:tcPr>
            <w:tcW w:w="979" w:type="dxa"/>
            <w:tcBorders>
              <w:tl2br w:val="nil"/>
              <w:tr2bl w:val="nil"/>
            </w:tcBorders>
          </w:tcPr>
          <w:p w14:paraId="45E2A85F">
            <w:pPr>
              <w:rPr>
                <w:rFonts w:hint="eastAsia" w:ascii="宋体" w:hAnsi="宋体" w:eastAsia="宋体" w:cs="宋体"/>
                <w:color w:val="auto"/>
                <w:sz w:val="30"/>
                <w:szCs w:val="30"/>
                <w:highlight w:val="none"/>
              </w:rPr>
            </w:pPr>
          </w:p>
        </w:tc>
      </w:tr>
      <w:tr w14:paraId="54FA36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1336AF53">
            <w:pPr>
              <w:rPr>
                <w:rFonts w:hint="eastAsia" w:ascii="宋体" w:hAnsi="宋体" w:eastAsia="宋体" w:cs="宋体"/>
                <w:color w:val="auto"/>
                <w:sz w:val="30"/>
                <w:szCs w:val="30"/>
                <w:highlight w:val="none"/>
              </w:rPr>
            </w:pPr>
          </w:p>
        </w:tc>
        <w:tc>
          <w:tcPr>
            <w:tcW w:w="1418" w:type="dxa"/>
            <w:tcBorders>
              <w:tl2br w:val="nil"/>
              <w:tr2bl w:val="nil"/>
            </w:tcBorders>
          </w:tcPr>
          <w:p w14:paraId="6E72C83C">
            <w:pPr>
              <w:rPr>
                <w:rFonts w:hint="eastAsia" w:ascii="宋体" w:hAnsi="宋体" w:eastAsia="宋体" w:cs="宋体"/>
                <w:color w:val="auto"/>
                <w:sz w:val="30"/>
                <w:szCs w:val="30"/>
                <w:highlight w:val="none"/>
              </w:rPr>
            </w:pPr>
          </w:p>
        </w:tc>
        <w:tc>
          <w:tcPr>
            <w:tcW w:w="850" w:type="dxa"/>
            <w:tcBorders>
              <w:tl2br w:val="nil"/>
              <w:tr2bl w:val="nil"/>
            </w:tcBorders>
          </w:tcPr>
          <w:p w14:paraId="70A5AFCC">
            <w:pPr>
              <w:rPr>
                <w:rFonts w:hint="eastAsia" w:ascii="宋体" w:hAnsi="宋体" w:eastAsia="宋体" w:cs="宋体"/>
                <w:color w:val="auto"/>
                <w:sz w:val="30"/>
                <w:szCs w:val="30"/>
                <w:highlight w:val="none"/>
              </w:rPr>
            </w:pPr>
          </w:p>
        </w:tc>
        <w:tc>
          <w:tcPr>
            <w:tcW w:w="1058" w:type="dxa"/>
            <w:tcBorders>
              <w:tl2br w:val="nil"/>
              <w:tr2bl w:val="nil"/>
            </w:tcBorders>
          </w:tcPr>
          <w:p w14:paraId="3D40BC50">
            <w:pPr>
              <w:rPr>
                <w:rFonts w:hint="eastAsia" w:ascii="宋体" w:hAnsi="宋体" w:eastAsia="宋体" w:cs="宋体"/>
                <w:color w:val="auto"/>
                <w:sz w:val="30"/>
                <w:szCs w:val="30"/>
                <w:highlight w:val="none"/>
              </w:rPr>
            </w:pPr>
          </w:p>
        </w:tc>
        <w:tc>
          <w:tcPr>
            <w:tcW w:w="880" w:type="dxa"/>
            <w:tcBorders>
              <w:tl2br w:val="nil"/>
              <w:tr2bl w:val="nil"/>
            </w:tcBorders>
          </w:tcPr>
          <w:p w14:paraId="549D6A38">
            <w:pPr>
              <w:rPr>
                <w:rFonts w:hint="eastAsia" w:ascii="宋体" w:hAnsi="宋体" w:eastAsia="宋体" w:cs="宋体"/>
                <w:color w:val="auto"/>
                <w:sz w:val="30"/>
                <w:szCs w:val="30"/>
                <w:highlight w:val="none"/>
              </w:rPr>
            </w:pPr>
          </w:p>
        </w:tc>
        <w:tc>
          <w:tcPr>
            <w:tcW w:w="1020" w:type="dxa"/>
            <w:tcBorders>
              <w:tl2br w:val="nil"/>
              <w:tr2bl w:val="nil"/>
            </w:tcBorders>
          </w:tcPr>
          <w:p w14:paraId="28D9FC6D">
            <w:pPr>
              <w:rPr>
                <w:rFonts w:hint="eastAsia" w:ascii="宋体" w:hAnsi="宋体" w:eastAsia="宋体" w:cs="宋体"/>
                <w:color w:val="auto"/>
                <w:sz w:val="30"/>
                <w:szCs w:val="30"/>
                <w:highlight w:val="none"/>
              </w:rPr>
            </w:pPr>
          </w:p>
        </w:tc>
        <w:tc>
          <w:tcPr>
            <w:tcW w:w="1480" w:type="dxa"/>
            <w:tcBorders>
              <w:tl2br w:val="nil"/>
              <w:tr2bl w:val="nil"/>
            </w:tcBorders>
          </w:tcPr>
          <w:p w14:paraId="16CEB4A6">
            <w:pPr>
              <w:rPr>
                <w:rFonts w:hint="eastAsia" w:ascii="宋体" w:hAnsi="宋体" w:eastAsia="宋体" w:cs="宋体"/>
                <w:color w:val="auto"/>
                <w:sz w:val="30"/>
                <w:szCs w:val="30"/>
                <w:highlight w:val="none"/>
              </w:rPr>
            </w:pPr>
          </w:p>
        </w:tc>
        <w:tc>
          <w:tcPr>
            <w:tcW w:w="962" w:type="dxa"/>
            <w:tcBorders>
              <w:tl2br w:val="nil"/>
              <w:tr2bl w:val="nil"/>
            </w:tcBorders>
          </w:tcPr>
          <w:p w14:paraId="62D163A4">
            <w:pPr>
              <w:rPr>
                <w:rFonts w:hint="eastAsia" w:ascii="宋体" w:hAnsi="宋体" w:eastAsia="宋体" w:cs="宋体"/>
                <w:color w:val="auto"/>
                <w:sz w:val="30"/>
                <w:szCs w:val="30"/>
                <w:highlight w:val="none"/>
              </w:rPr>
            </w:pPr>
          </w:p>
        </w:tc>
        <w:tc>
          <w:tcPr>
            <w:tcW w:w="979" w:type="dxa"/>
            <w:tcBorders>
              <w:tl2br w:val="nil"/>
              <w:tr2bl w:val="nil"/>
            </w:tcBorders>
          </w:tcPr>
          <w:p w14:paraId="0F8E49A6">
            <w:pPr>
              <w:rPr>
                <w:rFonts w:hint="eastAsia" w:ascii="宋体" w:hAnsi="宋体" w:eastAsia="宋体" w:cs="宋体"/>
                <w:color w:val="auto"/>
                <w:sz w:val="30"/>
                <w:szCs w:val="30"/>
                <w:highlight w:val="none"/>
              </w:rPr>
            </w:pPr>
          </w:p>
        </w:tc>
      </w:tr>
      <w:tr w14:paraId="468723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5AD0CD0E">
            <w:pPr>
              <w:rPr>
                <w:rFonts w:hint="eastAsia" w:ascii="宋体" w:hAnsi="宋体" w:eastAsia="宋体" w:cs="宋体"/>
                <w:color w:val="auto"/>
                <w:sz w:val="30"/>
                <w:szCs w:val="30"/>
                <w:highlight w:val="none"/>
              </w:rPr>
            </w:pPr>
          </w:p>
        </w:tc>
        <w:tc>
          <w:tcPr>
            <w:tcW w:w="1418" w:type="dxa"/>
            <w:tcBorders>
              <w:tl2br w:val="nil"/>
              <w:tr2bl w:val="nil"/>
            </w:tcBorders>
          </w:tcPr>
          <w:p w14:paraId="5913F92F">
            <w:pPr>
              <w:rPr>
                <w:rFonts w:hint="eastAsia" w:ascii="宋体" w:hAnsi="宋体" w:eastAsia="宋体" w:cs="宋体"/>
                <w:color w:val="auto"/>
                <w:sz w:val="30"/>
                <w:szCs w:val="30"/>
                <w:highlight w:val="none"/>
              </w:rPr>
            </w:pPr>
          </w:p>
        </w:tc>
        <w:tc>
          <w:tcPr>
            <w:tcW w:w="850" w:type="dxa"/>
            <w:tcBorders>
              <w:tl2br w:val="nil"/>
              <w:tr2bl w:val="nil"/>
            </w:tcBorders>
          </w:tcPr>
          <w:p w14:paraId="49845D34">
            <w:pPr>
              <w:rPr>
                <w:rFonts w:hint="eastAsia" w:ascii="宋体" w:hAnsi="宋体" w:eastAsia="宋体" w:cs="宋体"/>
                <w:color w:val="auto"/>
                <w:sz w:val="30"/>
                <w:szCs w:val="30"/>
                <w:highlight w:val="none"/>
              </w:rPr>
            </w:pPr>
          </w:p>
        </w:tc>
        <w:tc>
          <w:tcPr>
            <w:tcW w:w="1058" w:type="dxa"/>
            <w:tcBorders>
              <w:tl2br w:val="nil"/>
              <w:tr2bl w:val="nil"/>
            </w:tcBorders>
          </w:tcPr>
          <w:p w14:paraId="14A068D6">
            <w:pPr>
              <w:rPr>
                <w:rFonts w:hint="eastAsia" w:ascii="宋体" w:hAnsi="宋体" w:eastAsia="宋体" w:cs="宋体"/>
                <w:color w:val="auto"/>
                <w:sz w:val="30"/>
                <w:szCs w:val="30"/>
                <w:highlight w:val="none"/>
              </w:rPr>
            </w:pPr>
          </w:p>
        </w:tc>
        <w:tc>
          <w:tcPr>
            <w:tcW w:w="880" w:type="dxa"/>
            <w:tcBorders>
              <w:tl2br w:val="nil"/>
              <w:tr2bl w:val="nil"/>
            </w:tcBorders>
          </w:tcPr>
          <w:p w14:paraId="09BB22D1">
            <w:pPr>
              <w:rPr>
                <w:rFonts w:hint="eastAsia" w:ascii="宋体" w:hAnsi="宋体" w:eastAsia="宋体" w:cs="宋体"/>
                <w:color w:val="auto"/>
                <w:sz w:val="30"/>
                <w:szCs w:val="30"/>
                <w:highlight w:val="none"/>
              </w:rPr>
            </w:pPr>
          </w:p>
        </w:tc>
        <w:tc>
          <w:tcPr>
            <w:tcW w:w="1020" w:type="dxa"/>
            <w:tcBorders>
              <w:tl2br w:val="nil"/>
              <w:tr2bl w:val="nil"/>
            </w:tcBorders>
          </w:tcPr>
          <w:p w14:paraId="32A403C4">
            <w:pPr>
              <w:rPr>
                <w:rFonts w:hint="eastAsia" w:ascii="宋体" w:hAnsi="宋体" w:eastAsia="宋体" w:cs="宋体"/>
                <w:color w:val="auto"/>
                <w:sz w:val="30"/>
                <w:szCs w:val="30"/>
                <w:highlight w:val="none"/>
              </w:rPr>
            </w:pPr>
          </w:p>
        </w:tc>
        <w:tc>
          <w:tcPr>
            <w:tcW w:w="1480" w:type="dxa"/>
            <w:tcBorders>
              <w:tl2br w:val="nil"/>
              <w:tr2bl w:val="nil"/>
            </w:tcBorders>
          </w:tcPr>
          <w:p w14:paraId="1346E829">
            <w:pPr>
              <w:rPr>
                <w:rFonts w:hint="eastAsia" w:ascii="宋体" w:hAnsi="宋体" w:eastAsia="宋体" w:cs="宋体"/>
                <w:color w:val="auto"/>
                <w:sz w:val="30"/>
                <w:szCs w:val="30"/>
                <w:highlight w:val="none"/>
              </w:rPr>
            </w:pPr>
          </w:p>
        </w:tc>
        <w:tc>
          <w:tcPr>
            <w:tcW w:w="962" w:type="dxa"/>
            <w:tcBorders>
              <w:tl2br w:val="nil"/>
              <w:tr2bl w:val="nil"/>
            </w:tcBorders>
          </w:tcPr>
          <w:p w14:paraId="3E25FB8A">
            <w:pPr>
              <w:rPr>
                <w:rFonts w:hint="eastAsia" w:ascii="宋体" w:hAnsi="宋体" w:eastAsia="宋体" w:cs="宋体"/>
                <w:color w:val="auto"/>
                <w:sz w:val="30"/>
                <w:szCs w:val="30"/>
                <w:highlight w:val="none"/>
              </w:rPr>
            </w:pPr>
          </w:p>
        </w:tc>
        <w:tc>
          <w:tcPr>
            <w:tcW w:w="979" w:type="dxa"/>
            <w:tcBorders>
              <w:tl2br w:val="nil"/>
              <w:tr2bl w:val="nil"/>
            </w:tcBorders>
          </w:tcPr>
          <w:p w14:paraId="78B67F3D">
            <w:pPr>
              <w:rPr>
                <w:rFonts w:hint="eastAsia" w:ascii="宋体" w:hAnsi="宋体" w:eastAsia="宋体" w:cs="宋体"/>
                <w:color w:val="auto"/>
                <w:sz w:val="30"/>
                <w:szCs w:val="30"/>
                <w:highlight w:val="none"/>
              </w:rPr>
            </w:pPr>
          </w:p>
        </w:tc>
      </w:tr>
      <w:tr w14:paraId="09C5A3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34859341">
            <w:pPr>
              <w:rPr>
                <w:rFonts w:hint="eastAsia" w:ascii="宋体" w:hAnsi="宋体" w:eastAsia="宋体" w:cs="宋体"/>
                <w:color w:val="auto"/>
                <w:sz w:val="30"/>
                <w:szCs w:val="30"/>
                <w:highlight w:val="none"/>
              </w:rPr>
            </w:pPr>
          </w:p>
        </w:tc>
        <w:tc>
          <w:tcPr>
            <w:tcW w:w="1418" w:type="dxa"/>
            <w:tcBorders>
              <w:tl2br w:val="nil"/>
              <w:tr2bl w:val="nil"/>
            </w:tcBorders>
          </w:tcPr>
          <w:p w14:paraId="08E2642E">
            <w:pPr>
              <w:rPr>
                <w:rFonts w:hint="eastAsia" w:ascii="宋体" w:hAnsi="宋体" w:eastAsia="宋体" w:cs="宋体"/>
                <w:color w:val="auto"/>
                <w:sz w:val="30"/>
                <w:szCs w:val="30"/>
                <w:highlight w:val="none"/>
              </w:rPr>
            </w:pPr>
          </w:p>
        </w:tc>
        <w:tc>
          <w:tcPr>
            <w:tcW w:w="850" w:type="dxa"/>
            <w:tcBorders>
              <w:tl2br w:val="nil"/>
              <w:tr2bl w:val="nil"/>
            </w:tcBorders>
          </w:tcPr>
          <w:p w14:paraId="510A603C">
            <w:pPr>
              <w:rPr>
                <w:rFonts w:hint="eastAsia" w:ascii="宋体" w:hAnsi="宋体" w:eastAsia="宋体" w:cs="宋体"/>
                <w:color w:val="auto"/>
                <w:sz w:val="30"/>
                <w:szCs w:val="30"/>
                <w:highlight w:val="none"/>
              </w:rPr>
            </w:pPr>
          </w:p>
        </w:tc>
        <w:tc>
          <w:tcPr>
            <w:tcW w:w="1058" w:type="dxa"/>
            <w:tcBorders>
              <w:tl2br w:val="nil"/>
              <w:tr2bl w:val="nil"/>
            </w:tcBorders>
          </w:tcPr>
          <w:p w14:paraId="553CD441">
            <w:pPr>
              <w:rPr>
                <w:rFonts w:hint="eastAsia" w:ascii="宋体" w:hAnsi="宋体" w:eastAsia="宋体" w:cs="宋体"/>
                <w:color w:val="auto"/>
                <w:sz w:val="30"/>
                <w:szCs w:val="30"/>
                <w:highlight w:val="none"/>
              </w:rPr>
            </w:pPr>
          </w:p>
        </w:tc>
        <w:tc>
          <w:tcPr>
            <w:tcW w:w="880" w:type="dxa"/>
            <w:tcBorders>
              <w:tl2br w:val="nil"/>
              <w:tr2bl w:val="nil"/>
            </w:tcBorders>
          </w:tcPr>
          <w:p w14:paraId="1DB06C58">
            <w:pPr>
              <w:rPr>
                <w:rFonts w:hint="eastAsia" w:ascii="宋体" w:hAnsi="宋体" w:eastAsia="宋体" w:cs="宋体"/>
                <w:color w:val="auto"/>
                <w:sz w:val="30"/>
                <w:szCs w:val="30"/>
                <w:highlight w:val="none"/>
              </w:rPr>
            </w:pPr>
          </w:p>
        </w:tc>
        <w:tc>
          <w:tcPr>
            <w:tcW w:w="1020" w:type="dxa"/>
            <w:tcBorders>
              <w:tl2br w:val="nil"/>
              <w:tr2bl w:val="nil"/>
            </w:tcBorders>
          </w:tcPr>
          <w:p w14:paraId="6F9A2562">
            <w:pPr>
              <w:rPr>
                <w:rFonts w:hint="eastAsia" w:ascii="宋体" w:hAnsi="宋体" w:eastAsia="宋体" w:cs="宋体"/>
                <w:color w:val="auto"/>
                <w:sz w:val="30"/>
                <w:szCs w:val="30"/>
                <w:highlight w:val="none"/>
              </w:rPr>
            </w:pPr>
          </w:p>
        </w:tc>
        <w:tc>
          <w:tcPr>
            <w:tcW w:w="1480" w:type="dxa"/>
            <w:tcBorders>
              <w:tl2br w:val="nil"/>
              <w:tr2bl w:val="nil"/>
            </w:tcBorders>
          </w:tcPr>
          <w:p w14:paraId="589FDFD4">
            <w:pPr>
              <w:rPr>
                <w:rFonts w:hint="eastAsia" w:ascii="宋体" w:hAnsi="宋体" w:eastAsia="宋体" w:cs="宋体"/>
                <w:color w:val="auto"/>
                <w:sz w:val="30"/>
                <w:szCs w:val="30"/>
                <w:highlight w:val="none"/>
              </w:rPr>
            </w:pPr>
          </w:p>
        </w:tc>
        <w:tc>
          <w:tcPr>
            <w:tcW w:w="962" w:type="dxa"/>
            <w:tcBorders>
              <w:tl2br w:val="nil"/>
              <w:tr2bl w:val="nil"/>
            </w:tcBorders>
          </w:tcPr>
          <w:p w14:paraId="69C17789">
            <w:pPr>
              <w:rPr>
                <w:rFonts w:hint="eastAsia" w:ascii="宋体" w:hAnsi="宋体" w:eastAsia="宋体" w:cs="宋体"/>
                <w:color w:val="auto"/>
                <w:sz w:val="30"/>
                <w:szCs w:val="30"/>
                <w:highlight w:val="none"/>
              </w:rPr>
            </w:pPr>
          </w:p>
        </w:tc>
        <w:tc>
          <w:tcPr>
            <w:tcW w:w="979" w:type="dxa"/>
            <w:tcBorders>
              <w:tl2br w:val="nil"/>
              <w:tr2bl w:val="nil"/>
            </w:tcBorders>
          </w:tcPr>
          <w:p w14:paraId="577C4F77">
            <w:pPr>
              <w:rPr>
                <w:rFonts w:hint="eastAsia" w:ascii="宋体" w:hAnsi="宋体" w:eastAsia="宋体" w:cs="宋体"/>
                <w:color w:val="auto"/>
                <w:sz w:val="30"/>
                <w:szCs w:val="30"/>
                <w:highlight w:val="none"/>
              </w:rPr>
            </w:pPr>
          </w:p>
        </w:tc>
      </w:tr>
      <w:tr w14:paraId="459F3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2B1E8017">
            <w:pPr>
              <w:rPr>
                <w:rFonts w:hint="eastAsia" w:ascii="宋体" w:hAnsi="宋体" w:eastAsia="宋体" w:cs="宋体"/>
                <w:color w:val="auto"/>
                <w:sz w:val="30"/>
                <w:szCs w:val="30"/>
                <w:highlight w:val="none"/>
              </w:rPr>
            </w:pPr>
          </w:p>
        </w:tc>
        <w:tc>
          <w:tcPr>
            <w:tcW w:w="1418" w:type="dxa"/>
            <w:tcBorders>
              <w:tl2br w:val="nil"/>
              <w:tr2bl w:val="nil"/>
            </w:tcBorders>
          </w:tcPr>
          <w:p w14:paraId="0E071287">
            <w:pPr>
              <w:rPr>
                <w:rFonts w:hint="eastAsia" w:ascii="宋体" w:hAnsi="宋体" w:eastAsia="宋体" w:cs="宋体"/>
                <w:color w:val="auto"/>
                <w:sz w:val="30"/>
                <w:szCs w:val="30"/>
                <w:highlight w:val="none"/>
              </w:rPr>
            </w:pPr>
          </w:p>
        </w:tc>
        <w:tc>
          <w:tcPr>
            <w:tcW w:w="850" w:type="dxa"/>
            <w:tcBorders>
              <w:tl2br w:val="nil"/>
              <w:tr2bl w:val="nil"/>
            </w:tcBorders>
          </w:tcPr>
          <w:p w14:paraId="4E098006">
            <w:pPr>
              <w:rPr>
                <w:rFonts w:hint="eastAsia" w:ascii="宋体" w:hAnsi="宋体" w:eastAsia="宋体" w:cs="宋体"/>
                <w:color w:val="auto"/>
                <w:sz w:val="30"/>
                <w:szCs w:val="30"/>
                <w:highlight w:val="none"/>
              </w:rPr>
            </w:pPr>
          </w:p>
        </w:tc>
        <w:tc>
          <w:tcPr>
            <w:tcW w:w="1058" w:type="dxa"/>
            <w:tcBorders>
              <w:tl2br w:val="nil"/>
              <w:tr2bl w:val="nil"/>
            </w:tcBorders>
          </w:tcPr>
          <w:p w14:paraId="28D1B465">
            <w:pPr>
              <w:rPr>
                <w:rFonts w:hint="eastAsia" w:ascii="宋体" w:hAnsi="宋体" w:eastAsia="宋体" w:cs="宋体"/>
                <w:color w:val="auto"/>
                <w:sz w:val="30"/>
                <w:szCs w:val="30"/>
                <w:highlight w:val="none"/>
              </w:rPr>
            </w:pPr>
          </w:p>
        </w:tc>
        <w:tc>
          <w:tcPr>
            <w:tcW w:w="880" w:type="dxa"/>
            <w:tcBorders>
              <w:tl2br w:val="nil"/>
              <w:tr2bl w:val="nil"/>
            </w:tcBorders>
          </w:tcPr>
          <w:p w14:paraId="63D81408">
            <w:pPr>
              <w:rPr>
                <w:rFonts w:hint="eastAsia" w:ascii="宋体" w:hAnsi="宋体" w:eastAsia="宋体" w:cs="宋体"/>
                <w:color w:val="auto"/>
                <w:sz w:val="30"/>
                <w:szCs w:val="30"/>
                <w:highlight w:val="none"/>
              </w:rPr>
            </w:pPr>
          </w:p>
        </w:tc>
        <w:tc>
          <w:tcPr>
            <w:tcW w:w="1020" w:type="dxa"/>
            <w:tcBorders>
              <w:tl2br w:val="nil"/>
              <w:tr2bl w:val="nil"/>
            </w:tcBorders>
          </w:tcPr>
          <w:p w14:paraId="1DAD7D19">
            <w:pPr>
              <w:rPr>
                <w:rFonts w:hint="eastAsia" w:ascii="宋体" w:hAnsi="宋体" w:eastAsia="宋体" w:cs="宋体"/>
                <w:color w:val="auto"/>
                <w:sz w:val="30"/>
                <w:szCs w:val="30"/>
                <w:highlight w:val="none"/>
              </w:rPr>
            </w:pPr>
          </w:p>
        </w:tc>
        <w:tc>
          <w:tcPr>
            <w:tcW w:w="1480" w:type="dxa"/>
            <w:tcBorders>
              <w:tl2br w:val="nil"/>
              <w:tr2bl w:val="nil"/>
            </w:tcBorders>
          </w:tcPr>
          <w:p w14:paraId="4FF5D2B9">
            <w:pPr>
              <w:rPr>
                <w:rFonts w:hint="eastAsia" w:ascii="宋体" w:hAnsi="宋体" w:eastAsia="宋体" w:cs="宋体"/>
                <w:color w:val="auto"/>
                <w:sz w:val="30"/>
                <w:szCs w:val="30"/>
                <w:highlight w:val="none"/>
              </w:rPr>
            </w:pPr>
          </w:p>
        </w:tc>
        <w:tc>
          <w:tcPr>
            <w:tcW w:w="962" w:type="dxa"/>
            <w:tcBorders>
              <w:tl2br w:val="nil"/>
              <w:tr2bl w:val="nil"/>
            </w:tcBorders>
          </w:tcPr>
          <w:p w14:paraId="74B154A4">
            <w:pPr>
              <w:rPr>
                <w:rFonts w:hint="eastAsia" w:ascii="宋体" w:hAnsi="宋体" w:eastAsia="宋体" w:cs="宋体"/>
                <w:color w:val="auto"/>
                <w:sz w:val="30"/>
                <w:szCs w:val="30"/>
                <w:highlight w:val="none"/>
              </w:rPr>
            </w:pPr>
          </w:p>
        </w:tc>
        <w:tc>
          <w:tcPr>
            <w:tcW w:w="979" w:type="dxa"/>
            <w:tcBorders>
              <w:tl2br w:val="nil"/>
              <w:tr2bl w:val="nil"/>
            </w:tcBorders>
          </w:tcPr>
          <w:p w14:paraId="1EBEA884">
            <w:pPr>
              <w:rPr>
                <w:rFonts w:hint="eastAsia" w:ascii="宋体" w:hAnsi="宋体" w:eastAsia="宋体" w:cs="宋体"/>
                <w:color w:val="auto"/>
                <w:sz w:val="30"/>
                <w:szCs w:val="30"/>
                <w:highlight w:val="none"/>
              </w:rPr>
            </w:pPr>
          </w:p>
        </w:tc>
      </w:tr>
    </w:tbl>
    <w:p w14:paraId="11CF0181">
      <w:pPr>
        <w:rPr>
          <w:rFonts w:hint="eastAsia" w:ascii="宋体" w:hAnsi="宋体" w:eastAsia="宋体" w:cs="宋体"/>
          <w:bCs/>
          <w:color w:val="FF0000"/>
          <w:sz w:val="21"/>
          <w:lang w:val="en-US" w:eastAsia="zh-CN"/>
        </w:rPr>
        <w:sectPr>
          <w:pgSz w:w="11905" w:h="16838"/>
          <w:pgMar w:top="1134" w:right="1134" w:bottom="1134" w:left="1134" w:header="720" w:footer="720" w:gutter="0"/>
          <w:pgNumType w:fmt="decimal"/>
          <w:cols w:space="720" w:num="1"/>
          <w:docGrid w:type="lines" w:linePitch="331" w:charSpace="0"/>
        </w:sectPr>
      </w:pPr>
    </w:p>
    <w:p w14:paraId="33ACFAEF">
      <w:pPr>
        <w:spacing w:line="440" w:lineRule="exact"/>
        <w:jc w:val="lef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附件</w:t>
      </w:r>
      <w:r>
        <w:rPr>
          <w:rFonts w:hint="eastAsia" w:ascii="宋体" w:hAnsi="宋体" w:eastAsia="宋体" w:cs="宋体"/>
          <w:color w:val="auto"/>
          <w:sz w:val="30"/>
          <w:szCs w:val="30"/>
          <w:highlight w:val="none"/>
          <w:lang w:val="en-US" w:eastAsia="zh-CN"/>
        </w:rPr>
        <w:t>4</w:t>
      </w:r>
      <w:r>
        <w:rPr>
          <w:rFonts w:hint="eastAsia" w:ascii="宋体" w:hAnsi="宋体" w:eastAsia="宋体" w:cs="宋体"/>
          <w:color w:val="auto"/>
          <w:sz w:val="30"/>
          <w:szCs w:val="30"/>
          <w:highlight w:val="none"/>
        </w:rPr>
        <w:t>：</w:t>
      </w:r>
    </w:p>
    <w:p w14:paraId="701FA67F">
      <w:pPr>
        <w:spacing w:before="166" w:beforeLines="50" w:after="166" w:afterLines="50" w:line="440" w:lineRule="exact"/>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承包人主要施工管理人员表</w:t>
      </w:r>
    </w:p>
    <w:tbl>
      <w:tblPr>
        <w:tblStyle w:val="14"/>
        <w:tblW w:w="97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11"/>
        <w:gridCol w:w="1418"/>
        <w:gridCol w:w="1436"/>
        <w:gridCol w:w="1020"/>
        <w:gridCol w:w="2043"/>
        <w:gridCol w:w="2231"/>
      </w:tblGrid>
      <w:tr w14:paraId="5CFDF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12" w:space="0"/>
              <w:bottom w:val="double" w:color="auto" w:sz="6" w:space="0"/>
              <w:tl2br w:val="nil"/>
              <w:tr2bl w:val="nil"/>
            </w:tcBorders>
            <w:vAlign w:val="center"/>
          </w:tcPr>
          <w:p w14:paraId="1A46A5C5">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名    称</w:t>
            </w:r>
          </w:p>
        </w:tc>
        <w:tc>
          <w:tcPr>
            <w:tcW w:w="1418" w:type="dxa"/>
            <w:tcBorders>
              <w:top w:val="single" w:color="auto" w:sz="12" w:space="0"/>
              <w:bottom w:val="double" w:color="auto" w:sz="6" w:space="0"/>
              <w:tl2br w:val="nil"/>
              <w:tr2bl w:val="nil"/>
            </w:tcBorders>
            <w:vAlign w:val="center"/>
          </w:tcPr>
          <w:p w14:paraId="76C0FF40">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姓名</w:t>
            </w:r>
          </w:p>
        </w:tc>
        <w:tc>
          <w:tcPr>
            <w:tcW w:w="1436" w:type="dxa"/>
            <w:tcBorders>
              <w:top w:val="single" w:color="auto" w:sz="12" w:space="0"/>
              <w:bottom w:val="double" w:color="auto" w:sz="6" w:space="0"/>
              <w:tl2br w:val="nil"/>
              <w:tr2bl w:val="nil"/>
            </w:tcBorders>
            <w:vAlign w:val="center"/>
          </w:tcPr>
          <w:p w14:paraId="43651BBC">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职务</w:t>
            </w:r>
          </w:p>
        </w:tc>
        <w:tc>
          <w:tcPr>
            <w:tcW w:w="1020" w:type="dxa"/>
            <w:tcBorders>
              <w:top w:val="single" w:color="auto" w:sz="12" w:space="0"/>
              <w:bottom w:val="double" w:color="auto" w:sz="6" w:space="0"/>
              <w:tl2br w:val="nil"/>
              <w:tr2bl w:val="nil"/>
            </w:tcBorders>
            <w:vAlign w:val="center"/>
          </w:tcPr>
          <w:p w14:paraId="1A8ADD96">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职称</w:t>
            </w:r>
          </w:p>
        </w:tc>
        <w:tc>
          <w:tcPr>
            <w:tcW w:w="2043" w:type="dxa"/>
            <w:tcBorders>
              <w:top w:val="single" w:color="auto" w:sz="12" w:space="0"/>
              <w:bottom w:val="double" w:color="auto" w:sz="6" w:space="0"/>
              <w:tl2br w:val="nil"/>
              <w:tr2bl w:val="nil"/>
            </w:tcBorders>
            <w:vAlign w:val="center"/>
          </w:tcPr>
          <w:p w14:paraId="60921A9B">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主要资历、经验及承担过的项目</w:t>
            </w:r>
          </w:p>
        </w:tc>
        <w:tc>
          <w:tcPr>
            <w:tcW w:w="2231" w:type="dxa"/>
            <w:tcBorders>
              <w:top w:val="single" w:color="auto" w:sz="12" w:space="0"/>
              <w:bottom w:val="double" w:color="auto" w:sz="6" w:space="0"/>
              <w:tl2br w:val="nil"/>
              <w:tr2bl w:val="nil"/>
            </w:tcBorders>
            <w:vAlign w:val="center"/>
          </w:tcPr>
          <w:p w14:paraId="4933255F">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联系电话</w:t>
            </w:r>
            <w:r>
              <w:rPr>
                <w:rFonts w:hint="eastAsia" w:ascii="宋体" w:hAnsi="宋体" w:cs="宋体"/>
                <w:color w:val="auto"/>
                <w:kern w:val="2"/>
                <w:sz w:val="24"/>
                <w:szCs w:val="24"/>
                <w:highlight w:val="none"/>
                <w:lang w:val="en-US" w:eastAsia="zh-CN"/>
              </w:rPr>
              <w:t>（手机号码）</w:t>
            </w:r>
          </w:p>
        </w:tc>
      </w:tr>
      <w:tr w14:paraId="5CDF1E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528" w:type="dxa"/>
            <w:gridSpan w:val="5"/>
            <w:tcBorders>
              <w:top w:val="double" w:color="auto" w:sz="6" w:space="0"/>
              <w:bottom w:val="single" w:color="auto" w:sz="6" w:space="0"/>
              <w:tl2br w:val="nil"/>
              <w:tr2bl w:val="nil"/>
            </w:tcBorders>
            <w:vAlign w:val="center"/>
          </w:tcPr>
          <w:p w14:paraId="177B03C9">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一、总部人员</w:t>
            </w:r>
          </w:p>
        </w:tc>
        <w:tc>
          <w:tcPr>
            <w:tcW w:w="2231" w:type="dxa"/>
            <w:tcBorders>
              <w:top w:val="double" w:color="auto" w:sz="6" w:space="0"/>
              <w:bottom w:val="single" w:color="auto" w:sz="6" w:space="0"/>
              <w:tl2br w:val="nil"/>
              <w:tr2bl w:val="nil"/>
            </w:tcBorders>
            <w:vAlign w:val="center"/>
          </w:tcPr>
          <w:p w14:paraId="65B7130D">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r>
      <w:tr w14:paraId="63D7A2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nil"/>
              <w:bottom w:val="nil"/>
              <w:tl2br w:val="nil"/>
              <w:tr2bl w:val="nil"/>
            </w:tcBorders>
            <w:vAlign w:val="center"/>
          </w:tcPr>
          <w:p w14:paraId="37872175">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项目主管</w:t>
            </w:r>
          </w:p>
        </w:tc>
        <w:tc>
          <w:tcPr>
            <w:tcW w:w="1418" w:type="dxa"/>
            <w:tcBorders>
              <w:top w:val="nil"/>
              <w:tl2br w:val="nil"/>
              <w:tr2bl w:val="nil"/>
            </w:tcBorders>
            <w:vAlign w:val="center"/>
          </w:tcPr>
          <w:p w14:paraId="69667DDF">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436" w:type="dxa"/>
            <w:tcBorders>
              <w:top w:val="nil"/>
              <w:tl2br w:val="nil"/>
              <w:tr2bl w:val="nil"/>
            </w:tcBorders>
            <w:vAlign w:val="center"/>
          </w:tcPr>
          <w:p w14:paraId="5A5E5ABE">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法定代表人</w:t>
            </w:r>
          </w:p>
        </w:tc>
        <w:tc>
          <w:tcPr>
            <w:tcW w:w="1020" w:type="dxa"/>
            <w:tcBorders>
              <w:top w:val="nil"/>
              <w:tl2br w:val="nil"/>
              <w:tr2bl w:val="nil"/>
            </w:tcBorders>
            <w:vAlign w:val="center"/>
          </w:tcPr>
          <w:p w14:paraId="404A6E51">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043" w:type="dxa"/>
            <w:tcBorders>
              <w:top w:val="nil"/>
              <w:tl2br w:val="nil"/>
              <w:tr2bl w:val="nil"/>
            </w:tcBorders>
            <w:vAlign w:val="center"/>
          </w:tcPr>
          <w:p w14:paraId="4DAAE9F1">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top w:val="nil"/>
              <w:tl2br w:val="nil"/>
              <w:tr2bl w:val="nil"/>
            </w:tcBorders>
            <w:vAlign w:val="center"/>
          </w:tcPr>
          <w:p w14:paraId="5CE3A11B">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r>
      <w:tr w14:paraId="746962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nil"/>
              <w:tl2br w:val="nil"/>
              <w:tr2bl w:val="nil"/>
            </w:tcBorders>
            <w:vAlign w:val="center"/>
          </w:tcPr>
          <w:p w14:paraId="60BF9D63">
            <w:pPr>
              <w:pStyle w:val="6"/>
              <w:keepNext/>
              <w:spacing w:after="0" w:line="440" w:lineRule="exact"/>
              <w:ind w:left="0" w:right="63"/>
              <w:jc w:val="both"/>
              <w:rPr>
                <w:rFonts w:hint="eastAsia" w:ascii="宋体" w:hAnsi="宋体" w:eastAsia="宋体" w:cs="宋体"/>
                <w:color w:val="auto"/>
                <w:kern w:val="2"/>
                <w:sz w:val="24"/>
                <w:szCs w:val="24"/>
                <w:highlight w:val="none"/>
                <w:lang w:val="en-US" w:eastAsia="zh-CN"/>
              </w:rPr>
            </w:pPr>
          </w:p>
        </w:tc>
        <w:tc>
          <w:tcPr>
            <w:tcW w:w="1418" w:type="dxa"/>
            <w:tcBorders>
              <w:tl2br w:val="nil"/>
              <w:tr2bl w:val="nil"/>
            </w:tcBorders>
            <w:vAlign w:val="center"/>
          </w:tcPr>
          <w:p w14:paraId="0B5690CA">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436" w:type="dxa"/>
            <w:tcBorders>
              <w:tl2br w:val="nil"/>
              <w:tr2bl w:val="nil"/>
            </w:tcBorders>
            <w:vAlign w:val="center"/>
          </w:tcPr>
          <w:p w14:paraId="6A879347">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020" w:type="dxa"/>
            <w:tcBorders>
              <w:tl2br w:val="nil"/>
              <w:tr2bl w:val="nil"/>
            </w:tcBorders>
            <w:vAlign w:val="center"/>
          </w:tcPr>
          <w:p w14:paraId="382009D5">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043" w:type="dxa"/>
            <w:tcBorders>
              <w:tl2br w:val="nil"/>
              <w:tr2bl w:val="nil"/>
            </w:tcBorders>
            <w:vAlign w:val="center"/>
          </w:tcPr>
          <w:p w14:paraId="77E10FA8">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tl2br w:val="nil"/>
              <w:tr2bl w:val="nil"/>
            </w:tcBorders>
            <w:vAlign w:val="center"/>
          </w:tcPr>
          <w:p w14:paraId="06020C91">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r>
      <w:tr w14:paraId="41420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nil"/>
              <w:bottom w:val="nil"/>
              <w:tl2br w:val="nil"/>
              <w:tr2bl w:val="nil"/>
            </w:tcBorders>
            <w:vAlign w:val="center"/>
          </w:tcPr>
          <w:p w14:paraId="50D39029">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其他人员</w:t>
            </w:r>
          </w:p>
        </w:tc>
        <w:tc>
          <w:tcPr>
            <w:tcW w:w="1418" w:type="dxa"/>
            <w:tcBorders>
              <w:tl2br w:val="nil"/>
              <w:tr2bl w:val="nil"/>
            </w:tcBorders>
            <w:vAlign w:val="center"/>
          </w:tcPr>
          <w:p w14:paraId="632BB860">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436" w:type="dxa"/>
            <w:tcBorders>
              <w:tl2br w:val="nil"/>
              <w:tr2bl w:val="nil"/>
            </w:tcBorders>
            <w:vAlign w:val="center"/>
          </w:tcPr>
          <w:p w14:paraId="54D55878">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020" w:type="dxa"/>
            <w:tcBorders>
              <w:tl2br w:val="nil"/>
              <w:tr2bl w:val="nil"/>
            </w:tcBorders>
            <w:vAlign w:val="center"/>
          </w:tcPr>
          <w:p w14:paraId="425EF917">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043" w:type="dxa"/>
            <w:tcBorders>
              <w:tl2br w:val="nil"/>
              <w:tr2bl w:val="nil"/>
            </w:tcBorders>
            <w:vAlign w:val="center"/>
          </w:tcPr>
          <w:p w14:paraId="61AF5397">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tl2br w:val="nil"/>
              <w:tr2bl w:val="nil"/>
            </w:tcBorders>
            <w:vAlign w:val="center"/>
          </w:tcPr>
          <w:p w14:paraId="3AF73F75">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r>
      <w:tr w14:paraId="728D31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528" w:type="dxa"/>
            <w:gridSpan w:val="5"/>
            <w:tcBorders>
              <w:top w:val="single" w:color="auto" w:sz="6" w:space="0"/>
              <w:bottom w:val="single" w:color="auto" w:sz="6" w:space="0"/>
              <w:tl2br w:val="nil"/>
              <w:tr2bl w:val="nil"/>
            </w:tcBorders>
            <w:vAlign w:val="center"/>
          </w:tcPr>
          <w:p w14:paraId="2FC77FCD">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二、现场人员</w:t>
            </w:r>
          </w:p>
        </w:tc>
        <w:tc>
          <w:tcPr>
            <w:tcW w:w="2231" w:type="dxa"/>
            <w:tcBorders>
              <w:top w:val="single" w:color="auto" w:sz="6" w:space="0"/>
              <w:bottom w:val="single" w:color="auto" w:sz="6" w:space="0"/>
              <w:tl2br w:val="nil"/>
              <w:tr2bl w:val="nil"/>
            </w:tcBorders>
            <w:vAlign w:val="center"/>
          </w:tcPr>
          <w:p w14:paraId="228B36BF">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r>
      <w:tr w14:paraId="13EA4C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single" w:color="auto" w:sz="6" w:space="0"/>
              <w:tl2br w:val="nil"/>
              <w:tr2bl w:val="nil"/>
            </w:tcBorders>
            <w:vAlign w:val="center"/>
          </w:tcPr>
          <w:p w14:paraId="5D98EC43">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项目经理</w:t>
            </w:r>
          </w:p>
        </w:tc>
        <w:tc>
          <w:tcPr>
            <w:tcW w:w="1418" w:type="dxa"/>
            <w:tcBorders>
              <w:tl2br w:val="nil"/>
              <w:tr2bl w:val="nil"/>
            </w:tcBorders>
            <w:vAlign w:val="center"/>
          </w:tcPr>
          <w:p w14:paraId="7483A115">
            <w:pPr>
              <w:pStyle w:val="6"/>
              <w:keepNext/>
              <w:spacing w:after="0" w:line="440" w:lineRule="exact"/>
              <w:ind w:left="63" w:leftChars="30" w:right="63" w:rightChars="30"/>
              <w:rPr>
                <w:rFonts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eastAsia="zh-CN"/>
              </w:rPr>
              <w:t xml:space="preserve"> </w:t>
            </w:r>
            <w:r>
              <w:rPr>
                <w:rFonts w:hint="eastAsia" w:ascii="宋体" w:hAnsi="宋体" w:cs="宋体"/>
                <w:color w:val="auto"/>
                <w:sz w:val="24"/>
                <w:szCs w:val="24"/>
                <w:highlight w:val="none"/>
                <w:lang w:val="en-US" w:eastAsia="zh-CN"/>
              </w:rPr>
              <w:t>XXXX</w:t>
            </w:r>
          </w:p>
        </w:tc>
        <w:tc>
          <w:tcPr>
            <w:tcW w:w="1436" w:type="dxa"/>
            <w:tcBorders>
              <w:tl2br w:val="nil"/>
              <w:tr2bl w:val="nil"/>
            </w:tcBorders>
            <w:vAlign w:val="center"/>
          </w:tcPr>
          <w:p w14:paraId="4E921CE2">
            <w:pPr>
              <w:pStyle w:val="6"/>
              <w:keepNext/>
              <w:spacing w:after="0" w:line="440" w:lineRule="exact"/>
              <w:ind w:left="63" w:leftChars="30" w:right="63" w:rightChars="3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rPr>
              <w:t>项目经理</w:t>
            </w:r>
          </w:p>
        </w:tc>
        <w:tc>
          <w:tcPr>
            <w:tcW w:w="1020" w:type="dxa"/>
            <w:tcBorders>
              <w:tl2br w:val="nil"/>
              <w:tr2bl w:val="nil"/>
            </w:tcBorders>
            <w:vAlign w:val="center"/>
          </w:tcPr>
          <w:p w14:paraId="026E2D51">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工程师</w:t>
            </w:r>
          </w:p>
        </w:tc>
        <w:tc>
          <w:tcPr>
            <w:tcW w:w="2043" w:type="dxa"/>
            <w:tcBorders>
              <w:tl2br w:val="nil"/>
              <w:tr2bl w:val="nil"/>
            </w:tcBorders>
            <w:vAlign w:val="center"/>
          </w:tcPr>
          <w:p w14:paraId="21AA335B">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tl2br w:val="nil"/>
              <w:tr2bl w:val="nil"/>
            </w:tcBorders>
            <w:vAlign w:val="center"/>
          </w:tcPr>
          <w:p w14:paraId="7D705805">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eastAsia="zh-CN"/>
              </w:rPr>
              <w:t xml:space="preserve"> </w:t>
            </w:r>
            <w:r>
              <w:rPr>
                <w:rFonts w:hint="eastAsia" w:ascii="宋体" w:hAnsi="宋体" w:cs="宋体"/>
                <w:color w:val="auto"/>
                <w:sz w:val="24"/>
                <w:szCs w:val="24"/>
                <w:highlight w:val="none"/>
                <w:lang w:val="en-US" w:eastAsia="zh-CN"/>
              </w:rPr>
              <w:t>XXXX</w:t>
            </w:r>
          </w:p>
        </w:tc>
      </w:tr>
      <w:tr w14:paraId="5EFAD3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single" w:color="auto" w:sz="6" w:space="0"/>
              <w:tl2br w:val="nil"/>
              <w:tr2bl w:val="nil"/>
            </w:tcBorders>
            <w:vAlign w:val="center"/>
          </w:tcPr>
          <w:p w14:paraId="10EA095F">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项目副经理</w:t>
            </w:r>
          </w:p>
        </w:tc>
        <w:tc>
          <w:tcPr>
            <w:tcW w:w="1418" w:type="dxa"/>
            <w:tcBorders>
              <w:tl2br w:val="nil"/>
              <w:tr2bl w:val="nil"/>
            </w:tcBorders>
            <w:vAlign w:val="center"/>
          </w:tcPr>
          <w:p w14:paraId="6C846BC8">
            <w:pPr>
              <w:pStyle w:val="6"/>
              <w:keepNext/>
              <w:spacing w:after="0" w:line="440" w:lineRule="exact"/>
              <w:ind w:left="63" w:leftChars="30" w:right="63" w:rightChars="30"/>
              <w:rPr>
                <w:rFonts w:hint="eastAsia" w:ascii="宋体" w:hAnsi="宋体" w:eastAsia="宋体" w:cs="宋体"/>
                <w:color w:val="auto"/>
                <w:kern w:val="2"/>
                <w:sz w:val="24"/>
                <w:szCs w:val="24"/>
                <w:highlight w:val="none"/>
                <w:lang w:val="en-US" w:eastAsia="zh-CN"/>
              </w:rPr>
            </w:pPr>
          </w:p>
        </w:tc>
        <w:tc>
          <w:tcPr>
            <w:tcW w:w="1436" w:type="dxa"/>
            <w:tcBorders>
              <w:tl2br w:val="nil"/>
              <w:tr2bl w:val="nil"/>
            </w:tcBorders>
            <w:vAlign w:val="center"/>
          </w:tcPr>
          <w:p w14:paraId="4522E733">
            <w:pPr>
              <w:pStyle w:val="6"/>
              <w:keepNext/>
              <w:spacing w:after="0" w:line="440" w:lineRule="exact"/>
              <w:ind w:left="63" w:leftChars="30" w:right="63" w:rightChars="30"/>
              <w:rPr>
                <w:rFonts w:hint="eastAsia" w:ascii="宋体" w:hAnsi="宋体" w:eastAsia="宋体" w:cs="宋体"/>
                <w:color w:val="auto"/>
                <w:kern w:val="2"/>
                <w:sz w:val="24"/>
                <w:szCs w:val="24"/>
                <w:highlight w:val="none"/>
                <w:lang w:val="en-US" w:eastAsia="zh-CN"/>
              </w:rPr>
            </w:pPr>
          </w:p>
        </w:tc>
        <w:tc>
          <w:tcPr>
            <w:tcW w:w="1020" w:type="dxa"/>
            <w:tcBorders>
              <w:tl2br w:val="nil"/>
              <w:tr2bl w:val="nil"/>
            </w:tcBorders>
            <w:vAlign w:val="center"/>
          </w:tcPr>
          <w:p w14:paraId="20F08868">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043" w:type="dxa"/>
            <w:tcBorders>
              <w:tl2br w:val="nil"/>
              <w:tr2bl w:val="nil"/>
            </w:tcBorders>
            <w:vAlign w:val="center"/>
          </w:tcPr>
          <w:p w14:paraId="55528B87">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tl2br w:val="nil"/>
              <w:tr2bl w:val="nil"/>
            </w:tcBorders>
            <w:vAlign w:val="center"/>
          </w:tcPr>
          <w:p w14:paraId="03F64894">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r>
      <w:tr w14:paraId="50CA1C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single" w:color="auto" w:sz="6" w:space="0"/>
              <w:tl2br w:val="nil"/>
              <w:tr2bl w:val="nil"/>
            </w:tcBorders>
            <w:vAlign w:val="center"/>
          </w:tcPr>
          <w:p w14:paraId="519306A1">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技术负责人</w:t>
            </w:r>
          </w:p>
        </w:tc>
        <w:tc>
          <w:tcPr>
            <w:tcW w:w="1418" w:type="dxa"/>
            <w:tcBorders>
              <w:tl2br w:val="nil"/>
              <w:tr2bl w:val="nil"/>
            </w:tcBorders>
            <w:vAlign w:val="center"/>
          </w:tcPr>
          <w:p w14:paraId="28E3E463">
            <w:pPr>
              <w:pStyle w:val="6"/>
              <w:keepNext/>
              <w:spacing w:after="0" w:line="440" w:lineRule="exact"/>
              <w:ind w:left="63" w:leftChars="30" w:right="63" w:rightChars="3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eastAsia="zh-CN"/>
              </w:rPr>
              <w:t xml:space="preserve"> </w:t>
            </w:r>
            <w:r>
              <w:rPr>
                <w:rFonts w:hint="eastAsia" w:ascii="宋体" w:hAnsi="宋体" w:cs="宋体"/>
                <w:color w:val="auto"/>
                <w:sz w:val="24"/>
                <w:szCs w:val="24"/>
                <w:highlight w:val="none"/>
                <w:lang w:val="en-US" w:eastAsia="zh-CN"/>
              </w:rPr>
              <w:t>XXXX</w:t>
            </w:r>
          </w:p>
        </w:tc>
        <w:tc>
          <w:tcPr>
            <w:tcW w:w="1436" w:type="dxa"/>
            <w:tcBorders>
              <w:tl2br w:val="nil"/>
              <w:tr2bl w:val="nil"/>
            </w:tcBorders>
            <w:vAlign w:val="center"/>
          </w:tcPr>
          <w:p w14:paraId="7CAD2D1E">
            <w:pPr>
              <w:pStyle w:val="6"/>
              <w:keepNext/>
              <w:spacing w:after="0" w:line="440" w:lineRule="exact"/>
              <w:ind w:left="63" w:leftChars="30" w:right="63" w:rightChars="3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rPr>
              <w:t>技术负责人</w:t>
            </w:r>
          </w:p>
        </w:tc>
        <w:tc>
          <w:tcPr>
            <w:tcW w:w="1020" w:type="dxa"/>
            <w:tcBorders>
              <w:tl2br w:val="nil"/>
              <w:tr2bl w:val="nil"/>
            </w:tcBorders>
            <w:vAlign w:val="center"/>
          </w:tcPr>
          <w:p w14:paraId="403E4851">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工程师</w:t>
            </w:r>
          </w:p>
        </w:tc>
        <w:tc>
          <w:tcPr>
            <w:tcW w:w="2043" w:type="dxa"/>
            <w:tcBorders>
              <w:tl2br w:val="nil"/>
              <w:tr2bl w:val="nil"/>
            </w:tcBorders>
            <w:vAlign w:val="center"/>
          </w:tcPr>
          <w:p w14:paraId="3D7F143F">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tl2br w:val="nil"/>
              <w:tr2bl w:val="nil"/>
            </w:tcBorders>
            <w:vAlign w:val="center"/>
          </w:tcPr>
          <w:p w14:paraId="1D20B1B9">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eastAsia="zh-CN"/>
              </w:rPr>
              <w:t xml:space="preserve"> </w:t>
            </w:r>
            <w:r>
              <w:rPr>
                <w:rFonts w:hint="eastAsia" w:ascii="宋体" w:hAnsi="宋体" w:cs="宋体"/>
                <w:color w:val="auto"/>
                <w:sz w:val="24"/>
                <w:szCs w:val="24"/>
                <w:highlight w:val="none"/>
                <w:lang w:val="en-US" w:eastAsia="zh-CN"/>
              </w:rPr>
              <w:t>XXXX</w:t>
            </w:r>
          </w:p>
        </w:tc>
      </w:tr>
      <w:tr w14:paraId="1EA0DD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single" w:color="auto" w:sz="6" w:space="0"/>
              <w:tl2br w:val="nil"/>
              <w:tr2bl w:val="nil"/>
            </w:tcBorders>
            <w:vAlign w:val="center"/>
          </w:tcPr>
          <w:p w14:paraId="434FA45D">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造价管理</w:t>
            </w:r>
          </w:p>
        </w:tc>
        <w:tc>
          <w:tcPr>
            <w:tcW w:w="1418" w:type="dxa"/>
            <w:tcBorders>
              <w:tl2br w:val="nil"/>
              <w:tr2bl w:val="nil"/>
            </w:tcBorders>
            <w:vAlign w:val="center"/>
          </w:tcPr>
          <w:p w14:paraId="34F19E91">
            <w:pPr>
              <w:pStyle w:val="6"/>
              <w:keepNext/>
              <w:spacing w:after="0" w:line="440" w:lineRule="exact"/>
              <w:ind w:left="63" w:leftChars="30" w:right="63" w:rightChars="3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 xml:space="preserve"> </w:t>
            </w:r>
            <w:r>
              <w:rPr>
                <w:rFonts w:hint="eastAsia" w:ascii="宋体" w:hAnsi="宋体" w:cs="宋体"/>
                <w:color w:val="auto"/>
                <w:sz w:val="24"/>
                <w:szCs w:val="24"/>
                <w:highlight w:val="none"/>
                <w:lang w:val="en-US" w:eastAsia="zh-CN"/>
              </w:rPr>
              <w:t>XXXX</w:t>
            </w:r>
          </w:p>
        </w:tc>
        <w:tc>
          <w:tcPr>
            <w:tcW w:w="1436" w:type="dxa"/>
            <w:tcBorders>
              <w:tl2br w:val="nil"/>
              <w:tr2bl w:val="nil"/>
            </w:tcBorders>
            <w:vAlign w:val="center"/>
          </w:tcPr>
          <w:p w14:paraId="5F070C1E">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造价员</w:t>
            </w:r>
          </w:p>
        </w:tc>
        <w:tc>
          <w:tcPr>
            <w:tcW w:w="1020" w:type="dxa"/>
            <w:tcBorders>
              <w:tl2br w:val="nil"/>
              <w:tr2bl w:val="nil"/>
            </w:tcBorders>
            <w:vAlign w:val="center"/>
          </w:tcPr>
          <w:p w14:paraId="716F1BB2">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043" w:type="dxa"/>
            <w:tcBorders>
              <w:tl2br w:val="nil"/>
              <w:tr2bl w:val="nil"/>
            </w:tcBorders>
            <w:vAlign w:val="center"/>
          </w:tcPr>
          <w:p w14:paraId="6C9B1F29">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tl2br w:val="nil"/>
              <w:tr2bl w:val="nil"/>
            </w:tcBorders>
            <w:vAlign w:val="center"/>
          </w:tcPr>
          <w:p w14:paraId="021241D2">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eastAsia="zh-CN"/>
              </w:rPr>
              <w:t xml:space="preserve"> </w:t>
            </w:r>
            <w:r>
              <w:rPr>
                <w:rFonts w:hint="eastAsia" w:ascii="宋体" w:hAnsi="宋体" w:cs="宋体"/>
                <w:color w:val="auto"/>
                <w:sz w:val="24"/>
                <w:szCs w:val="24"/>
                <w:highlight w:val="none"/>
                <w:lang w:val="en-US" w:eastAsia="zh-CN"/>
              </w:rPr>
              <w:t>XXXX</w:t>
            </w:r>
          </w:p>
        </w:tc>
      </w:tr>
      <w:tr w14:paraId="6EF3E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single" w:color="auto" w:sz="6" w:space="0"/>
              <w:tl2br w:val="nil"/>
              <w:tr2bl w:val="nil"/>
            </w:tcBorders>
            <w:vAlign w:val="center"/>
          </w:tcPr>
          <w:p w14:paraId="24D2C427">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质量管理</w:t>
            </w:r>
          </w:p>
        </w:tc>
        <w:tc>
          <w:tcPr>
            <w:tcW w:w="1418" w:type="dxa"/>
            <w:tcBorders>
              <w:tl2br w:val="nil"/>
              <w:tr2bl w:val="nil"/>
            </w:tcBorders>
            <w:vAlign w:val="center"/>
          </w:tcPr>
          <w:p w14:paraId="0797BFD0">
            <w:pPr>
              <w:pStyle w:val="6"/>
              <w:keepNext/>
              <w:spacing w:after="0" w:line="440" w:lineRule="exact"/>
              <w:ind w:left="63" w:leftChars="30" w:right="63" w:rightChars="3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 xml:space="preserve"> </w:t>
            </w:r>
            <w:r>
              <w:rPr>
                <w:rFonts w:hint="eastAsia" w:ascii="宋体" w:hAnsi="宋体" w:cs="宋体"/>
                <w:color w:val="auto"/>
                <w:sz w:val="24"/>
                <w:szCs w:val="24"/>
                <w:highlight w:val="none"/>
                <w:lang w:val="en-US" w:eastAsia="zh-CN"/>
              </w:rPr>
              <w:t>XXXX</w:t>
            </w:r>
          </w:p>
        </w:tc>
        <w:tc>
          <w:tcPr>
            <w:tcW w:w="1436" w:type="dxa"/>
            <w:tcBorders>
              <w:tl2br w:val="nil"/>
              <w:tr2bl w:val="nil"/>
            </w:tcBorders>
            <w:vAlign w:val="center"/>
          </w:tcPr>
          <w:p w14:paraId="0D33FDE5">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质检员</w:t>
            </w:r>
          </w:p>
        </w:tc>
        <w:tc>
          <w:tcPr>
            <w:tcW w:w="1020" w:type="dxa"/>
            <w:tcBorders>
              <w:tl2br w:val="nil"/>
              <w:tr2bl w:val="nil"/>
            </w:tcBorders>
            <w:vAlign w:val="center"/>
          </w:tcPr>
          <w:p w14:paraId="18F0387A">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工程师</w:t>
            </w:r>
          </w:p>
        </w:tc>
        <w:tc>
          <w:tcPr>
            <w:tcW w:w="2043" w:type="dxa"/>
            <w:tcBorders>
              <w:tl2br w:val="nil"/>
              <w:tr2bl w:val="nil"/>
            </w:tcBorders>
            <w:vAlign w:val="center"/>
          </w:tcPr>
          <w:p w14:paraId="764B0B3E">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tl2br w:val="nil"/>
              <w:tr2bl w:val="nil"/>
            </w:tcBorders>
            <w:vAlign w:val="center"/>
          </w:tcPr>
          <w:p w14:paraId="78A0CC3F">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eastAsia="zh-CN"/>
              </w:rPr>
              <w:t xml:space="preserve"> </w:t>
            </w:r>
            <w:r>
              <w:rPr>
                <w:rFonts w:hint="eastAsia" w:ascii="宋体" w:hAnsi="宋体" w:cs="宋体"/>
                <w:color w:val="auto"/>
                <w:sz w:val="24"/>
                <w:szCs w:val="24"/>
                <w:highlight w:val="none"/>
                <w:lang w:val="en-US" w:eastAsia="zh-CN"/>
              </w:rPr>
              <w:t>XXXX</w:t>
            </w:r>
          </w:p>
        </w:tc>
      </w:tr>
      <w:tr w14:paraId="39FE15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single" w:color="auto" w:sz="6" w:space="0"/>
              <w:tl2br w:val="nil"/>
              <w:tr2bl w:val="nil"/>
            </w:tcBorders>
            <w:vAlign w:val="center"/>
          </w:tcPr>
          <w:p w14:paraId="27202305">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材料管理</w:t>
            </w:r>
          </w:p>
        </w:tc>
        <w:tc>
          <w:tcPr>
            <w:tcW w:w="1418" w:type="dxa"/>
            <w:tcBorders>
              <w:tl2br w:val="nil"/>
              <w:tr2bl w:val="nil"/>
            </w:tcBorders>
            <w:vAlign w:val="center"/>
          </w:tcPr>
          <w:p w14:paraId="1654C812">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eastAsia="zh-CN"/>
              </w:rPr>
              <w:t xml:space="preserve"> </w:t>
            </w:r>
            <w:r>
              <w:rPr>
                <w:rFonts w:hint="eastAsia" w:ascii="宋体" w:hAnsi="宋体" w:cs="宋体"/>
                <w:color w:val="auto"/>
                <w:sz w:val="24"/>
                <w:szCs w:val="24"/>
                <w:highlight w:val="none"/>
                <w:lang w:val="en-US" w:eastAsia="zh-CN"/>
              </w:rPr>
              <w:t>XXXX</w:t>
            </w:r>
          </w:p>
        </w:tc>
        <w:tc>
          <w:tcPr>
            <w:tcW w:w="1436" w:type="dxa"/>
            <w:tcBorders>
              <w:tl2br w:val="nil"/>
              <w:tr2bl w:val="nil"/>
            </w:tcBorders>
            <w:vAlign w:val="center"/>
          </w:tcPr>
          <w:p w14:paraId="295BC9FC">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材料员</w:t>
            </w:r>
          </w:p>
        </w:tc>
        <w:tc>
          <w:tcPr>
            <w:tcW w:w="1020" w:type="dxa"/>
            <w:tcBorders>
              <w:tl2br w:val="nil"/>
              <w:tr2bl w:val="nil"/>
            </w:tcBorders>
            <w:vAlign w:val="center"/>
          </w:tcPr>
          <w:p w14:paraId="4E97EA84">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043" w:type="dxa"/>
            <w:tcBorders>
              <w:tl2br w:val="nil"/>
              <w:tr2bl w:val="nil"/>
            </w:tcBorders>
            <w:vAlign w:val="center"/>
          </w:tcPr>
          <w:p w14:paraId="64B64981">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tl2br w:val="nil"/>
              <w:tr2bl w:val="nil"/>
            </w:tcBorders>
            <w:vAlign w:val="center"/>
          </w:tcPr>
          <w:p w14:paraId="3D5124FC">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eastAsia="zh-CN"/>
              </w:rPr>
              <w:t xml:space="preserve"> </w:t>
            </w:r>
            <w:r>
              <w:rPr>
                <w:rFonts w:hint="eastAsia" w:ascii="宋体" w:hAnsi="宋体" w:cs="宋体"/>
                <w:color w:val="auto"/>
                <w:sz w:val="24"/>
                <w:szCs w:val="24"/>
                <w:highlight w:val="none"/>
                <w:lang w:val="en-US" w:eastAsia="zh-CN"/>
              </w:rPr>
              <w:t>XXXX</w:t>
            </w:r>
          </w:p>
        </w:tc>
      </w:tr>
      <w:tr w14:paraId="31ADF8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single" w:color="auto" w:sz="6" w:space="0"/>
              <w:tl2br w:val="nil"/>
              <w:tr2bl w:val="nil"/>
            </w:tcBorders>
            <w:vAlign w:val="center"/>
          </w:tcPr>
          <w:p w14:paraId="6DDB6A82">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计划管理</w:t>
            </w:r>
          </w:p>
        </w:tc>
        <w:tc>
          <w:tcPr>
            <w:tcW w:w="1418" w:type="dxa"/>
            <w:tcBorders>
              <w:tl2br w:val="nil"/>
              <w:tr2bl w:val="nil"/>
            </w:tcBorders>
            <w:vAlign w:val="center"/>
          </w:tcPr>
          <w:p w14:paraId="7BD8D0E5">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436" w:type="dxa"/>
            <w:tcBorders>
              <w:tl2br w:val="nil"/>
              <w:tr2bl w:val="nil"/>
            </w:tcBorders>
            <w:vAlign w:val="center"/>
          </w:tcPr>
          <w:p w14:paraId="035B65AA">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020" w:type="dxa"/>
            <w:tcBorders>
              <w:tl2br w:val="nil"/>
              <w:tr2bl w:val="nil"/>
            </w:tcBorders>
            <w:vAlign w:val="center"/>
          </w:tcPr>
          <w:p w14:paraId="1DBBFD42">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043" w:type="dxa"/>
            <w:tcBorders>
              <w:tl2br w:val="nil"/>
              <w:tr2bl w:val="nil"/>
            </w:tcBorders>
            <w:vAlign w:val="center"/>
          </w:tcPr>
          <w:p w14:paraId="75519399">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tl2br w:val="nil"/>
              <w:tr2bl w:val="nil"/>
            </w:tcBorders>
            <w:vAlign w:val="center"/>
          </w:tcPr>
          <w:p w14:paraId="1D329880">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r>
      <w:tr w14:paraId="1484FE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single" w:color="auto" w:sz="6" w:space="0"/>
              <w:tl2br w:val="nil"/>
              <w:tr2bl w:val="nil"/>
            </w:tcBorders>
            <w:vAlign w:val="center"/>
          </w:tcPr>
          <w:p w14:paraId="710BCBFC">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安全管理</w:t>
            </w:r>
          </w:p>
        </w:tc>
        <w:tc>
          <w:tcPr>
            <w:tcW w:w="1418" w:type="dxa"/>
            <w:tcBorders>
              <w:tl2br w:val="nil"/>
              <w:tr2bl w:val="nil"/>
            </w:tcBorders>
            <w:vAlign w:val="center"/>
          </w:tcPr>
          <w:p w14:paraId="3D4FD31D">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eastAsia="zh-CN"/>
              </w:rPr>
              <w:t xml:space="preserve"> </w:t>
            </w:r>
            <w:r>
              <w:rPr>
                <w:rFonts w:hint="eastAsia" w:ascii="宋体" w:hAnsi="宋体" w:cs="宋体"/>
                <w:color w:val="auto"/>
                <w:sz w:val="24"/>
                <w:szCs w:val="24"/>
                <w:highlight w:val="none"/>
                <w:lang w:val="en-US" w:eastAsia="zh-CN"/>
              </w:rPr>
              <w:t>XXXX</w:t>
            </w:r>
          </w:p>
        </w:tc>
        <w:tc>
          <w:tcPr>
            <w:tcW w:w="1436" w:type="dxa"/>
            <w:tcBorders>
              <w:tl2br w:val="nil"/>
              <w:tr2bl w:val="nil"/>
            </w:tcBorders>
            <w:vAlign w:val="center"/>
          </w:tcPr>
          <w:p w14:paraId="18CF1C3E">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安全员</w:t>
            </w:r>
          </w:p>
        </w:tc>
        <w:tc>
          <w:tcPr>
            <w:tcW w:w="1020" w:type="dxa"/>
            <w:tcBorders>
              <w:tl2br w:val="nil"/>
              <w:tr2bl w:val="nil"/>
            </w:tcBorders>
            <w:vAlign w:val="center"/>
          </w:tcPr>
          <w:p w14:paraId="2D94EC61">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043" w:type="dxa"/>
            <w:tcBorders>
              <w:tl2br w:val="nil"/>
              <w:tr2bl w:val="nil"/>
            </w:tcBorders>
            <w:vAlign w:val="center"/>
          </w:tcPr>
          <w:p w14:paraId="7CC50103">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tl2br w:val="nil"/>
              <w:tr2bl w:val="nil"/>
            </w:tcBorders>
            <w:vAlign w:val="center"/>
          </w:tcPr>
          <w:p w14:paraId="61F25970">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eastAsia="zh-CN"/>
              </w:rPr>
              <w:t xml:space="preserve"> </w:t>
            </w:r>
            <w:r>
              <w:rPr>
                <w:rFonts w:hint="eastAsia" w:ascii="宋体" w:hAnsi="宋体" w:cs="宋体"/>
                <w:color w:val="auto"/>
                <w:sz w:val="24"/>
                <w:szCs w:val="24"/>
                <w:highlight w:val="none"/>
                <w:lang w:val="en-US" w:eastAsia="zh-CN"/>
              </w:rPr>
              <w:t>XXXX</w:t>
            </w:r>
          </w:p>
        </w:tc>
      </w:tr>
      <w:tr w14:paraId="3C3BE4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vMerge w:val="restart"/>
            <w:tcBorders>
              <w:top w:val="single" w:color="auto" w:sz="6" w:space="0"/>
              <w:tl2br w:val="nil"/>
              <w:tr2bl w:val="nil"/>
            </w:tcBorders>
            <w:vAlign w:val="center"/>
          </w:tcPr>
          <w:p w14:paraId="5DFD855B">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其他人员</w:t>
            </w:r>
          </w:p>
        </w:tc>
        <w:tc>
          <w:tcPr>
            <w:tcW w:w="1418" w:type="dxa"/>
            <w:tcBorders>
              <w:tl2br w:val="nil"/>
              <w:tr2bl w:val="nil"/>
            </w:tcBorders>
            <w:vAlign w:val="center"/>
          </w:tcPr>
          <w:p w14:paraId="3C66C0BD">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eastAsia="zh-CN"/>
              </w:rPr>
              <w:t xml:space="preserve"> </w:t>
            </w:r>
            <w:r>
              <w:rPr>
                <w:rFonts w:hint="eastAsia" w:ascii="宋体" w:hAnsi="宋体" w:cs="宋体"/>
                <w:color w:val="auto"/>
                <w:sz w:val="24"/>
                <w:szCs w:val="24"/>
                <w:highlight w:val="none"/>
                <w:lang w:val="en-US" w:eastAsia="zh-CN"/>
              </w:rPr>
              <w:t>XXXX</w:t>
            </w:r>
          </w:p>
        </w:tc>
        <w:tc>
          <w:tcPr>
            <w:tcW w:w="1436" w:type="dxa"/>
            <w:tcBorders>
              <w:tl2br w:val="nil"/>
              <w:tr2bl w:val="nil"/>
            </w:tcBorders>
            <w:vAlign w:val="center"/>
          </w:tcPr>
          <w:p w14:paraId="085F58C0">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施工员</w:t>
            </w:r>
          </w:p>
        </w:tc>
        <w:tc>
          <w:tcPr>
            <w:tcW w:w="1020" w:type="dxa"/>
            <w:tcBorders>
              <w:tl2br w:val="nil"/>
              <w:tr2bl w:val="nil"/>
            </w:tcBorders>
            <w:vAlign w:val="center"/>
          </w:tcPr>
          <w:p w14:paraId="65C8746A">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043" w:type="dxa"/>
            <w:tcBorders>
              <w:tl2br w:val="nil"/>
              <w:tr2bl w:val="nil"/>
            </w:tcBorders>
            <w:vAlign w:val="center"/>
          </w:tcPr>
          <w:p w14:paraId="0034C6AB">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tl2br w:val="nil"/>
              <w:tr2bl w:val="nil"/>
            </w:tcBorders>
            <w:vAlign w:val="center"/>
          </w:tcPr>
          <w:p w14:paraId="2A898D75">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z w:val="24"/>
                <w:szCs w:val="24"/>
                <w:highlight w:val="none"/>
                <w:lang w:eastAsia="zh-CN"/>
              </w:rPr>
              <w:t xml:space="preserve"> </w:t>
            </w:r>
            <w:r>
              <w:rPr>
                <w:rFonts w:hint="eastAsia" w:ascii="宋体" w:hAnsi="宋体" w:cs="宋体"/>
                <w:color w:val="auto"/>
                <w:sz w:val="24"/>
                <w:szCs w:val="24"/>
                <w:highlight w:val="none"/>
                <w:lang w:val="en-US" w:eastAsia="zh-CN"/>
              </w:rPr>
              <w:t>XXXX</w:t>
            </w:r>
          </w:p>
        </w:tc>
      </w:tr>
      <w:tr w14:paraId="3FE467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vMerge w:val="continue"/>
            <w:tcBorders>
              <w:tl2br w:val="nil"/>
              <w:tr2bl w:val="nil"/>
            </w:tcBorders>
            <w:vAlign w:val="center"/>
          </w:tcPr>
          <w:p w14:paraId="749196BC"/>
        </w:tc>
        <w:tc>
          <w:tcPr>
            <w:tcW w:w="1418" w:type="dxa"/>
            <w:tcBorders>
              <w:bottom w:val="nil"/>
              <w:tl2br w:val="nil"/>
              <w:tr2bl w:val="nil"/>
            </w:tcBorders>
            <w:vAlign w:val="center"/>
          </w:tcPr>
          <w:p w14:paraId="595E52DD">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436" w:type="dxa"/>
            <w:tcBorders>
              <w:bottom w:val="nil"/>
              <w:tl2br w:val="nil"/>
              <w:tr2bl w:val="nil"/>
            </w:tcBorders>
            <w:vAlign w:val="center"/>
          </w:tcPr>
          <w:p w14:paraId="295151C4">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020" w:type="dxa"/>
            <w:tcBorders>
              <w:bottom w:val="nil"/>
              <w:tl2br w:val="nil"/>
              <w:tr2bl w:val="nil"/>
            </w:tcBorders>
            <w:vAlign w:val="center"/>
          </w:tcPr>
          <w:p w14:paraId="7E925758">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043" w:type="dxa"/>
            <w:tcBorders>
              <w:bottom w:val="nil"/>
              <w:tl2br w:val="nil"/>
              <w:tr2bl w:val="nil"/>
            </w:tcBorders>
            <w:vAlign w:val="center"/>
          </w:tcPr>
          <w:p w14:paraId="16FB8405">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bottom w:val="nil"/>
              <w:tl2br w:val="nil"/>
              <w:tr2bl w:val="nil"/>
            </w:tcBorders>
            <w:vAlign w:val="center"/>
          </w:tcPr>
          <w:p w14:paraId="15DBFF10">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r>
      <w:tr w14:paraId="4F2520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vMerge w:val="continue"/>
            <w:tcBorders>
              <w:tl2br w:val="nil"/>
              <w:tr2bl w:val="nil"/>
            </w:tcBorders>
            <w:vAlign w:val="center"/>
          </w:tcPr>
          <w:p w14:paraId="7BFE2975"/>
        </w:tc>
        <w:tc>
          <w:tcPr>
            <w:tcW w:w="1418" w:type="dxa"/>
            <w:tcBorders>
              <w:tl2br w:val="nil"/>
              <w:tr2bl w:val="nil"/>
            </w:tcBorders>
            <w:vAlign w:val="center"/>
          </w:tcPr>
          <w:p w14:paraId="3929645F">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436" w:type="dxa"/>
            <w:tcBorders>
              <w:tl2br w:val="nil"/>
              <w:tr2bl w:val="nil"/>
            </w:tcBorders>
            <w:vAlign w:val="center"/>
          </w:tcPr>
          <w:p w14:paraId="644B9FE8">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020" w:type="dxa"/>
            <w:tcBorders>
              <w:tl2br w:val="nil"/>
              <w:tr2bl w:val="nil"/>
            </w:tcBorders>
            <w:vAlign w:val="center"/>
          </w:tcPr>
          <w:p w14:paraId="391C4C50">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043" w:type="dxa"/>
            <w:tcBorders>
              <w:tl2br w:val="nil"/>
              <w:tr2bl w:val="nil"/>
            </w:tcBorders>
            <w:vAlign w:val="center"/>
          </w:tcPr>
          <w:p w14:paraId="4E04A49C">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tl2br w:val="nil"/>
              <w:tr2bl w:val="nil"/>
            </w:tcBorders>
            <w:vAlign w:val="center"/>
          </w:tcPr>
          <w:p w14:paraId="3F8E3CC7">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r>
      <w:tr w14:paraId="01B6C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vMerge w:val="continue"/>
            <w:tcBorders>
              <w:tl2br w:val="nil"/>
              <w:tr2bl w:val="nil"/>
            </w:tcBorders>
            <w:vAlign w:val="center"/>
          </w:tcPr>
          <w:p w14:paraId="37750C8C"/>
        </w:tc>
        <w:tc>
          <w:tcPr>
            <w:tcW w:w="1418" w:type="dxa"/>
            <w:tcBorders>
              <w:tl2br w:val="nil"/>
              <w:tr2bl w:val="nil"/>
            </w:tcBorders>
            <w:vAlign w:val="center"/>
          </w:tcPr>
          <w:p w14:paraId="0EE3EC86">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436" w:type="dxa"/>
            <w:tcBorders>
              <w:tl2br w:val="nil"/>
              <w:tr2bl w:val="nil"/>
            </w:tcBorders>
            <w:vAlign w:val="center"/>
          </w:tcPr>
          <w:p w14:paraId="7B07530D">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020" w:type="dxa"/>
            <w:tcBorders>
              <w:tl2br w:val="nil"/>
              <w:tr2bl w:val="nil"/>
            </w:tcBorders>
            <w:vAlign w:val="center"/>
          </w:tcPr>
          <w:p w14:paraId="2242733E">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043" w:type="dxa"/>
            <w:tcBorders>
              <w:tl2br w:val="nil"/>
              <w:tr2bl w:val="nil"/>
            </w:tcBorders>
            <w:vAlign w:val="center"/>
          </w:tcPr>
          <w:p w14:paraId="2932F6AB">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tl2br w:val="nil"/>
              <w:tr2bl w:val="nil"/>
            </w:tcBorders>
            <w:vAlign w:val="center"/>
          </w:tcPr>
          <w:p w14:paraId="2D9A8ECE">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r>
      <w:tr w14:paraId="394DB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vMerge w:val="continue"/>
            <w:tcBorders>
              <w:tl2br w:val="nil"/>
              <w:tr2bl w:val="nil"/>
            </w:tcBorders>
            <w:vAlign w:val="center"/>
          </w:tcPr>
          <w:p w14:paraId="20C1C680"/>
        </w:tc>
        <w:tc>
          <w:tcPr>
            <w:tcW w:w="1418" w:type="dxa"/>
            <w:tcBorders>
              <w:tl2br w:val="nil"/>
              <w:tr2bl w:val="nil"/>
            </w:tcBorders>
            <w:vAlign w:val="center"/>
          </w:tcPr>
          <w:p w14:paraId="4D01FCAE">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436" w:type="dxa"/>
            <w:tcBorders>
              <w:tl2br w:val="nil"/>
              <w:tr2bl w:val="nil"/>
            </w:tcBorders>
            <w:vAlign w:val="center"/>
          </w:tcPr>
          <w:p w14:paraId="509D6503">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020" w:type="dxa"/>
            <w:tcBorders>
              <w:tl2br w:val="nil"/>
              <w:tr2bl w:val="nil"/>
            </w:tcBorders>
            <w:vAlign w:val="center"/>
          </w:tcPr>
          <w:p w14:paraId="32BEE7AA">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043" w:type="dxa"/>
            <w:tcBorders>
              <w:tl2br w:val="nil"/>
              <w:tr2bl w:val="nil"/>
            </w:tcBorders>
            <w:vAlign w:val="center"/>
          </w:tcPr>
          <w:p w14:paraId="465416FB">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tl2br w:val="nil"/>
              <w:tr2bl w:val="nil"/>
            </w:tcBorders>
            <w:vAlign w:val="center"/>
          </w:tcPr>
          <w:p w14:paraId="571337B5">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r>
      <w:tr w14:paraId="508A0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vMerge w:val="continue"/>
            <w:tcBorders>
              <w:bottom w:val="single" w:color="auto" w:sz="12" w:space="0"/>
              <w:tl2br w:val="nil"/>
              <w:tr2bl w:val="nil"/>
            </w:tcBorders>
            <w:vAlign w:val="center"/>
          </w:tcPr>
          <w:p w14:paraId="0DDE116C"/>
        </w:tc>
        <w:tc>
          <w:tcPr>
            <w:tcW w:w="1418" w:type="dxa"/>
            <w:tcBorders>
              <w:bottom w:val="single" w:color="auto" w:sz="12" w:space="0"/>
              <w:tl2br w:val="nil"/>
              <w:tr2bl w:val="nil"/>
            </w:tcBorders>
            <w:vAlign w:val="center"/>
          </w:tcPr>
          <w:p w14:paraId="46BA4382">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436" w:type="dxa"/>
            <w:tcBorders>
              <w:bottom w:val="single" w:color="auto" w:sz="12" w:space="0"/>
              <w:tl2br w:val="nil"/>
              <w:tr2bl w:val="nil"/>
            </w:tcBorders>
            <w:vAlign w:val="center"/>
          </w:tcPr>
          <w:p w14:paraId="2A692DC3">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020" w:type="dxa"/>
            <w:tcBorders>
              <w:bottom w:val="single" w:color="auto" w:sz="12" w:space="0"/>
              <w:tl2br w:val="nil"/>
              <w:tr2bl w:val="nil"/>
            </w:tcBorders>
            <w:vAlign w:val="center"/>
          </w:tcPr>
          <w:p w14:paraId="5901C394">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043" w:type="dxa"/>
            <w:tcBorders>
              <w:bottom w:val="single" w:color="auto" w:sz="12" w:space="0"/>
              <w:tl2br w:val="nil"/>
              <w:tr2bl w:val="nil"/>
            </w:tcBorders>
            <w:vAlign w:val="center"/>
          </w:tcPr>
          <w:p w14:paraId="41786F3E">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bottom w:val="single" w:color="auto" w:sz="12" w:space="0"/>
              <w:tl2br w:val="nil"/>
              <w:tr2bl w:val="nil"/>
            </w:tcBorders>
            <w:vAlign w:val="center"/>
          </w:tcPr>
          <w:p w14:paraId="2FEE8626">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r>
      <w:tr w14:paraId="612336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vMerge w:val="continue"/>
            <w:tcBorders>
              <w:bottom w:val="single" w:color="auto" w:sz="12" w:space="0"/>
              <w:tl2br w:val="nil"/>
              <w:tr2bl w:val="nil"/>
            </w:tcBorders>
            <w:vAlign w:val="center"/>
          </w:tcPr>
          <w:p w14:paraId="1EDD14D9"/>
        </w:tc>
        <w:tc>
          <w:tcPr>
            <w:tcW w:w="1418" w:type="dxa"/>
            <w:tcBorders>
              <w:bottom w:val="single" w:color="auto" w:sz="12" w:space="0"/>
              <w:tl2br w:val="nil"/>
              <w:tr2bl w:val="nil"/>
            </w:tcBorders>
            <w:vAlign w:val="center"/>
          </w:tcPr>
          <w:p w14:paraId="4CF961CB">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436" w:type="dxa"/>
            <w:tcBorders>
              <w:bottom w:val="single" w:color="auto" w:sz="12" w:space="0"/>
              <w:tl2br w:val="nil"/>
              <w:tr2bl w:val="nil"/>
            </w:tcBorders>
            <w:vAlign w:val="center"/>
          </w:tcPr>
          <w:p w14:paraId="4A8BB65F">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1020" w:type="dxa"/>
            <w:tcBorders>
              <w:bottom w:val="single" w:color="auto" w:sz="12" w:space="0"/>
              <w:tl2br w:val="nil"/>
              <w:tr2bl w:val="nil"/>
            </w:tcBorders>
            <w:vAlign w:val="center"/>
          </w:tcPr>
          <w:p w14:paraId="2BA8E875">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043" w:type="dxa"/>
            <w:tcBorders>
              <w:bottom w:val="single" w:color="auto" w:sz="12" w:space="0"/>
              <w:tl2br w:val="nil"/>
              <w:tr2bl w:val="nil"/>
            </w:tcBorders>
            <w:vAlign w:val="center"/>
          </w:tcPr>
          <w:p w14:paraId="1139F5AD">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c>
          <w:tcPr>
            <w:tcW w:w="2231" w:type="dxa"/>
            <w:tcBorders>
              <w:bottom w:val="single" w:color="auto" w:sz="12" w:space="0"/>
              <w:tl2br w:val="nil"/>
              <w:tr2bl w:val="nil"/>
            </w:tcBorders>
            <w:vAlign w:val="center"/>
          </w:tcPr>
          <w:p w14:paraId="4F04AABC">
            <w:pPr>
              <w:pStyle w:val="6"/>
              <w:keepNext/>
              <w:spacing w:after="0" w:line="440" w:lineRule="exact"/>
              <w:ind w:left="63" w:right="63"/>
              <w:rPr>
                <w:rFonts w:hint="eastAsia" w:ascii="宋体" w:hAnsi="宋体" w:eastAsia="宋体" w:cs="宋体"/>
                <w:color w:val="auto"/>
                <w:kern w:val="2"/>
                <w:sz w:val="24"/>
                <w:szCs w:val="24"/>
                <w:highlight w:val="none"/>
                <w:lang w:val="en-US" w:eastAsia="zh-CN"/>
              </w:rPr>
            </w:pPr>
          </w:p>
        </w:tc>
      </w:tr>
    </w:tbl>
    <w:p w14:paraId="7592F924">
      <w:pPr>
        <w:rPr>
          <w:rFonts w:hint="eastAsia" w:ascii="宋体" w:hAnsi="宋体" w:eastAsia="宋体" w:cs="宋体"/>
          <w:bCs/>
          <w:color w:val="FF0000"/>
          <w:sz w:val="21"/>
          <w:lang w:val="en-US" w:eastAsia="zh-CN"/>
        </w:rPr>
        <w:sectPr>
          <w:pgSz w:w="11905" w:h="16838"/>
          <w:pgMar w:top="1134" w:right="1134" w:bottom="1134" w:left="1134" w:header="720" w:footer="720" w:gutter="0"/>
          <w:pgNumType w:fmt="decimal"/>
          <w:cols w:space="720" w:num="1"/>
          <w:docGrid w:type="lines" w:linePitch="331" w:charSpace="0"/>
        </w:sectPr>
      </w:pPr>
    </w:p>
    <w:p w14:paraId="4BCA09DC">
      <w:pPr>
        <w:spacing w:line="440" w:lineRule="exac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附件</w:t>
      </w:r>
      <w:r>
        <w:rPr>
          <w:rFonts w:hint="eastAsia" w:ascii="宋体" w:hAnsi="宋体" w:eastAsia="宋体" w:cs="宋体"/>
          <w:color w:val="auto"/>
          <w:sz w:val="30"/>
          <w:szCs w:val="30"/>
          <w:highlight w:val="none"/>
          <w:lang w:val="en-US" w:eastAsia="zh-CN"/>
        </w:rPr>
        <w:t>5</w:t>
      </w:r>
      <w:r>
        <w:rPr>
          <w:rFonts w:hint="eastAsia" w:ascii="宋体" w:hAnsi="宋体" w:eastAsia="宋体" w:cs="宋体"/>
          <w:color w:val="auto"/>
          <w:sz w:val="30"/>
          <w:szCs w:val="30"/>
          <w:highlight w:val="none"/>
        </w:rPr>
        <w:t>：</w:t>
      </w:r>
    </w:p>
    <w:p w14:paraId="3BB73943">
      <w:pPr>
        <w:jc w:val="center"/>
        <w:rPr>
          <w:rFonts w:hint="eastAsia" w:ascii="宋体" w:hAnsi="宋体" w:eastAsia="宋体" w:cs="宋体"/>
          <w:color w:val="FF0000"/>
          <w:sz w:val="28"/>
          <w:szCs w:val="28"/>
        </w:rPr>
      </w:pPr>
      <w:r>
        <w:rPr>
          <w:rFonts w:hint="eastAsia" w:ascii="宋体" w:hAnsi="宋体" w:eastAsia="宋体" w:cs="宋体"/>
          <w:color w:val="auto"/>
          <w:sz w:val="28"/>
          <w:szCs w:val="28"/>
        </w:rPr>
        <w:t>施工单位资质证书正本及营业执照正本（彩色扫描）</w:t>
      </w:r>
    </w:p>
    <w:p w14:paraId="460A9DD7">
      <w:pPr>
        <w:jc w:val="center"/>
        <w:rPr>
          <w:rFonts w:hint="eastAsia" w:ascii="宋体" w:hAnsi="宋体" w:eastAsia="宋体" w:cs="宋体"/>
          <w:color w:val="FF0000"/>
          <w:sz w:val="28"/>
          <w:szCs w:val="28"/>
          <w:lang w:eastAsia="zh-CN"/>
        </w:rPr>
      </w:pPr>
    </w:p>
    <w:p w14:paraId="657900BC">
      <w:pPr>
        <w:jc w:val="center"/>
        <w:rPr>
          <w:rFonts w:hint="eastAsia" w:ascii="宋体" w:hAnsi="宋体" w:eastAsia="宋体" w:cs="宋体"/>
          <w:color w:val="FF0000"/>
          <w:sz w:val="28"/>
          <w:szCs w:val="28"/>
          <w:lang w:val="en-US" w:eastAsia="zh-CN"/>
        </w:rPr>
        <w:sectPr>
          <w:pgSz w:w="11905" w:h="16838"/>
          <w:pgMar w:top="1134" w:right="1134" w:bottom="1134" w:left="1134" w:header="720" w:footer="720" w:gutter="0"/>
          <w:pgNumType w:fmt="decimal"/>
          <w:cols w:space="720" w:num="1"/>
          <w:docGrid w:type="lines" w:linePitch="331" w:charSpace="0"/>
        </w:sectPr>
      </w:pPr>
    </w:p>
    <w:p w14:paraId="20116B0E">
      <w:pPr>
        <w:spacing w:line="360" w:lineRule="auto"/>
        <w:rPr>
          <w:rFonts w:ascii="宋体" w:hAnsi="Calibri"/>
        </w:rPr>
      </w:pPr>
      <w:r>
        <w:rPr>
          <w:rFonts w:hint="eastAsia" w:ascii="宋体" w:hAnsi="宋体" w:cs="宋体"/>
          <w:color w:val="000000"/>
          <w:sz w:val="30"/>
          <w:szCs w:val="30"/>
          <w:lang w:val="en-US" w:eastAsia="zh-CN"/>
        </w:rPr>
        <w:t>附件6：中标通知书</w:t>
      </w:r>
    </w:p>
    <w:p w14:paraId="273B1537">
      <w:pPr>
        <w:spacing w:line="360" w:lineRule="auto"/>
        <w:rPr>
          <w:rFonts w:ascii="宋体" w:hAnsi="Calibri"/>
        </w:rPr>
        <w:sectPr>
          <w:footerReference r:id="rId82" w:type="first"/>
          <w:footerReference r:id="rId81" w:type="default"/>
          <w:pgSz w:w="11905" w:h="16838"/>
          <w:pgMar w:top="1134" w:right="1134" w:bottom="1134" w:left="1134" w:header="720" w:footer="720" w:gutter="0"/>
          <w:pgNumType w:fmt="decimal"/>
          <w:cols w:space="720" w:num="1"/>
          <w:docGrid w:type="lines" w:linePitch="331" w:charSpace="0"/>
        </w:sectPr>
      </w:pPr>
    </w:p>
    <w:p w14:paraId="3C728A38">
      <w:pPr>
        <w:spacing w:line="360" w:lineRule="auto"/>
        <w:jc w:val="left"/>
        <w:rPr>
          <w:rFonts w:ascii="黑体" w:hAnsi="黑体" w:eastAsia="黑体" w:cs="黑体"/>
          <w:color w:val="auto"/>
          <w:sz w:val="32"/>
          <w:szCs w:val="32"/>
          <w:highlight w:val="none"/>
        </w:rPr>
      </w:pPr>
      <w:r>
        <w:rPr>
          <w:rFonts w:hint="eastAsia" w:eastAsia="仿宋_GB2312" w:cs="仿宋_GB2312"/>
          <w:color w:val="auto"/>
          <w:sz w:val="30"/>
          <w:szCs w:val="30"/>
          <w:highlight w:val="none"/>
        </w:rPr>
        <w:t>附件</w:t>
      </w:r>
      <w:r>
        <w:rPr>
          <w:rFonts w:hint="eastAsia" w:eastAsia="仿宋_GB2312" w:cs="仿宋_GB2312"/>
          <w:color w:val="auto"/>
          <w:sz w:val="30"/>
          <w:szCs w:val="30"/>
          <w:highlight w:val="none"/>
          <w:lang w:val="en-US" w:eastAsia="zh-CN"/>
        </w:rPr>
        <w:t>7</w:t>
      </w:r>
      <w:r>
        <w:rPr>
          <w:rFonts w:hint="eastAsia" w:eastAsia="仿宋_GB2312" w:cs="仿宋_GB2312"/>
          <w:color w:val="auto"/>
          <w:sz w:val="30"/>
          <w:szCs w:val="30"/>
          <w:highlight w:val="none"/>
        </w:rPr>
        <w:t>：</w:t>
      </w:r>
    </w:p>
    <w:p w14:paraId="16674524">
      <w:pPr>
        <w:jc w:val="center"/>
        <w:rPr>
          <w:rFonts w:ascii="彩虹小标宋" w:hAnsi="宋体" w:eastAsia="楷体"/>
          <w:bCs/>
          <w:color w:val="FF0000"/>
          <w:sz w:val="40"/>
          <w:szCs w:val="40"/>
          <w:u w:val="single"/>
        </w:rPr>
      </w:pPr>
      <w:r>
        <w:rPr>
          <w:rFonts w:hint="eastAsia" w:ascii="楷体" w:hAnsi="楷体" w:eastAsia="楷体"/>
          <w:b/>
          <w:sz w:val="40"/>
          <w:szCs w:val="40"/>
        </w:rPr>
        <w:t>预付款保函</w:t>
      </w:r>
    </w:p>
    <w:p w14:paraId="0A650903">
      <w:pPr>
        <w:wordWrap w:val="0"/>
        <w:jc w:val="right"/>
        <w:rPr>
          <w:rFonts w:ascii="宋体" w:hAnsi="宋体" w:cs="宋体"/>
          <w:sz w:val="24"/>
          <w:u w:val="single"/>
        </w:rPr>
      </w:pPr>
      <w:r>
        <w:rPr>
          <w:rFonts w:hint="eastAsia" w:ascii="宋体" w:hAnsi="宋体"/>
          <w:sz w:val="28"/>
          <w:szCs w:val="28"/>
        </w:rPr>
        <w:t xml:space="preserve">                                            </w:t>
      </w:r>
      <w:r>
        <w:rPr>
          <w:rFonts w:hint="eastAsia"/>
          <w:sz w:val="24"/>
        </w:rPr>
        <w:t>保函编号：</w:t>
      </w:r>
      <w:r>
        <w:rPr>
          <w:rFonts w:ascii="宋体" w:hAnsi="宋体" w:cs="宋体"/>
          <w:sz w:val="24"/>
          <w:u w:val="single"/>
        </w:rPr>
        <w:t>XXXXX</w:t>
      </w:r>
    </w:p>
    <w:p w14:paraId="78B12E84">
      <w:pPr>
        <w:wordWrap w:val="0"/>
        <w:jc w:val="right"/>
      </w:pPr>
      <w:r>
        <w:rPr>
          <w:rFonts w:hint="eastAsia"/>
          <w:sz w:val="24"/>
        </w:rPr>
        <w:t xml:space="preserve">      验证码：</w:t>
      </w:r>
      <w:r>
        <w:rPr>
          <w:rFonts w:hint="eastAsia"/>
          <w:sz w:val="24"/>
          <w:u w:val="single"/>
        </w:rPr>
        <w:t xml:space="preserve">    </w:t>
      </w:r>
    </w:p>
    <w:p w14:paraId="4FCAD581">
      <w:pPr>
        <w:spacing w:line="264" w:lineRule="auto"/>
        <w:rPr>
          <w:rFonts w:ascii="宋体" w:hAnsi="宋体" w:cs="宋体"/>
          <w:sz w:val="24"/>
        </w:rPr>
      </w:pPr>
      <w:r>
        <w:rPr>
          <w:rFonts w:hint="eastAsia" w:ascii="宋体" w:hAnsi="宋体" w:cs="宋体"/>
          <w:sz w:val="24"/>
          <w:u w:val="single"/>
        </w:rPr>
        <w:t>横州市</w:t>
      </w:r>
      <w:r>
        <w:rPr>
          <w:rFonts w:ascii="宋体" w:hAnsi="宋体" w:cs="宋体"/>
          <w:sz w:val="24"/>
          <w:u w:val="single"/>
        </w:rPr>
        <w:t>XXXXX</w:t>
      </w:r>
      <w:r>
        <w:rPr>
          <w:rFonts w:hint="eastAsia" w:ascii="宋体" w:hAnsi="宋体" w:cs="宋体"/>
          <w:sz w:val="24"/>
        </w:rPr>
        <w:t>(发包人名称):</w:t>
      </w:r>
    </w:p>
    <w:p w14:paraId="69754E73">
      <w:pPr>
        <w:spacing w:line="500" w:lineRule="exact"/>
        <w:ind w:firstLine="480" w:firstLineChars="200"/>
        <w:rPr>
          <w:rFonts w:ascii="宋体" w:hAnsi="宋体" w:cs="宋体"/>
          <w:sz w:val="24"/>
        </w:rPr>
      </w:pPr>
      <w:r>
        <w:rPr>
          <w:rFonts w:hint="eastAsia" w:ascii="宋体" w:hAnsi="宋体" w:cs="宋体"/>
          <w:sz w:val="24"/>
        </w:rPr>
        <w:t>根据</w:t>
      </w:r>
      <w:r>
        <w:rPr>
          <w:rFonts w:ascii="宋体" w:hAnsi="宋体" w:cs="宋体"/>
          <w:sz w:val="24"/>
          <w:u w:val="single"/>
        </w:rPr>
        <w:t>XXXXX</w:t>
      </w:r>
      <w:r>
        <w:rPr>
          <w:rFonts w:hint="eastAsia" w:ascii="宋体" w:hAnsi="宋体" w:cs="宋体"/>
          <w:sz w:val="24"/>
          <w:u w:val="single"/>
        </w:rPr>
        <w:t>有限公司</w:t>
      </w:r>
      <w:r>
        <w:rPr>
          <w:rFonts w:hint="eastAsia" w:ascii="宋体" w:hAnsi="宋体" w:cs="宋体"/>
          <w:sz w:val="24"/>
        </w:rPr>
        <w:t>(承包人名称)(以下称"承包人")与</w:t>
      </w:r>
      <w:r>
        <w:rPr>
          <w:rFonts w:hint="eastAsia" w:ascii="宋体" w:hAnsi="宋体" w:cs="宋体"/>
          <w:sz w:val="24"/>
          <w:u w:val="single"/>
        </w:rPr>
        <w:t>横州市</w:t>
      </w:r>
      <w:r>
        <w:rPr>
          <w:rFonts w:ascii="宋体" w:hAnsi="宋体" w:cs="宋体"/>
          <w:sz w:val="24"/>
          <w:u w:val="single"/>
        </w:rPr>
        <w:t>XXXXX</w:t>
      </w:r>
      <w:r>
        <w:rPr>
          <w:rFonts w:hint="eastAsia" w:ascii="宋体" w:hAnsi="宋体" w:cs="宋体"/>
          <w:sz w:val="24"/>
        </w:rPr>
        <w:t>(发包人名称)(以下简称"发包人")于</w:t>
      </w:r>
      <w:r>
        <w:rPr>
          <w:rFonts w:hint="eastAsia" w:ascii="宋体" w:hAnsi="宋体" w:cs="宋体"/>
          <w:sz w:val="24"/>
          <w:u w:val="single"/>
        </w:rPr>
        <w:t>/</w:t>
      </w:r>
      <w:r>
        <w:rPr>
          <w:rFonts w:hint="eastAsia" w:ascii="宋体" w:hAnsi="宋体" w:cs="宋体"/>
          <w:sz w:val="24"/>
        </w:rPr>
        <w:t>年</w:t>
      </w:r>
      <w:r>
        <w:rPr>
          <w:rFonts w:hint="eastAsia" w:ascii="宋体" w:hAnsi="宋体" w:cs="宋体"/>
          <w:sz w:val="24"/>
          <w:u w:val="single"/>
        </w:rPr>
        <w:t>/</w:t>
      </w:r>
      <w:r>
        <w:rPr>
          <w:rFonts w:hint="eastAsia" w:ascii="宋体" w:hAnsi="宋体" w:cs="宋体"/>
          <w:sz w:val="24"/>
        </w:rPr>
        <w:t>月</w:t>
      </w:r>
      <w:r>
        <w:rPr>
          <w:rFonts w:hint="eastAsia" w:ascii="宋体" w:hAnsi="宋体" w:cs="宋体"/>
          <w:sz w:val="24"/>
          <w:u w:val="single"/>
        </w:rPr>
        <w:t>/</w:t>
      </w:r>
      <w:r>
        <w:rPr>
          <w:rFonts w:hint="eastAsia" w:ascii="宋体" w:hAnsi="宋体" w:cs="宋体"/>
          <w:sz w:val="24"/>
        </w:rPr>
        <w:t>日签订的</w:t>
      </w:r>
      <w:r>
        <w:rPr>
          <w:rFonts w:hint="eastAsia" w:ascii="宋体" w:hAnsi="宋体" w:cs="宋体"/>
          <w:sz w:val="24"/>
          <w:u w:val="single"/>
        </w:rPr>
        <w:t>横州市</w:t>
      </w:r>
      <w:r>
        <w:rPr>
          <w:rFonts w:ascii="宋体" w:hAnsi="宋体" w:cs="宋体"/>
          <w:sz w:val="24"/>
          <w:u w:val="single"/>
        </w:rPr>
        <w:t>XXXXX</w:t>
      </w:r>
      <w:r>
        <w:rPr>
          <w:rFonts w:hint="eastAsia" w:ascii="宋体" w:hAnsi="宋体" w:cs="宋体"/>
          <w:sz w:val="24"/>
          <w:u w:val="single"/>
        </w:rPr>
        <w:t>工程</w:t>
      </w:r>
      <w:r>
        <w:rPr>
          <w:rFonts w:hint="eastAsia" w:ascii="宋体" w:hAnsi="宋体" w:cs="宋体"/>
          <w:sz w:val="24"/>
        </w:rPr>
        <w:t>施工合同(合同名称)，承包人按约定的金额向发包人提交一份预付款担保，即有权得到发包人支付相等金额的预付款。我方愿意就发包人提供给承包人的预付款为承包人提供不可撤销、不可转让的见索即付独立保函(以下简称"本保函")。</w:t>
      </w:r>
    </w:p>
    <w:p w14:paraId="6CF0A90E">
      <w:pPr>
        <w:spacing w:line="500" w:lineRule="exact"/>
        <w:ind w:firstLine="480" w:firstLineChars="200"/>
        <w:rPr>
          <w:rFonts w:ascii="宋体" w:hAnsi="宋体" w:cs="宋体"/>
          <w:sz w:val="24"/>
        </w:rPr>
      </w:pPr>
      <w:r>
        <w:rPr>
          <w:rFonts w:hint="eastAsia" w:ascii="宋体" w:hAnsi="宋体" w:cs="宋体"/>
          <w:sz w:val="24"/>
        </w:rPr>
        <w:t>1、本保函担保范围：</w:t>
      </w:r>
      <w:r>
        <w:rPr>
          <w:rFonts w:hint="eastAsia" w:ascii="宋体" w:hAnsi="宋体" w:cs="宋体"/>
          <w:color w:val="0F1115"/>
          <w:sz w:val="24"/>
          <w:shd w:val="clear" w:color="auto" w:fill="FFFFFF"/>
        </w:rPr>
        <w:t>在本保函有效期内，发生下列任一情形，致使发包人根据主合同约定或法律规定有权要求承包人返还全部或部分预付款的，担保人即承担支付责任：</w:t>
      </w:r>
      <w:r>
        <w:rPr>
          <w:rFonts w:hint="eastAsia" w:ascii="宋体" w:hAnsi="宋体" w:cs="宋体"/>
          <w:color w:val="0F1115"/>
          <w:sz w:val="24"/>
          <w:shd w:val="clear" w:color="auto" w:fill="FFFFFF"/>
        </w:rPr>
        <w:br w:type="textWrapping"/>
      </w:r>
      <w:r>
        <w:rPr>
          <w:rFonts w:ascii="宋体" w:hAnsi="宋体" w:cs="宋体"/>
          <w:color w:val="0F1115"/>
          <w:sz w:val="24"/>
          <w:shd w:val="clear" w:color="auto" w:fill="FFFFFF"/>
        </w:rPr>
        <w:t xml:space="preserve">   </w:t>
      </w:r>
      <w:r>
        <w:rPr>
          <w:rFonts w:hint="eastAsia" w:ascii="宋体" w:hAnsi="宋体" w:cs="宋体"/>
          <w:color w:val="0F1115"/>
          <w:sz w:val="24"/>
          <w:shd w:val="clear" w:color="auto" w:fill="FFFFFF"/>
        </w:rPr>
        <w:t>（1）承包人未能按照主合同约定正确和合理地为合同目的使用预付款；</w:t>
      </w:r>
      <w:r>
        <w:rPr>
          <w:rFonts w:hint="eastAsia" w:ascii="宋体" w:hAnsi="宋体" w:cs="宋体"/>
          <w:color w:val="0F1115"/>
          <w:sz w:val="24"/>
          <w:shd w:val="clear" w:color="auto" w:fill="FFFFFF"/>
        </w:rPr>
        <w:br w:type="textWrapping"/>
      </w:r>
      <w:r>
        <w:rPr>
          <w:rFonts w:ascii="宋体" w:hAnsi="宋体" w:cs="宋体"/>
          <w:color w:val="0F1115"/>
          <w:sz w:val="24"/>
          <w:shd w:val="clear" w:color="auto" w:fill="FFFFFF"/>
        </w:rPr>
        <w:t xml:space="preserve">   </w:t>
      </w:r>
      <w:r>
        <w:rPr>
          <w:rFonts w:hint="eastAsia" w:ascii="宋体" w:hAnsi="宋体" w:cs="宋体"/>
          <w:color w:val="0F1115"/>
          <w:sz w:val="24"/>
          <w:shd w:val="clear" w:color="auto" w:fill="FFFFFF"/>
        </w:rPr>
        <w:t>（2）承包人发生主合同约定的违约事件，导致发包人行使合同解除权；</w:t>
      </w:r>
      <w:r>
        <w:rPr>
          <w:rFonts w:hint="eastAsia" w:ascii="宋体" w:hAnsi="宋体" w:cs="宋体"/>
          <w:color w:val="0F1115"/>
          <w:sz w:val="24"/>
          <w:shd w:val="clear" w:color="auto" w:fill="FFFFFF"/>
        </w:rPr>
        <w:br w:type="textWrapping"/>
      </w:r>
      <w:r>
        <w:rPr>
          <w:rFonts w:ascii="宋体" w:hAnsi="宋体" w:cs="宋体"/>
          <w:color w:val="0F1115"/>
          <w:sz w:val="24"/>
          <w:shd w:val="clear" w:color="auto" w:fill="FFFFFF"/>
        </w:rPr>
        <w:t xml:space="preserve">   </w:t>
      </w:r>
      <w:r>
        <w:rPr>
          <w:rFonts w:hint="eastAsia" w:ascii="宋体" w:hAnsi="宋体" w:cs="宋体"/>
          <w:color w:val="0F1115"/>
          <w:sz w:val="24"/>
          <w:shd w:val="clear" w:color="auto" w:fill="FFFFFF"/>
        </w:rPr>
        <w:t>（3）承包人破产、清算、被吊销营业执照或丧失履行主合同能力。</w:t>
      </w:r>
      <w:r>
        <w:rPr>
          <w:rFonts w:hint="eastAsia" w:ascii="宋体" w:hAnsi="宋体" w:cs="宋体"/>
          <w:color w:val="0F1115"/>
          <w:sz w:val="24"/>
          <w:shd w:val="clear" w:color="auto" w:fill="FFFFFF"/>
        </w:rPr>
        <w:br w:type="textWrapping"/>
      </w:r>
      <w:r>
        <w:rPr>
          <w:rFonts w:hint="eastAsia" w:ascii="宋体" w:hAnsi="宋体" w:cs="宋体"/>
          <w:color w:val="0F1115"/>
          <w:sz w:val="24"/>
          <w:shd w:val="clear" w:color="auto" w:fill="FFFFFF"/>
        </w:rPr>
        <w:t>担保人应支付的金额包括承包人应返还的预付款本金、相应利息、违约金（如有），以及发包人为实现本保函项下权利所支付的合理律师费、诉讼费、保全费等全部费用。</w:t>
      </w:r>
    </w:p>
    <w:p w14:paraId="3EEA48A7">
      <w:pPr>
        <w:spacing w:line="500" w:lineRule="exact"/>
        <w:ind w:firstLine="480" w:firstLineChars="200"/>
        <w:rPr>
          <w:rFonts w:ascii="宋体" w:hAnsi="宋体" w:cs="宋体"/>
          <w:sz w:val="24"/>
        </w:rPr>
      </w:pPr>
      <w:r>
        <w:rPr>
          <w:rFonts w:hint="eastAsia" w:ascii="宋体" w:hAnsi="宋体" w:cs="宋体"/>
          <w:sz w:val="24"/>
        </w:rPr>
        <w:t>2、担保金额人民币</w:t>
      </w:r>
      <w:r>
        <w:rPr>
          <w:rFonts w:ascii="宋体" w:hAnsi="宋体" w:cs="宋体"/>
          <w:sz w:val="24"/>
          <w:u w:val="single"/>
        </w:rPr>
        <w:t>XXXXX</w:t>
      </w:r>
      <w:r>
        <w:rPr>
          <w:rFonts w:hint="eastAsia" w:ascii="宋体" w:hAnsi="宋体" w:cs="宋体"/>
          <w:sz w:val="24"/>
        </w:rPr>
        <w:t>(大写)(¥</w:t>
      </w:r>
      <w:r>
        <w:rPr>
          <w:rFonts w:ascii="宋体" w:hAnsi="宋体" w:cs="宋体"/>
          <w:sz w:val="24"/>
          <w:u w:val="single"/>
        </w:rPr>
        <w:t>XXXXX</w:t>
      </w:r>
      <w:r>
        <w:rPr>
          <w:rFonts w:hint="eastAsia" w:ascii="宋体" w:hAnsi="宋体" w:cs="宋体"/>
          <w:sz w:val="24"/>
        </w:rPr>
        <w:t>元)。</w:t>
      </w:r>
    </w:p>
    <w:p w14:paraId="6C535F98">
      <w:pPr>
        <w:spacing w:line="500" w:lineRule="exact"/>
        <w:ind w:firstLine="480" w:firstLineChars="200"/>
        <w:rPr>
          <w:rFonts w:ascii="宋体" w:hAnsi="宋体" w:cs="宋体"/>
          <w:color w:val="0F1115"/>
          <w:sz w:val="24"/>
          <w:shd w:val="clear" w:color="auto" w:fill="FFFFFF"/>
        </w:rPr>
      </w:pPr>
      <w:r>
        <w:rPr>
          <w:rFonts w:hint="eastAsia" w:ascii="宋体" w:hAnsi="宋体" w:cs="宋体"/>
          <w:sz w:val="24"/>
        </w:rPr>
        <w:t>3、</w:t>
      </w:r>
      <w:r>
        <w:rPr>
          <w:rFonts w:hint="eastAsia" w:ascii="宋体" w:hAnsi="宋体" w:cs="宋体"/>
          <w:color w:val="0F1115"/>
          <w:sz w:val="24"/>
          <w:shd w:val="clear" w:color="auto" w:fill="FFFFFF"/>
        </w:rPr>
        <w:t>本保函自担保人正式签发之日起生效。有效期至以下日期中</w:t>
      </w:r>
      <w:r>
        <w:rPr>
          <w:rStyle w:val="16"/>
          <w:rFonts w:hint="eastAsia" w:ascii="宋体" w:hAnsi="宋体" w:cs="宋体"/>
          <w:b w:val="0"/>
          <w:color w:val="0F1115"/>
          <w:sz w:val="24"/>
          <w:shd w:val="clear" w:color="auto" w:fill="FFFFFF"/>
        </w:rPr>
        <w:t>最早发生者</w:t>
      </w:r>
      <w:r>
        <w:rPr>
          <w:rFonts w:hint="eastAsia" w:ascii="宋体" w:hAnsi="宋体" w:cs="宋体"/>
          <w:color w:val="0F1115"/>
          <w:sz w:val="24"/>
          <w:shd w:val="clear" w:color="auto" w:fill="FFFFFF"/>
        </w:rPr>
        <w:t>为止：</w:t>
      </w:r>
    </w:p>
    <w:p w14:paraId="1A6E463F">
      <w:pPr>
        <w:spacing w:line="500" w:lineRule="exact"/>
        <w:ind w:firstLine="360" w:firstLineChars="150"/>
        <w:rPr>
          <w:rFonts w:ascii="宋体" w:hAnsi="宋体" w:cs="宋体"/>
          <w:color w:val="0F1115"/>
          <w:sz w:val="24"/>
          <w:shd w:val="clear" w:color="auto" w:fill="FFFFFF"/>
        </w:rPr>
      </w:pPr>
      <w:r>
        <w:rPr>
          <w:rFonts w:hint="eastAsia" w:ascii="宋体" w:hAnsi="宋体" w:cs="宋体"/>
          <w:color w:val="0F1115"/>
          <w:sz w:val="24"/>
          <w:shd w:val="clear" w:color="auto" w:fill="FFFFFF"/>
        </w:rPr>
        <w:t>（1）发包人向承包人累计支付的工程进度款总额已达到主合同约定的预付款起扣点，且发包人向担保人出具书面通知确认预付款担保责任解除之日；或</w:t>
      </w:r>
    </w:p>
    <w:p w14:paraId="27DB53ED">
      <w:pPr>
        <w:spacing w:line="500" w:lineRule="exact"/>
        <w:ind w:firstLine="720" w:firstLineChars="300"/>
        <w:rPr>
          <w:rFonts w:ascii="宋体" w:hAnsi="宋体" w:cs="宋体"/>
          <w:color w:val="0F1115"/>
          <w:sz w:val="24"/>
          <w:shd w:val="clear" w:color="auto" w:fill="FFFFFF"/>
        </w:rPr>
      </w:pPr>
      <w:r>
        <w:rPr>
          <w:rFonts w:hint="eastAsia" w:ascii="宋体" w:hAnsi="宋体" w:cs="宋体"/>
          <w:color w:val="0F1115"/>
          <w:sz w:val="24"/>
          <w:shd w:val="clear" w:color="auto" w:fill="FFFFFF"/>
        </w:rPr>
        <w:t>（2）承包人已向发包人提供等额的、经发包人认可的其他形式的预付款担保；或</w:t>
      </w:r>
    </w:p>
    <w:p w14:paraId="175CF8AB">
      <w:pPr>
        <w:spacing w:line="500" w:lineRule="exact"/>
        <w:ind w:firstLine="720" w:firstLineChars="300"/>
        <w:rPr>
          <w:rFonts w:ascii="Segoe UI" w:hAnsi="Segoe UI" w:eastAsia="Segoe UI" w:cs="Segoe UI"/>
          <w:color w:val="0F1115"/>
          <w:sz w:val="24"/>
          <w:shd w:val="clear" w:color="auto" w:fill="FFFFFF"/>
        </w:rPr>
      </w:pPr>
      <w:r>
        <w:rPr>
          <w:rFonts w:hint="eastAsia" w:ascii="宋体" w:hAnsi="宋体" w:cs="宋体"/>
          <w:color w:val="0F1115"/>
          <w:sz w:val="24"/>
          <w:shd w:val="clear" w:color="auto" w:fill="FFFFFF"/>
        </w:rPr>
        <w:t>（3）</w:t>
      </w:r>
      <w:r>
        <w:rPr>
          <w:rFonts w:ascii="宋体" w:hAnsi="宋体" w:cs="宋体"/>
          <w:sz w:val="24"/>
          <w:u w:val="single"/>
        </w:rPr>
        <w:t>XXX</w:t>
      </w:r>
      <w:r>
        <w:rPr>
          <w:rStyle w:val="16"/>
          <w:rFonts w:hint="eastAsia" w:ascii="宋体" w:hAnsi="宋体" w:cs="宋体"/>
          <w:b w:val="0"/>
          <w:color w:val="0F1115"/>
          <w:sz w:val="24"/>
          <w:shd w:val="clear" w:color="auto" w:fill="FFFFFF"/>
        </w:rPr>
        <w:t>年</w:t>
      </w:r>
      <w:r>
        <w:rPr>
          <w:rFonts w:ascii="宋体" w:hAnsi="宋体" w:cs="宋体"/>
          <w:sz w:val="24"/>
          <w:u w:val="single"/>
        </w:rPr>
        <w:t>XXX</w:t>
      </w:r>
      <w:r>
        <w:rPr>
          <w:rStyle w:val="16"/>
          <w:rFonts w:hint="eastAsia" w:ascii="宋体" w:hAnsi="宋体" w:cs="宋体"/>
          <w:b w:val="0"/>
          <w:color w:val="0F1115"/>
          <w:sz w:val="24"/>
          <w:shd w:val="clear" w:color="auto" w:fill="FFFFFF"/>
        </w:rPr>
        <w:t>月</w:t>
      </w:r>
      <w:r>
        <w:rPr>
          <w:rFonts w:ascii="宋体" w:hAnsi="宋体" w:cs="宋体"/>
          <w:sz w:val="24"/>
          <w:u w:val="single"/>
        </w:rPr>
        <w:t>XXX</w:t>
      </w:r>
      <w:r>
        <w:rPr>
          <w:rStyle w:val="16"/>
          <w:rFonts w:hint="eastAsia" w:ascii="宋体" w:hAnsi="宋体" w:cs="宋体"/>
          <w:b w:val="0"/>
          <w:color w:val="0F1115"/>
          <w:sz w:val="24"/>
          <w:shd w:val="clear" w:color="auto" w:fill="FFFFFF"/>
        </w:rPr>
        <w:t>日</w:t>
      </w:r>
      <w:r>
        <w:rPr>
          <w:rFonts w:ascii="Segoe UI" w:hAnsi="Segoe UI" w:eastAsia="Segoe UI" w:cs="Segoe UI"/>
          <w:color w:val="0F1115"/>
          <w:sz w:val="24"/>
          <w:shd w:val="clear" w:color="auto" w:fill="FFFFFF"/>
        </w:rPr>
        <w:t>。</w:t>
      </w:r>
    </w:p>
    <w:p w14:paraId="3C8BE6CC">
      <w:pPr>
        <w:spacing w:line="500" w:lineRule="exact"/>
        <w:ind w:firstLine="480" w:firstLineChars="200"/>
        <w:rPr>
          <w:rFonts w:ascii="宋体" w:hAnsi="宋体" w:cs="宋体"/>
          <w:sz w:val="24"/>
        </w:rPr>
      </w:pPr>
      <w:r>
        <w:rPr>
          <w:rFonts w:ascii="Segoe UI" w:hAnsi="Segoe UI" w:eastAsia="Segoe UI" w:cs="Segoe UI"/>
          <w:color w:val="0F1115"/>
          <w:sz w:val="24"/>
          <w:shd w:val="clear" w:color="auto" w:fill="FFFFFF"/>
        </w:rPr>
        <w:t>无论何种原因导致主合同履行中止、解除或发生争议，均不影响本保函的有效期。保函失效后，请将正本退回担保人注销。</w:t>
      </w:r>
    </w:p>
    <w:p w14:paraId="3BD220B0">
      <w:pPr>
        <w:spacing w:line="500" w:lineRule="exact"/>
        <w:ind w:firstLine="480" w:firstLineChars="200"/>
        <w:rPr>
          <w:rFonts w:ascii="宋体" w:hAnsi="宋体" w:cs="宋体"/>
          <w:sz w:val="24"/>
        </w:rPr>
      </w:pPr>
      <w:r>
        <w:rPr>
          <w:rFonts w:hint="eastAsia" w:ascii="宋体" w:hAnsi="宋体" w:cs="宋体"/>
          <w:sz w:val="24"/>
        </w:rPr>
        <w:t>4、在本保函有效期内，当发包人要求收回预付款时，我方承诺在收到发包人发来的书面索赔通知（以下称“通知”）后7个工作日内支付无条件支付相应款项，无需发包人提供任何证据或者说明除本保函以外的任何理由。前述通知应：(1)</w:t>
      </w:r>
      <w:r>
        <w:rPr>
          <w:rFonts w:ascii="Segoe UI" w:hAnsi="Segoe UI" w:eastAsia="Segoe UI" w:cs="Segoe UI"/>
          <w:color w:val="0F1115"/>
          <w:sz w:val="24"/>
          <w:shd w:val="clear" w:color="auto" w:fill="FFFFFF"/>
        </w:rPr>
        <w:t>通过快递或专人送达至本保函记载的担保人地址，或发送至担保人指定的以下电子邮箱</w:t>
      </w:r>
      <w:r>
        <w:rPr>
          <w:rFonts w:hint="eastAsia" w:ascii="Segoe UI" w:hAnsi="Segoe UI" w:cs="Segoe UI"/>
          <w:color w:val="0F1115"/>
          <w:sz w:val="24"/>
          <w:shd w:val="clear" w:color="auto" w:fill="FFFFFF"/>
        </w:rPr>
        <w:t>（邮箱号码：</w:t>
      </w:r>
      <w:r>
        <w:rPr>
          <w:rFonts w:ascii="宋体" w:hAnsi="宋体" w:cs="宋体"/>
          <w:sz w:val="24"/>
          <w:u w:val="single"/>
        </w:rPr>
        <w:t>XXX</w:t>
      </w:r>
      <w:r>
        <w:rPr>
          <w:rFonts w:hint="eastAsia" w:ascii="Segoe UI" w:hAnsi="Segoe UI" w:cs="Segoe UI"/>
          <w:color w:val="0F1115"/>
          <w:sz w:val="24"/>
          <w:shd w:val="clear" w:color="auto" w:fill="FFFFFF"/>
        </w:rPr>
        <w:t xml:space="preserve"> ）；（2）注明本保函编号；</w:t>
      </w:r>
      <w:r>
        <w:rPr>
          <w:rFonts w:hint="eastAsia" w:ascii="宋体" w:hAnsi="宋体" w:cs="宋体"/>
          <w:sz w:val="24"/>
        </w:rPr>
        <w:t>（3）载明要求支付的金额；（4）由发包人法定代表人(负责人)或授权代理人签字并加盖公章。通知进入上述地址或邮箱即视为已送达我方。我方如有任何地址或联系方式变更，应至少提前15个工作日书面通知发包人。</w:t>
      </w:r>
    </w:p>
    <w:p w14:paraId="06FFE530">
      <w:pPr>
        <w:spacing w:line="500" w:lineRule="exact"/>
        <w:ind w:firstLine="480" w:firstLineChars="200"/>
        <w:rPr>
          <w:rFonts w:ascii="宋体" w:hAnsi="宋体" w:cs="宋体"/>
          <w:sz w:val="24"/>
        </w:rPr>
      </w:pPr>
      <w:r>
        <w:rPr>
          <w:rFonts w:hint="eastAsia" w:ascii="宋体" w:hAnsi="宋体" w:cs="宋体"/>
          <w:sz w:val="24"/>
        </w:rPr>
        <w:t>5、本保函的担保金额，在任何时候不应超过预付款金额减去发包人按合同约定在每期工程进度款支付证书中扣除的预付款金额。</w:t>
      </w:r>
    </w:p>
    <w:p w14:paraId="4315BD5A">
      <w:pPr>
        <w:spacing w:line="500" w:lineRule="exact"/>
        <w:ind w:firstLine="480" w:firstLineChars="200"/>
        <w:rPr>
          <w:rFonts w:ascii="宋体" w:hAnsi="宋体" w:cs="宋体"/>
          <w:sz w:val="24"/>
        </w:rPr>
      </w:pPr>
      <w:r>
        <w:rPr>
          <w:rFonts w:hint="eastAsia" w:ascii="宋体" w:hAnsi="宋体" w:cs="宋体"/>
          <w:sz w:val="24"/>
        </w:rPr>
        <w:t>6、发包人和承包人按合同约定变更合同时，我方承担本保函规定的义务不变。</w:t>
      </w:r>
    </w:p>
    <w:p w14:paraId="354EFFDE">
      <w:pPr>
        <w:spacing w:line="500" w:lineRule="exact"/>
        <w:ind w:firstLine="480" w:firstLineChars="200"/>
        <w:rPr>
          <w:rFonts w:ascii="宋体" w:hAnsi="宋体" w:cs="宋体"/>
          <w:sz w:val="24"/>
        </w:rPr>
      </w:pPr>
      <w:r>
        <w:rPr>
          <w:rFonts w:hint="eastAsia" w:ascii="宋体" w:hAnsi="宋体" w:cs="宋体"/>
          <w:sz w:val="24"/>
        </w:rPr>
        <w:t>7、因本保函发生的纠纷，可由双方协商解决，协商不成的，任何一方均可提请项目所在地</w:t>
      </w:r>
      <w:r>
        <w:rPr>
          <w:rFonts w:hint="eastAsia" w:ascii="宋体" w:hAnsi="宋体" w:cs="宋体"/>
          <w:sz w:val="24"/>
          <w:lang w:eastAsia="zh-CN"/>
        </w:rPr>
        <w:t>（</w:t>
      </w:r>
      <w:r>
        <w:rPr>
          <w:rFonts w:hint="eastAsia" w:ascii="宋体" w:hAnsi="宋体" w:cs="宋体"/>
          <w:sz w:val="24"/>
        </w:rPr>
        <w:t>横州市</w:t>
      </w:r>
      <w:r>
        <w:rPr>
          <w:rFonts w:hint="eastAsia" w:ascii="宋体" w:hAnsi="宋体" w:cs="宋体"/>
          <w:sz w:val="24"/>
          <w:lang w:eastAsia="zh-CN"/>
        </w:rPr>
        <w:t>）</w:t>
      </w:r>
      <w:r>
        <w:rPr>
          <w:rFonts w:hint="eastAsia" w:ascii="宋体" w:hAnsi="宋体" w:cs="宋体"/>
          <w:sz w:val="24"/>
        </w:rPr>
        <w:t>人民法院诉讼。</w:t>
      </w:r>
    </w:p>
    <w:p w14:paraId="769AC29E">
      <w:pPr>
        <w:pStyle w:val="18"/>
      </w:pPr>
    </w:p>
    <w:p w14:paraId="0A6B18D6">
      <w:pPr>
        <w:spacing w:line="360" w:lineRule="auto"/>
        <w:ind w:firstLine="480" w:firstLineChars="200"/>
        <w:rPr>
          <w:rFonts w:ascii="宋体" w:hAnsi="宋体"/>
          <w:sz w:val="24"/>
        </w:rPr>
      </w:pPr>
    </w:p>
    <w:p w14:paraId="052DD8F6">
      <w:pPr>
        <w:spacing w:line="360" w:lineRule="auto"/>
        <w:ind w:firstLine="480" w:firstLineChars="200"/>
        <w:rPr>
          <w:rFonts w:ascii="宋体" w:hAnsi="宋体"/>
          <w:sz w:val="24"/>
        </w:rPr>
      </w:pPr>
    </w:p>
    <w:p w14:paraId="07EB1487">
      <w:pPr>
        <w:spacing w:line="360" w:lineRule="auto"/>
        <w:ind w:firstLine="480" w:firstLineChars="200"/>
        <w:rPr>
          <w:rFonts w:ascii="宋体" w:hAnsi="宋体"/>
          <w:sz w:val="24"/>
        </w:rPr>
      </w:pPr>
      <w:r>
        <w:rPr>
          <w:rFonts w:ascii="宋体" w:hAnsi="宋体"/>
          <w:sz w:val="24"/>
        </w:rPr>
        <w:t xml:space="preserve">担保人名称：                </w:t>
      </w:r>
      <w:r>
        <w:rPr>
          <w:rFonts w:hint="eastAsia" w:ascii="宋体" w:hAnsi="宋体"/>
          <w:sz w:val="24"/>
        </w:rPr>
        <w:t xml:space="preserve">             </w:t>
      </w:r>
      <w:r>
        <w:rPr>
          <w:rFonts w:ascii="宋体" w:hAnsi="宋体"/>
          <w:sz w:val="24"/>
        </w:rPr>
        <w:t xml:space="preserve"> （盖单位公章） </w:t>
      </w:r>
    </w:p>
    <w:p w14:paraId="4E3FEEB5">
      <w:pPr>
        <w:spacing w:line="360" w:lineRule="auto"/>
        <w:ind w:firstLine="480" w:firstLineChars="200"/>
        <w:rPr>
          <w:rFonts w:ascii="宋体" w:hAnsi="宋体"/>
          <w:sz w:val="24"/>
        </w:rPr>
      </w:pPr>
      <w:r>
        <w:rPr>
          <w:rFonts w:hint="eastAsia" w:ascii="宋体" w:hAnsi="宋体"/>
          <w:sz w:val="24"/>
        </w:rPr>
        <w:t>法定代表人</w:t>
      </w:r>
      <w:r>
        <w:rPr>
          <w:rFonts w:hint="eastAsia" w:ascii="宋体" w:hAnsi="宋体" w:cs="宋体"/>
          <w:sz w:val="24"/>
        </w:rPr>
        <w:t>或其委托代理人</w:t>
      </w:r>
      <w:r>
        <w:rPr>
          <w:rFonts w:hint="eastAsia" w:ascii="宋体" w:hAnsi="宋体"/>
          <w:sz w:val="24"/>
        </w:rPr>
        <w:t>：</w:t>
      </w:r>
      <w:r>
        <w:rPr>
          <w:rFonts w:ascii="宋体" w:hAnsi="宋体"/>
          <w:sz w:val="24"/>
        </w:rPr>
        <w:t xml:space="preserve">               （签字或盖章） </w:t>
      </w:r>
    </w:p>
    <w:p w14:paraId="6372A21C">
      <w:pPr>
        <w:spacing w:line="360" w:lineRule="auto"/>
        <w:ind w:firstLine="480" w:firstLineChars="200"/>
        <w:rPr>
          <w:rFonts w:ascii="宋体" w:hAnsi="宋体"/>
          <w:sz w:val="24"/>
        </w:rPr>
      </w:pPr>
      <w:r>
        <w:rPr>
          <w:rFonts w:hint="eastAsia" w:ascii="宋体" w:hAnsi="宋体"/>
          <w:sz w:val="24"/>
        </w:rPr>
        <w:t>地</w:t>
      </w:r>
      <w:r>
        <w:rPr>
          <w:rFonts w:ascii="宋体" w:hAnsi="宋体"/>
          <w:sz w:val="24"/>
        </w:rPr>
        <w:t xml:space="preserve">    址：                                       </w:t>
      </w:r>
    </w:p>
    <w:p w14:paraId="450DB97C">
      <w:pPr>
        <w:spacing w:line="360" w:lineRule="auto"/>
        <w:ind w:firstLine="480" w:firstLineChars="200"/>
        <w:rPr>
          <w:rFonts w:ascii="宋体" w:hAnsi="宋体"/>
          <w:sz w:val="24"/>
        </w:rPr>
      </w:pPr>
      <w:r>
        <w:rPr>
          <w:rFonts w:hint="eastAsia" w:ascii="宋体" w:hAnsi="宋体"/>
          <w:sz w:val="24"/>
        </w:rPr>
        <w:t>邮政编码：</w:t>
      </w:r>
      <w:r>
        <w:rPr>
          <w:rFonts w:ascii="宋体" w:hAnsi="宋体"/>
          <w:sz w:val="24"/>
        </w:rPr>
        <w:t xml:space="preserve">                 </w:t>
      </w:r>
    </w:p>
    <w:p w14:paraId="1C103FF9">
      <w:pPr>
        <w:spacing w:line="360" w:lineRule="auto"/>
        <w:ind w:firstLine="480" w:firstLineChars="200"/>
        <w:rPr>
          <w:rFonts w:ascii="宋体" w:hAnsi="宋体"/>
          <w:sz w:val="24"/>
        </w:rPr>
      </w:pPr>
      <w:r>
        <w:rPr>
          <w:rFonts w:hint="eastAsia" w:ascii="宋体" w:hAnsi="宋体"/>
          <w:sz w:val="24"/>
        </w:rPr>
        <w:t>电</w:t>
      </w:r>
      <w:r>
        <w:rPr>
          <w:rFonts w:ascii="宋体" w:hAnsi="宋体"/>
          <w:sz w:val="24"/>
        </w:rPr>
        <w:t xml:space="preserve">    话：                 </w:t>
      </w:r>
    </w:p>
    <w:p w14:paraId="198D7E43">
      <w:pPr>
        <w:spacing w:line="360" w:lineRule="auto"/>
        <w:ind w:firstLine="480" w:firstLineChars="200"/>
        <w:rPr>
          <w:rFonts w:ascii="宋体" w:hAnsi="宋体"/>
          <w:sz w:val="24"/>
        </w:rPr>
      </w:pPr>
      <w:r>
        <w:rPr>
          <w:rFonts w:hint="eastAsia" w:ascii="宋体" w:hAnsi="宋体"/>
          <w:sz w:val="24"/>
        </w:rPr>
        <w:t>传</w:t>
      </w:r>
      <w:r>
        <w:rPr>
          <w:rFonts w:ascii="宋体" w:hAnsi="宋体"/>
          <w:sz w:val="24"/>
        </w:rPr>
        <w:t xml:space="preserve">    真：                 </w:t>
      </w:r>
    </w:p>
    <w:p w14:paraId="02120051">
      <w:pPr>
        <w:rPr>
          <w:color w:val="auto"/>
          <w:highlight w:val="none"/>
        </w:rPr>
      </w:pPr>
      <w:r>
        <w:rPr>
          <w:rFonts w:hint="eastAsia" w:ascii="宋体" w:hAnsi="宋体"/>
          <w:sz w:val="24"/>
        </w:rPr>
        <w:t xml:space="preserve">    </w:t>
      </w:r>
      <w:r>
        <w:rPr>
          <w:rFonts w:ascii="宋体" w:hAnsi="宋体"/>
          <w:sz w:val="24"/>
        </w:rPr>
        <w:t>签发日期</w:t>
      </w:r>
      <w:r>
        <w:rPr>
          <w:rFonts w:hint="eastAsia" w:ascii="宋体" w:hAnsi="宋体"/>
          <w:sz w:val="24"/>
        </w:rPr>
        <w:t>：</w:t>
      </w:r>
      <w:r>
        <w:rPr>
          <w:rFonts w:ascii="宋体" w:hAnsi="宋体"/>
          <w:sz w:val="24"/>
        </w:rPr>
        <w:t xml:space="preserve">      年      月        日</w:t>
      </w:r>
    </w:p>
    <w:p w14:paraId="5807E3B6">
      <w:pPr>
        <w:spacing w:line="360" w:lineRule="auto"/>
        <w:jc w:val="center"/>
        <w:rPr>
          <w:rFonts w:ascii="宋体" w:hAnsi="宋体"/>
          <w:b/>
          <w:bCs/>
          <w:color w:val="auto"/>
          <w:sz w:val="32"/>
          <w:szCs w:val="32"/>
          <w:highlight w:val="none"/>
        </w:rPr>
      </w:pPr>
    </w:p>
    <w:p w14:paraId="4C118242">
      <w:pPr>
        <w:spacing w:line="360" w:lineRule="auto"/>
        <w:jc w:val="lef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br w:type="page"/>
      </w:r>
    </w:p>
    <w:p w14:paraId="7CAD5BA0">
      <w:pPr>
        <w:spacing w:line="360" w:lineRule="auto"/>
        <w:jc w:val="left"/>
        <w:rPr>
          <w:rFonts w:hint="eastAsia" w:ascii="黑体" w:hAnsi="黑体" w:eastAsia="黑体" w:cs="黑体"/>
          <w:b/>
          <w:bCs/>
          <w:color w:val="auto"/>
          <w:sz w:val="32"/>
          <w:szCs w:val="32"/>
          <w:highlight w:val="none"/>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7</w:t>
      </w:r>
    </w:p>
    <w:p w14:paraId="5260BA78">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4F4FB05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09F2F20E">
      <w:pPr>
        <w:wordWrap w:val="0"/>
        <w:spacing w:line="360" w:lineRule="auto"/>
        <w:jc w:val="right"/>
        <w:rPr>
          <w:rFonts w:ascii="宋体" w:hAnsi="宋体"/>
          <w:color w:val="auto"/>
          <w:sz w:val="24"/>
          <w:szCs w:val="24"/>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24950B2C">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p>
    <w:p w14:paraId="58E716F5">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5B7911A8">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r>
        <w:rPr>
          <w:rFonts w:ascii="宋体" w:hAnsi="宋体"/>
          <w:color w:val="auto"/>
          <w:sz w:val="24"/>
          <w:szCs w:val="24"/>
          <w:highlight w:val="none"/>
        </w:rPr>
        <w:t xml:space="preserve"> </w:t>
      </w:r>
    </w:p>
    <w:p w14:paraId="25BAD3BB">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2F6AA141">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44D72234">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1F422D05">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244DDB0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承包人按照合同约定正确和合理地为合同目的使用预付款，不将预付款挪作他用，</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22E23AF4">
      <w:pPr>
        <w:spacing w:line="360" w:lineRule="auto"/>
        <w:ind w:firstLine="480" w:firstLineChars="200"/>
        <w:rPr>
          <w:rFonts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14:paraId="079003D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保证担保范围：申请人未按照合同约定正确和合理地为合同目的使用预付款，应当向贵方承担的违约责任和赔偿因此造成的损失、利息、律师费、诉讼费用等实现债权的费用。</w:t>
      </w:r>
    </w:p>
    <w:p w14:paraId="2EC65A7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7E10D92F">
      <w:pPr>
        <w:spacing w:line="360" w:lineRule="auto"/>
        <w:ind w:firstLine="480"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33D9A40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1E19AAB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38376327">
      <w:pPr>
        <w:spacing w:line="360" w:lineRule="auto"/>
        <w:ind w:firstLine="480"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3DB618D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发生应承担保证责任情形的，我方在保证金额内向贵方支付，并赔偿因此给贵方造成的损失，以及利息和律师费、诉讼费用等实现债权的费用。</w:t>
      </w:r>
    </w:p>
    <w:p w14:paraId="34775774">
      <w:pPr>
        <w:spacing w:line="360" w:lineRule="auto"/>
        <w:ind w:firstLine="480"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708FF0B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0F6A3EB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30F6161C">
      <w:pPr>
        <w:spacing w:line="360" w:lineRule="auto"/>
        <w:ind w:firstLine="480"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435DB85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6F6583F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0B9ED33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495FD50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7B4DA194">
      <w:pPr>
        <w:spacing w:line="360" w:lineRule="auto"/>
        <w:ind w:firstLine="480"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0166571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3CBC289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承包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5DB9B74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2E61365C">
      <w:pPr>
        <w:spacing w:line="360" w:lineRule="auto"/>
        <w:ind w:firstLine="480"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2AABF13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3774FF9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6D5B6CA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68220668">
      <w:pPr>
        <w:spacing w:line="360" w:lineRule="auto"/>
        <w:ind w:firstLine="480" w:firstLineChars="200"/>
        <w:rPr>
          <w:rFonts w:ascii="宋体" w:hAnsi="宋体"/>
          <w:color w:val="auto"/>
          <w:sz w:val="24"/>
          <w:szCs w:val="24"/>
          <w:highlight w:val="none"/>
        </w:rPr>
      </w:pPr>
    </w:p>
    <w:p w14:paraId="31F028D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71CACE1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28811A2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72FCAFB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27EE7C2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37DB4C6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0E90C44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0B707273">
      <w:pPr>
        <w:spacing w:line="440" w:lineRule="exact"/>
        <w:rPr>
          <w:rFonts w:eastAsia="黑体"/>
          <w:color w:val="auto"/>
          <w:sz w:val="30"/>
          <w:szCs w:val="30"/>
          <w:highlight w:val="none"/>
        </w:rPr>
      </w:pPr>
      <w:r>
        <w:rPr>
          <w:rFonts w:hint="eastAsia" w:eastAsia="仿宋_GB2312" w:cs="仿宋_GB2312"/>
          <w:color w:val="auto"/>
          <w:sz w:val="30"/>
          <w:szCs w:val="30"/>
          <w:highlight w:val="none"/>
        </w:rPr>
        <w:t>附件</w:t>
      </w:r>
      <w:r>
        <w:rPr>
          <w:rFonts w:hint="eastAsia" w:eastAsia="仿宋_GB2312" w:cs="仿宋_GB2312"/>
          <w:color w:val="auto"/>
          <w:sz w:val="30"/>
          <w:szCs w:val="30"/>
          <w:highlight w:val="none"/>
          <w:lang w:val="en-US" w:eastAsia="zh-CN"/>
        </w:rPr>
        <w:t>8</w:t>
      </w:r>
      <w:r>
        <w:rPr>
          <w:rFonts w:hint="eastAsia" w:eastAsia="仿宋_GB2312" w:cs="仿宋_GB2312"/>
          <w:color w:val="auto"/>
          <w:sz w:val="30"/>
          <w:szCs w:val="30"/>
          <w:highlight w:val="none"/>
        </w:rPr>
        <w:t>：</w:t>
      </w:r>
    </w:p>
    <w:p w14:paraId="48930844">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21B324B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6BE7136A">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10F4818D">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4638F8A4">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6FC63518">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35D78F31">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770150C7">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3BFE25F7">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27793027">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325A6EDE">
      <w:pPr>
        <w:spacing w:line="360" w:lineRule="auto"/>
        <w:rPr>
          <w:rFonts w:ascii="宋体" w:hAnsi="宋体"/>
          <w:color w:val="auto"/>
          <w:sz w:val="24"/>
          <w:szCs w:val="24"/>
          <w:highlight w:val="none"/>
        </w:rPr>
      </w:pPr>
      <w:bookmarkStart w:id="1619" w:name="_Hlk40355074"/>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bookmarkEnd w:id="1619"/>
    <w:p w14:paraId="4DF6D44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（以下简称基础合同”），我方（即“开立人”）根据基础合同了解到申请人为基础合同项下之发包人，受益人为基础合同项下之承包人，基于申请人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w:t>
      </w:r>
      <w:r>
        <w:rPr>
          <w:rFonts w:hint="eastAsia" w:ascii="宋体" w:hAnsi="宋体"/>
          <w:color w:val="auto"/>
          <w:sz w:val="24"/>
          <w:szCs w:val="24"/>
          <w:highlight w:val="none"/>
        </w:rPr>
        <w:t>工程款（指基础合同约定的除工程质量保修金以外的工程款）付款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7453B43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一、本保函担保范围：申请人未履行基础合同约定的工程款支付义务，应当向贵方承担的违约责任和赔偿因此造成的损失、利息、律师费、诉讼费用等实现债权的费用。</w:t>
      </w:r>
    </w:p>
    <w:p w14:paraId="6024143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36EE9B3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基础合同约定的除工程质量保修金以外的全部工程结算款项支付之日后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6A2A101D">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0D971B0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72CBF57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10B33C0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38F8874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6613CBB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1281E8C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453FEA6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1CDF68F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的基础</w:t>
      </w:r>
      <w:r>
        <w:rPr>
          <w:rFonts w:hint="eastAsia" w:ascii="宋体" w:hAnsi="宋体"/>
          <w:color w:val="auto"/>
          <w:sz w:val="24"/>
          <w:szCs w:val="24"/>
          <w:highlight w:val="none"/>
        </w:rPr>
        <w:t>合同</w:t>
      </w:r>
      <w:r>
        <w:rPr>
          <w:rFonts w:ascii="宋体" w:hAnsi="宋体"/>
          <w:color w:val="auto"/>
          <w:sz w:val="24"/>
          <w:szCs w:val="24"/>
          <w:highlight w:val="none"/>
        </w:rPr>
        <w:t xml:space="preserve">不成立、不生效、无效、被撤销、被解除，不影响本保函的独立有效。 </w:t>
      </w:r>
    </w:p>
    <w:p w14:paraId="714A7CE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26AF071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5410C20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bookmarkStart w:id="1620" w:name="_Hlk58487855"/>
      <w:r>
        <w:rPr>
          <w:rFonts w:hint="eastAsia" w:ascii="宋体" w:hAnsi="宋体"/>
          <w:color w:val="auto"/>
          <w:sz w:val="24"/>
          <w:szCs w:val="24"/>
          <w:highlight w:val="none"/>
        </w:rPr>
        <w:t>或授权代表</w:t>
      </w:r>
      <w:bookmarkEnd w:id="1620"/>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064779DF">
      <w:pPr>
        <w:spacing w:line="360" w:lineRule="auto"/>
        <w:ind w:firstLine="480" w:firstLineChars="200"/>
        <w:rPr>
          <w:rFonts w:ascii="宋体" w:hAnsi="宋体"/>
          <w:color w:val="auto"/>
          <w:sz w:val="24"/>
          <w:szCs w:val="24"/>
          <w:highlight w:val="none"/>
        </w:rPr>
      </w:pPr>
    </w:p>
    <w:p w14:paraId="1DC7AEA4">
      <w:pPr>
        <w:spacing w:line="360" w:lineRule="auto"/>
        <w:ind w:firstLine="480" w:firstLineChars="200"/>
        <w:rPr>
          <w:rFonts w:ascii="宋体" w:hAnsi="宋体"/>
          <w:color w:val="auto"/>
          <w:sz w:val="24"/>
          <w:szCs w:val="24"/>
          <w:highlight w:val="none"/>
        </w:rPr>
      </w:pPr>
    </w:p>
    <w:p w14:paraId="1FCBB26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60E19D6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223EDE3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4DD61CB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2381C82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20BA596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2840DC0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日</w:t>
      </w:r>
    </w:p>
    <w:p w14:paraId="14899767">
      <w:pPr>
        <w:spacing w:line="360" w:lineRule="auto"/>
        <w:ind w:firstLine="480" w:firstLineChars="200"/>
        <w:rPr>
          <w:rFonts w:ascii="宋体" w:hAnsi="宋体"/>
          <w:color w:val="auto"/>
          <w:sz w:val="24"/>
          <w:szCs w:val="24"/>
          <w:highlight w:val="none"/>
        </w:rPr>
      </w:pPr>
    </w:p>
    <w:p w14:paraId="31E1CF6A">
      <w:pPr>
        <w:spacing w:line="360" w:lineRule="auto"/>
        <w:jc w:val="lef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br w:type="page"/>
      </w:r>
    </w:p>
    <w:p w14:paraId="157AC204">
      <w:pPr>
        <w:spacing w:line="360" w:lineRule="auto"/>
        <w:jc w:val="left"/>
        <w:rPr>
          <w:rFonts w:ascii="黑体" w:hAnsi="黑体" w:eastAsia="黑体" w:cs="黑体"/>
          <w:b/>
          <w:bCs/>
          <w:color w:val="auto"/>
          <w:sz w:val="32"/>
          <w:szCs w:val="32"/>
          <w:highlight w:val="none"/>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8</w:t>
      </w:r>
      <w:r>
        <w:rPr>
          <w:rFonts w:hint="eastAsia" w:ascii="黑体" w:hAnsi="黑体" w:eastAsia="黑体" w:cs="黑体"/>
          <w:color w:val="auto"/>
          <w:sz w:val="32"/>
          <w:szCs w:val="32"/>
          <w:highlight w:val="none"/>
        </w:rPr>
        <w:t>：</w:t>
      </w:r>
    </w:p>
    <w:p w14:paraId="32E3139A">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08517BA0">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3A37979B">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3E99D5BE">
      <w:pPr>
        <w:wordWrap w:val="0"/>
        <w:spacing w:line="360" w:lineRule="auto"/>
        <w:jc w:val="right"/>
        <w:rPr>
          <w:rFonts w:ascii="宋体" w:hAnsi="宋体"/>
          <w:color w:val="auto"/>
          <w:highlight w:val="none"/>
        </w:rPr>
      </w:pPr>
      <w:r>
        <w:rPr>
          <w:rFonts w:ascii="宋体" w:hAnsi="宋体"/>
          <w:color w:val="auto"/>
          <w:highlight w:val="none"/>
        </w:rPr>
        <w:t xml:space="preserve">     </w:t>
      </w:r>
    </w:p>
    <w:p w14:paraId="2CBE66D8">
      <w:pPr>
        <w:spacing w:line="360" w:lineRule="auto"/>
        <w:rPr>
          <w:rFonts w:ascii="宋体" w:hAnsi="宋体"/>
          <w:color w:val="auto"/>
          <w:sz w:val="24"/>
          <w:szCs w:val="24"/>
          <w:highlight w:val="none"/>
        </w:rPr>
      </w:pPr>
      <w:r>
        <w:rPr>
          <w:rFonts w:hint="eastAsia" w:ascii="宋体" w:hAnsi="宋体"/>
          <w:color w:val="auto"/>
          <w:sz w:val="24"/>
          <w:szCs w:val="24"/>
          <w:highlight w:val="none"/>
        </w:rPr>
        <w:t>发包人：</w:t>
      </w:r>
    </w:p>
    <w:p w14:paraId="396B882E">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3FFB794B">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担保权人/承包人：</w:t>
      </w:r>
      <w:r>
        <w:rPr>
          <w:rFonts w:ascii="宋体" w:hAnsi="宋体"/>
          <w:color w:val="auto"/>
          <w:sz w:val="24"/>
          <w:szCs w:val="24"/>
          <w:highlight w:val="none"/>
        </w:rPr>
        <w:t xml:space="preserve"> </w:t>
      </w:r>
    </w:p>
    <w:p w14:paraId="7D482CDD">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3B0CF8F3">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399778A9">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51245FB2">
      <w:pPr>
        <w:spacing w:line="360" w:lineRule="auto"/>
        <w:rPr>
          <w:rFonts w:ascii="宋体" w:hAnsi="宋体"/>
          <w:color w:val="auto"/>
          <w:sz w:val="24"/>
          <w:szCs w:val="24"/>
          <w:highlight w:val="none"/>
        </w:rPr>
      </w:pPr>
    </w:p>
    <w:p w14:paraId="01BCB552">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承包人</w:t>
      </w:r>
      <w:r>
        <w:rPr>
          <w:rFonts w:ascii="宋体" w:hAnsi="宋体"/>
          <w:color w:val="auto"/>
          <w:sz w:val="24"/>
          <w:szCs w:val="24"/>
          <w:highlight w:val="none"/>
        </w:rPr>
        <w:t xml:space="preserve">名称）： </w:t>
      </w:r>
    </w:p>
    <w:p w14:paraId="0C56976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（以下简称“主合同”），我方即保证人基于发包人</w:t>
      </w:r>
      <w:r>
        <w:rPr>
          <w:rFonts w:ascii="宋体" w:hAnsi="宋体"/>
          <w:color w:val="auto"/>
          <w:sz w:val="24"/>
          <w:szCs w:val="24"/>
          <w:highlight w:val="none"/>
        </w:rPr>
        <w:t>的请求，同意就</w:t>
      </w:r>
      <w:r>
        <w:rPr>
          <w:rFonts w:hint="eastAsia" w:ascii="宋体" w:hAnsi="宋体"/>
          <w:color w:val="auto"/>
          <w:sz w:val="24"/>
          <w:szCs w:val="24"/>
          <w:highlight w:val="none"/>
        </w:rPr>
        <w:t>发包人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w:t>
      </w:r>
      <w:r>
        <w:rPr>
          <w:rFonts w:hint="eastAsia" w:ascii="宋体" w:hAnsi="宋体"/>
          <w:color w:val="auto"/>
          <w:sz w:val="24"/>
          <w:szCs w:val="24"/>
          <w:highlight w:val="none"/>
        </w:rPr>
        <w:t>工程款（指主合同约定的除工程质量保修金以外的全部工程结算款项）付款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6C7CFA53">
      <w:pPr>
        <w:spacing w:line="360" w:lineRule="auto"/>
        <w:ind w:firstLine="480" w:firstLineChars="200"/>
        <w:rPr>
          <w:rFonts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14:paraId="4B442BB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保证担保范围：申请人未履行主合同约定的工程款支付义务，应当向贵方承担的违约责任和赔偿因此造成的损失、利息、律师费、诉讼费用等实现债权的费用。</w:t>
      </w:r>
    </w:p>
    <w:p w14:paraId="7291CFB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6A04D054">
      <w:pPr>
        <w:spacing w:line="360" w:lineRule="auto"/>
        <w:ind w:firstLine="480"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43D68A3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43E7CAA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主合同约定的除工程质量保修金以外的工程款支付之日后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72BDF69D">
      <w:pPr>
        <w:spacing w:line="360" w:lineRule="auto"/>
        <w:ind w:firstLine="480"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35C8638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发包人未按合同约定向贵方支付主合同项下工程款的，由我方在保证金额内代为支付，并赔偿因此给贵方造成的损失，以及利息和律师费、诉讼费用等实现债权的费用。</w:t>
      </w:r>
    </w:p>
    <w:p w14:paraId="64F395D5">
      <w:pPr>
        <w:spacing w:line="360" w:lineRule="auto"/>
        <w:ind w:firstLine="480"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3E58741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1.贵方要求我方承担保证责任的，应向我方发出书面索赔通知及发包人未支付主合同约定工程款的证明材料。索赔通知应写明要求索赔的金额，支付款项应到达的帐号。</w:t>
      </w:r>
    </w:p>
    <w:p w14:paraId="4EA13C0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0F4568F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59BE62DC">
      <w:pPr>
        <w:spacing w:line="360" w:lineRule="auto"/>
        <w:ind w:firstLine="480"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4D4EC16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5EB03E3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11F2ECB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31A17E3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7A8CA54A">
      <w:pPr>
        <w:spacing w:line="360" w:lineRule="auto"/>
        <w:ind w:firstLine="480"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34A6AA1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发包人未履行主合同项下工程款付款义务的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1F1A9AC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发包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3341E05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发包</w:t>
      </w:r>
      <w:r>
        <w:rPr>
          <w:rFonts w:ascii="宋体" w:hAnsi="宋体"/>
          <w:color w:val="auto"/>
          <w:sz w:val="24"/>
          <w:szCs w:val="24"/>
          <w:highlight w:val="none"/>
        </w:rPr>
        <w:t>人</w:t>
      </w:r>
      <w:r>
        <w:rPr>
          <w:rFonts w:hint="eastAsia" w:ascii="宋体" w:hAnsi="宋体"/>
          <w:color w:val="auto"/>
          <w:sz w:val="24"/>
          <w:szCs w:val="24"/>
          <w:highlight w:val="none"/>
        </w:rPr>
        <w:t>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3FB05B1C">
      <w:pPr>
        <w:spacing w:line="360" w:lineRule="auto"/>
        <w:ind w:firstLine="480"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16CD4A5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7726861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60F902D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7826845C">
      <w:pPr>
        <w:spacing w:line="360" w:lineRule="auto"/>
        <w:ind w:firstLine="480" w:firstLineChars="200"/>
        <w:rPr>
          <w:rFonts w:ascii="宋体" w:hAnsi="宋体"/>
          <w:color w:val="auto"/>
          <w:sz w:val="24"/>
          <w:szCs w:val="24"/>
          <w:highlight w:val="none"/>
        </w:rPr>
      </w:pPr>
    </w:p>
    <w:p w14:paraId="5738277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6483CCD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66AD3CC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05B4712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6F19007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06CC258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4036C02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173EC718">
      <w:pPr>
        <w:rPr>
          <w:color w:val="auto"/>
          <w:highlight w:val="none"/>
        </w:rPr>
      </w:pPr>
    </w:p>
    <w:p w14:paraId="51B9C49B">
      <w:pPr>
        <w:spacing w:line="360" w:lineRule="auto"/>
        <w:ind w:firstLine="480" w:firstLineChars="200"/>
        <w:rPr>
          <w:rFonts w:ascii="宋体" w:hAnsi="宋体"/>
          <w:color w:val="auto"/>
          <w:sz w:val="24"/>
          <w:szCs w:val="24"/>
          <w:highlight w:val="none"/>
        </w:rPr>
      </w:pPr>
    </w:p>
    <w:p w14:paraId="35315325">
      <w:pPr>
        <w:spacing w:line="360" w:lineRule="auto"/>
        <w:ind w:firstLine="420" w:firstLineChars="200"/>
        <w:rPr>
          <w:rFonts w:hint="eastAsia"/>
          <w:color w:val="auto"/>
          <w:highlight w:val="none"/>
        </w:rPr>
      </w:pPr>
    </w:p>
    <w:p w14:paraId="7AAB1C7B">
      <w:pPr>
        <w:jc w:val="left"/>
        <w:rPr>
          <w:rFonts w:eastAsia="仿宋_GB2312"/>
          <w:color w:val="auto"/>
          <w:sz w:val="30"/>
          <w:szCs w:val="30"/>
          <w:highlight w:val="none"/>
        </w:rPr>
      </w:pPr>
      <w:r>
        <w:rPr>
          <w:rFonts w:eastAsia="仿宋_GB2312"/>
          <w:color w:val="auto"/>
          <w:sz w:val="30"/>
          <w:szCs w:val="30"/>
          <w:highlight w:val="none"/>
        </w:rPr>
        <w:t xml:space="preserve"> </w:t>
      </w:r>
    </w:p>
    <w:p w14:paraId="6C029914">
      <w:pPr>
        <w:jc w:val="left"/>
        <w:rPr>
          <w:rFonts w:eastAsia="仿宋_GB2312"/>
          <w:color w:val="auto"/>
          <w:sz w:val="30"/>
          <w:szCs w:val="30"/>
          <w:highlight w:val="none"/>
        </w:rPr>
      </w:pPr>
      <w:r>
        <w:rPr>
          <w:rFonts w:eastAsia="仿宋_GB2312"/>
          <w:color w:val="auto"/>
          <w:sz w:val="30"/>
          <w:szCs w:val="30"/>
          <w:highlight w:val="none"/>
        </w:rPr>
        <w:br w:type="page"/>
      </w:r>
    </w:p>
    <w:p w14:paraId="01717FC6">
      <w:pPr>
        <w:jc w:val="left"/>
        <w:rPr>
          <w:rFonts w:eastAsia="仿宋_GB2312"/>
          <w:color w:val="auto"/>
          <w:sz w:val="30"/>
          <w:szCs w:val="30"/>
          <w:highlight w:val="none"/>
        </w:rPr>
      </w:pPr>
    </w:p>
    <w:p w14:paraId="0DF5F474">
      <w:pPr>
        <w:jc w:val="left"/>
        <w:rPr>
          <w:rFonts w:hint="eastAsia" w:hAnsi="宋体" w:cs="宋体"/>
          <w:color w:val="auto"/>
          <w:sz w:val="30"/>
          <w:szCs w:val="30"/>
          <w:highlight w:val="none"/>
        </w:rPr>
      </w:pPr>
      <w:r>
        <w:rPr>
          <w:rFonts w:hint="eastAsia" w:hAnsi="宋体" w:cs="宋体"/>
          <w:color w:val="auto"/>
          <w:sz w:val="30"/>
          <w:szCs w:val="30"/>
          <w:highlight w:val="none"/>
        </w:rPr>
        <w:t>附件</w:t>
      </w:r>
      <w:r>
        <w:rPr>
          <w:rFonts w:hint="eastAsia" w:hAnsi="宋体" w:cs="宋体"/>
          <w:color w:val="auto"/>
          <w:sz w:val="30"/>
          <w:szCs w:val="30"/>
          <w:highlight w:val="none"/>
          <w:lang w:val="en-US" w:eastAsia="zh-CN"/>
        </w:rPr>
        <w:t>9</w:t>
      </w:r>
      <w:r>
        <w:rPr>
          <w:rFonts w:hint="eastAsia" w:hAnsi="宋体" w:cs="宋体"/>
          <w:color w:val="auto"/>
          <w:sz w:val="30"/>
          <w:szCs w:val="30"/>
          <w:highlight w:val="none"/>
        </w:rPr>
        <w:t>：</w:t>
      </w:r>
    </w:p>
    <w:p w14:paraId="42C5F1BE">
      <w:pPr>
        <w:jc w:val="center"/>
        <w:rPr>
          <w:rFonts w:hint="eastAsia"/>
          <w:b/>
          <w:color w:val="auto"/>
          <w:sz w:val="36"/>
          <w:szCs w:val="36"/>
          <w:highlight w:val="none"/>
        </w:rPr>
      </w:pPr>
      <w:r>
        <w:rPr>
          <w:rFonts w:hint="eastAsia"/>
          <w:b/>
          <w:color w:val="auto"/>
          <w:sz w:val="36"/>
          <w:szCs w:val="36"/>
          <w:highlight w:val="none"/>
        </w:rPr>
        <w:t>预付款支付申请（核准）表</w:t>
      </w:r>
    </w:p>
    <w:p w14:paraId="0299C5E7">
      <w:pPr>
        <w:rPr>
          <w:rFonts w:hint="eastAsia"/>
          <w:color w:val="auto"/>
          <w:sz w:val="24"/>
          <w:szCs w:val="24"/>
          <w:highlight w:val="none"/>
        </w:rPr>
      </w:pPr>
      <w:r>
        <w:rPr>
          <w:rFonts w:hint="eastAsia"/>
          <w:color w:val="auto"/>
          <w:sz w:val="24"/>
          <w:szCs w:val="24"/>
          <w:highlight w:val="none"/>
        </w:rPr>
        <w:t>工程名称：                                             编号：</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4697"/>
      </w:tblGrid>
      <w:tr w14:paraId="1A7C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8" w:hRule="atLeast"/>
          <w:jc w:val="center"/>
        </w:trPr>
        <w:tc>
          <w:tcPr>
            <w:tcW w:w="9185" w:type="dxa"/>
            <w:gridSpan w:val="2"/>
            <w:tcBorders>
              <w:tl2br w:val="nil"/>
              <w:tr2bl w:val="nil"/>
            </w:tcBorders>
          </w:tcPr>
          <w:p w14:paraId="775DECE5">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5C7D6A91">
            <w:pPr>
              <w:spacing w:line="400" w:lineRule="exact"/>
              <w:ind w:left="-4" w:leftChars="-2" w:firstLine="315" w:firstLineChars="150"/>
              <w:rPr>
                <w:rFonts w:hint="eastAsia"/>
                <w:color w:val="auto"/>
                <w:highlight w:val="none"/>
              </w:rPr>
            </w:pPr>
            <w:r>
              <w:rPr>
                <w:rFonts w:hint="eastAsia"/>
                <w:color w:val="auto"/>
                <w:highlight w:val="none"/>
              </w:rPr>
              <w:t>我方根据施工合同的约定，现申请支付工程预付款额为(大写)</w:t>
            </w:r>
            <w:r>
              <w:rPr>
                <w:rFonts w:hint="eastAsia"/>
                <w:color w:val="auto"/>
                <w:highlight w:val="none"/>
                <w:u w:val="single"/>
              </w:rPr>
              <w:t xml:space="preserve">            </w:t>
            </w:r>
            <w:r>
              <w:rPr>
                <w:rFonts w:hint="eastAsia"/>
                <w:color w:val="auto"/>
                <w:highlight w:val="none"/>
              </w:rPr>
              <w:t>元，(小写)</w:t>
            </w:r>
          </w:p>
          <w:p w14:paraId="2967466C">
            <w:pPr>
              <w:spacing w:line="400" w:lineRule="exact"/>
              <w:rPr>
                <w:rFonts w:hint="eastAsia"/>
                <w:color w:val="auto"/>
                <w:highlight w:val="none"/>
              </w:rPr>
            </w:pPr>
            <w:r>
              <w:rPr>
                <w:rFonts w:hint="eastAsia"/>
                <w:color w:val="auto"/>
                <w:highlight w:val="none"/>
                <w:u w:val="single"/>
              </w:rPr>
              <w:t xml:space="preserve">         </w:t>
            </w:r>
            <w:r>
              <w:rPr>
                <w:rFonts w:hint="eastAsia"/>
                <w:color w:val="auto"/>
                <w:highlight w:val="none"/>
              </w:rPr>
              <w:t>元，请予核准。</w:t>
            </w:r>
          </w:p>
          <w:tbl>
            <w:tblPr>
              <w:tblStyle w:val="14"/>
              <w:tblpPr w:leftFromText="180" w:rightFromText="180" w:vertAnchor="page" w:horzAnchor="margin" w:tblpXSpec="left"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14:paraId="018D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l2br w:val="nil"/>
                    <w:tr2bl w:val="nil"/>
                  </w:tcBorders>
                  <w:vAlign w:val="center"/>
                </w:tcPr>
                <w:p w14:paraId="42E21F00">
                  <w:pPr>
                    <w:spacing w:line="280" w:lineRule="exact"/>
                    <w:jc w:val="center"/>
                    <w:rPr>
                      <w:rFonts w:hint="eastAsia"/>
                      <w:color w:val="auto"/>
                      <w:highlight w:val="none"/>
                    </w:rPr>
                  </w:pPr>
                  <w:r>
                    <w:rPr>
                      <w:rFonts w:hint="eastAsia"/>
                      <w:color w:val="auto"/>
                      <w:highlight w:val="none"/>
                    </w:rPr>
                    <w:t>序号</w:t>
                  </w:r>
                </w:p>
              </w:tc>
              <w:tc>
                <w:tcPr>
                  <w:tcW w:w="3340" w:type="dxa"/>
                  <w:tcBorders>
                    <w:tl2br w:val="nil"/>
                    <w:tr2bl w:val="nil"/>
                  </w:tcBorders>
                  <w:vAlign w:val="center"/>
                </w:tcPr>
                <w:p w14:paraId="2DD28E44">
                  <w:pPr>
                    <w:spacing w:line="280" w:lineRule="exact"/>
                    <w:jc w:val="center"/>
                    <w:rPr>
                      <w:rFonts w:hint="eastAsia"/>
                      <w:color w:val="auto"/>
                      <w:highlight w:val="none"/>
                    </w:rPr>
                  </w:pPr>
                  <w:r>
                    <w:rPr>
                      <w:rFonts w:hint="eastAsia"/>
                      <w:color w:val="auto"/>
                      <w:highlight w:val="none"/>
                    </w:rPr>
                    <w:t>名      称</w:t>
                  </w:r>
                </w:p>
              </w:tc>
              <w:tc>
                <w:tcPr>
                  <w:tcW w:w="1764" w:type="dxa"/>
                  <w:tcBorders>
                    <w:tl2br w:val="nil"/>
                    <w:tr2bl w:val="nil"/>
                  </w:tcBorders>
                  <w:vAlign w:val="center"/>
                </w:tcPr>
                <w:p w14:paraId="7838768B">
                  <w:pPr>
                    <w:spacing w:line="280" w:lineRule="exact"/>
                    <w:jc w:val="center"/>
                    <w:rPr>
                      <w:rFonts w:hint="eastAsia"/>
                      <w:color w:val="auto"/>
                      <w:highlight w:val="none"/>
                    </w:rPr>
                  </w:pPr>
                  <w:r>
                    <w:rPr>
                      <w:rFonts w:hint="eastAsia"/>
                      <w:color w:val="auto"/>
                      <w:highlight w:val="none"/>
                    </w:rPr>
                    <w:t>申请金额（元）</w:t>
                  </w:r>
                </w:p>
              </w:tc>
              <w:tc>
                <w:tcPr>
                  <w:tcW w:w="2240" w:type="dxa"/>
                  <w:tcBorders>
                    <w:tl2br w:val="nil"/>
                    <w:tr2bl w:val="nil"/>
                  </w:tcBorders>
                  <w:vAlign w:val="center"/>
                </w:tcPr>
                <w:p w14:paraId="5D0CE828">
                  <w:pPr>
                    <w:spacing w:line="280" w:lineRule="exact"/>
                    <w:jc w:val="center"/>
                    <w:rPr>
                      <w:rFonts w:hint="eastAsia"/>
                      <w:color w:val="auto"/>
                      <w:highlight w:val="none"/>
                    </w:rPr>
                  </w:pPr>
                  <w:r>
                    <w:rPr>
                      <w:rFonts w:hint="eastAsia"/>
                      <w:color w:val="auto"/>
                      <w:highlight w:val="none"/>
                    </w:rPr>
                    <w:t>复核金额（元）</w:t>
                  </w:r>
                </w:p>
              </w:tc>
              <w:tc>
                <w:tcPr>
                  <w:tcW w:w="1080" w:type="dxa"/>
                  <w:tcBorders>
                    <w:tl2br w:val="nil"/>
                    <w:tr2bl w:val="nil"/>
                  </w:tcBorders>
                  <w:vAlign w:val="center"/>
                </w:tcPr>
                <w:p w14:paraId="5C5A2972">
                  <w:pPr>
                    <w:spacing w:line="280" w:lineRule="exact"/>
                    <w:jc w:val="center"/>
                    <w:rPr>
                      <w:rFonts w:hint="eastAsia"/>
                      <w:color w:val="auto"/>
                      <w:highlight w:val="none"/>
                    </w:rPr>
                  </w:pPr>
                  <w:r>
                    <w:rPr>
                      <w:rFonts w:hint="eastAsia"/>
                      <w:color w:val="auto"/>
                      <w:highlight w:val="none"/>
                    </w:rPr>
                    <w:t>备注</w:t>
                  </w:r>
                </w:p>
              </w:tc>
            </w:tr>
            <w:tr w14:paraId="4DC7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3ED7A229">
                  <w:pPr>
                    <w:spacing w:line="280" w:lineRule="exact"/>
                    <w:jc w:val="center"/>
                    <w:rPr>
                      <w:rFonts w:hint="eastAsia"/>
                      <w:color w:val="auto"/>
                      <w:highlight w:val="none"/>
                    </w:rPr>
                  </w:pPr>
                  <w:r>
                    <w:rPr>
                      <w:rFonts w:hint="eastAsia"/>
                      <w:color w:val="auto"/>
                      <w:highlight w:val="none"/>
                    </w:rPr>
                    <w:t>1</w:t>
                  </w:r>
                </w:p>
              </w:tc>
              <w:tc>
                <w:tcPr>
                  <w:tcW w:w="3340" w:type="dxa"/>
                  <w:tcBorders>
                    <w:tl2br w:val="nil"/>
                    <w:tr2bl w:val="nil"/>
                  </w:tcBorders>
                </w:tcPr>
                <w:p w14:paraId="0606BD71">
                  <w:pPr>
                    <w:spacing w:line="280" w:lineRule="exact"/>
                    <w:rPr>
                      <w:rFonts w:hint="eastAsia"/>
                      <w:color w:val="auto"/>
                      <w:highlight w:val="none"/>
                    </w:rPr>
                  </w:pPr>
                  <w:r>
                    <w:rPr>
                      <w:rFonts w:hint="eastAsia"/>
                      <w:color w:val="auto"/>
                      <w:highlight w:val="none"/>
                    </w:rPr>
                    <w:t>已签约合同价款金额</w:t>
                  </w:r>
                </w:p>
              </w:tc>
              <w:tc>
                <w:tcPr>
                  <w:tcW w:w="1764" w:type="dxa"/>
                  <w:tcBorders>
                    <w:tl2br w:val="nil"/>
                    <w:tr2bl w:val="nil"/>
                  </w:tcBorders>
                </w:tcPr>
                <w:p w14:paraId="5CAC4D9E">
                  <w:pPr>
                    <w:spacing w:line="280" w:lineRule="exact"/>
                    <w:rPr>
                      <w:rFonts w:hint="eastAsia"/>
                      <w:color w:val="auto"/>
                      <w:highlight w:val="none"/>
                    </w:rPr>
                  </w:pPr>
                </w:p>
              </w:tc>
              <w:tc>
                <w:tcPr>
                  <w:tcW w:w="2240" w:type="dxa"/>
                  <w:tcBorders>
                    <w:tl2br w:val="nil"/>
                    <w:tr2bl w:val="nil"/>
                  </w:tcBorders>
                </w:tcPr>
                <w:p w14:paraId="160D5ADB">
                  <w:pPr>
                    <w:spacing w:line="280" w:lineRule="exact"/>
                    <w:rPr>
                      <w:rFonts w:hint="eastAsia"/>
                      <w:color w:val="auto"/>
                      <w:highlight w:val="none"/>
                    </w:rPr>
                  </w:pPr>
                </w:p>
              </w:tc>
              <w:tc>
                <w:tcPr>
                  <w:tcW w:w="1080" w:type="dxa"/>
                  <w:tcBorders>
                    <w:tl2br w:val="nil"/>
                    <w:tr2bl w:val="nil"/>
                  </w:tcBorders>
                </w:tcPr>
                <w:p w14:paraId="5150DFA9">
                  <w:pPr>
                    <w:spacing w:line="280" w:lineRule="exact"/>
                    <w:rPr>
                      <w:rFonts w:hint="eastAsia"/>
                      <w:color w:val="auto"/>
                      <w:highlight w:val="none"/>
                    </w:rPr>
                  </w:pPr>
                </w:p>
              </w:tc>
            </w:tr>
            <w:tr w14:paraId="1CD2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6BAFEDF2">
                  <w:pPr>
                    <w:spacing w:line="280" w:lineRule="exact"/>
                    <w:jc w:val="center"/>
                    <w:rPr>
                      <w:rFonts w:hint="eastAsia"/>
                      <w:color w:val="auto"/>
                      <w:highlight w:val="none"/>
                    </w:rPr>
                  </w:pPr>
                  <w:r>
                    <w:rPr>
                      <w:rFonts w:hint="eastAsia"/>
                      <w:color w:val="auto"/>
                      <w:highlight w:val="none"/>
                    </w:rPr>
                    <w:t>2</w:t>
                  </w:r>
                </w:p>
              </w:tc>
              <w:tc>
                <w:tcPr>
                  <w:tcW w:w="3340" w:type="dxa"/>
                  <w:tcBorders>
                    <w:tl2br w:val="nil"/>
                    <w:tr2bl w:val="nil"/>
                  </w:tcBorders>
                </w:tcPr>
                <w:p w14:paraId="2D3F919D">
                  <w:pPr>
                    <w:spacing w:line="280" w:lineRule="exact"/>
                    <w:rPr>
                      <w:rFonts w:hint="eastAsia"/>
                      <w:color w:val="auto"/>
                      <w:highlight w:val="none"/>
                    </w:rPr>
                  </w:pPr>
                  <w:r>
                    <w:rPr>
                      <w:rFonts w:hint="eastAsia"/>
                      <w:color w:val="auto"/>
                      <w:highlight w:val="none"/>
                    </w:rPr>
                    <w:t>其中：安全文明施工费</w:t>
                  </w:r>
                </w:p>
              </w:tc>
              <w:tc>
                <w:tcPr>
                  <w:tcW w:w="1764" w:type="dxa"/>
                  <w:tcBorders>
                    <w:tl2br w:val="nil"/>
                    <w:tr2bl w:val="nil"/>
                  </w:tcBorders>
                </w:tcPr>
                <w:p w14:paraId="0EB866B2">
                  <w:pPr>
                    <w:spacing w:line="280" w:lineRule="exact"/>
                    <w:rPr>
                      <w:rFonts w:hint="eastAsia"/>
                      <w:color w:val="auto"/>
                      <w:highlight w:val="none"/>
                    </w:rPr>
                  </w:pPr>
                </w:p>
              </w:tc>
              <w:tc>
                <w:tcPr>
                  <w:tcW w:w="2240" w:type="dxa"/>
                  <w:tcBorders>
                    <w:tl2br w:val="nil"/>
                    <w:tr2bl w:val="nil"/>
                  </w:tcBorders>
                </w:tcPr>
                <w:p w14:paraId="36CB1016">
                  <w:pPr>
                    <w:spacing w:line="280" w:lineRule="exact"/>
                    <w:rPr>
                      <w:rFonts w:hint="eastAsia"/>
                      <w:color w:val="auto"/>
                      <w:highlight w:val="none"/>
                    </w:rPr>
                  </w:pPr>
                </w:p>
              </w:tc>
              <w:tc>
                <w:tcPr>
                  <w:tcW w:w="1080" w:type="dxa"/>
                  <w:tcBorders>
                    <w:tl2br w:val="nil"/>
                    <w:tr2bl w:val="nil"/>
                  </w:tcBorders>
                </w:tcPr>
                <w:p w14:paraId="55ECFDE4">
                  <w:pPr>
                    <w:spacing w:line="280" w:lineRule="exact"/>
                    <w:rPr>
                      <w:rFonts w:hint="eastAsia"/>
                      <w:color w:val="auto"/>
                      <w:highlight w:val="none"/>
                    </w:rPr>
                  </w:pPr>
                </w:p>
              </w:tc>
            </w:tr>
            <w:tr w14:paraId="3EB5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008252DB">
                  <w:pPr>
                    <w:spacing w:line="280" w:lineRule="exact"/>
                    <w:jc w:val="center"/>
                    <w:rPr>
                      <w:rFonts w:hint="eastAsia"/>
                      <w:color w:val="auto"/>
                      <w:highlight w:val="none"/>
                    </w:rPr>
                  </w:pPr>
                  <w:r>
                    <w:rPr>
                      <w:rFonts w:hint="eastAsia"/>
                      <w:color w:val="auto"/>
                      <w:highlight w:val="none"/>
                    </w:rPr>
                    <w:t>3</w:t>
                  </w:r>
                </w:p>
              </w:tc>
              <w:tc>
                <w:tcPr>
                  <w:tcW w:w="3340" w:type="dxa"/>
                  <w:tcBorders>
                    <w:tl2br w:val="nil"/>
                    <w:tr2bl w:val="nil"/>
                  </w:tcBorders>
                </w:tcPr>
                <w:p w14:paraId="215AFCD6">
                  <w:pPr>
                    <w:spacing w:line="280" w:lineRule="exact"/>
                    <w:rPr>
                      <w:rFonts w:hint="eastAsia"/>
                      <w:color w:val="auto"/>
                      <w:highlight w:val="none"/>
                    </w:rPr>
                  </w:pPr>
                  <w:r>
                    <w:rPr>
                      <w:rFonts w:hint="eastAsia"/>
                      <w:color w:val="auto"/>
                      <w:highlight w:val="none"/>
                    </w:rPr>
                    <w:t>应支付的预付款</w:t>
                  </w:r>
                </w:p>
              </w:tc>
              <w:tc>
                <w:tcPr>
                  <w:tcW w:w="1764" w:type="dxa"/>
                  <w:tcBorders>
                    <w:tl2br w:val="nil"/>
                    <w:tr2bl w:val="nil"/>
                  </w:tcBorders>
                </w:tcPr>
                <w:p w14:paraId="61A747D4">
                  <w:pPr>
                    <w:spacing w:line="280" w:lineRule="exact"/>
                    <w:rPr>
                      <w:rFonts w:hint="eastAsia"/>
                      <w:color w:val="auto"/>
                      <w:highlight w:val="none"/>
                    </w:rPr>
                  </w:pPr>
                </w:p>
              </w:tc>
              <w:tc>
                <w:tcPr>
                  <w:tcW w:w="2240" w:type="dxa"/>
                  <w:tcBorders>
                    <w:tl2br w:val="nil"/>
                    <w:tr2bl w:val="nil"/>
                  </w:tcBorders>
                </w:tcPr>
                <w:p w14:paraId="1A77ACE9">
                  <w:pPr>
                    <w:spacing w:line="280" w:lineRule="exact"/>
                    <w:rPr>
                      <w:rFonts w:hint="eastAsia"/>
                      <w:color w:val="auto"/>
                      <w:highlight w:val="none"/>
                    </w:rPr>
                  </w:pPr>
                </w:p>
              </w:tc>
              <w:tc>
                <w:tcPr>
                  <w:tcW w:w="1080" w:type="dxa"/>
                  <w:tcBorders>
                    <w:tl2br w:val="nil"/>
                    <w:tr2bl w:val="nil"/>
                  </w:tcBorders>
                </w:tcPr>
                <w:p w14:paraId="695C9398">
                  <w:pPr>
                    <w:spacing w:line="280" w:lineRule="exact"/>
                    <w:rPr>
                      <w:rFonts w:hint="eastAsia"/>
                      <w:color w:val="auto"/>
                      <w:highlight w:val="none"/>
                    </w:rPr>
                  </w:pPr>
                </w:p>
              </w:tc>
            </w:tr>
            <w:tr w14:paraId="7750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3447925A">
                  <w:pPr>
                    <w:spacing w:line="280" w:lineRule="exact"/>
                    <w:jc w:val="center"/>
                    <w:rPr>
                      <w:rFonts w:hint="eastAsia"/>
                      <w:color w:val="auto"/>
                      <w:highlight w:val="none"/>
                    </w:rPr>
                  </w:pPr>
                  <w:r>
                    <w:rPr>
                      <w:rFonts w:hint="eastAsia"/>
                      <w:color w:val="auto"/>
                      <w:highlight w:val="none"/>
                    </w:rPr>
                    <w:t>4</w:t>
                  </w:r>
                </w:p>
              </w:tc>
              <w:tc>
                <w:tcPr>
                  <w:tcW w:w="3340" w:type="dxa"/>
                  <w:tcBorders>
                    <w:tl2br w:val="nil"/>
                    <w:tr2bl w:val="nil"/>
                  </w:tcBorders>
                </w:tcPr>
                <w:p w14:paraId="2BFF9655">
                  <w:pPr>
                    <w:spacing w:line="280" w:lineRule="exact"/>
                    <w:rPr>
                      <w:rFonts w:hint="eastAsia"/>
                      <w:color w:val="auto"/>
                      <w:highlight w:val="none"/>
                    </w:rPr>
                  </w:pPr>
                  <w:r>
                    <w:rPr>
                      <w:rFonts w:hint="eastAsia"/>
                      <w:color w:val="auto"/>
                      <w:highlight w:val="none"/>
                    </w:rPr>
                    <w:t>应支付的安全文明施工费预付款</w:t>
                  </w:r>
                </w:p>
              </w:tc>
              <w:tc>
                <w:tcPr>
                  <w:tcW w:w="1764" w:type="dxa"/>
                  <w:tcBorders>
                    <w:tl2br w:val="nil"/>
                    <w:tr2bl w:val="nil"/>
                  </w:tcBorders>
                </w:tcPr>
                <w:p w14:paraId="04F88C5F">
                  <w:pPr>
                    <w:spacing w:line="280" w:lineRule="exact"/>
                    <w:rPr>
                      <w:rFonts w:hint="eastAsia"/>
                      <w:color w:val="auto"/>
                      <w:highlight w:val="none"/>
                    </w:rPr>
                  </w:pPr>
                </w:p>
              </w:tc>
              <w:tc>
                <w:tcPr>
                  <w:tcW w:w="2240" w:type="dxa"/>
                  <w:tcBorders>
                    <w:tl2br w:val="nil"/>
                    <w:tr2bl w:val="nil"/>
                  </w:tcBorders>
                </w:tcPr>
                <w:p w14:paraId="61F1BAE9">
                  <w:pPr>
                    <w:spacing w:line="280" w:lineRule="exact"/>
                    <w:rPr>
                      <w:rFonts w:hint="eastAsia"/>
                      <w:color w:val="auto"/>
                      <w:highlight w:val="none"/>
                    </w:rPr>
                  </w:pPr>
                </w:p>
              </w:tc>
              <w:tc>
                <w:tcPr>
                  <w:tcW w:w="1080" w:type="dxa"/>
                  <w:tcBorders>
                    <w:tl2br w:val="nil"/>
                    <w:tr2bl w:val="nil"/>
                  </w:tcBorders>
                </w:tcPr>
                <w:p w14:paraId="71871CE4">
                  <w:pPr>
                    <w:spacing w:line="280" w:lineRule="exact"/>
                    <w:rPr>
                      <w:rFonts w:hint="eastAsia"/>
                      <w:color w:val="auto"/>
                      <w:highlight w:val="none"/>
                    </w:rPr>
                  </w:pPr>
                </w:p>
              </w:tc>
            </w:tr>
            <w:tr w14:paraId="00A0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3A9FEF09">
                  <w:pPr>
                    <w:spacing w:line="280" w:lineRule="exact"/>
                    <w:jc w:val="center"/>
                    <w:rPr>
                      <w:rFonts w:hint="eastAsia"/>
                      <w:color w:val="auto"/>
                      <w:highlight w:val="none"/>
                    </w:rPr>
                  </w:pPr>
                  <w:r>
                    <w:rPr>
                      <w:rFonts w:hint="eastAsia"/>
                      <w:color w:val="auto"/>
                      <w:highlight w:val="none"/>
                    </w:rPr>
                    <w:t>5</w:t>
                  </w:r>
                </w:p>
              </w:tc>
              <w:tc>
                <w:tcPr>
                  <w:tcW w:w="3340" w:type="dxa"/>
                  <w:tcBorders>
                    <w:tl2br w:val="nil"/>
                    <w:tr2bl w:val="nil"/>
                  </w:tcBorders>
                </w:tcPr>
                <w:p w14:paraId="25B1E4F2">
                  <w:pPr>
                    <w:spacing w:line="280" w:lineRule="exact"/>
                    <w:rPr>
                      <w:rFonts w:hint="eastAsia"/>
                      <w:color w:val="auto"/>
                      <w:highlight w:val="none"/>
                    </w:rPr>
                  </w:pPr>
                  <w:r>
                    <w:rPr>
                      <w:rFonts w:hint="eastAsia"/>
                      <w:color w:val="auto"/>
                      <w:highlight w:val="none"/>
                    </w:rPr>
                    <w:t>合计应支付的预付款</w:t>
                  </w:r>
                </w:p>
              </w:tc>
              <w:tc>
                <w:tcPr>
                  <w:tcW w:w="1764" w:type="dxa"/>
                  <w:tcBorders>
                    <w:tl2br w:val="nil"/>
                    <w:tr2bl w:val="nil"/>
                  </w:tcBorders>
                </w:tcPr>
                <w:p w14:paraId="7C4E3549">
                  <w:pPr>
                    <w:spacing w:line="280" w:lineRule="exact"/>
                    <w:rPr>
                      <w:rFonts w:hint="eastAsia"/>
                      <w:color w:val="auto"/>
                      <w:highlight w:val="none"/>
                    </w:rPr>
                  </w:pPr>
                </w:p>
              </w:tc>
              <w:tc>
                <w:tcPr>
                  <w:tcW w:w="2240" w:type="dxa"/>
                  <w:tcBorders>
                    <w:tl2br w:val="nil"/>
                    <w:tr2bl w:val="nil"/>
                  </w:tcBorders>
                </w:tcPr>
                <w:p w14:paraId="11F0FF0C">
                  <w:pPr>
                    <w:spacing w:line="280" w:lineRule="exact"/>
                    <w:rPr>
                      <w:rFonts w:hint="eastAsia"/>
                      <w:color w:val="auto"/>
                      <w:highlight w:val="none"/>
                    </w:rPr>
                  </w:pPr>
                </w:p>
              </w:tc>
              <w:tc>
                <w:tcPr>
                  <w:tcW w:w="1080" w:type="dxa"/>
                  <w:tcBorders>
                    <w:tl2br w:val="nil"/>
                    <w:tr2bl w:val="nil"/>
                  </w:tcBorders>
                </w:tcPr>
                <w:p w14:paraId="0434AD10">
                  <w:pPr>
                    <w:spacing w:line="280" w:lineRule="exact"/>
                    <w:rPr>
                      <w:rFonts w:hint="eastAsia"/>
                      <w:color w:val="auto"/>
                      <w:highlight w:val="none"/>
                    </w:rPr>
                  </w:pPr>
                </w:p>
              </w:tc>
            </w:tr>
            <w:tr w14:paraId="0F98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10296D95">
                  <w:pPr>
                    <w:spacing w:line="280" w:lineRule="exact"/>
                    <w:jc w:val="center"/>
                    <w:rPr>
                      <w:rFonts w:hint="eastAsia"/>
                      <w:color w:val="auto"/>
                      <w:highlight w:val="none"/>
                    </w:rPr>
                  </w:pPr>
                </w:p>
              </w:tc>
              <w:tc>
                <w:tcPr>
                  <w:tcW w:w="3340" w:type="dxa"/>
                  <w:tcBorders>
                    <w:tl2br w:val="nil"/>
                    <w:tr2bl w:val="nil"/>
                  </w:tcBorders>
                </w:tcPr>
                <w:p w14:paraId="3ED683F4">
                  <w:pPr>
                    <w:spacing w:line="280" w:lineRule="exact"/>
                    <w:rPr>
                      <w:rFonts w:hint="eastAsia"/>
                      <w:color w:val="auto"/>
                      <w:highlight w:val="none"/>
                    </w:rPr>
                  </w:pPr>
                </w:p>
              </w:tc>
              <w:tc>
                <w:tcPr>
                  <w:tcW w:w="1764" w:type="dxa"/>
                  <w:tcBorders>
                    <w:tl2br w:val="nil"/>
                    <w:tr2bl w:val="nil"/>
                  </w:tcBorders>
                </w:tcPr>
                <w:p w14:paraId="4EA716E8">
                  <w:pPr>
                    <w:spacing w:line="280" w:lineRule="exact"/>
                    <w:rPr>
                      <w:rFonts w:hint="eastAsia"/>
                      <w:color w:val="auto"/>
                      <w:highlight w:val="none"/>
                    </w:rPr>
                  </w:pPr>
                </w:p>
              </w:tc>
              <w:tc>
                <w:tcPr>
                  <w:tcW w:w="2240" w:type="dxa"/>
                  <w:tcBorders>
                    <w:tl2br w:val="nil"/>
                    <w:tr2bl w:val="nil"/>
                  </w:tcBorders>
                </w:tcPr>
                <w:p w14:paraId="7AABF933">
                  <w:pPr>
                    <w:spacing w:line="280" w:lineRule="exact"/>
                    <w:rPr>
                      <w:rFonts w:hint="eastAsia"/>
                      <w:color w:val="auto"/>
                      <w:highlight w:val="none"/>
                    </w:rPr>
                  </w:pPr>
                </w:p>
              </w:tc>
              <w:tc>
                <w:tcPr>
                  <w:tcW w:w="1080" w:type="dxa"/>
                  <w:tcBorders>
                    <w:tl2br w:val="nil"/>
                    <w:tr2bl w:val="nil"/>
                  </w:tcBorders>
                </w:tcPr>
                <w:p w14:paraId="2081CB31">
                  <w:pPr>
                    <w:spacing w:line="280" w:lineRule="exact"/>
                    <w:rPr>
                      <w:rFonts w:hint="eastAsia"/>
                      <w:color w:val="auto"/>
                      <w:highlight w:val="none"/>
                    </w:rPr>
                  </w:pPr>
                </w:p>
              </w:tc>
            </w:tr>
          </w:tbl>
          <w:p w14:paraId="1B83C28D">
            <w:pPr>
              <w:wordWrap w:val="0"/>
              <w:spacing w:line="400" w:lineRule="exact"/>
              <w:ind w:right="420"/>
              <w:rPr>
                <w:rFonts w:hint="eastAsia"/>
                <w:color w:val="auto"/>
                <w:highlight w:val="none"/>
              </w:rPr>
            </w:pPr>
          </w:p>
          <w:p w14:paraId="3956D278">
            <w:pPr>
              <w:wordWrap w:val="0"/>
              <w:spacing w:line="400" w:lineRule="exact"/>
              <w:ind w:right="420"/>
              <w:rPr>
                <w:rFonts w:hint="eastAsia"/>
                <w:color w:val="auto"/>
                <w:highlight w:val="none"/>
              </w:rPr>
            </w:pPr>
            <w:r>
              <w:rPr>
                <w:rFonts w:hint="eastAsia"/>
                <w:color w:val="auto"/>
                <w:highlight w:val="none"/>
              </w:rPr>
              <w:t xml:space="preserve">                                            承包人（章）             </w:t>
            </w:r>
          </w:p>
          <w:p w14:paraId="709B0509">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1278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488" w:type="dxa"/>
            <w:tcBorders>
              <w:tl2br w:val="nil"/>
              <w:tr2bl w:val="nil"/>
            </w:tcBorders>
          </w:tcPr>
          <w:p w14:paraId="79AAAEEE">
            <w:pPr>
              <w:spacing w:line="360" w:lineRule="exact"/>
              <w:rPr>
                <w:rFonts w:hint="eastAsia"/>
                <w:color w:val="auto"/>
                <w:highlight w:val="none"/>
              </w:rPr>
            </w:pPr>
            <w:r>
              <w:rPr>
                <w:rFonts w:hint="eastAsia"/>
                <w:color w:val="auto"/>
                <w:highlight w:val="none"/>
              </w:rPr>
              <w:t>复核意见：</w:t>
            </w:r>
          </w:p>
          <w:p w14:paraId="73F6E4B9">
            <w:pPr>
              <w:spacing w:line="360" w:lineRule="exact"/>
              <w:ind w:firstLine="312"/>
              <w:rPr>
                <w:rFonts w:hint="eastAsia"/>
                <w:color w:val="auto"/>
                <w:highlight w:val="none"/>
              </w:rPr>
            </w:pPr>
            <w:r>
              <w:rPr>
                <w:rFonts w:hint="eastAsia"/>
                <w:color w:val="auto"/>
                <w:highlight w:val="none"/>
              </w:rPr>
              <w:t>□与合同约定不相符，修改意见见附件。</w:t>
            </w:r>
          </w:p>
          <w:p w14:paraId="101A9E17">
            <w:pPr>
              <w:spacing w:line="360" w:lineRule="exact"/>
              <w:ind w:firstLine="312"/>
              <w:rPr>
                <w:rFonts w:hint="eastAsia"/>
                <w:color w:val="auto"/>
                <w:highlight w:val="none"/>
              </w:rPr>
            </w:pPr>
            <w:r>
              <w:rPr>
                <w:rFonts w:hint="eastAsia"/>
                <w:color w:val="auto"/>
                <w:highlight w:val="none"/>
              </w:rPr>
              <w:t>□与合同约定相符，具体金额由造价工程师复核。</w:t>
            </w:r>
          </w:p>
          <w:p w14:paraId="123BB3F9">
            <w:pPr>
              <w:spacing w:line="360" w:lineRule="exact"/>
              <w:ind w:firstLine="435"/>
              <w:jc w:val="right"/>
              <w:rPr>
                <w:rFonts w:hint="eastAsia"/>
                <w:color w:val="auto"/>
                <w:highlight w:val="none"/>
              </w:rPr>
            </w:pPr>
          </w:p>
          <w:p w14:paraId="7C7A7067">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监理工程师</w:t>
            </w:r>
            <w:r>
              <w:rPr>
                <w:rFonts w:hint="eastAsia"/>
                <w:color w:val="auto"/>
                <w:highlight w:val="none"/>
                <w:u w:val="single"/>
              </w:rPr>
              <w:t xml:space="preserve">           </w:t>
            </w:r>
          </w:p>
          <w:p w14:paraId="3A8AF4D3">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697" w:type="dxa"/>
            <w:tcBorders>
              <w:tl2br w:val="nil"/>
              <w:tr2bl w:val="nil"/>
            </w:tcBorders>
          </w:tcPr>
          <w:p w14:paraId="6C46CFC5">
            <w:pPr>
              <w:spacing w:line="360" w:lineRule="exact"/>
              <w:rPr>
                <w:rFonts w:hint="eastAsia"/>
                <w:color w:val="auto"/>
                <w:highlight w:val="none"/>
              </w:rPr>
            </w:pPr>
            <w:r>
              <w:rPr>
                <w:rFonts w:hint="eastAsia"/>
                <w:color w:val="auto"/>
                <w:highlight w:val="none"/>
              </w:rPr>
              <w:t>复核意见：</w:t>
            </w:r>
          </w:p>
          <w:p w14:paraId="19F1AAC0">
            <w:pPr>
              <w:spacing w:line="360" w:lineRule="exact"/>
              <w:ind w:firstLine="435"/>
              <w:rPr>
                <w:rFonts w:hint="eastAsia"/>
                <w:color w:val="auto"/>
                <w:highlight w:val="none"/>
              </w:rPr>
            </w:pPr>
            <w:r>
              <w:rPr>
                <w:rFonts w:hint="eastAsia"/>
                <w:color w:val="auto"/>
                <w:highlight w:val="none"/>
              </w:rPr>
              <w:t>你方提出的支付申请经复核，应支付预付款金额为(大写)</w:t>
            </w:r>
            <w:r>
              <w:rPr>
                <w:rFonts w:hint="eastAsia"/>
                <w:color w:val="auto"/>
                <w:highlight w:val="none"/>
                <w:u w:val="single"/>
              </w:rPr>
              <w:t xml:space="preserve">                </w:t>
            </w:r>
            <w:r>
              <w:rPr>
                <w:rFonts w:hint="eastAsia"/>
                <w:color w:val="auto"/>
                <w:highlight w:val="none"/>
              </w:rPr>
              <w:t>元，（小写）</w:t>
            </w:r>
          </w:p>
          <w:p w14:paraId="1DF0F376">
            <w:pPr>
              <w:spacing w:line="360" w:lineRule="exact"/>
              <w:rPr>
                <w:rFonts w:hint="eastAsia"/>
                <w:color w:val="auto"/>
                <w:highlight w:val="none"/>
              </w:rPr>
            </w:pPr>
            <w:r>
              <w:rPr>
                <w:rFonts w:hint="eastAsia"/>
                <w:color w:val="auto"/>
                <w:highlight w:val="none"/>
                <w:u w:val="single"/>
              </w:rPr>
              <w:t xml:space="preserve">          </w:t>
            </w:r>
            <w:r>
              <w:rPr>
                <w:rFonts w:hint="eastAsia"/>
                <w:color w:val="auto"/>
                <w:highlight w:val="none"/>
              </w:rPr>
              <w:t xml:space="preserve"> 元。</w:t>
            </w:r>
          </w:p>
          <w:p w14:paraId="5703FB03">
            <w:pPr>
              <w:spacing w:line="360" w:lineRule="exact"/>
              <w:rPr>
                <w:rFonts w:hint="eastAsia"/>
                <w:color w:val="auto"/>
                <w:highlight w:val="none"/>
                <w:u w:val="single"/>
              </w:rPr>
            </w:pPr>
          </w:p>
          <w:p w14:paraId="6E7CD585">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造价工程师</w:t>
            </w:r>
            <w:r>
              <w:rPr>
                <w:rFonts w:hint="eastAsia"/>
                <w:color w:val="auto"/>
                <w:highlight w:val="none"/>
                <w:u w:val="single"/>
              </w:rPr>
              <w:t xml:space="preserve">           </w:t>
            </w:r>
          </w:p>
          <w:p w14:paraId="70BEED9C">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r>
      <w:tr w14:paraId="4CD6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185" w:type="dxa"/>
            <w:gridSpan w:val="2"/>
            <w:tcBorders>
              <w:tl2br w:val="nil"/>
              <w:tr2bl w:val="nil"/>
            </w:tcBorders>
          </w:tcPr>
          <w:p w14:paraId="0B6AEC9B">
            <w:pPr>
              <w:spacing w:line="400" w:lineRule="exact"/>
              <w:rPr>
                <w:rFonts w:hint="eastAsia"/>
                <w:color w:val="auto"/>
                <w:highlight w:val="none"/>
              </w:rPr>
            </w:pPr>
            <w:r>
              <w:rPr>
                <w:rFonts w:hint="eastAsia"/>
                <w:color w:val="auto"/>
                <w:highlight w:val="none"/>
              </w:rPr>
              <w:t>审核意见：</w:t>
            </w:r>
          </w:p>
          <w:p w14:paraId="0361267F">
            <w:pPr>
              <w:spacing w:line="400" w:lineRule="exact"/>
              <w:ind w:firstLine="435"/>
              <w:rPr>
                <w:rFonts w:hint="eastAsia"/>
                <w:color w:val="auto"/>
                <w:highlight w:val="none"/>
              </w:rPr>
            </w:pPr>
            <w:r>
              <w:rPr>
                <w:rFonts w:hint="eastAsia"/>
                <w:color w:val="auto"/>
                <w:highlight w:val="none"/>
              </w:rPr>
              <w:t>□不同意。</w:t>
            </w:r>
          </w:p>
          <w:p w14:paraId="7395EE30">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2E24E0E2">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5766FC95">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3A6EA96D">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3648613F">
      <w:pPr>
        <w:spacing w:before="166"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0BBBB3E0">
      <w:pPr>
        <w:spacing w:before="166" w:beforeLines="50"/>
        <w:ind w:left="720" w:hanging="720" w:hangingChars="400"/>
        <w:rPr>
          <w:rFonts w:hint="eastAsia" w:eastAsia="仿宋_GB2312"/>
          <w:color w:val="auto"/>
          <w:sz w:val="30"/>
          <w:szCs w:val="30"/>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2CD44D48">
      <w:pPr>
        <w:rPr>
          <w:rFonts w:hint="eastAsia" w:eastAsia="仿宋_GB2312"/>
          <w:color w:val="auto"/>
          <w:sz w:val="30"/>
          <w:szCs w:val="30"/>
          <w:highlight w:val="none"/>
        </w:rPr>
      </w:pPr>
      <w:r>
        <w:rPr>
          <w:rFonts w:hint="eastAsia" w:eastAsia="仿宋_GB2312"/>
          <w:color w:val="auto"/>
          <w:sz w:val="30"/>
          <w:szCs w:val="30"/>
          <w:highlight w:val="none"/>
        </w:rPr>
        <w:br w:type="page"/>
      </w:r>
    </w:p>
    <w:p w14:paraId="304E0E14">
      <w:pPr>
        <w:spacing w:before="166" w:beforeLines="50"/>
        <w:ind w:left="1200" w:hanging="1200" w:hangingChars="400"/>
        <w:rPr>
          <w:rFonts w:hint="eastAsia" w:eastAsia="仿宋_GB2312"/>
          <w:color w:val="auto"/>
          <w:sz w:val="30"/>
          <w:szCs w:val="30"/>
          <w:highlight w:val="none"/>
        </w:rPr>
      </w:pPr>
    </w:p>
    <w:p w14:paraId="5152B4C4">
      <w:pPr>
        <w:spacing w:before="166" w:beforeLines="50"/>
        <w:ind w:left="1200" w:hanging="1200" w:hangingChars="400"/>
        <w:rPr>
          <w:rFonts w:hint="eastAsia" w:eastAsia="仿宋_GB2312"/>
          <w:color w:val="auto"/>
          <w:sz w:val="30"/>
          <w:szCs w:val="30"/>
          <w:highlight w:val="none"/>
        </w:rPr>
      </w:pPr>
      <w:r>
        <w:rPr>
          <w:rFonts w:hint="eastAsia" w:eastAsia="仿宋_GB2312"/>
          <w:color w:val="auto"/>
          <w:sz w:val="30"/>
          <w:szCs w:val="30"/>
          <w:highlight w:val="none"/>
        </w:rPr>
        <w:t>附件1</w:t>
      </w:r>
      <w:r>
        <w:rPr>
          <w:rFonts w:hint="eastAsia" w:eastAsia="仿宋_GB2312"/>
          <w:color w:val="auto"/>
          <w:sz w:val="30"/>
          <w:szCs w:val="30"/>
          <w:highlight w:val="none"/>
          <w:lang w:val="en-US" w:eastAsia="zh-CN"/>
        </w:rPr>
        <w:t>0</w:t>
      </w:r>
      <w:r>
        <w:rPr>
          <w:rFonts w:hint="eastAsia" w:eastAsia="仿宋_GB2312"/>
          <w:color w:val="auto"/>
          <w:sz w:val="30"/>
          <w:szCs w:val="30"/>
          <w:highlight w:val="none"/>
        </w:rPr>
        <w:t>：</w:t>
      </w:r>
    </w:p>
    <w:p w14:paraId="25F3F191">
      <w:pPr>
        <w:jc w:val="center"/>
        <w:rPr>
          <w:rFonts w:hint="eastAsia"/>
          <w:b/>
          <w:color w:val="auto"/>
          <w:sz w:val="36"/>
          <w:szCs w:val="36"/>
          <w:highlight w:val="none"/>
        </w:rPr>
      </w:pPr>
      <w:r>
        <w:rPr>
          <w:rFonts w:hint="eastAsia"/>
          <w:b/>
          <w:color w:val="auto"/>
          <w:sz w:val="36"/>
          <w:szCs w:val="36"/>
          <w:highlight w:val="none"/>
        </w:rPr>
        <w:t>进度款支付申请（核准）表</w:t>
      </w:r>
    </w:p>
    <w:p w14:paraId="6EE2F256">
      <w:pPr>
        <w:rPr>
          <w:rFonts w:hint="eastAsia"/>
          <w:color w:val="auto"/>
          <w:sz w:val="24"/>
          <w:szCs w:val="24"/>
          <w:highlight w:val="none"/>
        </w:rPr>
      </w:pPr>
      <w:r>
        <w:rPr>
          <w:rFonts w:hint="eastAsia"/>
          <w:color w:val="auto"/>
          <w:sz w:val="24"/>
          <w:szCs w:val="24"/>
          <w:highlight w:val="none"/>
        </w:rPr>
        <w:t>工程名称：                                             编号：</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27C3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Borders>
              <w:tl2br w:val="nil"/>
              <w:tr2bl w:val="nil"/>
            </w:tcBorders>
          </w:tcPr>
          <w:p w14:paraId="68942D91">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058613CB">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w:t>
            </w:r>
            <w:r>
              <w:rPr>
                <w:rFonts w:hint="eastAsia"/>
                <w:color w:val="auto"/>
                <w:highlight w:val="none"/>
                <w:u w:val="single"/>
              </w:rPr>
              <w:t xml:space="preserve">               </w:t>
            </w:r>
            <w:r>
              <w:rPr>
                <w:rFonts w:hint="eastAsia"/>
                <w:color w:val="auto"/>
                <w:highlight w:val="none"/>
              </w:rPr>
              <w:t>工作，根据施工合同的约定，现申请支付本期的合同款额为(大写)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元，请予核准。</w:t>
            </w:r>
          </w:p>
          <w:tbl>
            <w:tblPr>
              <w:tblStyle w:val="14"/>
              <w:tblpPr w:leftFromText="180" w:rightFromText="180" w:vertAnchor="page" w:horzAnchor="margin" w:tblpXSpec="left"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340"/>
              <w:gridCol w:w="1440"/>
              <w:gridCol w:w="1260"/>
              <w:gridCol w:w="931"/>
            </w:tblGrid>
            <w:tr w14:paraId="17C7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l2br w:val="nil"/>
                    <w:tr2bl w:val="nil"/>
                  </w:tcBorders>
                  <w:vAlign w:val="center"/>
                </w:tcPr>
                <w:p w14:paraId="358711C5">
                  <w:pPr>
                    <w:spacing w:line="280" w:lineRule="exact"/>
                    <w:jc w:val="center"/>
                    <w:rPr>
                      <w:rFonts w:hint="eastAsia"/>
                      <w:color w:val="auto"/>
                      <w:highlight w:val="none"/>
                    </w:rPr>
                  </w:pPr>
                  <w:r>
                    <w:rPr>
                      <w:rFonts w:hint="eastAsia"/>
                      <w:color w:val="auto"/>
                      <w:highlight w:val="none"/>
                    </w:rPr>
                    <w:t>序号</w:t>
                  </w:r>
                </w:p>
              </w:tc>
              <w:tc>
                <w:tcPr>
                  <w:tcW w:w="3340" w:type="dxa"/>
                  <w:tcBorders>
                    <w:tl2br w:val="nil"/>
                    <w:tr2bl w:val="nil"/>
                  </w:tcBorders>
                  <w:vAlign w:val="center"/>
                </w:tcPr>
                <w:p w14:paraId="15A747F4">
                  <w:pPr>
                    <w:spacing w:line="280" w:lineRule="exact"/>
                    <w:jc w:val="center"/>
                    <w:rPr>
                      <w:rFonts w:hint="eastAsia"/>
                      <w:color w:val="auto"/>
                      <w:highlight w:val="none"/>
                    </w:rPr>
                  </w:pPr>
                  <w:r>
                    <w:rPr>
                      <w:rFonts w:hint="eastAsia"/>
                      <w:color w:val="auto"/>
                      <w:highlight w:val="none"/>
                    </w:rPr>
                    <w:t>名      称</w:t>
                  </w:r>
                </w:p>
              </w:tc>
              <w:tc>
                <w:tcPr>
                  <w:tcW w:w="1340" w:type="dxa"/>
                  <w:tcBorders>
                    <w:tl2br w:val="nil"/>
                    <w:tr2bl w:val="nil"/>
                  </w:tcBorders>
                  <w:vAlign w:val="center"/>
                </w:tcPr>
                <w:p w14:paraId="5E68C33D">
                  <w:pPr>
                    <w:spacing w:line="280" w:lineRule="exact"/>
                    <w:jc w:val="center"/>
                    <w:rPr>
                      <w:rFonts w:hint="eastAsia"/>
                      <w:color w:val="auto"/>
                      <w:highlight w:val="none"/>
                    </w:rPr>
                  </w:pPr>
                  <w:r>
                    <w:rPr>
                      <w:rFonts w:hint="eastAsia"/>
                      <w:color w:val="auto"/>
                      <w:highlight w:val="none"/>
                    </w:rPr>
                    <w:t>实际金额（元）</w:t>
                  </w:r>
                </w:p>
              </w:tc>
              <w:tc>
                <w:tcPr>
                  <w:tcW w:w="1440" w:type="dxa"/>
                  <w:tcBorders>
                    <w:tl2br w:val="nil"/>
                    <w:tr2bl w:val="nil"/>
                  </w:tcBorders>
                  <w:vAlign w:val="center"/>
                </w:tcPr>
                <w:p w14:paraId="1C7FC429">
                  <w:pPr>
                    <w:spacing w:line="280" w:lineRule="exact"/>
                    <w:jc w:val="center"/>
                    <w:rPr>
                      <w:rFonts w:hint="eastAsia"/>
                      <w:color w:val="auto"/>
                      <w:highlight w:val="none"/>
                    </w:rPr>
                  </w:pPr>
                  <w:r>
                    <w:rPr>
                      <w:rFonts w:hint="eastAsia"/>
                      <w:color w:val="auto"/>
                      <w:highlight w:val="none"/>
                    </w:rPr>
                    <w:t>申请金额（元）</w:t>
                  </w:r>
                </w:p>
              </w:tc>
              <w:tc>
                <w:tcPr>
                  <w:tcW w:w="1260" w:type="dxa"/>
                  <w:tcBorders>
                    <w:tl2br w:val="nil"/>
                    <w:tr2bl w:val="nil"/>
                  </w:tcBorders>
                  <w:vAlign w:val="center"/>
                </w:tcPr>
                <w:p w14:paraId="422BAD54">
                  <w:pPr>
                    <w:spacing w:line="280" w:lineRule="exact"/>
                    <w:jc w:val="center"/>
                    <w:rPr>
                      <w:rFonts w:hint="eastAsia"/>
                      <w:color w:val="auto"/>
                      <w:highlight w:val="none"/>
                    </w:rPr>
                  </w:pPr>
                  <w:r>
                    <w:rPr>
                      <w:rFonts w:hint="eastAsia"/>
                      <w:color w:val="auto"/>
                      <w:highlight w:val="none"/>
                    </w:rPr>
                    <w:t>复核金额（元）</w:t>
                  </w:r>
                </w:p>
              </w:tc>
              <w:tc>
                <w:tcPr>
                  <w:tcW w:w="931" w:type="dxa"/>
                  <w:tcBorders>
                    <w:tl2br w:val="nil"/>
                    <w:tr2bl w:val="nil"/>
                  </w:tcBorders>
                  <w:vAlign w:val="center"/>
                </w:tcPr>
                <w:p w14:paraId="5412AD59">
                  <w:pPr>
                    <w:spacing w:line="280" w:lineRule="exact"/>
                    <w:jc w:val="center"/>
                    <w:rPr>
                      <w:rFonts w:hint="eastAsia"/>
                      <w:color w:val="auto"/>
                      <w:highlight w:val="none"/>
                    </w:rPr>
                  </w:pPr>
                  <w:r>
                    <w:rPr>
                      <w:rFonts w:hint="eastAsia"/>
                      <w:color w:val="auto"/>
                      <w:highlight w:val="none"/>
                    </w:rPr>
                    <w:t>备注</w:t>
                  </w:r>
                </w:p>
              </w:tc>
            </w:tr>
            <w:tr w14:paraId="7A69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2A760472">
                  <w:pPr>
                    <w:spacing w:line="280" w:lineRule="exact"/>
                    <w:jc w:val="center"/>
                    <w:rPr>
                      <w:rFonts w:hint="eastAsia"/>
                      <w:color w:val="auto"/>
                      <w:highlight w:val="none"/>
                    </w:rPr>
                  </w:pPr>
                  <w:r>
                    <w:rPr>
                      <w:rFonts w:hint="eastAsia"/>
                      <w:color w:val="auto"/>
                      <w:highlight w:val="none"/>
                    </w:rPr>
                    <w:t>1</w:t>
                  </w:r>
                </w:p>
              </w:tc>
              <w:tc>
                <w:tcPr>
                  <w:tcW w:w="3340" w:type="dxa"/>
                  <w:tcBorders>
                    <w:tl2br w:val="nil"/>
                    <w:tr2bl w:val="nil"/>
                  </w:tcBorders>
                </w:tcPr>
                <w:p w14:paraId="7B287BF4">
                  <w:pPr>
                    <w:spacing w:line="280" w:lineRule="exact"/>
                    <w:rPr>
                      <w:rFonts w:hint="eastAsia"/>
                      <w:color w:val="auto"/>
                      <w:highlight w:val="none"/>
                    </w:rPr>
                  </w:pPr>
                  <w:r>
                    <w:rPr>
                      <w:rFonts w:hint="eastAsia"/>
                      <w:color w:val="auto"/>
                      <w:highlight w:val="none"/>
                    </w:rPr>
                    <w:t>累计已完成的工程价款</w:t>
                  </w:r>
                </w:p>
              </w:tc>
              <w:tc>
                <w:tcPr>
                  <w:tcW w:w="1340" w:type="dxa"/>
                  <w:tcBorders>
                    <w:tl2br w:val="nil"/>
                    <w:tr2bl w:val="nil"/>
                  </w:tcBorders>
                </w:tcPr>
                <w:p w14:paraId="43A7DCD3">
                  <w:pPr>
                    <w:spacing w:line="280" w:lineRule="exact"/>
                    <w:rPr>
                      <w:rFonts w:hint="eastAsia"/>
                      <w:color w:val="auto"/>
                      <w:highlight w:val="none"/>
                    </w:rPr>
                  </w:pPr>
                </w:p>
              </w:tc>
              <w:tc>
                <w:tcPr>
                  <w:tcW w:w="1440" w:type="dxa"/>
                  <w:tcBorders>
                    <w:tl2br w:val="nil"/>
                    <w:tr2bl w:val="nil"/>
                  </w:tcBorders>
                </w:tcPr>
                <w:p w14:paraId="78DEBE01">
                  <w:pPr>
                    <w:spacing w:line="280" w:lineRule="exact"/>
                    <w:rPr>
                      <w:rFonts w:hint="eastAsia"/>
                      <w:color w:val="auto"/>
                      <w:highlight w:val="none"/>
                    </w:rPr>
                  </w:pPr>
                </w:p>
              </w:tc>
              <w:tc>
                <w:tcPr>
                  <w:tcW w:w="1260" w:type="dxa"/>
                  <w:tcBorders>
                    <w:tl2br w:val="nil"/>
                    <w:tr2bl w:val="nil"/>
                  </w:tcBorders>
                </w:tcPr>
                <w:p w14:paraId="0C328E64">
                  <w:pPr>
                    <w:spacing w:line="280" w:lineRule="exact"/>
                    <w:rPr>
                      <w:rFonts w:hint="eastAsia"/>
                      <w:color w:val="auto"/>
                      <w:highlight w:val="none"/>
                    </w:rPr>
                  </w:pPr>
                </w:p>
              </w:tc>
              <w:tc>
                <w:tcPr>
                  <w:tcW w:w="931" w:type="dxa"/>
                  <w:tcBorders>
                    <w:tl2br w:val="nil"/>
                    <w:tr2bl w:val="nil"/>
                  </w:tcBorders>
                </w:tcPr>
                <w:p w14:paraId="35F31DDD">
                  <w:pPr>
                    <w:spacing w:line="280" w:lineRule="exact"/>
                    <w:rPr>
                      <w:rFonts w:hint="eastAsia"/>
                      <w:color w:val="auto"/>
                      <w:highlight w:val="none"/>
                    </w:rPr>
                  </w:pPr>
                </w:p>
              </w:tc>
            </w:tr>
            <w:tr w14:paraId="2113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0A4F3D76">
                  <w:pPr>
                    <w:spacing w:line="280" w:lineRule="exact"/>
                    <w:jc w:val="center"/>
                    <w:rPr>
                      <w:rFonts w:hint="eastAsia"/>
                      <w:color w:val="auto"/>
                      <w:highlight w:val="none"/>
                    </w:rPr>
                  </w:pPr>
                </w:p>
              </w:tc>
              <w:tc>
                <w:tcPr>
                  <w:tcW w:w="3340" w:type="dxa"/>
                  <w:tcBorders>
                    <w:tl2br w:val="nil"/>
                    <w:tr2bl w:val="nil"/>
                  </w:tcBorders>
                </w:tcPr>
                <w:p w14:paraId="65A23BAD">
                  <w:pPr>
                    <w:spacing w:line="280" w:lineRule="exact"/>
                    <w:rPr>
                      <w:rFonts w:hint="eastAsia"/>
                      <w:color w:val="auto"/>
                      <w:highlight w:val="none"/>
                    </w:rPr>
                  </w:pPr>
                  <w:r>
                    <w:rPr>
                      <w:rFonts w:hint="eastAsia"/>
                      <w:color w:val="auto"/>
                      <w:highlight w:val="none"/>
                    </w:rPr>
                    <w:t>其中：人工费</w:t>
                  </w:r>
                </w:p>
              </w:tc>
              <w:tc>
                <w:tcPr>
                  <w:tcW w:w="1340" w:type="dxa"/>
                  <w:tcBorders>
                    <w:tl2br w:val="nil"/>
                    <w:tr2bl w:val="nil"/>
                  </w:tcBorders>
                </w:tcPr>
                <w:p w14:paraId="39BB22FF">
                  <w:pPr>
                    <w:spacing w:line="280" w:lineRule="exact"/>
                    <w:rPr>
                      <w:rFonts w:hint="eastAsia"/>
                      <w:color w:val="auto"/>
                      <w:highlight w:val="none"/>
                    </w:rPr>
                  </w:pPr>
                </w:p>
              </w:tc>
              <w:tc>
                <w:tcPr>
                  <w:tcW w:w="1440" w:type="dxa"/>
                  <w:tcBorders>
                    <w:tl2br w:val="nil"/>
                    <w:tr2bl w:val="nil"/>
                  </w:tcBorders>
                </w:tcPr>
                <w:p w14:paraId="72298DD2">
                  <w:pPr>
                    <w:spacing w:line="280" w:lineRule="exact"/>
                    <w:rPr>
                      <w:rFonts w:hint="eastAsia"/>
                      <w:color w:val="auto"/>
                      <w:highlight w:val="none"/>
                    </w:rPr>
                  </w:pPr>
                </w:p>
              </w:tc>
              <w:tc>
                <w:tcPr>
                  <w:tcW w:w="1260" w:type="dxa"/>
                  <w:tcBorders>
                    <w:tl2br w:val="nil"/>
                    <w:tr2bl w:val="nil"/>
                  </w:tcBorders>
                </w:tcPr>
                <w:p w14:paraId="7E5B9F0B">
                  <w:pPr>
                    <w:spacing w:line="280" w:lineRule="exact"/>
                    <w:rPr>
                      <w:rFonts w:hint="eastAsia"/>
                      <w:color w:val="auto"/>
                      <w:highlight w:val="none"/>
                    </w:rPr>
                  </w:pPr>
                </w:p>
              </w:tc>
              <w:tc>
                <w:tcPr>
                  <w:tcW w:w="931" w:type="dxa"/>
                  <w:tcBorders>
                    <w:tl2br w:val="nil"/>
                    <w:tr2bl w:val="nil"/>
                  </w:tcBorders>
                </w:tcPr>
                <w:p w14:paraId="02CC23D6">
                  <w:pPr>
                    <w:spacing w:line="280" w:lineRule="exact"/>
                    <w:rPr>
                      <w:rFonts w:hint="eastAsia"/>
                      <w:color w:val="auto"/>
                      <w:highlight w:val="none"/>
                    </w:rPr>
                  </w:pPr>
                </w:p>
              </w:tc>
            </w:tr>
            <w:tr w14:paraId="25C4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2573FAE8">
                  <w:pPr>
                    <w:spacing w:line="280" w:lineRule="exact"/>
                    <w:jc w:val="center"/>
                    <w:rPr>
                      <w:rFonts w:hint="eastAsia"/>
                      <w:color w:val="auto"/>
                      <w:highlight w:val="none"/>
                    </w:rPr>
                  </w:pPr>
                  <w:r>
                    <w:rPr>
                      <w:rFonts w:hint="eastAsia"/>
                      <w:color w:val="auto"/>
                      <w:highlight w:val="none"/>
                    </w:rPr>
                    <w:t>2</w:t>
                  </w:r>
                </w:p>
              </w:tc>
              <w:tc>
                <w:tcPr>
                  <w:tcW w:w="3340" w:type="dxa"/>
                  <w:tcBorders>
                    <w:tl2br w:val="nil"/>
                    <w:tr2bl w:val="nil"/>
                  </w:tcBorders>
                </w:tcPr>
                <w:p w14:paraId="239DAAC5">
                  <w:pPr>
                    <w:spacing w:line="280" w:lineRule="exact"/>
                    <w:rPr>
                      <w:rFonts w:hint="eastAsia"/>
                      <w:color w:val="auto"/>
                      <w:highlight w:val="none"/>
                    </w:rPr>
                  </w:pPr>
                  <w:r>
                    <w:rPr>
                      <w:rFonts w:hint="eastAsia"/>
                      <w:color w:val="auto"/>
                      <w:highlight w:val="none"/>
                    </w:rPr>
                    <w:t>累计已实际支付的工程价款</w:t>
                  </w:r>
                </w:p>
              </w:tc>
              <w:tc>
                <w:tcPr>
                  <w:tcW w:w="1340" w:type="dxa"/>
                  <w:tcBorders>
                    <w:tl2br w:val="nil"/>
                    <w:tr2bl w:val="nil"/>
                  </w:tcBorders>
                </w:tcPr>
                <w:p w14:paraId="2DF6B353">
                  <w:pPr>
                    <w:spacing w:line="280" w:lineRule="exact"/>
                    <w:rPr>
                      <w:rFonts w:hint="eastAsia"/>
                      <w:color w:val="auto"/>
                      <w:highlight w:val="none"/>
                    </w:rPr>
                  </w:pPr>
                </w:p>
              </w:tc>
              <w:tc>
                <w:tcPr>
                  <w:tcW w:w="1440" w:type="dxa"/>
                  <w:tcBorders>
                    <w:tl2br w:val="nil"/>
                    <w:tr2bl w:val="nil"/>
                  </w:tcBorders>
                </w:tcPr>
                <w:p w14:paraId="5C5559FA">
                  <w:pPr>
                    <w:spacing w:line="280" w:lineRule="exact"/>
                    <w:rPr>
                      <w:rFonts w:hint="eastAsia"/>
                      <w:color w:val="auto"/>
                      <w:highlight w:val="none"/>
                    </w:rPr>
                  </w:pPr>
                </w:p>
              </w:tc>
              <w:tc>
                <w:tcPr>
                  <w:tcW w:w="1260" w:type="dxa"/>
                  <w:tcBorders>
                    <w:tl2br w:val="nil"/>
                    <w:tr2bl w:val="nil"/>
                  </w:tcBorders>
                </w:tcPr>
                <w:p w14:paraId="1192D09E">
                  <w:pPr>
                    <w:spacing w:line="280" w:lineRule="exact"/>
                    <w:rPr>
                      <w:rFonts w:hint="eastAsia"/>
                      <w:color w:val="auto"/>
                      <w:highlight w:val="none"/>
                    </w:rPr>
                  </w:pPr>
                </w:p>
              </w:tc>
              <w:tc>
                <w:tcPr>
                  <w:tcW w:w="931" w:type="dxa"/>
                  <w:tcBorders>
                    <w:tl2br w:val="nil"/>
                    <w:tr2bl w:val="nil"/>
                  </w:tcBorders>
                </w:tcPr>
                <w:p w14:paraId="475B37D9">
                  <w:pPr>
                    <w:spacing w:line="280" w:lineRule="exact"/>
                    <w:rPr>
                      <w:rFonts w:hint="eastAsia"/>
                      <w:color w:val="auto"/>
                      <w:highlight w:val="none"/>
                    </w:rPr>
                  </w:pPr>
                </w:p>
              </w:tc>
            </w:tr>
            <w:tr w14:paraId="33BF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386254CC">
                  <w:pPr>
                    <w:spacing w:line="280" w:lineRule="exact"/>
                    <w:jc w:val="center"/>
                    <w:rPr>
                      <w:rFonts w:hint="eastAsia"/>
                      <w:color w:val="auto"/>
                      <w:highlight w:val="none"/>
                    </w:rPr>
                  </w:pPr>
                </w:p>
              </w:tc>
              <w:tc>
                <w:tcPr>
                  <w:tcW w:w="3340" w:type="dxa"/>
                  <w:tcBorders>
                    <w:tl2br w:val="nil"/>
                    <w:tr2bl w:val="nil"/>
                  </w:tcBorders>
                </w:tcPr>
                <w:p w14:paraId="1943479B">
                  <w:pPr>
                    <w:spacing w:line="280" w:lineRule="exact"/>
                    <w:rPr>
                      <w:rFonts w:hint="eastAsia"/>
                      <w:color w:val="auto"/>
                      <w:highlight w:val="none"/>
                    </w:rPr>
                  </w:pPr>
                  <w:r>
                    <w:rPr>
                      <w:rFonts w:hint="eastAsia"/>
                      <w:color w:val="auto"/>
                      <w:highlight w:val="none"/>
                    </w:rPr>
                    <w:t>其中：人工费</w:t>
                  </w:r>
                </w:p>
              </w:tc>
              <w:tc>
                <w:tcPr>
                  <w:tcW w:w="1340" w:type="dxa"/>
                  <w:tcBorders>
                    <w:tl2br w:val="nil"/>
                    <w:tr2bl w:val="nil"/>
                  </w:tcBorders>
                </w:tcPr>
                <w:p w14:paraId="45A363F6">
                  <w:pPr>
                    <w:spacing w:line="280" w:lineRule="exact"/>
                    <w:rPr>
                      <w:rFonts w:hint="eastAsia"/>
                      <w:color w:val="auto"/>
                      <w:highlight w:val="none"/>
                    </w:rPr>
                  </w:pPr>
                </w:p>
              </w:tc>
              <w:tc>
                <w:tcPr>
                  <w:tcW w:w="1440" w:type="dxa"/>
                  <w:tcBorders>
                    <w:tl2br w:val="nil"/>
                    <w:tr2bl w:val="nil"/>
                  </w:tcBorders>
                </w:tcPr>
                <w:p w14:paraId="65B72B60">
                  <w:pPr>
                    <w:spacing w:line="280" w:lineRule="exact"/>
                    <w:rPr>
                      <w:rFonts w:hint="eastAsia"/>
                      <w:color w:val="auto"/>
                      <w:highlight w:val="none"/>
                    </w:rPr>
                  </w:pPr>
                </w:p>
              </w:tc>
              <w:tc>
                <w:tcPr>
                  <w:tcW w:w="1260" w:type="dxa"/>
                  <w:tcBorders>
                    <w:tl2br w:val="nil"/>
                    <w:tr2bl w:val="nil"/>
                  </w:tcBorders>
                </w:tcPr>
                <w:p w14:paraId="04D69C1D">
                  <w:pPr>
                    <w:spacing w:line="280" w:lineRule="exact"/>
                    <w:rPr>
                      <w:rFonts w:hint="eastAsia"/>
                      <w:color w:val="auto"/>
                      <w:highlight w:val="none"/>
                    </w:rPr>
                  </w:pPr>
                </w:p>
              </w:tc>
              <w:tc>
                <w:tcPr>
                  <w:tcW w:w="931" w:type="dxa"/>
                  <w:tcBorders>
                    <w:tl2br w:val="nil"/>
                    <w:tr2bl w:val="nil"/>
                  </w:tcBorders>
                </w:tcPr>
                <w:p w14:paraId="6347F43F">
                  <w:pPr>
                    <w:spacing w:line="280" w:lineRule="exact"/>
                    <w:rPr>
                      <w:rFonts w:hint="eastAsia"/>
                      <w:color w:val="auto"/>
                      <w:highlight w:val="none"/>
                    </w:rPr>
                  </w:pPr>
                </w:p>
              </w:tc>
            </w:tr>
            <w:tr w14:paraId="3DC6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6EB45214">
                  <w:pPr>
                    <w:spacing w:line="280" w:lineRule="exact"/>
                    <w:jc w:val="center"/>
                    <w:rPr>
                      <w:rFonts w:hint="eastAsia"/>
                      <w:color w:val="auto"/>
                      <w:highlight w:val="none"/>
                    </w:rPr>
                  </w:pPr>
                  <w:r>
                    <w:rPr>
                      <w:rFonts w:hint="eastAsia"/>
                      <w:color w:val="auto"/>
                      <w:highlight w:val="none"/>
                    </w:rPr>
                    <w:t>3</w:t>
                  </w:r>
                </w:p>
              </w:tc>
              <w:tc>
                <w:tcPr>
                  <w:tcW w:w="3340" w:type="dxa"/>
                  <w:tcBorders>
                    <w:tl2br w:val="nil"/>
                    <w:tr2bl w:val="nil"/>
                  </w:tcBorders>
                </w:tcPr>
                <w:p w14:paraId="490E0039">
                  <w:pPr>
                    <w:spacing w:line="280" w:lineRule="exact"/>
                    <w:rPr>
                      <w:rFonts w:hint="eastAsia"/>
                      <w:color w:val="auto"/>
                      <w:highlight w:val="none"/>
                    </w:rPr>
                  </w:pPr>
                  <w:r>
                    <w:rPr>
                      <w:rFonts w:hint="eastAsia"/>
                      <w:color w:val="auto"/>
                      <w:highlight w:val="none"/>
                    </w:rPr>
                    <w:t>本周期已完成的工程价款</w:t>
                  </w:r>
                </w:p>
              </w:tc>
              <w:tc>
                <w:tcPr>
                  <w:tcW w:w="1340" w:type="dxa"/>
                  <w:tcBorders>
                    <w:tl2br w:val="nil"/>
                    <w:tr2bl w:val="nil"/>
                  </w:tcBorders>
                </w:tcPr>
                <w:p w14:paraId="3B5B32ED">
                  <w:pPr>
                    <w:spacing w:line="280" w:lineRule="exact"/>
                    <w:rPr>
                      <w:rFonts w:hint="eastAsia"/>
                      <w:color w:val="auto"/>
                      <w:highlight w:val="none"/>
                    </w:rPr>
                  </w:pPr>
                </w:p>
              </w:tc>
              <w:tc>
                <w:tcPr>
                  <w:tcW w:w="1440" w:type="dxa"/>
                  <w:tcBorders>
                    <w:tl2br w:val="nil"/>
                    <w:tr2bl w:val="nil"/>
                  </w:tcBorders>
                </w:tcPr>
                <w:p w14:paraId="4110BF2D">
                  <w:pPr>
                    <w:spacing w:line="280" w:lineRule="exact"/>
                    <w:rPr>
                      <w:rFonts w:hint="eastAsia"/>
                      <w:color w:val="auto"/>
                      <w:highlight w:val="none"/>
                    </w:rPr>
                  </w:pPr>
                </w:p>
              </w:tc>
              <w:tc>
                <w:tcPr>
                  <w:tcW w:w="1260" w:type="dxa"/>
                  <w:tcBorders>
                    <w:tl2br w:val="nil"/>
                    <w:tr2bl w:val="nil"/>
                  </w:tcBorders>
                </w:tcPr>
                <w:p w14:paraId="2DE1A47C">
                  <w:pPr>
                    <w:spacing w:line="280" w:lineRule="exact"/>
                    <w:rPr>
                      <w:rFonts w:hint="eastAsia"/>
                      <w:color w:val="auto"/>
                      <w:highlight w:val="none"/>
                    </w:rPr>
                  </w:pPr>
                </w:p>
              </w:tc>
              <w:tc>
                <w:tcPr>
                  <w:tcW w:w="931" w:type="dxa"/>
                  <w:tcBorders>
                    <w:tl2br w:val="nil"/>
                    <w:tr2bl w:val="nil"/>
                  </w:tcBorders>
                </w:tcPr>
                <w:p w14:paraId="20A54C5C">
                  <w:pPr>
                    <w:spacing w:line="280" w:lineRule="exact"/>
                    <w:rPr>
                      <w:rFonts w:hint="eastAsia"/>
                      <w:color w:val="auto"/>
                      <w:highlight w:val="none"/>
                    </w:rPr>
                  </w:pPr>
                </w:p>
              </w:tc>
            </w:tr>
            <w:tr w14:paraId="1076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29118902">
                  <w:pPr>
                    <w:spacing w:line="280" w:lineRule="exact"/>
                    <w:jc w:val="center"/>
                    <w:rPr>
                      <w:rFonts w:hint="eastAsia"/>
                      <w:color w:val="auto"/>
                      <w:highlight w:val="none"/>
                    </w:rPr>
                  </w:pPr>
                </w:p>
              </w:tc>
              <w:tc>
                <w:tcPr>
                  <w:tcW w:w="3340" w:type="dxa"/>
                  <w:tcBorders>
                    <w:tl2br w:val="nil"/>
                    <w:tr2bl w:val="nil"/>
                  </w:tcBorders>
                </w:tcPr>
                <w:p w14:paraId="2321533D">
                  <w:pPr>
                    <w:spacing w:line="280" w:lineRule="exact"/>
                    <w:rPr>
                      <w:rFonts w:hint="eastAsia"/>
                      <w:color w:val="auto"/>
                      <w:highlight w:val="none"/>
                    </w:rPr>
                  </w:pPr>
                  <w:r>
                    <w:rPr>
                      <w:rFonts w:hint="eastAsia"/>
                      <w:color w:val="auto"/>
                      <w:highlight w:val="none"/>
                    </w:rPr>
                    <w:t>其中：人工费</w:t>
                  </w:r>
                </w:p>
              </w:tc>
              <w:tc>
                <w:tcPr>
                  <w:tcW w:w="1340" w:type="dxa"/>
                  <w:tcBorders>
                    <w:tl2br w:val="nil"/>
                    <w:tr2bl w:val="nil"/>
                  </w:tcBorders>
                </w:tcPr>
                <w:p w14:paraId="3582588F">
                  <w:pPr>
                    <w:spacing w:line="280" w:lineRule="exact"/>
                    <w:rPr>
                      <w:rFonts w:hint="eastAsia"/>
                      <w:color w:val="auto"/>
                      <w:highlight w:val="none"/>
                    </w:rPr>
                  </w:pPr>
                </w:p>
              </w:tc>
              <w:tc>
                <w:tcPr>
                  <w:tcW w:w="1440" w:type="dxa"/>
                  <w:tcBorders>
                    <w:tl2br w:val="nil"/>
                    <w:tr2bl w:val="nil"/>
                  </w:tcBorders>
                </w:tcPr>
                <w:p w14:paraId="6F41E833">
                  <w:pPr>
                    <w:spacing w:line="280" w:lineRule="exact"/>
                    <w:rPr>
                      <w:rFonts w:hint="eastAsia"/>
                      <w:color w:val="auto"/>
                      <w:highlight w:val="none"/>
                    </w:rPr>
                  </w:pPr>
                </w:p>
              </w:tc>
              <w:tc>
                <w:tcPr>
                  <w:tcW w:w="1260" w:type="dxa"/>
                  <w:tcBorders>
                    <w:tl2br w:val="nil"/>
                    <w:tr2bl w:val="nil"/>
                  </w:tcBorders>
                </w:tcPr>
                <w:p w14:paraId="6083A753">
                  <w:pPr>
                    <w:spacing w:line="280" w:lineRule="exact"/>
                    <w:rPr>
                      <w:rFonts w:hint="eastAsia"/>
                      <w:color w:val="auto"/>
                      <w:highlight w:val="none"/>
                    </w:rPr>
                  </w:pPr>
                </w:p>
              </w:tc>
              <w:tc>
                <w:tcPr>
                  <w:tcW w:w="931" w:type="dxa"/>
                  <w:tcBorders>
                    <w:tl2br w:val="nil"/>
                    <w:tr2bl w:val="nil"/>
                  </w:tcBorders>
                </w:tcPr>
                <w:p w14:paraId="64B61DA4">
                  <w:pPr>
                    <w:spacing w:line="280" w:lineRule="exact"/>
                    <w:rPr>
                      <w:rFonts w:hint="eastAsia"/>
                      <w:color w:val="auto"/>
                      <w:highlight w:val="none"/>
                    </w:rPr>
                  </w:pPr>
                </w:p>
              </w:tc>
            </w:tr>
            <w:tr w14:paraId="0A69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2349351D">
                  <w:pPr>
                    <w:spacing w:line="280" w:lineRule="exact"/>
                    <w:jc w:val="center"/>
                    <w:rPr>
                      <w:rFonts w:hint="eastAsia"/>
                      <w:color w:val="auto"/>
                      <w:highlight w:val="none"/>
                    </w:rPr>
                  </w:pPr>
                  <w:r>
                    <w:rPr>
                      <w:rFonts w:hint="eastAsia"/>
                      <w:color w:val="auto"/>
                      <w:highlight w:val="none"/>
                    </w:rPr>
                    <w:t>4</w:t>
                  </w:r>
                </w:p>
              </w:tc>
              <w:tc>
                <w:tcPr>
                  <w:tcW w:w="3340" w:type="dxa"/>
                  <w:tcBorders>
                    <w:tl2br w:val="nil"/>
                    <w:tr2bl w:val="nil"/>
                  </w:tcBorders>
                </w:tcPr>
                <w:p w14:paraId="5E96F1ED">
                  <w:pPr>
                    <w:spacing w:line="280" w:lineRule="exact"/>
                    <w:rPr>
                      <w:rFonts w:hint="eastAsia"/>
                      <w:color w:val="auto"/>
                      <w:highlight w:val="none"/>
                    </w:rPr>
                  </w:pPr>
                  <w:r>
                    <w:rPr>
                      <w:rFonts w:hint="eastAsia"/>
                      <w:color w:val="auto"/>
                      <w:highlight w:val="none"/>
                    </w:rPr>
                    <w:t>本周期应扣减的金额</w:t>
                  </w:r>
                </w:p>
              </w:tc>
              <w:tc>
                <w:tcPr>
                  <w:tcW w:w="1340" w:type="dxa"/>
                  <w:tcBorders>
                    <w:tl2br w:val="nil"/>
                    <w:tr2bl w:val="nil"/>
                  </w:tcBorders>
                </w:tcPr>
                <w:p w14:paraId="79477283">
                  <w:pPr>
                    <w:spacing w:line="280" w:lineRule="exact"/>
                    <w:rPr>
                      <w:rFonts w:hint="eastAsia"/>
                      <w:color w:val="auto"/>
                      <w:highlight w:val="none"/>
                    </w:rPr>
                  </w:pPr>
                </w:p>
              </w:tc>
              <w:tc>
                <w:tcPr>
                  <w:tcW w:w="1440" w:type="dxa"/>
                  <w:tcBorders>
                    <w:tl2br w:val="nil"/>
                    <w:tr2bl w:val="nil"/>
                  </w:tcBorders>
                </w:tcPr>
                <w:p w14:paraId="2C5EDC00">
                  <w:pPr>
                    <w:spacing w:line="280" w:lineRule="exact"/>
                    <w:rPr>
                      <w:rFonts w:hint="eastAsia"/>
                      <w:color w:val="auto"/>
                      <w:highlight w:val="none"/>
                    </w:rPr>
                  </w:pPr>
                </w:p>
              </w:tc>
              <w:tc>
                <w:tcPr>
                  <w:tcW w:w="1260" w:type="dxa"/>
                  <w:tcBorders>
                    <w:tl2br w:val="nil"/>
                    <w:tr2bl w:val="nil"/>
                  </w:tcBorders>
                </w:tcPr>
                <w:p w14:paraId="213EBCD1">
                  <w:pPr>
                    <w:spacing w:line="280" w:lineRule="exact"/>
                    <w:rPr>
                      <w:rFonts w:hint="eastAsia"/>
                      <w:color w:val="auto"/>
                      <w:highlight w:val="none"/>
                    </w:rPr>
                  </w:pPr>
                </w:p>
              </w:tc>
              <w:tc>
                <w:tcPr>
                  <w:tcW w:w="931" w:type="dxa"/>
                  <w:tcBorders>
                    <w:tl2br w:val="nil"/>
                    <w:tr2bl w:val="nil"/>
                  </w:tcBorders>
                </w:tcPr>
                <w:p w14:paraId="572AC1B3">
                  <w:pPr>
                    <w:spacing w:line="280" w:lineRule="exact"/>
                    <w:rPr>
                      <w:rFonts w:hint="eastAsia"/>
                      <w:color w:val="auto"/>
                      <w:highlight w:val="none"/>
                    </w:rPr>
                  </w:pPr>
                </w:p>
              </w:tc>
            </w:tr>
            <w:tr w14:paraId="36C4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168AA648">
                  <w:pPr>
                    <w:spacing w:line="280" w:lineRule="exact"/>
                    <w:jc w:val="center"/>
                    <w:rPr>
                      <w:rFonts w:hint="eastAsia"/>
                      <w:color w:val="auto"/>
                      <w:highlight w:val="none"/>
                    </w:rPr>
                  </w:pPr>
                  <w:r>
                    <w:rPr>
                      <w:rFonts w:hint="eastAsia"/>
                      <w:color w:val="auto"/>
                      <w:highlight w:val="none"/>
                    </w:rPr>
                    <w:t>4.1</w:t>
                  </w:r>
                </w:p>
              </w:tc>
              <w:tc>
                <w:tcPr>
                  <w:tcW w:w="3340" w:type="dxa"/>
                  <w:tcBorders>
                    <w:tl2br w:val="nil"/>
                    <w:tr2bl w:val="nil"/>
                  </w:tcBorders>
                </w:tcPr>
                <w:p w14:paraId="482D238A">
                  <w:pPr>
                    <w:spacing w:line="280" w:lineRule="exact"/>
                    <w:rPr>
                      <w:rFonts w:hint="eastAsia"/>
                      <w:color w:val="auto"/>
                      <w:highlight w:val="none"/>
                    </w:rPr>
                  </w:pPr>
                  <w:r>
                    <w:rPr>
                      <w:rFonts w:hint="eastAsia"/>
                      <w:color w:val="auto"/>
                      <w:highlight w:val="none"/>
                    </w:rPr>
                    <w:t>本周期实际应抵扣的预付款</w:t>
                  </w:r>
                </w:p>
              </w:tc>
              <w:tc>
                <w:tcPr>
                  <w:tcW w:w="1340" w:type="dxa"/>
                  <w:tcBorders>
                    <w:tl2br w:val="nil"/>
                    <w:tr2bl w:val="nil"/>
                  </w:tcBorders>
                </w:tcPr>
                <w:p w14:paraId="5432A14F">
                  <w:pPr>
                    <w:spacing w:line="280" w:lineRule="exact"/>
                    <w:rPr>
                      <w:rFonts w:hint="eastAsia"/>
                      <w:color w:val="auto"/>
                      <w:highlight w:val="none"/>
                    </w:rPr>
                  </w:pPr>
                </w:p>
              </w:tc>
              <w:tc>
                <w:tcPr>
                  <w:tcW w:w="1440" w:type="dxa"/>
                  <w:tcBorders>
                    <w:tl2br w:val="nil"/>
                    <w:tr2bl w:val="nil"/>
                  </w:tcBorders>
                </w:tcPr>
                <w:p w14:paraId="34CC0AB5">
                  <w:pPr>
                    <w:spacing w:line="280" w:lineRule="exact"/>
                    <w:rPr>
                      <w:rFonts w:hint="eastAsia"/>
                      <w:color w:val="auto"/>
                      <w:highlight w:val="none"/>
                    </w:rPr>
                  </w:pPr>
                </w:p>
              </w:tc>
              <w:tc>
                <w:tcPr>
                  <w:tcW w:w="1260" w:type="dxa"/>
                  <w:tcBorders>
                    <w:tl2br w:val="nil"/>
                    <w:tr2bl w:val="nil"/>
                  </w:tcBorders>
                </w:tcPr>
                <w:p w14:paraId="0C0E9A42">
                  <w:pPr>
                    <w:spacing w:line="280" w:lineRule="exact"/>
                    <w:rPr>
                      <w:rFonts w:hint="eastAsia"/>
                      <w:color w:val="auto"/>
                      <w:highlight w:val="none"/>
                    </w:rPr>
                  </w:pPr>
                </w:p>
              </w:tc>
              <w:tc>
                <w:tcPr>
                  <w:tcW w:w="931" w:type="dxa"/>
                  <w:tcBorders>
                    <w:tl2br w:val="nil"/>
                    <w:tr2bl w:val="nil"/>
                  </w:tcBorders>
                </w:tcPr>
                <w:p w14:paraId="37849072">
                  <w:pPr>
                    <w:spacing w:line="280" w:lineRule="exact"/>
                    <w:rPr>
                      <w:rFonts w:hint="eastAsia"/>
                      <w:color w:val="auto"/>
                      <w:highlight w:val="none"/>
                    </w:rPr>
                  </w:pPr>
                </w:p>
              </w:tc>
            </w:tr>
            <w:tr w14:paraId="3DA1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7F1F7CB1">
                  <w:pPr>
                    <w:spacing w:line="280" w:lineRule="exact"/>
                    <w:jc w:val="center"/>
                    <w:rPr>
                      <w:rFonts w:hint="eastAsia"/>
                      <w:color w:val="auto"/>
                      <w:highlight w:val="none"/>
                    </w:rPr>
                  </w:pPr>
                  <w:r>
                    <w:rPr>
                      <w:rFonts w:hint="eastAsia"/>
                      <w:color w:val="auto"/>
                      <w:highlight w:val="none"/>
                    </w:rPr>
                    <w:t>4.2</w:t>
                  </w:r>
                </w:p>
              </w:tc>
              <w:tc>
                <w:tcPr>
                  <w:tcW w:w="3340" w:type="dxa"/>
                  <w:tcBorders>
                    <w:tl2br w:val="nil"/>
                    <w:tr2bl w:val="nil"/>
                  </w:tcBorders>
                </w:tcPr>
                <w:p w14:paraId="689607D9">
                  <w:pPr>
                    <w:spacing w:line="280" w:lineRule="exact"/>
                    <w:rPr>
                      <w:rFonts w:hint="eastAsia"/>
                      <w:color w:val="auto"/>
                      <w:highlight w:val="none"/>
                    </w:rPr>
                  </w:pPr>
                  <w:r>
                    <w:rPr>
                      <w:rFonts w:hint="eastAsia"/>
                      <w:color w:val="auto"/>
                      <w:highlight w:val="none"/>
                    </w:rPr>
                    <w:t>本周期应扣减的金额</w:t>
                  </w:r>
                </w:p>
              </w:tc>
              <w:tc>
                <w:tcPr>
                  <w:tcW w:w="1340" w:type="dxa"/>
                  <w:tcBorders>
                    <w:tl2br w:val="nil"/>
                    <w:tr2bl w:val="nil"/>
                  </w:tcBorders>
                </w:tcPr>
                <w:p w14:paraId="0057B93B">
                  <w:pPr>
                    <w:spacing w:line="280" w:lineRule="exact"/>
                    <w:rPr>
                      <w:rFonts w:hint="eastAsia"/>
                      <w:color w:val="auto"/>
                      <w:highlight w:val="none"/>
                    </w:rPr>
                  </w:pPr>
                </w:p>
              </w:tc>
              <w:tc>
                <w:tcPr>
                  <w:tcW w:w="1440" w:type="dxa"/>
                  <w:tcBorders>
                    <w:tl2br w:val="nil"/>
                    <w:tr2bl w:val="nil"/>
                  </w:tcBorders>
                </w:tcPr>
                <w:p w14:paraId="00618B80">
                  <w:pPr>
                    <w:spacing w:line="280" w:lineRule="exact"/>
                    <w:rPr>
                      <w:rFonts w:hint="eastAsia"/>
                      <w:color w:val="auto"/>
                      <w:highlight w:val="none"/>
                    </w:rPr>
                  </w:pPr>
                </w:p>
              </w:tc>
              <w:tc>
                <w:tcPr>
                  <w:tcW w:w="1260" w:type="dxa"/>
                  <w:tcBorders>
                    <w:tl2br w:val="nil"/>
                    <w:tr2bl w:val="nil"/>
                  </w:tcBorders>
                </w:tcPr>
                <w:p w14:paraId="416A5F38">
                  <w:pPr>
                    <w:spacing w:line="280" w:lineRule="exact"/>
                    <w:rPr>
                      <w:rFonts w:hint="eastAsia"/>
                      <w:color w:val="auto"/>
                      <w:highlight w:val="none"/>
                    </w:rPr>
                  </w:pPr>
                </w:p>
              </w:tc>
              <w:tc>
                <w:tcPr>
                  <w:tcW w:w="931" w:type="dxa"/>
                  <w:tcBorders>
                    <w:tl2br w:val="nil"/>
                    <w:tr2bl w:val="nil"/>
                  </w:tcBorders>
                </w:tcPr>
                <w:p w14:paraId="4C20F9A7">
                  <w:pPr>
                    <w:spacing w:line="280" w:lineRule="exact"/>
                    <w:rPr>
                      <w:rFonts w:hint="eastAsia"/>
                      <w:color w:val="auto"/>
                      <w:highlight w:val="none"/>
                    </w:rPr>
                  </w:pPr>
                </w:p>
              </w:tc>
            </w:tr>
            <w:tr w14:paraId="531A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578ECCE8">
                  <w:pPr>
                    <w:spacing w:line="280" w:lineRule="exact"/>
                    <w:jc w:val="center"/>
                    <w:rPr>
                      <w:rFonts w:hint="eastAsia"/>
                      <w:color w:val="auto"/>
                      <w:highlight w:val="none"/>
                    </w:rPr>
                  </w:pPr>
                  <w:r>
                    <w:rPr>
                      <w:rFonts w:hint="eastAsia"/>
                      <w:color w:val="auto"/>
                      <w:highlight w:val="none"/>
                    </w:rPr>
                    <w:t>5</w:t>
                  </w:r>
                </w:p>
              </w:tc>
              <w:tc>
                <w:tcPr>
                  <w:tcW w:w="3340" w:type="dxa"/>
                  <w:tcBorders>
                    <w:tl2br w:val="nil"/>
                    <w:tr2bl w:val="nil"/>
                  </w:tcBorders>
                </w:tcPr>
                <w:p w14:paraId="5933D72C">
                  <w:pPr>
                    <w:spacing w:line="280" w:lineRule="exact"/>
                    <w:rPr>
                      <w:rFonts w:hint="eastAsia"/>
                      <w:color w:val="auto"/>
                      <w:highlight w:val="none"/>
                    </w:rPr>
                  </w:pPr>
                  <w:r>
                    <w:rPr>
                      <w:rFonts w:hint="eastAsia"/>
                      <w:color w:val="auto"/>
                      <w:highlight w:val="none"/>
                    </w:rPr>
                    <w:t>本周期应支付的合同价款</w:t>
                  </w:r>
                </w:p>
              </w:tc>
              <w:tc>
                <w:tcPr>
                  <w:tcW w:w="1340" w:type="dxa"/>
                  <w:tcBorders>
                    <w:tl2br w:val="nil"/>
                    <w:tr2bl w:val="nil"/>
                  </w:tcBorders>
                </w:tcPr>
                <w:p w14:paraId="23C59269">
                  <w:pPr>
                    <w:spacing w:line="280" w:lineRule="exact"/>
                    <w:rPr>
                      <w:rFonts w:hint="eastAsia"/>
                      <w:color w:val="auto"/>
                      <w:highlight w:val="none"/>
                    </w:rPr>
                  </w:pPr>
                </w:p>
              </w:tc>
              <w:tc>
                <w:tcPr>
                  <w:tcW w:w="1440" w:type="dxa"/>
                  <w:tcBorders>
                    <w:tl2br w:val="nil"/>
                    <w:tr2bl w:val="nil"/>
                  </w:tcBorders>
                </w:tcPr>
                <w:p w14:paraId="2061AC94">
                  <w:pPr>
                    <w:spacing w:line="280" w:lineRule="exact"/>
                    <w:rPr>
                      <w:rFonts w:hint="eastAsia"/>
                      <w:color w:val="auto"/>
                      <w:highlight w:val="none"/>
                    </w:rPr>
                  </w:pPr>
                </w:p>
              </w:tc>
              <w:tc>
                <w:tcPr>
                  <w:tcW w:w="1260" w:type="dxa"/>
                  <w:tcBorders>
                    <w:tl2br w:val="nil"/>
                    <w:tr2bl w:val="nil"/>
                  </w:tcBorders>
                </w:tcPr>
                <w:p w14:paraId="3FF71B92">
                  <w:pPr>
                    <w:spacing w:line="280" w:lineRule="exact"/>
                    <w:rPr>
                      <w:rFonts w:hint="eastAsia"/>
                      <w:color w:val="auto"/>
                      <w:highlight w:val="none"/>
                    </w:rPr>
                  </w:pPr>
                </w:p>
              </w:tc>
              <w:tc>
                <w:tcPr>
                  <w:tcW w:w="931" w:type="dxa"/>
                  <w:tcBorders>
                    <w:tl2br w:val="nil"/>
                    <w:tr2bl w:val="nil"/>
                  </w:tcBorders>
                </w:tcPr>
                <w:p w14:paraId="1AA9E359">
                  <w:pPr>
                    <w:spacing w:line="280" w:lineRule="exact"/>
                    <w:rPr>
                      <w:rFonts w:hint="eastAsia"/>
                      <w:color w:val="auto"/>
                      <w:highlight w:val="none"/>
                    </w:rPr>
                  </w:pPr>
                </w:p>
              </w:tc>
            </w:tr>
            <w:tr w14:paraId="1AE1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6D88C42B">
                  <w:pPr>
                    <w:spacing w:line="280" w:lineRule="exact"/>
                    <w:jc w:val="center"/>
                    <w:rPr>
                      <w:rFonts w:hint="eastAsia"/>
                      <w:color w:val="auto"/>
                      <w:highlight w:val="none"/>
                    </w:rPr>
                  </w:pPr>
                </w:p>
              </w:tc>
              <w:tc>
                <w:tcPr>
                  <w:tcW w:w="3340" w:type="dxa"/>
                  <w:tcBorders>
                    <w:tl2br w:val="nil"/>
                    <w:tr2bl w:val="nil"/>
                  </w:tcBorders>
                </w:tcPr>
                <w:p w14:paraId="1A234A20">
                  <w:pPr>
                    <w:spacing w:line="280" w:lineRule="exact"/>
                    <w:rPr>
                      <w:rFonts w:hint="eastAsia"/>
                      <w:color w:val="auto"/>
                      <w:highlight w:val="none"/>
                    </w:rPr>
                  </w:pPr>
                  <w:r>
                    <w:rPr>
                      <w:rFonts w:hint="eastAsia"/>
                      <w:color w:val="auto"/>
                      <w:highlight w:val="none"/>
                    </w:rPr>
                    <w:t>其中：人工费</w:t>
                  </w:r>
                </w:p>
              </w:tc>
              <w:tc>
                <w:tcPr>
                  <w:tcW w:w="1340" w:type="dxa"/>
                  <w:tcBorders>
                    <w:tl2br w:val="nil"/>
                    <w:tr2bl w:val="nil"/>
                  </w:tcBorders>
                </w:tcPr>
                <w:p w14:paraId="170EAE61">
                  <w:pPr>
                    <w:spacing w:line="280" w:lineRule="exact"/>
                    <w:rPr>
                      <w:rFonts w:hint="eastAsia"/>
                      <w:color w:val="auto"/>
                      <w:highlight w:val="none"/>
                    </w:rPr>
                  </w:pPr>
                </w:p>
              </w:tc>
              <w:tc>
                <w:tcPr>
                  <w:tcW w:w="1440" w:type="dxa"/>
                  <w:tcBorders>
                    <w:tl2br w:val="nil"/>
                    <w:tr2bl w:val="nil"/>
                  </w:tcBorders>
                </w:tcPr>
                <w:p w14:paraId="1BD6A9FE">
                  <w:pPr>
                    <w:spacing w:line="280" w:lineRule="exact"/>
                    <w:rPr>
                      <w:rFonts w:hint="eastAsia"/>
                      <w:color w:val="auto"/>
                      <w:highlight w:val="none"/>
                    </w:rPr>
                  </w:pPr>
                </w:p>
              </w:tc>
              <w:tc>
                <w:tcPr>
                  <w:tcW w:w="1260" w:type="dxa"/>
                  <w:tcBorders>
                    <w:tl2br w:val="nil"/>
                    <w:tr2bl w:val="nil"/>
                  </w:tcBorders>
                </w:tcPr>
                <w:p w14:paraId="34F064A5">
                  <w:pPr>
                    <w:spacing w:line="280" w:lineRule="exact"/>
                    <w:rPr>
                      <w:rFonts w:hint="eastAsia"/>
                      <w:color w:val="auto"/>
                      <w:highlight w:val="none"/>
                    </w:rPr>
                  </w:pPr>
                </w:p>
              </w:tc>
              <w:tc>
                <w:tcPr>
                  <w:tcW w:w="931" w:type="dxa"/>
                  <w:tcBorders>
                    <w:tl2br w:val="nil"/>
                    <w:tr2bl w:val="nil"/>
                  </w:tcBorders>
                </w:tcPr>
                <w:p w14:paraId="270CD102">
                  <w:pPr>
                    <w:spacing w:line="280" w:lineRule="exact"/>
                    <w:rPr>
                      <w:rFonts w:hint="eastAsia"/>
                      <w:color w:val="auto"/>
                      <w:highlight w:val="none"/>
                    </w:rPr>
                  </w:pPr>
                </w:p>
              </w:tc>
            </w:tr>
          </w:tbl>
          <w:p w14:paraId="14B54558">
            <w:pPr>
              <w:wordWrap w:val="0"/>
              <w:spacing w:line="400" w:lineRule="exact"/>
              <w:ind w:right="420"/>
              <w:rPr>
                <w:rFonts w:hint="eastAsia"/>
                <w:color w:val="auto"/>
                <w:highlight w:val="none"/>
              </w:rPr>
            </w:pPr>
            <w:r>
              <w:rPr>
                <w:rFonts w:hint="eastAsia"/>
                <w:color w:val="auto"/>
                <w:highlight w:val="none"/>
              </w:rPr>
              <w:t>附：上述3、4详见附件清单。</w:t>
            </w:r>
          </w:p>
          <w:p w14:paraId="3FC665E3">
            <w:pPr>
              <w:wordWrap w:val="0"/>
              <w:spacing w:line="400" w:lineRule="exact"/>
              <w:ind w:right="420"/>
              <w:rPr>
                <w:rFonts w:hint="eastAsia"/>
                <w:color w:val="auto"/>
                <w:highlight w:val="none"/>
              </w:rPr>
            </w:pPr>
            <w:r>
              <w:rPr>
                <w:rFonts w:hint="eastAsia"/>
                <w:color w:val="auto"/>
                <w:highlight w:val="none"/>
              </w:rPr>
              <w:t xml:space="preserve">                                            承包人（章）             </w:t>
            </w:r>
          </w:p>
          <w:p w14:paraId="7922DE17">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3042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tcBorders>
              <w:tl2br w:val="nil"/>
              <w:tr2bl w:val="nil"/>
            </w:tcBorders>
          </w:tcPr>
          <w:p w14:paraId="1608AEB7">
            <w:pPr>
              <w:spacing w:line="360" w:lineRule="exact"/>
              <w:rPr>
                <w:rFonts w:hint="eastAsia"/>
                <w:color w:val="auto"/>
                <w:highlight w:val="none"/>
              </w:rPr>
            </w:pPr>
            <w:r>
              <w:rPr>
                <w:rFonts w:hint="eastAsia"/>
                <w:color w:val="auto"/>
                <w:highlight w:val="none"/>
              </w:rPr>
              <w:t>复核意见：</w:t>
            </w:r>
          </w:p>
          <w:p w14:paraId="7B645441">
            <w:pPr>
              <w:spacing w:line="360" w:lineRule="exact"/>
              <w:ind w:firstLine="312"/>
              <w:rPr>
                <w:rFonts w:hint="eastAsia"/>
                <w:color w:val="auto"/>
                <w:highlight w:val="none"/>
              </w:rPr>
            </w:pPr>
            <w:r>
              <w:rPr>
                <w:rFonts w:hint="eastAsia"/>
                <w:color w:val="auto"/>
                <w:highlight w:val="none"/>
              </w:rPr>
              <w:t>□与实际施工情况不相符，修改意见见附件。</w:t>
            </w:r>
          </w:p>
          <w:p w14:paraId="1AE37C96">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3DCC9F9E">
            <w:pPr>
              <w:spacing w:line="360" w:lineRule="exact"/>
              <w:ind w:firstLine="435"/>
              <w:jc w:val="right"/>
              <w:rPr>
                <w:rFonts w:hint="eastAsia"/>
                <w:color w:val="auto"/>
                <w:highlight w:val="none"/>
              </w:rPr>
            </w:pPr>
          </w:p>
          <w:p w14:paraId="7599636E">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监理工程师</w:t>
            </w:r>
            <w:r>
              <w:rPr>
                <w:rFonts w:hint="eastAsia"/>
                <w:color w:val="auto"/>
                <w:highlight w:val="none"/>
                <w:u w:val="single"/>
              </w:rPr>
              <w:t xml:space="preserve">           </w:t>
            </w:r>
          </w:p>
          <w:p w14:paraId="0D00DCC4">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552" w:type="dxa"/>
            <w:tcBorders>
              <w:tl2br w:val="nil"/>
              <w:tr2bl w:val="nil"/>
            </w:tcBorders>
          </w:tcPr>
          <w:p w14:paraId="5E3CF6FA">
            <w:pPr>
              <w:spacing w:line="360" w:lineRule="exact"/>
              <w:rPr>
                <w:rFonts w:hint="eastAsia"/>
                <w:color w:val="auto"/>
                <w:highlight w:val="none"/>
              </w:rPr>
            </w:pPr>
            <w:r>
              <w:rPr>
                <w:rFonts w:hint="eastAsia"/>
                <w:color w:val="auto"/>
                <w:highlight w:val="none"/>
              </w:rPr>
              <w:t>复核意见：</w:t>
            </w:r>
          </w:p>
          <w:p w14:paraId="6F8D9A90">
            <w:pPr>
              <w:spacing w:line="360" w:lineRule="exact"/>
              <w:ind w:firstLine="435"/>
              <w:rPr>
                <w:rFonts w:hint="eastAsia"/>
                <w:color w:val="auto"/>
                <w:highlight w:val="none"/>
              </w:rPr>
            </w:pPr>
            <w:r>
              <w:rPr>
                <w:rFonts w:hint="eastAsia"/>
                <w:color w:val="auto"/>
                <w:highlight w:val="none"/>
              </w:rPr>
              <w:t>你方提出的支付申请经复核，本周期已完成工程价款为(大写)</w:t>
            </w:r>
            <w:r>
              <w:rPr>
                <w:rFonts w:hint="eastAsia"/>
                <w:color w:val="auto"/>
                <w:highlight w:val="none"/>
                <w:u w:val="single"/>
              </w:rPr>
              <w:t xml:space="preserve">                </w:t>
            </w:r>
            <w:r>
              <w:rPr>
                <w:rFonts w:hint="eastAsia"/>
                <w:color w:val="auto"/>
                <w:highlight w:val="none"/>
              </w:rPr>
              <w:t>元，（小写）</w:t>
            </w:r>
          </w:p>
          <w:p w14:paraId="7051D628">
            <w:pPr>
              <w:spacing w:line="360" w:lineRule="exact"/>
              <w:rPr>
                <w:rFonts w:hint="eastAsia"/>
                <w:color w:val="auto"/>
                <w:highlight w:val="none"/>
              </w:rPr>
            </w:pPr>
            <w:r>
              <w:rPr>
                <w:rFonts w:hint="eastAsia"/>
                <w:color w:val="auto"/>
                <w:highlight w:val="none"/>
                <w:u w:val="single"/>
              </w:rPr>
              <w:t xml:space="preserve">          </w:t>
            </w:r>
            <w:r>
              <w:rPr>
                <w:rFonts w:hint="eastAsia"/>
                <w:color w:val="auto"/>
                <w:highlight w:val="none"/>
              </w:rPr>
              <w:t xml:space="preserve"> 元，本期间应支付金额为（大写）</w:t>
            </w:r>
          </w:p>
          <w:p w14:paraId="5FE7B34C">
            <w:pPr>
              <w:spacing w:line="360" w:lineRule="exact"/>
              <w:rPr>
                <w:rFonts w:hint="eastAsia"/>
                <w:color w:val="auto"/>
                <w:highlight w:val="none"/>
                <w:u w:val="single"/>
              </w:rPr>
            </w:pP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w:t>
            </w:r>
          </w:p>
          <w:p w14:paraId="2DAC3428">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造价工程师</w:t>
            </w:r>
            <w:r>
              <w:rPr>
                <w:rFonts w:hint="eastAsia"/>
                <w:color w:val="auto"/>
                <w:highlight w:val="none"/>
                <w:u w:val="single"/>
              </w:rPr>
              <w:t xml:space="preserve">           </w:t>
            </w:r>
          </w:p>
          <w:p w14:paraId="53A2630F">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3693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Borders>
              <w:tl2br w:val="nil"/>
              <w:tr2bl w:val="nil"/>
            </w:tcBorders>
          </w:tcPr>
          <w:p w14:paraId="1B0D8514">
            <w:pPr>
              <w:spacing w:line="400" w:lineRule="exact"/>
              <w:rPr>
                <w:rFonts w:hint="eastAsia"/>
                <w:color w:val="auto"/>
                <w:highlight w:val="none"/>
              </w:rPr>
            </w:pPr>
            <w:r>
              <w:rPr>
                <w:rFonts w:hint="eastAsia"/>
                <w:color w:val="auto"/>
                <w:highlight w:val="none"/>
              </w:rPr>
              <w:t>审核意见：</w:t>
            </w:r>
          </w:p>
          <w:p w14:paraId="282E1D00">
            <w:pPr>
              <w:spacing w:line="400" w:lineRule="exact"/>
              <w:ind w:firstLine="435"/>
              <w:rPr>
                <w:rFonts w:hint="eastAsia"/>
                <w:color w:val="auto"/>
                <w:highlight w:val="none"/>
              </w:rPr>
            </w:pPr>
            <w:r>
              <w:rPr>
                <w:rFonts w:hint="eastAsia"/>
                <w:color w:val="auto"/>
                <w:highlight w:val="none"/>
              </w:rPr>
              <w:t>□不同意。</w:t>
            </w:r>
          </w:p>
          <w:p w14:paraId="43C23D73">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6F35DF85">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45D98EEB">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0B23C52B">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55C6CBA2">
      <w:pPr>
        <w:spacing w:before="166"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6868CB32">
      <w:pPr>
        <w:spacing w:before="166"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00570768">
      <w:pPr>
        <w:spacing w:before="166" w:beforeLines="50"/>
        <w:ind w:left="840" w:hanging="840" w:hangingChars="400"/>
        <w:rPr>
          <w:rFonts w:hint="eastAsia" w:ascii="宋体"/>
          <w:color w:val="auto"/>
          <w:highlight w:val="none"/>
        </w:rPr>
      </w:pPr>
    </w:p>
    <w:p w14:paraId="668CFF5C">
      <w:pPr>
        <w:rPr>
          <w:rFonts w:hint="eastAsia"/>
          <w:color w:val="auto"/>
          <w:sz w:val="30"/>
          <w:szCs w:val="30"/>
          <w:highlight w:val="none"/>
        </w:rPr>
      </w:pPr>
      <w:r>
        <w:rPr>
          <w:rFonts w:hint="eastAsia"/>
          <w:color w:val="auto"/>
          <w:sz w:val="30"/>
          <w:szCs w:val="30"/>
          <w:highlight w:val="none"/>
        </w:rPr>
        <w:br w:type="page"/>
      </w:r>
    </w:p>
    <w:p w14:paraId="182B9735">
      <w:pPr>
        <w:jc w:val="left"/>
        <w:rPr>
          <w:rFonts w:hint="eastAsia"/>
          <w:color w:val="auto"/>
          <w:sz w:val="30"/>
          <w:szCs w:val="30"/>
          <w:highlight w:val="none"/>
        </w:rPr>
      </w:pPr>
    </w:p>
    <w:p w14:paraId="2BCB071C">
      <w:pPr>
        <w:jc w:val="left"/>
        <w:rPr>
          <w:rFonts w:hint="eastAsia" w:eastAsia="宋体"/>
          <w:color w:val="auto"/>
          <w:sz w:val="30"/>
          <w:szCs w:val="30"/>
          <w:highlight w:val="none"/>
          <w:lang w:val="en-US" w:eastAsia="zh-CN"/>
        </w:rPr>
      </w:pPr>
      <w:r>
        <w:rPr>
          <w:rFonts w:hint="eastAsia"/>
          <w:color w:val="auto"/>
          <w:sz w:val="30"/>
          <w:szCs w:val="30"/>
          <w:highlight w:val="none"/>
        </w:rPr>
        <w:t>附件1</w:t>
      </w:r>
      <w:r>
        <w:rPr>
          <w:rFonts w:hint="eastAsia"/>
          <w:color w:val="auto"/>
          <w:sz w:val="30"/>
          <w:szCs w:val="30"/>
          <w:highlight w:val="none"/>
          <w:lang w:val="en-US" w:eastAsia="zh-CN"/>
        </w:rPr>
        <w:t>1：</w:t>
      </w:r>
    </w:p>
    <w:p w14:paraId="6E30B2DC">
      <w:pPr>
        <w:jc w:val="center"/>
        <w:rPr>
          <w:rFonts w:hint="eastAsia"/>
          <w:b/>
          <w:color w:val="auto"/>
          <w:sz w:val="36"/>
          <w:szCs w:val="36"/>
          <w:highlight w:val="none"/>
        </w:rPr>
      </w:pPr>
      <w:r>
        <w:rPr>
          <w:rFonts w:hint="eastAsia"/>
          <w:b/>
          <w:color w:val="auto"/>
          <w:sz w:val="36"/>
          <w:szCs w:val="36"/>
          <w:highlight w:val="none"/>
        </w:rPr>
        <w:t>竣工结算款支付申请（核准）表</w:t>
      </w:r>
    </w:p>
    <w:p w14:paraId="0CB95100">
      <w:pPr>
        <w:rPr>
          <w:rFonts w:hint="eastAsia"/>
          <w:color w:val="auto"/>
          <w:sz w:val="24"/>
          <w:szCs w:val="24"/>
          <w:highlight w:val="none"/>
        </w:rPr>
      </w:pPr>
      <w:r>
        <w:rPr>
          <w:rFonts w:hint="eastAsia"/>
          <w:color w:val="auto"/>
          <w:sz w:val="24"/>
          <w:szCs w:val="24"/>
          <w:highlight w:val="none"/>
        </w:rPr>
        <w:t>工程名称：                                              编号：</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2B0D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072" w:type="dxa"/>
            <w:gridSpan w:val="2"/>
            <w:tcBorders>
              <w:tl2br w:val="nil"/>
              <w:tr2bl w:val="nil"/>
            </w:tcBorders>
          </w:tcPr>
          <w:p w14:paraId="4658382F">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659B7F79">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期间已完成了合同约定的工作，根据施工合同的约定，现申请支付竣工结算的工程款额为(大写)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元，请予核准。</w:t>
            </w:r>
          </w:p>
          <w:tbl>
            <w:tblPr>
              <w:tblStyle w:val="14"/>
              <w:tblpPr w:leftFromText="180" w:rightFromText="180" w:vertAnchor="page" w:horzAnchor="margin" w:tblpXSpec="left"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2168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l2br w:val="nil"/>
                    <w:tr2bl w:val="nil"/>
                  </w:tcBorders>
                  <w:vAlign w:val="center"/>
                </w:tcPr>
                <w:p w14:paraId="7AA9F951">
                  <w:pPr>
                    <w:spacing w:line="280" w:lineRule="exact"/>
                    <w:jc w:val="center"/>
                    <w:rPr>
                      <w:rFonts w:hint="eastAsia"/>
                      <w:color w:val="auto"/>
                      <w:highlight w:val="none"/>
                    </w:rPr>
                  </w:pPr>
                  <w:r>
                    <w:rPr>
                      <w:rFonts w:hint="eastAsia"/>
                      <w:color w:val="auto"/>
                      <w:highlight w:val="none"/>
                    </w:rPr>
                    <w:t>序号</w:t>
                  </w:r>
                </w:p>
              </w:tc>
              <w:tc>
                <w:tcPr>
                  <w:tcW w:w="3420" w:type="dxa"/>
                  <w:tcBorders>
                    <w:tl2br w:val="nil"/>
                    <w:tr2bl w:val="nil"/>
                  </w:tcBorders>
                  <w:vAlign w:val="center"/>
                </w:tcPr>
                <w:p w14:paraId="56C74623">
                  <w:pPr>
                    <w:spacing w:line="280" w:lineRule="exact"/>
                    <w:jc w:val="center"/>
                    <w:rPr>
                      <w:rFonts w:hint="eastAsia"/>
                      <w:color w:val="auto"/>
                      <w:highlight w:val="none"/>
                    </w:rPr>
                  </w:pPr>
                  <w:r>
                    <w:rPr>
                      <w:rFonts w:hint="eastAsia"/>
                      <w:color w:val="auto"/>
                      <w:highlight w:val="none"/>
                    </w:rPr>
                    <w:t>名      称</w:t>
                  </w:r>
                </w:p>
              </w:tc>
              <w:tc>
                <w:tcPr>
                  <w:tcW w:w="1620" w:type="dxa"/>
                  <w:tcBorders>
                    <w:tl2br w:val="nil"/>
                    <w:tr2bl w:val="nil"/>
                  </w:tcBorders>
                  <w:vAlign w:val="center"/>
                </w:tcPr>
                <w:p w14:paraId="290D3B63">
                  <w:pPr>
                    <w:spacing w:line="280" w:lineRule="exact"/>
                    <w:jc w:val="center"/>
                    <w:rPr>
                      <w:rFonts w:hint="eastAsia"/>
                      <w:color w:val="auto"/>
                      <w:highlight w:val="none"/>
                    </w:rPr>
                  </w:pPr>
                  <w:r>
                    <w:rPr>
                      <w:rFonts w:hint="eastAsia"/>
                      <w:color w:val="auto"/>
                      <w:highlight w:val="none"/>
                    </w:rPr>
                    <w:t>申请金额（元）</w:t>
                  </w:r>
                </w:p>
              </w:tc>
              <w:tc>
                <w:tcPr>
                  <w:tcW w:w="1620" w:type="dxa"/>
                  <w:tcBorders>
                    <w:tl2br w:val="nil"/>
                    <w:tr2bl w:val="nil"/>
                  </w:tcBorders>
                  <w:vAlign w:val="center"/>
                </w:tcPr>
                <w:p w14:paraId="48BEDA0A">
                  <w:pPr>
                    <w:spacing w:line="280" w:lineRule="exact"/>
                    <w:jc w:val="center"/>
                    <w:rPr>
                      <w:rFonts w:hint="eastAsia"/>
                      <w:color w:val="auto"/>
                      <w:highlight w:val="none"/>
                    </w:rPr>
                  </w:pPr>
                  <w:r>
                    <w:rPr>
                      <w:rFonts w:hint="eastAsia"/>
                      <w:color w:val="auto"/>
                      <w:highlight w:val="none"/>
                    </w:rPr>
                    <w:t>复核金额（元）</w:t>
                  </w:r>
                </w:p>
              </w:tc>
              <w:tc>
                <w:tcPr>
                  <w:tcW w:w="1651" w:type="dxa"/>
                  <w:tcBorders>
                    <w:tl2br w:val="nil"/>
                    <w:tr2bl w:val="nil"/>
                  </w:tcBorders>
                  <w:vAlign w:val="center"/>
                </w:tcPr>
                <w:p w14:paraId="2C1AD87C">
                  <w:pPr>
                    <w:spacing w:line="280" w:lineRule="exact"/>
                    <w:jc w:val="center"/>
                    <w:rPr>
                      <w:rFonts w:hint="eastAsia"/>
                      <w:color w:val="auto"/>
                      <w:highlight w:val="none"/>
                    </w:rPr>
                  </w:pPr>
                  <w:r>
                    <w:rPr>
                      <w:rFonts w:hint="eastAsia"/>
                      <w:color w:val="auto"/>
                      <w:highlight w:val="none"/>
                    </w:rPr>
                    <w:t>备注</w:t>
                  </w:r>
                </w:p>
              </w:tc>
            </w:tr>
            <w:tr w14:paraId="5C55E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42F2D089">
                  <w:pPr>
                    <w:spacing w:line="280" w:lineRule="exact"/>
                    <w:jc w:val="center"/>
                    <w:rPr>
                      <w:rFonts w:hint="eastAsia"/>
                      <w:color w:val="auto"/>
                      <w:highlight w:val="none"/>
                    </w:rPr>
                  </w:pPr>
                  <w:r>
                    <w:rPr>
                      <w:rFonts w:hint="eastAsia"/>
                      <w:color w:val="auto"/>
                      <w:highlight w:val="none"/>
                    </w:rPr>
                    <w:t>1</w:t>
                  </w:r>
                </w:p>
              </w:tc>
              <w:tc>
                <w:tcPr>
                  <w:tcW w:w="3420" w:type="dxa"/>
                  <w:tcBorders>
                    <w:tl2br w:val="nil"/>
                    <w:tr2bl w:val="nil"/>
                  </w:tcBorders>
                </w:tcPr>
                <w:p w14:paraId="3E105BCD">
                  <w:pPr>
                    <w:spacing w:line="280" w:lineRule="exact"/>
                    <w:rPr>
                      <w:rFonts w:hint="eastAsia"/>
                      <w:color w:val="auto"/>
                      <w:highlight w:val="none"/>
                    </w:rPr>
                  </w:pPr>
                  <w:r>
                    <w:rPr>
                      <w:rFonts w:hint="eastAsia"/>
                      <w:color w:val="auto"/>
                      <w:highlight w:val="none"/>
                    </w:rPr>
                    <w:t>竣工结算合同价款总额</w:t>
                  </w:r>
                </w:p>
              </w:tc>
              <w:tc>
                <w:tcPr>
                  <w:tcW w:w="1620" w:type="dxa"/>
                  <w:tcBorders>
                    <w:tl2br w:val="nil"/>
                    <w:tr2bl w:val="nil"/>
                  </w:tcBorders>
                </w:tcPr>
                <w:p w14:paraId="016FAD44">
                  <w:pPr>
                    <w:spacing w:line="280" w:lineRule="exact"/>
                    <w:rPr>
                      <w:rFonts w:hint="eastAsia"/>
                      <w:color w:val="auto"/>
                      <w:highlight w:val="none"/>
                    </w:rPr>
                  </w:pPr>
                </w:p>
              </w:tc>
              <w:tc>
                <w:tcPr>
                  <w:tcW w:w="1620" w:type="dxa"/>
                  <w:tcBorders>
                    <w:tl2br w:val="nil"/>
                    <w:tr2bl w:val="nil"/>
                  </w:tcBorders>
                </w:tcPr>
                <w:p w14:paraId="4764C3DE">
                  <w:pPr>
                    <w:spacing w:line="280" w:lineRule="exact"/>
                    <w:rPr>
                      <w:rFonts w:hint="eastAsia"/>
                      <w:color w:val="auto"/>
                      <w:highlight w:val="none"/>
                    </w:rPr>
                  </w:pPr>
                </w:p>
              </w:tc>
              <w:tc>
                <w:tcPr>
                  <w:tcW w:w="1651" w:type="dxa"/>
                  <w:tcBorders>
                    <w:tl2br w:val="nil"/>
                    <w:tr2bl w:val="nil"/>
                  </w:tcBorders>
                </w:tcPr>
                <w:p w14:paraId="552800BA">
                  <w:pPr>
                    <w:spacing w:line="280" w:lineRule="exact"/>
                    <w:rPr>
                      <w:rFonts w:hint="eastAsia"/>
                      <w:color w:val="auto"/>
                      <w:highlight w:val="none"/>
                    </w:rPr>
                  </w:pPr>
                </w:p>
              </w:tc>
            </w:tr>
            <w:tr w14:paraId="1DF8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093C5724">
                  <w:pPr>
                    <w:spacing w:line="280" w:lineRule="exact"/>
                    <w:jc w:val="center"/>
                    <w:rPr>
                      <w:rFonts w:hint="eastAsia"/>
                      <w:color w:val="auto"/>
                      <w:highlight w:val="none"/>
                    </w:rPr>
                  </w:pPr>
                  <w:r>
                    <w:rPr>
                      <w:rFonts w:hint="eastAsia"/>
                      <w:color w:val="auto"/>
                      <w:highlight w:val="none"/>
                    </w:rPr>
                    <w:t>2</w:t>
                  </w:r>
                </w:p>
              </w:tc>
              <w:tc>
                <w:tcPr>
                  <w:tcW w:w="3420" w:type="dxa"/>
                  <w:tcBorders>
                    <w:tl2br w:val="nil"/>
                    <w:tr2bl w:val="nil"/>
                  </w:tcBorders>
                </w:tcPr>
                <w:p w14:paraId="7E0DB12D">
                  <w:pPr>
                    <w:spacing w:line="280" w:lineRule="exact"/>
                    <w:rPr>
                      <w:rFonts w:hint="eastAsia"/>
                      <w:color w:val="auto"/>
                      <w:highlight w:val="none"/>
                    </w:rPr>
                  </w:pPr>
                  <w:r>
                    <w:rPr>
                      <w:rFonts w:hint="eastAsia"/>
                      <w:color w:val="auto"/>
                      <w:highlight w:val="none"/>
                    </w:rPr>
                    <w:t>累计已实际支付的合同价款</w:t>
                  </w:r>
                </w:p>
              </w:tc>
              <w:tc>
                <w:tcPr>
                  <w:tcW w:w="1620" w:type="dxa"/>
                  <w:tcBorders>
                    <w:tl2br w:val="nil"/>
                    <w:tr2bl w:val="nil"/>
                  </w:tcBorders>
                </w:tcPr>
                <w:p w14:paraId="56924B35">
                  <w:pPr>
                    <w:spacing w:line="280" w:lineRule="exact"/>
                    <w:rPr>
                      <w:rFonts w:hint="eastAsia"/>
                      <w:color w:val="auto"/>
                      <w:highlight w:val="none"/>
                    </w:rPr>
                  </w:pPr>
                </w:p>
              </w:tc>
              <w:tc>
                <w:tcPr>
                  <w:tcW w:w="1620" w:type="dxa"/>
                  <w:tcBorders>
                    <w:tl2br w:val="nil"/>
                    <w:tr2bl w:val="nil"/>
                  </w:tcBorders>
                </w:tcPr>
                <w:p w14:paraId="2DFFFC42">
                  <w:pPr>
                    <w:spacing w:line="280" w:lineRule="exact"/>
                    <w:rPr>
                      <w:rFonts w:hint="eastAsia"/>
                      <w:color w:val="auto"/>
                      <w:highlight w:val="none"/>
                    </w:rPr>
                  </w:pPr>
                </w:p>
              </w:tc>
              <w:tc>
                <w:tcPr>
                  <w:tcW w:w="1651" w:type="dxa"/>
                  <w:tcBorders>
                    <w:tl2br w:val="nil"/>
                    <w:tr2bl w:val="nil"/>
                  </w:tcBorders>
                </w:tcPr>
                <w:p w14:paraId="277CF0F0">
                  <w:pPr>
                    <w:spacing w:line="280" w:lineRule="exact"/>
                    <w:rPr>
                      <w:rFonts w:hint="eastAsia"/>
                      <w:color w:val="auto"/>
                      <w:highlight w:val="none"/>
                    </w:rPr>
                  </w:pPr>
                </w:p>
              </w:tc>
            </w:tr>
            <w:tr w14:paraId="7350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51BAF211">
                  <w:pPr>
                    <w:spacing w:line="280" w:lineRule="exact"/>
                    <w:jc w:val="center"/>
                    <w:rPr>
                      <w:rFonts w:hint="eastAsia"/>
                      <w:color w:val="auto"/>
                      <w:highlight w:val="none"/>
                    </w:rPr>
                  </w:pPr>
                  <w:r>
                    <w:rPr>
                      <w:rFonts w:hint="eastAsia"/>
                      <w:color w:val="auto"/>
                      <w:highlight w:val="none"/>
                    </w:rPr>
                    <w:t>3</w:t>
                  </w:r>
                </w:p>
              </w:tc>
              <w:tc>
                <w:tcPr>
                  <w:tcW w:w="3420" w:type="dxa"/>
                  <w:tcBorders>
                    <w:tl2br w:val="nil"/>
                    <w:tr2bl w:val="nil"/>
                  </w:tcBorders>
                </w:tcPr>
                <w:p w14:paraId="72CE8CEB">
                  <w:pPr>
                    <w:spacing w:line="280" w:lineRule="exact"/>
                    <w:rPr>
                      <w:rFonts w:hint="eastAsia"/>
                      <w:color w:val="auto"/>
                      <w:highlight w:val="none"/>
                    </w:rPr>
                  </w:pPr>
                  <w:r>
                    <w:rPr>
                      <w:rFonts w:hint="eastAsia"/>
                      <w:color w:val="auto"/>
                      <w:highlight w:val="none"/>
                    </w:rPr>
                    <w:t>应预留的质量保证金</w:t>
                  </w:r>
                </w:p>
              </w:tc>
              <w:tc>
                <w:tcPr>
                  <w:tcW w:w="1620" w:type="dxa"/>
                  <w:tcBorders>
                    <w:tl2br w:val="nil"/>
                    <w:tr2bl w:val="nil"/>
                  </w:tcBorders>
                </w:tcPr>
                <w:p w14:paraId="27FDA1BF">
                  <w:pPr>
                    <w:spacing w:line="280" w:lineRule="exact"/>
                    <w:rPr>
                      <w:rFonts w:hint="eastAsia"/>
                      <w:color w:val="auto"/>
                      <w:highlight w:val="none"/>
                    </w:rPr>
                  </w:pPr>
                </w:p>
              </w:tc>
              <w:tc>
                <w:tcPr>
                  <w:tcW w:w="1620" w:type="dxa"/>
                  <w:tcBorders>
                    <w:tl2br w:val="nil"/>
                    <w:tr2bl w:val="nil"/>
                  </w:tcBorders>
                </w:tcPr>
                <w:p w14:paraId="19085B22">
                  <w:pPr>
                    <w:spacing w:line="280" w:lineRule="exact"/>
                    <w:rPr>
                      <w:rFonts w:hint="eastAsia"/>
                      <w:color w:val="auto"/>
                      <w:highlight w:val="none"/>
                    </w:rPr>
                  </w:pPr>
                </w:p>
              </w:tc>
              <w:tc>
                <w:tcPr>
                  <w:tcW w:w="1651" w:type="dxa"/>
                  <w:tcBorders>
                    <w:tl2br w:val="nil"/>
                    <w:tr2bl w:val="nil"/>
                  </w:tcBorders>
                </w:tcPr>
                <w:p w14:paraId="1CCBBC38">
                  <w:pPr>
                    <w:spacing w:line="280" w:lineRule="exact"/>
                    <w:rPr>
                      <w:rFonts w:hint="eastAsia"/>
                      <w:color w:val="auto"/>
                      <w:highlight w:val="none"/>
                    </w:rPr>
                  </w:pPr>
                </w:p>
              </w:tc>
            </w:tr>
            <w:tr w14:paraId="4119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55643E43">
                  <w:pPr>
                    <w:spacing w:line="280" w:lineRule="exact"/>
                    <w:jc w:val="center"/>
                    <w:rPr>
                      <w:rFonts w:hint="eastAsia"/>
                      <w:color w:val="auto"/>
                      <w:highlight w:val="none"/>
                    </w:rPr>
                  </w:pPr>
                  <w:r>
                    <w:rPr>
                      <w:rFonts w:hint="eastAsia"/>
                      <w:color w:val="auto"/>
                      <w:highlight w:val="none"/>
                    </w:rPr>
                    <w:t>4</w:t>
                  </w:r>
                </w:p>
              </w:tc>
              <w:tc>
                <w:tcPr>
                  <w:tcW w:w="3420" w:type="dxa"/>
                  <w:tcBorders>
                    <w:tl2br w:val="nil"/>
                    <w:tr2bl w:val="nil"/>
                  </w:tcBorders>
                </w:tcPr>
                <w:p w14:paraId="1048CFB7">
                  <w:pPr>
                    <w:spacing w:line="280" w:lineRule="exact"/>
                    <w:rPr>
                      <w:rFonts w:hint="eastAsia"/>
                      <w:color w:val="auto"/>
                      <w:highlight w:val="none"/>
                    </w:rPr>
                  </w:pPr>
                  <w:r>
                    <w:rPr>
                      <w:rFonts w:hint="eastAsia"/>
                      <w:color w:val="auto"/>
                      <w:highlight w:val="none"/>
                    </w:rPr>
                    <w:t>应支付的竣工结算款金额</w:t>
                  </w:r>
                </w:p>
              </w:tc>
              <w:tc>
                <w:tcPr>
                  <w:tcW w:w="1620" w:type="dxa"/>
                  <w:tcBorders>
                    <w:tl2br w:val="nil"/>
                    <w:tr2bl w:val="nil"/>
                  </w:tcBorders>
                </w:tcPr>
                <w:p w14:paraId="00AB48EC">
                  <w:pPr>
                    <w:spacing w:line="280" w:lineRule="exact"/>
                    <w:rPr>
                      <w:rFonts w:hint="eastAsia"/>
                      <w:color w:val="auto"/>
                      <w:highlight w:val="none"/>
                    </w:rPr>
                  </w:pPr>
                </w:p>
              </w:tc>
              <w:tc>
                <w:tcPr>
                  <w:tcW w:w="1620" w:type="dxa"/>
                  <w:tcBorders>
                    <w:tl2br w:val="nil"/>
                    <w:tr2bl w:val="nil"/>
                  </w:tcBorders>
                </w:tcPr>
                <w:p w14:paraId="52F961F6">
                  <w:pPr>
                    <w:spacing w:line="280" w:lineRule="exact"/>
                    <w:rPr>
                      <w:rFonts w:hint="eastAsia"/>
                      <w:color w:val="auto"/>
                      <w:highlight w:val="none"/>
                    </w:rPr>
                  </w:pPr>
                </w:p>
              </w:tc>
              <w:tc>
                <w:tcPr>
                  <w:tcW w:w="1651" w:type="dxa"/>
                  <w:tcBorders>
                    <w:tl2br w:val="nil"/>
                    <w:tr2bl w:val="nil"/>
                  </w:tcBorders>
                </w:tcPr>
                <w:p w14:paraId="5396AECD">
                  <w:pPr>
                    <w:spacing w:line="280" w:lineRule="exact"/>
                    <w:rPr>
                      <w:rFonts w:hint="eastAsia"/>
                      <w:color w:val="auto"/>
                      <w:highlight w:val="none"/>
                    </w:rPr>
                  </w:pPr>
                </w:p>
              </w:tc>
            </w:tr>
            <w:tr w14:paraId="053A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488397AD">
                  <w:pPr>
                    <w:spacing w:line="280" w:lineRule="exact"/>
                    <w:jc w:val="center"/>
                    <w:rPr>
                      <w:rFonts w:hint="eastAsia"/>
                      <w:color w:val="auto"/>
                      <w:highlight w:val="none"/>
                    </w:rPr>
                  </w:pPr>
                </w:p>
              </w:tc>
              <w:tc>
                <w:tcPr>
                  <w:tcW w:w="3420" w:type="dxa"/>
                  <w:tcBorders>
                    <w:tl2br w:val="nil"/>
                    <w:tr2bl w:val="nil"/>
                  </w:tcBorders>
                </w:tcPr>
                <w:p w14:paraId="0A4E0431">
                  <w:pPr>
                    <w:spacing w:line="280" w:lineRule="exact"/>
                    <w:rPr>
                      <w:rFonts w:hint="eastAsia"/>
                      <w:color w:val="auto"/>
                      <w:highlight w:val="none"/>
                    </w:rPr>
                  </w:pPr>
                </w:p>
              </w:tc>
              <w:tc>
                <w:tcPr>
                  <w:tcW w:w="1620" w:type="dxa"/>
                  <w:tcBorders>
                    <w:tl2br w:val="nil"/>
                    <w:tr2bl w:val="nil"/>
                  </w:tcBorders>
                </w:tcPr>
                <w:p w14:paraId="269B513B">
                  <w:pPr>
                    <w:spacing w:line="280" w:lineRule="exact"/>
                    <w:rPr>
                      <w:rFonts w:hint="eastAsia"/>
                      <w:color w:val="auto"/>
                      <w:highlight w:val="none"/>
                    </w:rPr>
                  </w:pPr>
                </w:p>
              </w:tc>
              <w:tc>
                <w:tcPr>
                  <w:tcW w:w="1620" w:type="dxa"/>
                  <w:tcBorders>
                    <w:tl2br w:val="nil"/>
                    <w:tr2bl w:val="nil"/>
                  </w:tcBorders>
                </w:tcPr>
                <w:p w14:paraId="1D4D18DC">
                  <w:pPr>
                    <w:spacing w:line="280" w:lineRule="exact"/>
                    <w:rPr>
                      <w:rFonts w:hint="eastAsia"/>
                      <w:color w:val="auto"/>
                      <w:highlight w:val="none"/>
                    </w:rPr>
                  </w:pPr>
                </w:p>
              </w:tc>
              <w:tc>
                <w:tcPr>
                  <w:tcW w:w="1651" w:type="dxa"/>
                  <w:tcBorders>
                    <w:tl2br w:val="nil"/>
                    <w:tr2bl w:val="nil"/>
                  </w:tcBorders>
                </w:tcPr>
                <w:p w14:paraId="6BB8DD83">
                  <w:pPr>
                    <w:spacing w:line="280" w:lineRule="exact"/>
                    <w:rPr>
                      <w:rFonts w:hint="eastAsia"/>
                      <w:color w:val="auto"/>
                      <w:highlight w:val="none"/>
                    </w:rPr>
                  </w:pPr>
                </w:p>
              </w:tc>
            </w:tr>
            <w:tr w14:paraId="7E90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666D40F1">
                  <w:pPr>
                    <w:spacing w:line="280" w:lineRule="exact"/>
                    <w:jc w:val="center"/>
                    <w:rPr>
                      <w:rFonts w:hint="eastAsia"/>
                      <w:color w:val="auto"/>
                      <w:highlight w:val="none"/>
                    </w:rPr>
                  </w:pPr>
                </w:p>
              </w:tc>
              <w:tc>
                <w:tcPr>
                  <w:tcW w:w="3420" w:type="dxa"/>
                  <w:tcBorders>
                    <w:tl2br w:val="nil"/>
                    <w:tr2bl w:val="nil"/>
                  </w:tcBorders>
                </w:tcPr>
                <w:p w14:paraId="2AD498E6">
                  <w:pPr>
                    <w:spacing w:line="280" w:lineRule="exact"/>
                    <w:rPr>
                      <w:rFonts w:hint="eastAsia"/>
                      <w:color w:val="auto"/>
                      <w:highlight w:val="none"/>
                    </w:rPr>
                  </w:pPr>
                </w:p>
              </w:tc>
              <w:tc>
                <w:tcPr>
                  <w:tcW w:w="1620" w:type="dxa"/>
                  <w:tcBorders>
                    <w:tl2br w:val="nil"/>
                    <w:tr2bl w:val="nil"/>
                  </w:tcBorders>
                </w:tcPr>
                <w:p w14:paraId="00BB431A">
                  <w:pPr>
                    <w:spacing w:line="280" w:lineRule="exact"/>
                    <w:rPr>
                      <w:rFonts w:hint="eastAsia"/>
                      <w:color w:val="auto"/>
                      <w:highlight w:val="none"/>
                    </w:rPr>
                  </w:pPr>
                </w:p>
              </w:tc>
              <w:tc>
                <w:tcPr>
                  <w:tcW w:w="1620" w:type="dxa"/>
                  <w:tcBorders>
                    <w:tl2br w:val="nil"/>
                    <w:tr2bl w:val="nil"/>
                  </w:tcBorders>
                </w:tcPr>
                <w:p w14:paraId="3B428AF9">
                  <w:pPr>
                    <w:spacing w:line="280" w:lineRule="exact"/>
                    <w:rPr>
                      <w:rFonts w:hint="eastAsia"/>
                      <w:color w:val="auto"/>
                      <w:highlight w:val="none"/>
                    </w:rPr>
                  </w:pPr>
                </w:p>
              </w:tc>
              <w:tc>
                <w:tcPr>
                  <w:tcW w:w="1651" w:type="dxa"/>
                  <w:tcBorders>
                    <w:tl2br w:val="nil"/>
                    <w:tr2bl w:val="nil"/>
                  </w:tcBorders>
                </w:tcPr>
                <w:p w14:paraId="75C611E6">
                  <w:pPr>
                    <w:spacing w:line="280" w:lineRule="exact"/>
                    <w:rPr>
                      <w:rFonts w:hint="eastAsia"/>
                      <w:color w:val="auto"/>
                      <w:highlight w:val="none"/>
                    </w:rPr>
                  </w:pPr>
                </w:p>
              </w:tc>
            </w:tr>
            <w:tr w14:paraId="061A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6B6FE2AA">
                  <w:pPr>
                    <w:spacing w:line="280" w:lineRule="exact"/>
                    <w:jc w:val="center"/>
                    <w:rPr>
                      <w:rFonts w:hint="eastAsia"/>
                      <w:color w:val="auto"/>
                      <w:highlight w:val="none"/>
                    </w:rPr>
                  </w:pPr>
                </w:p>
              </w:tc>
              <w:tc>
                <w:tcPr>
                  <w:tcW w:w="3420" w:type="dxa"/>
                  <w:tcBorders>
                    <w:tl2br w:val="nil"/>
                    <w:tr2bl w:val="nil"/>
                  </w:tcBorders>
                </w:tcPr>
                <w:p w14:paraId="36EDFA57">
                  <w:pPr>
                    <w:spacing w:line="280" w:lineRule="exact"/>
                    <w:rPr>
                      <w:rFonts w:hint="eastAsia"/>
                      <w:color w:val="auto"/>
                      <w:highlight w:val="none"/>
                    </w:rPr>
                  </w:pPr>
                </w:p>
              </w:tc>
              <w:tc>
                <w:tcPr>
                  <w:tcW w:w="1620" w:type="dxa"/>
                  <w:tcBorders>
                    <w:tl2br w:val="nil"/>
                    <w:tr2bl w:val="nil"/>
                  </w:tcBorders>
                </w:tcPr>
                <w:p w14:paraId="3CDA9CE6">
                  <w:pPr>
                    <w:spacing w:line="280" w:lineRule="exact"/>
                    <w:rPr>
                      <w:rFonts w:hint="eastAsia"/>
                      <w:color w:val="auto"/>
                      <w:highlight w:val="none"/>
                    </w:rPr>
                  </w:pPr>
                </w:p>
              </w:tc>
              <w:tc>
                <w:tcPr>
                  <w:tcW w:w="1620" w:type="dxa"/>
                  <w:tcBorders>
                    <w:tl2br w:val="nil"/>
                    <w:tr2bl w:val="nil"/>
                  </w:tcBorders>
                </w:tcPr>
                <w:p w14:paraId="693A32D0">
                  <w:pPr>
                    <w:spacing w:line="280" w:lineRule="exact"/>
                    <w:rPr>
                      <w:rFonts w:hint="eastAsia"/>
                      <w:color w:val="auto"/>
                      <w:highlight w:val="none"/>
                    </w:rPr>
                  </w:pPr>
                </w:p>
              </w:tc>
              <w:tc>
                <w:tcPr>
                  <w:tcW w:w="1651" w:type="dxa"/>
                  <w:tcBorders>
                    <w:tl2br w:val="nil"/>
                    <w:tr2bl w:val="nil"/>
                  </w:tcBorders>
                </w:tcPr>
                <w:p w14:paraId="382562CD">
                  <w:pPr>
                    <w:spacing w:line="280" w:lineRule="exact"/>
                    <w:rPr>
                      <w:rFonts w:hint="eastAsia"/>
                      <w:color w:val="auto"/>
                      <w:highlight w:val="none"/>
                    </w:rPr>
                  </w:pPr>
                </w:p>
              </w:tc>
            </w:tr>
            <w:tr w14:paraId="2D68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1723E945">
                  <w:pPr>
                    <w:spacing w:line="280" w:lineRule="exact"/>
                    <w:jc w:val="center"/>
                    <w:rPr>
                      <w:rFonts w:hint="eastAsia"/>
                      <w:color w:val="auto"/>
                      <w:highlight w:val="none"/>
                    </w:rPr>
                  </w:pPr>
                </w:p>
              </w:tc>
              <w:tc>
                <w:tcPr>
                  <w:tcW w:w="3420" w:type="dxa"/>
                  <w:tcBorders>
                    <w:tl2br w:val="nil"/>
                    <w:tr2bl w:val="nil"/>
                  </w:tcBorders>
                </w:tcPr>
                <w:p w14:paraId="3432CBAE">
                  <w:pPr>
                    <w:spacing w:line="280" w:lineRule="exact"/>
                    <w:rPr>
                      <w:rFonts w:hint="eastAsia"/>
                      <w:color w:val="auto"/>
                      <w:highlight w:val="none"/>
                    </w:rPr>
                  </w:pPr>
                </w:p>
              </w:tc>
              <w:tc>
                <w:tcPr>
                  <w:tcW w:w="1620" w:type="dxa"/>
                  <w:tcBorders>
                    <w:tl2br w:val="nil"/>
                    <w:tr2bl w:val="nil"/>
                  </w:tcBorders>
                </w:tcPr>
                <w:p w14:paraId="2011A803">
                  <w:pPr>
                    <w:spacing w:line="280" w:lineRule="exact"/>
                    <w:rPr>
                      <w:rFonts w:hint="eastAsia"/>
                      <w:color w:val="auto"/>
                      <w:highlight w:val="none"/>
                    </w:rPr>
                  </w:pPr>
                </w:p>
              </w:tc>
              <w:tc>
                <w:tcPr>
                  <w:tcW w:w="1620" w:type="dxa"/>
                  <w:tcBorders>
                    <w:tl2br w:val="nil"/>
                    <w:tr2bl w:val="nil"/>
                  </w:tcBorders>
                </w:tcPr>
                <w:p w14:paraId="00B6C3F5">
                  <w:pPr>
                    <w:spacing w:line="280" w:lineRule="exact"/>
                    <w:rPr>
                      <w:rFonts w:hint="eastAsia"/>
                      <w:color w:val="auto"/>
                      <w:highlight w:val="none"/>
                    </w:rPr>
                  </w:pPr>
                </w:p>
              </w:tc>
              <w:tc>
                <w:tcPr>
                  <w:tcW w:w="1651" w:type="dxa"/>
                  <w:tcBorders>
                    <w:tl2br w:val="nil"/>
                    <w:tr2bl w:val="nil"/>
                  </w:tcBorders>
                </w:tcPr>
                <w:p w14:paraId="73CE2AB2">
                  <w:pPr>
                    <w:spacing w:line="280" w:lineRule="exact"/>
                    <w:rPr>
                      <w:rFonts w:hint="eastAsia"/>
                      <w:color w:val="auto"/>
                      <w:highlight w:val="none"/>
                    </w:rPr>
                  </w:pPr>
                </w:p>
              </w:tc>
            </w:tr>
            <w:tr w14:paraId="6651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009745BA">
                  <w:pPr>
                    <w:spacing w:line="280" w:lineRule="exact"/>
                    <w:jc w:val="center"/>
                    <w:rPr>
                      <w:rFonts w:hint="eastAsia"/>
                      <w:color w:val="auto"/>
                      <w:highlight w:val="none"/>
                    </w:rPr>
                  </w:pPr>
                </w:p>
              </w:tc>
              <w:tc>
                <w:tcPr>
                  <w:tcW w:w="3420" w:type="dxa"/>
                  <w:tcBorders>
                    <w:tl2br w:val="nil"/>
                    <w:tr2bl w:val="nil"/>
                  </w:tcBorders>
                </w:tcPr>
                <w:p w14:paraId="6AFAB918">
                  <w:pPr>
                    <w:spacing w:line="280" w:lineRule="exact"/>
                    <w:rPr>
                      <w:rFonts w:hint="eastAsia"/>
                      <w:color w:val="auto"/>
                      <w:highlight w:val="none"/>
                    </w:rPr>
                  </w:pPr>
                </w:p>
              </w:tc>
              <w:tc>
                <w:tcPr>
                  <w:tcW w:w="1620" w:type="dxa"/>
                  <w:tcBorders>
                    <w:tl2br w:val="nil"/>
                    <w:tr2bl w:val="nil"/>
                  </w:tcBorders>
                </w:tcPr>
                <w:p w14:paraId="03A180EA">
                  <w:pPr>
                    <w:spacing w:line="280" w:lineRule="exact"/>
                    <w:rPr>
                      <w:rFonts w:hint="eastAsia"/>
                      <w:color w:val="auto"/>
                      <w:highlight w:val="none"/>
                    </w:rPr>
                  </w:pPr>
                </w:p>
              </w:tc>
              <w:tc>
                <w:tcPr>
                  <w:tcW w:w="1620" w:type="dxa"/>
                  <w:tcBorders>
                    <w:tl2br w:val="nil"/>
                    <w:tr2bl w:val="nil"/>
                  </w:tcBorders>
                </w:tcPr>
                <w:p w14:paraId="0ACB3442">
                  <w:pPr>
                    <w:spacing w:line="280" w:lineRule="exact"/>
                    <w:rPr>
                      <w:rFonts w:hint="eastAsia"/>
                      <w:color w:val="auto"/>
                      <w:highlight w:val="none"/>
                    </w:rPr>
                  </w:pPr>
                </w:p>
              </w:tc>
              <w:tc>
                <w:tcPr>
                  <w:tcW w:w="1651" w:type="dxa"/>
                  <w:tcBorders>
                    <w:tl2br w:val="nil"/>
                    <w:tr2bl w:val="nil"/>
                  </w:tcBorders>
                </w:tcPr>
                <w:p w14:paraId="1A26789E">
                  <w:pPr>
                    <w:spacing w:line="280" w:lineRule="exact"/>
                    <w:rPr>
                      <w:rFonts w:hint="eastAsia"/>
                      <w:color w:val="auto"/>
                      <w:highlight w:val="none"/>
                    </w:rPr>
                  </w:pPr>
                </w:p>
              </w:tc>
            </w:tr>
          </w:tbl>
          <w:p w14:paraId="0641C342">
            <w:pPr>
              <w:spacing w:line="400" w:lineRule="exact"/>
              <w:ind w:right="420" w:firstLine="435"/>
              <w:jc w:val="center"/>
              <w:rPr>
                <w:rFonts w:hint="eastAsia"/>
                <w:color w:val="auto"/>
                <w:highlight w:val="none"/>
              </w:rPr>
            </w:pPr>
          </w:p>
          <w:p w14:paraId="5138846F">
            <w:pPr>
              <w:spacing w:line="400" w:lineRule="exact"/>
              <w:ind w:right="420" w:firstLine="435"/>
              <w:jc w:val="center"/>
              <w:rPr>
                <w:rFonts w:hint="eastAsia"/>
                <w:color w:val="auto"/>
                <w:highlight w:val="none"/>
              </w:rPr>
            </w:pPr>
            <w:r>
              <w:rPr>
                <w:rFonts w:hint="eastAsia"/>
                <w:color w:val="auto"/>
                <w:highlight w:val="none"/>
              </w:rPr>
              <w:t xml:space="preserve">                                            承包人（章）             </w:t>
            </w:r>
          </w:p>
          <w:p w14:paraId="09927F4F">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19E5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tcBorders>
              <w:tl2br w:val="nil"/>
              <w:tr2bl w:val="nil"/>
            </w:tcBorders>
          </w:tcPr>
          <w:p w14:paraId="04A09FE1">
            <w:pPr>
              <w:spacing w:line="360" w:lineRule="exact"/>
              <w:rPr>
                <w:rFonts w:hint="eastAsia"/>
                <w:color w:val="auto"/>
                <w:highlight w:val="none"/>
              </w:rPr>
            </w:pPr>
            <w:r>
              <w:rPr>
                <w:rFonts w:hint="eastAsia"/>
                <w:color w:val="auto"/>
                <w:highlight w:val="none"/>
              </w:rPr>
              <w:t>复核意见：</w:t>
            </w:r>
          </w:p>
          <w:p w14:paraId="1DF22BDF">
            <w:pPr>
              <w:spacing w:line="360" w:lineRule="exact"/>
              <w:ind w:firstLine="312"/>
              <w:rPr>
                <w:rFonts w:hint="eastAsia"/>
                <w:color w:val="auto"/>
                <w:highlight w:val="none"/>
              </w:rPr>
            </w:pPr>
            <w:r>
              <w:rPr>
                <w:rFonts w:hint="eastAsia"/>
                <w:color w:val="auto"/>
                <w:highlight w:val="none"/>
              </w:rPr>
              <w:t>□与实际施工情况不相符，修改意见见附件。</w:t>
            </w:r>
          </w:p>
          <w:p w14:paraId="35C1CC25">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56DAA9B3">
            <w:pPr>
              <w:spacing w:line="360" w:lineRule="exact"/>
              <w:ind w:firstLine="435"/>
              <w:jc w:val="right"/>
              <w:rPr>
                <w:rFonts w:hint="eastAsia"/>
                <w:color w:val="auto"/>
                <w:highlight w:val="none"/>
              </w:rPr>
            </w:pPr>
          </w:p>
          <w:p w14:paraId="756DA83C">
            <w:pPr>
              <w:spacing w:line="360" w:lineRule="exact"/>
              <w:ind w:firstLine="435"/>
              <w:jc w:val="right"/>
              <w:rPr>
                <w:rFonts w:hint="eastAsia"/>
                <w:color w:val="auto"/>
                <w:highlight w:val="none"/>
              </w:rPr>
            </w:pPr>
          </w:p>
          <w:p w14:paraId="0E978F5E">
            <w:pPr>
              <w:spacing w:line="360" w:lineRule="exact"/>
              <w:ind w:firstLine="435"/>
              <w:jc w:val="center"/>
              <w:rPr>
                <w:rFonts w:hint="eastAsia"/>
                <w:color w:val="auto"/>
                <w:highlight w:val="none"/>
              </w:rPr>
            </w:pPr>
            <w:r>
              <w:rPr>
                <w:color w:val="auto"/>
                <w:highlight w:val="none"/>
              </w:rPr>
              <w:t xml:space="preserve">    </w:t>
            </w:r>
            <w:r>
              <w:rPr>
                <w:rFonts w:hint="eastAsia"/>
                <w:color w:val="auto"/>
                <w:highlight w:val="none"/>
              </w:rPr>
              <w:t xml:space="preserve">     </w:t>
            </w:r>
          </w:p>
          <w:p w14:paraId="61051098">
            <w:pPr>
              <w:spacing w:line="360" w:lineRule="exact"/>
              <w:ind w:firstLine="435"/>
              <w:jc w:val="center"/>
              <w:rPr>
                <w:rFonts w:hint="eastAsia"/>
                <w:color w:val="auto"/>
                <w:highlight w:val="none"/>
                <w:u w:val="single"/>
              </w:rPr>
            </w:pPr>
            <w:r>
              <w:rPr>
                <w:rFonts w:hint="eastAsia"/>
                <w:color w:val="auto"/>
                <w:highlight w:val="none"/>
              </w:rPr>
              <w:t xml:space="preserve">      监理工程师</w:t>
            </w:r>
            <w:r>
              <w:rPr>
                <w:rFonts w:hint="eastAsia"/>
                <w:color w:val="auto"/>
                <w:highlight w:val="none"/>
                <w:u w:val="single"/>
              </w:rPr>
              <w:t xml:space="preserve">           </w:t>
            </w:r>
          </w:p>
          <w:p w14:paraId="568DA8DD">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533" w:type="dxa"/>
            <w:tcBorders>
              <w:tl2br w:val="nil"/>
              <w:tr2bl w:val="nil"/>
            </w:tcBorders>
          </w:tcPr>
          <w:p w14:paraId="512BD69A">
            <w:pPr>
              <w:spacing w:line="360" w:lineRule="exact"/>
              <w:rPr>
                <w:rFonts w:hint="eastAsia"/>
                <w:color w:val="auto"/>
                <w:highlight w:val="none"/>
              </w:rPr>
            </w:pPr>
            <w:r>
              <w:rPr>
                <w:rFonts w:hint="eastAsia"/>
                <w:color w:val="auto"/>
                <w:highlight w:val="none"/>
              </w:rPr>
              <w:t>复核意见：</w:t>
            </w:r>
          </w:p>
          <w:p w14:paraId="14668AD7">
            <w:pPr>
              <w:spacing w:line="360" w:lineRule="exact"/>
              <w:ind w:firstLine="435"/>
              <w:rPr>
                <w:rFonts w:hint="eastAsia"/>
                <w:color w:val="auto"/>
                <w:highlight w:val="none"/>
                <w:u w:val="single"/>
              </w:rPr>
            </w:pPr>
            <w:r>
              <w:rPr>
                <w:rFonts w:hint="eastAsia"/>
                <w:color w:val="auto"/>
                <w:highlight w:val="none"/>
              </w:rPr>
              <w:t>你方提出的竣工结算支付申请经复核，竣工结算款总额为(大写)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 xml:space="preserve"> 元，扣除前期支付以及质量保证金后应支付金额为（大写）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w:t>
            </w:r>
          </w:p>
          <w:p w14:paraId="3BB5A3A6">
            <w:pPr>
              <w:spacing w:line="360" w:lineRule="exact"/>
              <w:ind w:firstLine="435"/>
              <w:jc w:val="center"/>
              <w:rPr>
                <w:rFonts w:hint="eastAsia"/>
                <w:color w:val="auto"/>
                <w:highlight w:val="none"/>
              </w:rPr>
            </w:pPr>
            <w:r>
              <w:rPr>
                <w:color w:val="auto"/>
                <w:highlight w:val="none"/>
              </w:rPr>
              <w:t xml:space="preserve">    </w:t>
            </w:r>
          </w:p>
          <w:p w14:paraId="004B4C17">
            <w:pPr>
              <w:spacing w:line="360" w:lineRule="exact"/>
              <w:ind w:firstLine="435"/>
              <w:jc w:val="center"/>
              <w:rPr>
                <w:rFonts w:hint="eastAsia"/>
                <w:color w:val="auto"/>
                <w:highlight w:val="none"/>
                <w:u w:val="single"/>
              </w:rPr>
            </w:pPr>
            <w:r>
              <w:rPr>
                <w:rFonts w:hint="eastAsia"/>
                <w:color w:val="auto"/>
                <w:highlight w:val="none"/>
              </w:rPr>
              <w:t xml:space="preserve">    造价工程师</w:t>
            </w:r>
            <w:r>
              <w:rPr>
                <w:rFonts w:hint="eastAsia"/>
                <w:color w:val="auto"/>
                <w:highlight w:val="none"/>
                <w:u w:val="single"/>
              </w:rPr>
              <w:t xml:space="preserve">           </w:t>
            </w:r>
          </w:p>
          <w:p w14:paraId="31489000">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6DC0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Borders>
              <w:tl2br w:val="nil"/>
              <w:tr2bl w:val="nil"/>
            </w:tcBorders>
          </w:tcPr>
          <w:p w14:paraId="4D3DA115">
            <w:pPr>
              <w:spacing w:line="400" w:lineRule="exact"/>
              <w:rPr>
                <w:rFonts w:hint="eastAsia"/>
                <w:color w:val="auto"/>
                <w:highlight w:val="none"/>
              </w:rPr>
            </w:pPr>
            <w:r>
              <w:rPr>
                <w:rFonts w:hint="eastAsia"/>
                <w:color w:val="auto"/>
                <w:highlight w:val="none"/>
              </w:rPr>
              <w:t>审核意见：</w:t>
            </w:r>
          </w:p>
          <w:p w14:paraId="0D5D3611">
            <w:pPr>
              <w:spacing w:line="400" w:lineRule="exact"/>
              <w:ind w:firstLine="435"/>
              <w:rPr>
                <w:rFonts w:hint="eastAsia"/>
                <w:color w:val="auto"/>
                <w:highlight w:val="none"/>
              </w:rPr>
            </w:pPr>
            <w:r>
              <w:rPr>
                <w:rFonts w:hint="eastAsia"/>
                <w:color w:val="auto"/>
                <w:highlight w:val="none"/>
              </w:rPr>
              <w:t>□不同意。</w:t>
            </w:r>
          </w:p>
          <w:p w14:paraId="7445A4D5">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7C7E682F">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7AFBCE8F">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2B2AEE54">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36FD2B93">
      <w:pPr>
        <w:spacing w:before="166"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32625288">
      <w:pPr>
        <w:spacing w:before="166"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07A3D540">
      <w:pPr>
        <w:ind w:right="360"/>
        <w:rPr>
          <w:rFonts w:hint="eastAsia"/>
          <w:color w:val="auto"/>
          <w:sz w:val="18"/>
          <w:szCs w:val="18"/>
          <w:highlight w:val="none"/>
        </w:rPr>
      </w:pPr>
      <w:r>
        <w:rPr>
          <w:rFonts w:hint="eastAsia"/>
          <w:color w:val="auto"/>
          <w:sz w:val="18"/>
          <w:szCs w:val="18"/>
          <w:highlight w:val="none"/>
        </w:rPr>
        <w:t xml:space="preserve">                                                                                            </w:t>
      </w:r>
    </w:p>
    <w:p w14:paraId="7DE7B8EF">
      <w:pPr>
        <w:rPr>
          <w:rFonts w:hint="eastAsia" w:hAnsi="宋体" w:cs="宋体"/>
          <w:color w:val="auto"/>
          <w:sz w:val="30"/>
          <w:szCs w:val="30"/>
          <w:highlight w:val="none"/>
        </w:rPr>
      </w:pPr>
      <w:r>
        <w:rPr>
          <w:rFonts w:hint="eastAsia" w:hAnsi="宋体" w:cs="宋体"/>
          <w:color w:val="auto"/>
          <w:sz w:val="30"/>
          <w:szCs w:val="30"/>
          <w:highlight w:val="none"/>
        </w:rPr>
        <w:br w:type="page"/>
      </w:r>
    </w:p>
    <w:p w14:paraId="0A1BA0F2">
      <w:pPr>
        <w:jc w:val="left"/>
        <w:rPr>
          <w:rFonts w:hint="eastAsia" w:hAnsi="宋体" w:cs="宋体"/>
          <w:color w:val="auto"/>
          <w:sz w:val="30"/>
          <w:szCs w:val="30"/>
          <w:highlight w:val="none"/>
        </w:rPr>
      </w:pPr>
    </w:p>
    <w:p w14:paraId="24362E2C">
      <w:pPr>
        <w:jc w:val="left"/>
        <w:rPr>
          <w:rFonts w:hint="eastAsia"/>
          <w:b/>
          <w:color w:val="auto"/>
          <w:sz w:val="30"/>
          <w:szCs w:val="30"/>
          <w:highlight w:val="none"/>
        </w:rPr>
      </w:pPr>
      <w:r>
        <w:rPr>
          <w:rFonts w:hint="eastAsia" w:hAnsi="宋体" w:cs="宋体"/>
          <w:color w:val="auto"/>
          <w:sz w:val="30"/>
          <w:szCs w:val="30"/>
          <w:highlight w:val="none"/>
        </w:rPr>
        <w:t>附件1</w:t>
      </w:r>
      <w:r>
        <w:rPr>
          <w:rFonts w:hint="eastAsia" w:hAnsi="宋体" w:cs="宋体"/>
          <w:color w:val="auto"/>
          <w:sz w:val="30"/>
          <w:szCs w:val="30"/>
          <w:highlight w:val="none"/>
          <w:lang w:val="en-US" w:eastAsia="zh-CN"/>
        </w:rPr>
        <w:t>2</w:t>
      </w:r>
      <w:r>
        <w:rPr>
          <w:rFonts w:hint="eastAsia" w:hAnsi="宋体" w:cs="宋体"/>
          <w:color w:val="auto"/>
          <w:sz w:val="30"/>
          <w:szCs w:val="30"/>
          <w:highlight w:val="none"/>
        </w:rPr>
        <w:t>：</w:t>
      </w:r>
    </w:p>
    <w:p w14:paraId="6902303B">
      <w:pPr>
        <w:jc w:val="center"/>
        <w:rPr>
          <w:rFonts w:hint="eastAsia"/>
          <w:b/>
          <w:color w:val="auto"/>
          <w:sz w:val="36"/>
          <w:szCs w:val="36"/>
          <w:highlight w:val="none"/>
        </w:rPr>
      </w:pPr>
      <w:r>
        <w:rPr>
          <w:rFonts w:hint="eastAsia"/>
          <w:b/>
          <w:color w:val="auto"/>
          <w:sz w:val="36"/>
          <w:szCs w:val="36"/>
          <w:highlight w:val="none"/>
        </w:rPr>
        <w:t>最终结算款支付申请（核准）表</w:t>
      </w:r>
    </w:p>
    <w:p w14:paraId="1985B810">
      <w:pPr>
        <w:rPr>
          <w:rFonts w:hint="eastAsia"/>
          <w:color w:val="auto"/>
          <w:sz w:val="24"/>
          <w:szCs w:val="24"/>
          <w:highlight w:val="none"/>
        </w:rPr>
      </w:pPr>
      <w:r>
        <w:rPr>
          <w:rFonts w:hint="eastAsia"/>
          <w:color w:val="auto"/>
          <w:sz w:val="24"/>
          <w:szCs w:val="24"/>
          <w:highlight w:val="none"/>
        </w:rPr>
        <w:t>工程名称：                                             编号：</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4F8E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072" w:type="dxa"/>
            <w:gridSpan w:val="2"/>
            <w:tcBorders>
              <w:tl2br w:val="nil"/>
              <w:tr2bl w:val="nil"/>
            </w:tcBorders>
          </w:tcPr>
          <w:p w14:paraId="56CF9223">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6F5DED1A">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期间已完成了缺陷修复工作，根据施工合同的约定，现申请支付最终结清合同款额为(大写)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元，请予核准。</w:t>
            </w:r>
          </w:p>
          <w:tbl>
            <w:tblPr>
              <w:tblStyle w:val="14"/>
              <w:tblpPr w:leftFromText="180" w:rightFromText="180" w:vertAnchor="page" w:horzAnchor="margin" w:tblpXSpec="left"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6435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l2br w:val="nil"/>
                    <w:tr2bl w:val="nil"/>
                  </w:tcBorders>
                  <w:vAlign w:val="center"/>
                </w:tcPr>
                <w:p w14:paraId="212FC056">
                  <w:pPr>
                    <w:spacing w:line="280" w:lineRule="exact"/>
                    <w:jc w:val="center"/>
                    <w:rPr>
                      <w:rFonts w:hint="eastAsia"/>
                      <w:color w:val="auto"/>
                      <w:highlight w:val="none"/>
                    </w:rPr>
                  </w:pPr>
                  <w:r>
                    <w:rPr>
                      <w:rFonts w:hint="eastAsia"/>
                      <w:color w:val="auto"/>
                      <w:highlight w:val="none"/>
                    </w:rPr>
                    <w:t>序号</w:t>
                  </w:r>
                </w:p>
              </w:tc>
              <w:tc>
                <w:tcPr>
                  <w:tcW w:w="3420" w:type="dxa"/>
                  <w:tcBorders>
                    <w:tl2br w:val="nil"/>
                    <w:tr2bl w:val="nil"/>
                  </w:tcBorders>
                  <w:vAlign w:val="center"/>
                </w:tcPr>
                <w:p w14:paraId="3815DF41">
                  <w:pPr>
                    <w:spacing w:line="280" w:lineRule="exact"/>
                    <w:jc w:val="center"/>
                    <w:rPr>
                      <w:rFonts w:hint="eastAsia"/>
                      <w:color w:val="auto"/>
                      <w:highlight w:val="none"/>
                    </w:rPr>
                  </w:pPr>
                  <w:r>
                    <w:rPr>
                      <w:rFonts w:hint="eastAsia"/>
                      <w:color w:val="auto"/>
                      <w:highlight w:val="none"/>
                    </w:rPr>
                    <w:t>名      称</w:t>
                  </w:r>
                </w:p>
              </w:tc>
              <w:tc>
                <w:tcPr>
                  <w:tcW w:w="1620" w:type="dxa"/>
                  <w:tcBorders>
                    <w:tl2br w:val="nil"/>
                    <w:tr2bl w:val="nil"/>
                  </w:tcBorders>
                  <w:vAlign w:val="center"/>
                </w:tcPr>
                <w:p w14:paraId="5082183E">
                  <w:pPr>
                    <w:spacing w:line="280" w:lineRule="exact"/>
                    <w:jc w:val="center"/>
                    <w:rPr>
                      <w:rFonts w:hint="eastAsia"/>
                      <w:color w:val="auto"/>
                      <w:highlight w:val="none"/>
                    </w:rPr>
                  </w:pPr>
                  <w:r>
                    <w:rPr>
                      <w:rFonts w:hint="eastAsia"/>
                      <w:color w:val="auto"/>
                      <w:highlight w:val="none"/>
                    </w:rPr>
                    <w:t>申请金额（元）</w:t>
                  </w:r>
                </w:p>
              </w:tc>
              <w:tc>
                <w:tcPr>
                  <w:tcW w:w="1620" w:type="dxa"/>
                  <w:tcBorders>
                    <w:tl2br w:val="nil"/>
                    <w:tr2bl w:val="nil"/>
                  </w:tcBorders>
                  <w:vAlign w:val="center"/>
                </w:tcPr>
                <w:p w14:paraId="28E492F7">
                  <w:pPr>
                    <w:spacing w:line="280" w:lineRule="exact"/>
                    <w:jc w:val="center"/>
                    <w:rPr>
                      <w:rFonts w:hint="eastAsia"/>
                      <w:color w:val="auto"/>
                      <w:highlight w:val="none"/>
                    </w:rPr>
                  </w:pPr>
                  <w:r>
                    <w:rPr>
                      <w:rFonts w:hint="eastAsia"/>
                      <w:color w:val="auto"/>
                      <w:highlight w:val="none"/>
                    </w:rPr>
                    <w:t>复核金额（元）</w:t>
                  </w:r>
                </w:p>
              </w:tc>
              <w:tc>
                <w:tcPr>
                  <w:tcW w:w="1651" w:type="dxa"/>
                  <w:tcBorders>
                    <w:tl2br w:val="nil"/>
                    <w:tr2bl w:val="nil"/>
                  </w:tcBorders>
                  <w:vAlign w:val="center"/>
                </w:tcPr>
                <w:p w14:paraId="7915C038">
                  <w:pPr>
                    <w:spacing w:line="280" w:lineRule="exact"/>
                    <w:jc w:val="center"/>
                    <w:rPr>
                      <w:rFonts w:hint="eastAsia"/>
                      <w:color w:val="auto"/>
                      <w:highlight w:val="none"/>
                    </w:rPr>
                  </w:pPr>
                  <w:r>
                    <w:rPr>
                      <w:rFonts w:hint="eastAsia"/>
                      <w:color w:val="auto"/>
                      <w:highlight w:val="none"/>
                    </w:rPr>
                    <w:t>备注</w:t>
                  </w:r>
                </w:p>
              </w:tc>
            </w:tr>
            <w:tr w14:paraId="7C20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6BF5BAC9">
                  <w:pPr>
                    <w:spacing w:line="280" w:lineRule="exact"/>
                    <w:jc w:val="center"/>
                    <w:rPr>
                      <w:rFonts w:hint="eastAsia"/>
                      <w:color w:val="auto"/>
                      <w:highlight w:val="none"/>
                    </w:rPr>
                  </w:pPr>
                  <w:r>
                    <w:rPr>
                      <w:rFonts w:hint="eastAsia"/>
                      <w:color w:val="auto"/>
                      <w:highlight w:val="none"/>
                    </w:rPr>
                    <w:t>1</w:t>
                  </w:r>
                </w:p>
              </w:tc>
              <w:tc>
                <w:tcPr>
                  <w:tcW w:w="3420" w:type="dxa"/>
                  <w:tcBorders>
                    <w:tl2br w:val="nil"/>
                    <w:tr2bl w:val="nil"/>
                  </w:tcBorders>
                </w:tcPr>
                <w:p w14:paraId="5F5083B4">
                  <w:pPr>
                    <w:spacing w:line="280" w:lineRule="exact"/>
                    <w:rPr>
                      <w:rFonts w:hint="eastAsia"/>
                      <w:color w:val="auto"/>
                      <w:highlight w:val="none"/>
                    </w:rPr>
                  </w:pPr>
                  <w:r>
                    <w:rPr>
                      <w:rFonts w:hint="eastAsia"/>
                      <w:color w:val="auto"/>
                      <w:highlight w:val="none"/>
                    </w:rPr>
                    <w:t>已预留的质量保证金</w:t>
                  </w:r>
                </w:p>
              </w:tc>
              <w:tc>
                <w:tcPr>
                  <w:tcW w:w="1620" w:type="dxa"/>
                  <w:tcBorders>
                    <w:tl2br w:val="nil"/>
                    <w:tr2bl w:val="nil"/>
                  </w:tcBorders>
                </w:tcPr>
                <w:p w14:paraId="02D2D4A7">
                  <w:pPr>
                    <w:spacing w:line="280" w:lineRule="exact"/>
                    <w:rPr>
                      <w:rFonts w:hint="eastAsia"/>
                      <w:color w:val="auto"/>
                      <w:highlight w:val="none"/>
                    </w:rPr>
                  </w:pPr>
                </w:p>
              </w:tc>
              <w:tc>
                <w:tcPr>
                  <w:tcW w:w="1620" w:type="dxa"/>
                  <w:tcBorders>
                    <w:tl2br w:val="nil"/>
                    <w:tr2bl w:val="nil"/>
                  </w:tcBorders>
                </w:tcPr>
                <w:p w14:paraId="069FA95B">
                  <w:pPr>
                    <w:spacing w:line="280" w:lineRule="exact"/>
                    <w:rPr>
                      <w:rFonts w:hint="eastAsia"/>
                      <w:color w:val="auto"/>
                      <w:highlight w:val="none"/>
                    </w:rPr>
                  </w:pPr>
                </w:p>
              </w:tc>
              <w:tc>
                <w:tcPr>
                  <w:tcW w:w="1651" w:type="dxa"/>
                  <w:tcBorders>
                    <w:tl2br w:val="nil"/>
                    <w:tr2bl w:val="nil"/>
                  </w:tcBorders>
                </w:tcPr>
                <w:p w14:paraId="6A48F0FE">
                  <w:pPr>
                    <w:spacing w:line="280" w:lineRule="exact"/>
                    <w:rPr>
                      <w:rFonts w:hint="eastAsia"/>
                      <w:color w:val="auto"/>
                      <w:highlight w:val="none"/>
                    </w:rPr>
                  </w:pPr>
                </w:p>
              </w:tc>
            </w:tr>
            <w:tr w14:paraId="3A98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16441330">
                  <w:pPr>
                    <w:spacing w:line="280" w:lineRule="exact"/>
                    <w:jc w:val="center"/>
                    <w:rPr>
                      <w:rFonts w:hint="eastAsia"/>
                      <w:color w:val="auto"/>
                      <w:highlight w:val="none"/>
                    </w:rPr>
                  </w:pPr>
                  <w:r>
                    <w:rPr>
                      <w:rFonts w:hint="eastAsia"/>
                      <w:color w:val="auto"/>
                      <w:highlight w:val="none"/>
                    </w:rPr>
                    <w:t>2</w:t>
                  </w:r>
                </w:p>
              </w:tc>
              <w:tc>
                <w:tcPr>
                  <w:tcW w:w="3420" w:type="dxa"/>
                  <w:tcBorders>
                    <w:tl2br w:val="nil"/>
                    <w:tr2bl w:val="nil"/>
                  </w:tcBorders>
                </w:tcPr>
                <w:p w14:paraId="04E79E79">
                  <w:pPr>
                    <w:spacing w:line="280" w:lineRule="exact"/>
                    <w:rPr>
                      <w:rFonts w:hint="eastAsia"/>
                      <w:color w:val="auto"/>
                      <w:highlight w:val="none"/>
                    </w:rPr>
                  </w:pPr>
                  <w:r>
                    <w:rPr>
                      <w:rFonts w:hint="eastAsia"/>
                      <w:color w:val="auto"/>
                      <w:highlight w:val="none"/>
                    </w:rPr>
                    <w:t>应增加因发包人原因造成缺陷的修复金额</w:t>
                  </w:r>
                </w:p>
              </w:tc>
              <w:tc>
                <w:tcPr>
                  <w:tcW w:w="1620" w:type="dxa"/>
                  <w:tcBorders>
                    <w:tl2br w:val="nil"/>
                    <w:tr2bl w:val="nil"/>
                  </w:tcBorders>
                </w:tcPr>
                <w:p w14:paraId="40CB7A53">
                  <w:pPr>
                    <w:spacing w:line="280" w:lineRule="exact"/>
                    <w:rPr>
                      <w:rFonts w:hint="eastAsia"/>
                      <w:color w:val="auto"/>
                      <w:highlight w:val="none"/>
                    </w:rPr>
                  </w:pPr>
                </w:p>
              </w:tc>
              <w:tc>
                <w:tcPr>
                  <w:tcW w:w="1620" w:type="dxa"/>
                  <w:tcBorders>
                    <w:tl2br w:val="nil"/>
                    <w:tr2bl w:val="nil"/>
                  </w:tcBorders>
                </w:tcPr>
                <w:p w14:paraId="3835E55A">
                  <w:pPr>
                    <w:spacing w:line="280" w:lineRule="exact"/>
                    <w:rPr>
                      <w:rFonts w:hint="eastAsia"/>
                      <w:color w:val="auto"/>
                      <w:highlight w:val="none"/>
                    </w:rPr>
                  </w:pPr>
                </w:p>
              </w:tc>
              <w:tc>
                <w:tcPr>
                  <w:tcW w:w="1651" w:type="dxa"/>
                  <w:tcBorders>
                    <w:tl2br w:val="nil"/>
                    <w:tr2bl w:val="nil"/>
                  </w:tcBorders>
                </w:tcPr>
                <w:p w14:paraId="2AF760ED">
                  <w:pPr>
                    <w:spacing w:line="280" w:lineRule="exact"/>
                    <w:rPr>
                      <w:rFonts w:hint="eastAsia"/>
                      <w:color w:val="auto"/>
                      <w:highlight w:val="none"/>
                    </w:rPr>
                  </w:pPr>
                </w:p>
              </w:tc>
            </w:tr>
            <w:tr w14:paraId="09D8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61F44DE6">
                  <w:pPr>
                    <w:spacing w:line="280" w:lineRule="exact"/>
                    <w:jc w:val="center"/>
                    <w:rPr>
                      <w:rFonts w:hint="eastAsia"/>
                      <w:color w:val="auto"/>
                      <w:highlight w:val="none"/>
                    </w:rPr>
                  </w:pPr>
                  <w:r>
                    <w:rPr>
                      <w:rFonts w:hint="eastAsia"/>
                      <w:color w:val="auto"/>
                      <w:highlight w:val="none"/>
                    </w:rPr>
                    <w:t>3</w:t>
                  </w:r>
                </w:p>
              </w:tc>
              <w:tc>
                <w:tcPr>
                  <w:tcW w:w="3420" w:type="dxa"/>
                  <w:tcBorders>
                    <w:tl2br w:val="nil"/>
                    <w:tr2bl w:val="nil"/>
                  </w:tcBorders>
                </w:tcPr>
                <w:p w14:paraId="68B35B0E">
                  <w:pPr>
                    <w:spacing w:line="280" w:lineRule="exact"/>
                    <w:rPr>
                      <w:rFonts w:hint="eastAsia"/>
                      <w:color w:val="auto"/>
                      <w:highlight w:val="none"/>
                    </w:rPr>
                  </w:pPr>
                  <w:r>
                    <w:rPr>
                      <w:rFonts w:hint="eastAsia"/>
                      <w:color w:val="auto"/>
                      <w:highlight w:val="none"/>
                    </w:rPr>
                    <w:t>应扣减承包人不修复缺陷、发包人组织修复的金额</w:t>
                  </w:r>
                </w:p>
              </w:tc>
              <w:tc>
                <w:tcPr>
                  <w:tcW w:w="1620" w:type="dxa"/>
                  <w:tcBorders>
                    <w:tl2br w:val="nil"/>
                    <w:tr2bl w:val="nil"/>
                  </w:tcBorders>
                </w:tcPr>
                <w:p w14:paraId="5901B09D">
                  <w:pPr>
                    <w:spacing w:line="280" w:lineRule="exact"/>
                    <w:rPr>
                      <w:rFonts w:hint="eastAsia"/>
                      <w:color w:val="auto"/>
                      <w:highlight w:val="none"/>
                    </w:rPr>
                  </w:pPr>
                </w:p>
              </w:tc>
              <w:tc>
                <w:tcPr>
                  <w:tcW w:w="1620" w:type="dxa"/>
                  <w:tcBorders>
                    <w:tl2br w:val="nil"/>
                    <w:tr2bl w:val="nil"/>
                  </w:tcBorders>
                </w:tcPr>
                <w:p w14:paraId="756EF03A">
                  <w:pPr>
                    <w:spacing w:line="280" w:lineRule="exact"/>
                    <w:rPr>
                      <w:rFonts w:hint="eastAsia"/>
                      <w:color w:val="auto"/>
                      <w:highlight w:val="none"/>
                    </w:rPr>
                  </w:pPr>
                </w:p>
              </w:tc>
              <w:tc>
                <w:tcPr>
                  <w:tcW w:w="1651" w:type="dxa"/>
                  <w:tcBorders>
                    <w:tl2br w:val="nil"/>
                    <w:tr2bl w:val="nil"/>
                  </w:tcBorders>
                </w:tcPr>
                <w:p w14:paraId="7BC2F1D7">
                  <w:pPr>
                    <w:spacing w:line="280" w:lineRule="exact"/>
                    <w:rPr>
                      <w:rFonts w:hint="eastAsia"/>
                      <w:color w:val="auto"/>
                      <w:highlight w:val="none"/>
                    </w:rPr>
                  </w:pPr>
                </w:p>
              </w:tc>
            </w:tr>
            <w:tr w14:paraId="2999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3B3DD300">
                  <w:pPr>
                    <w:spacing w:line="280" w:lineRule="exact"/>
                    <w:jc w:val="center"/>
                    <w:rPr>
                      <w:rFonts w:hint="eastAsia"/>
                      <w:color w:val="auto"/>
                      <w:highlight w:val="none"/>
                    </w:rPr>
                  </w:pPr>
                  <w:r>
                    <w:rPr>
                      <w:rFonts w:hint="eastAsia"/>
                      <w:color w:val="auto"/>
                      <w:highlight w:val="none"/>
                    </w:rPr>
                    <w:t>4</w:t>
                  </w:r>
                </w:p>
              </w:tc>
              <w:tc>
                <w:tcPr>
                  <w:tcW w:w="3420" w:type="dxa"/>
                  <w:tcBorders>
                    <w:tl2br w:val="nil"/>
                    <w:tr2bl w:val="nil"/>
                  </w:tcBorders>
                </w:tcPr>
                <w:p w14:paraId="61F37B96">
                  <w:pPr>
                    <w:spacing w:line="280" w:lineRule="exact"/>
                    <w:rPr>
                      <w:rFonts w:hint="eastAsia"/>
                      <w:color w:val="auto"/>
                      <w:highlight w:val="none"/>
                    </w:rPr>
                  </w:pPr>
                  <w:r>
                    <w:rPr>
                      <w:rFonts w:hint="eastAsia"/>
                      <w:color w:val="auto"/>
                      <w:highlight w:val="none"/>
                    </w:rPr>
                    <w:t>最终应支付的合同价款</w:t>
                  </w:r>
                </w:p>
              </w:tc>
              <w:tc>
                <w:tcPr>
                  <w:tcW w:w="1620" w:type="dxa"/>
                  <w:tcBorders>
                    <w:tl2br w:val="nil"/>
                    <w:tr2bl w:val="nil"/>
                  </w:tcBorders>
                </w:tcPr>
                <w:p w14:paraId="02824370">
                  <w:pPr>
                    <w:spacing w:line="280" w:lineRule="exact"/>
                    <w:rPr>
                      <w:rFonts w:hint="eastAsia"/>
                      <w:color w:val="auto"/>
                      <w:highlight w:val="none"/>
                    </w:rPr>
                  </w:pPr>
                </w:p>
              </w:tc>
              <w:tc>
                <w:tcPr>
                  <w:tcW w:w="1620" w:type="dxa"/>
                  <w:tcBorders>
                    <w:tl2br w:val="nil"/>
                    <w:tr2bl w:val="nil"/>
                  </w:tcBorders>
                </w:tcPr>
                <w:p w14:paraId="219FB932">
                  <w:pPr>
                    <w:spacing w:line="280" w:lineRule="exact"/>
                    <w:rPr>
                      <w:rFonts w:hint="eastAsia"/>
                      <w:color w:val="auto"/>
                      <w:highlight w:val="none"/>
                    </w:rPr>
                  </w:pPr>
                </w:p>
              </w:tc>
              <w:tc>
                <w:tcPr>
                  <w:tcW w:w="1651" w:type="dxa"/>
                  <w:tcBorders>
                    <w:tl2br w:val="nil"/>
                    <w:tr2bl w:val="nil"/>
                  </w:tcBorders>
                </w:tcPr>
                <w:p w14:paraId="56B3CFE4">
                  <w:pPr>
                    <w:spacing w:line="280" w:lineRule="exact"/>
                    <w:rPr>
                      <w:rFonts w:hint="eastAsia"/>
                      <w:color w:val="auto"/>
                      <w:highlight w:val="none"/>
                    </w:rPr>
                  </w:pPr>
                </w:p>
              </w:tc>
            </w:tr>
            <w:tr w14:paraId="4506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1F7F19D5">
                  <w:pPr>
                    <w:spacing w:line="280" w:lineRule="exact"/>
                    <w:jc w:val="center"/>
                    <w:rPr>
                      <w:rFonts w:hint="eastAsia"/>
                      <w:color w:val="auto"/>
                      <w:highlight w:val="none"/>
                    </w:rPr>
                  </w:pPr>
                </w:p>
              </w:tc>
              <w:tc>
                <w:tcPr>
                  <w:tcW w:w="3420" w:type="dxa"/>
                  <w:tcBorders>
                    <w:tl2br w:val="nil"/>
                    <w:tr2bl w:val="nil"/>
                  </w:tcBorders>
                </w:tcPr>
                <w:p w14:paraId="39F206BF">
                  <w:pPr>
                    <w:spacing w:line="280" w:lineRule="exact"/>
                    <w:rPr>
                      <w:rFonts w:hint="eastAsia"/>
                      <w:color w:val="auto"/>
                      <w:highlight w:val="none"/>
                    </w:rPr>
                  </w:pPr>
                </w:p>
              </w:tc>
              <w:tc>
                <w:tcPr>
                  <w:tcW w:w="1620" w:type="dxa"/>
                  <w:tcBorders>
                    <w:tl2br w:val="nil"/>
                    <w:tr2bl w:val="nil"/>
                  </w:tcBorders>
                </w:tcPr>
                <w:p w14:paraId="1CDC06ED">
                  <w:pPr>
                    <w:spacing w:line="280" w:lineRule="exact"/>
                    <w:rPr>
                      <w:rFonts w:hint="eastAsia"/>
                      <w:color w:val="auto"/>
                      <w:highlight w:val="none"/>
                    </w:rPr>
                  </w:pPr>
                </w:p>
              </w:tc>
              <w:tc>
                <w:tcPr>
                  <w:tcW w:w="1620" w:type="dxa"/>
                  <w:tcBorders>
                    <w:tl2br w:val="nil"/>
                    <w:tr2bl w:val="nil"/>
                  </w:tcBorders>
                </w:tcPr>
                <w:p w14:paraId="7F1E3E25">
                  <w:pPr>
                    <w:spacing w:line="280" w:lineRule="exact"/>
                    <w:rPr>
                      <w:rFonts w:hint="eastAsia"/>
                      <w:color w:val="auto"/>
                      <w:highlight w:val="none"/>
                    </w:rPr>
                  </w:pPr>
                </w:p>
              </w:tc>
              <w:tc>
                <w:tcPr>
                  <w:tcW w:w="1651" w:type="dxa"/>
                  <w:tcBorders>
                    <w:tl2br w:val="nil"/>
                    <w:tr2bl w:val="nil"/>
                  </w:tcBorders>
                </w:tcPr>
                <w:p w14:paraId="42CCA83C">
                  <w:pPr>
                    <w:spacing w:line="280" w:lineRule="exact"/>
                    <w:rPr>
                      <w:rFonts w:hint="eastAsia"/>
                      <w:color w:val="auto"/>
                      <w:highlight w:val="none"/>
                    </w:rPr>
                  </w:pPr>
                </w:p>
              </w:tc>
            </w:tr>
            <w:tr w14:paraId="4FE7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2A0E2A71">
                  <w:pPr>
                    <w:spacing w:line="280" w:lineRule="exact"/>
                    <w:jc w:val="center"/>
                    <w:rPr>
                      <w:rFonts w:hint="eastAsia"/>
                      <w:color w:val="auto"/>
                      <w:highlight w:val="none"/>
                    </w:rPr>
                  </w:pPr>
                </w:p>
              </w:tc>
              <w:tc>
                <w:tcPr>
                  <w:tcW w:w="3420" w:type="dxa"/>
                  <w:tcBorders>
                    <w:tl2br w:val="nil"/>
                    <w:tr2bl w:val="nil"/>
                  </w:tcBorders>
                </w:tcPr>
                <w:p w14:paraId="009539DE">
                  <w:pPr>
                    <w:spacing w:line="280" w:lineRule="exact"/>
                    <w:rPr>
                      <w:rFonts w:hint="eastAsia"/>
                      <w:color w:val="auto"/>
                      <w:highlight w:val="none"/>
                    </w:rPr>
                  </w:pPr>
                </w:p>
              </w:tc>
              <w:tc>
                <w:tcPr>
                  <w:tcW w:w="1620" w:type="dxa"/>
                  <w:tcBorders>
                    <w:tl2br w:val="nil"/>
                    <w:tr2bl w:val="nil"/>
                  </w:tcBorders>
                </w:tcPr>
                <w:p w14:paraId="1C90B9F7">
                  <w:pPr>
                    <w:spacing w:line="280" w:lineRule="exact"/>
                    <w:rPr>
                      <w:rFonts w:hint="eastAsia"/>
                      <w:color w:val="auto"/>
                      <w:highlight w:val="none"/>
                    </w:rPr>
                  </w:pPr>
                </w:p>
              </w:tc>
              <w:tc>
                <w:tcPr>
                  <w:tcW w:w="1620" w:type="dxa"/>
                  <w:tcBorders>
                    <w:tl2br w:val="nil"/>
                    <w:tr2bl w:val="nil"/>
                  </w:tcBorders>
                </w:tcPr>
                <w:p w14:paraId="3F19C5C4">
                  <w:pPr>
                    <w:spacing w:line="280" w:lineRule="exact"/>
                    <w:rPr>
                      <w:rFonts w:hint="eastAsia"/>
                      <w:color w:val="auto"/>
                      <w:highlight w:val="none"/>
                    </w:rPr>
                  </w:pPr>
                </w:p>
              </w:tc>
              <w:tc>
                <w:tcPr>
                  <w:tcW w:w="1651" w:type="dxa"/>
                  <w:tcBorders>
                    <w:tl2br w:val="nil"/>
                    <w:tr2bl w:val="nil"/>
                  </w:tcBorders>
                </w:tcPr>
                <w:p w14:paraId="745B3771">
                  <w:pPr>
                    <w:spacing w:line="280" w:lineRule="exact"/>
                    <w:rPr>
                      <w:rFonts w:hint="eastAsia"/>
                      <w:color w:val="auto"/>
                      <w:highlight w:val="none"/>
                    </w:rPr>
                  </w:pPr>
                </w:p>
              </w:tc>
            </w:tr>
            <w:tr w14:paraId="2E36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064A5537">
                  <w:pPr>
                    <w:spacing w:line="280" w:lineRule="exact"/>
                    <w:jc w:val="center"/>
                    <w:rPr>
                      <w:rFonts w:hint="eastAsia"/>
                      <w:color w:val="auto"/>
                      <w:highlight w:val="none"/>
                    </w:rPr>
                  </w:pPr>
                </w:p>
              </w:tc>
              <w:tc>
                <w:tcPr>
                  <w:tcW w:w="3420" w:type="dxa"/>
                  <w:tcBorders>
                    <w:tl2br w:val="nil"/>
                    <w:tr2bl w:val="nil"/>
                  </w:tcBorders>
                </w:tcPr>
                <w:p w14:paraId="1FEB42F1">
                  <w:pPr>
                    <w:spacing w:line="280" w:lineRule="exact"/>
                    <w:rPr>
                      <w:rFonts w:hint="eastAsia"/>
                      <w:color w:val="auto"/>
                      <w:highlight w:val="none"/>
                    </w:rPr>
                  </w:pPr>
                </w:p>
              </w:tc>
              <w:tc>
                <w:tcPr>
                  <w:tcW w:w="1620" w:type="dxa"/>
                  <w:tcBorders>
                    <w:tl2br w:val="nil"/>
                    <w:tr2bl w:val="nil"/>
                  </w:tcBorders>
                </w:tcPr>
                <w:p w14:paraId="37E28E7B">
                  <w:pPr>
                    <w:spacing w:line="280" w:lineRule="exact"/>
                    <w:rPr>
                      <w:rFonts w:hint="eastAsia"/>
                      <w:color w:val="auto"/>
                      <w:highlight w:val="none"/>
                    </w:rPr>
                  </w:pPr>
                </w:p>
              </w:tc>
              <w:tc>
                <w:tcPr>
                  <w:tcW w:w="1620" w:type="dxa"/>
                  <w:tcBorders>
                    <w:tl2br w:val="nil"/>
                    <w:tr2bl w:val="nil"/>
                  </w:tcBorders>
                </w:tcPr>
                <w:p w14:paraId="0E7E5F1A">
                  <w:pPr>
                    <w:spacing w:line="280" w:lineRule="exact"/>
                    <w:rPr>
                      <w:rFonts w:hint="eastAsia"/>
                      <w:color w:val="auto"/>
                      <w:highlight w:val="none"/>
                    </w:rPr>
                  </w:pPr>
                </w:p>
              </w:tc>
              <w:tc>
                <w:tcPr>
                  <w:tcW w:w="1651" w:type="dxa"/>
                  <w:tcBorders>
                    <w:tl2br w:val="nil"/>
                    <w:tr2bl w:val="nil"/>
                  </w:tcBorders>
                </w:tcPr>
                <w:p w14:paraId="2F623124">
                  <w:pPr>
                    <w:spacing w:line="280" w:lineRule="exact"/>
                    <w:rPr>
                      <w:rFonts w:hint="eastAsia"/>
                      <w:color w:val="auto"/>
                      <w:highlight w:val="none"/>
                    </w:rPr>
                  </w:pPr>
                </w:p>
              </w:tc>
            </w:tr>
            <w:tr w14:paraId="6B0A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4B2AD13E">
                  <w:pPr>
                    <w:spacing w:line="280" w:lineRule="exact"/>
                    <w:jc w:val="center"/>
                    <w:rPr>
                      <w:rFonts w:hint="eastAsia"/>
                      <w:color w:val="auto"/>
                      <w:highlight w:val="none"/>
                    </w:rPr>
                  </w:pPr>
                </w:p>
              </w:tc>
              <w:tc>
                <w:tcPr>
                  <w:tcW w:w="3420" w:type="dxa"/>
                  <w:tcBorders>
                    <w:tl2br w:val="nil"/>
                    <w:tr2bl w:val="nil"/>
                  </w:tcBorders>
                </w:tcPr>
                <w:p w14:paraId="68EAA34F">
                  <w:pPr>
                    <w:spacing w:line="280" w:lineRule="exact"/>
                    <w:rPr>
                      <w:rFonts w:hint="eastAsia"/>
                      <w:color w:val="auto"/>
                      <w:highlight w:val="none"/>
                    </w:rPr>
                  </w:pPr>
                </w:p>
              </w:tc>
              <w:tc>
                <w:tcPr>
                  <w:tcW w:w="1620" w:type="dxa"/>
                  <w:tcBorders>
                    <w:tl2br w:val="nil"/>
                    <w:tr2bl w:val="nil"/>
                  </w:tcBorders>
                </w:tcPr>
                <w:p w14:paraId="37DED14F">
                  <w:pPr>
                    <w:spacing w:line="280" w:lineRule="exact"/>
                    <w:rPr>
                      <w:rFonts w:hint="eastAsia"/>
                      <w:color w:val="auto"/>
                      <w:highlight w:val="none"/>
                    </w:rPr>
                  </w:pPr>
                </w:p>
              </w:tc>
              <w:tc>
                <w:tcPr>
                  <w:tcW w:w="1620" w:type="dxa"/>
                  <w:tcBorders>
                    <w:tl2br w:val="nil"/>
                    <w:tr2bl w:val="nil"/>
                  </w:tcBorders>
                </w:tcPr>
                <w:p w14:paraId="4CD629DF">
                  <w:pPr>
                    <w:spacing w:line="280" w:lineRule="exact"/>
                    <w:rPr>
                      <w:rFonts w:hint="eastAsia"/>
                      <w:color w:val="auto"/>
                      <w:highlight w:val="none"/>
                    </w:rPr>
                  </w:pPr>
                </w:p>
              </w:tc>
              <w:tc>
                <w:tcPr>
                  <w:tcW w:w="1651" w:type="dxa"/>
                  <w:tcBorders>
                    <w:tl2br w:val="nil"/>
                    <w:tr2bl w:val="nil"/>
                  </w:tcBorders>
                </w:tcPr>
                <w:p w14:paraId="25D9715E">
                  <w:pPr>
                    <w:spacing w:line="280" w:lineRule="exact"/>
                    <w:rPr>
                      <w:rFonts w:hint="eastAsia"/>
                      <w:color w:val="auto"/>
                      <w:highlight w:val="none"/>
                    </w:rPr>
                  </w:pPr>
                </w:p>
              </w:tc>
            </w:tr>
          </w:tbl>
          <w:p w14:paraId="0435BE9A">
            <w:pPr>
              <w:spacing w:line="400" w:lineRule="exact"/>
              <w:ind w:right="420" w:firstLine="435"/>
              <w:jc w:val="center"/>
              <w:rPr>
                <w:rFonts w:hint="eastAsia"/>
                <w:color w:val="auto"/>
                <w:highlight w:val="none"/>
              </w:rPr>
            </w:pPr>
            <w:r>
              <w:rPr>
                <w:rFonts w:hint="eastAsia"/>
                <w:color w:val="auto"/>
                <w:highlight w:val="none"/>
              </w:rPr>
              <w:t xml:space="preserve">                                            承包人（章）             </w:t>
            </w:r>
          </w:p>
          <w:p w14:paraId="3709E385">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516F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tcBorders>
              <w:tl2br w:val="nil"/>
              <w:tr2bl w:val="nil"/>
            </w:tcBorders>
          </w:tcPr>
          <w:p w14:paraId="6FCE44B8">
            <w:pPr>
              <w:spacing w:line="360" w:lineRule="exact"/>
              <w:rPr>
                <w:rFonts w:hint="eastAsia"/>
                <w:color w:val="auto"/>
                <w:highlight w:val="none"/>
              </w:rPr>
            </w:pPr>
            <w:r>
              <w:rPr>
                <w:rFonts w:hint="eastAsia"/>
                <w:color w:val="auto"/>
                <w:highlight w:val="none"/>
              </w:rPr>
              <w:t>复核意见：</w:t>
            </w:r>
          </w:p>
          <w:p w14:paraId="1EFFD7C9">
            <w:pPr>
              <w:spacing w:line="360" w:lineRule="exact"/>
              <w:ind w:firstLine="312"/>
              <w:rPr>
                <w:rFonts w:hint="eastAsia"/>
                <w:color w:val="auto"/>
                <w:highlight w:val="none"/>
              </w:rPr>
            </w:pPr>
            <w:r>
              <w:rPr>
                <w:rFonts w:hint="eastAsia"/>
                <w:color w:val="auto"/>
                <w:highlight w:val="none"/>
              </w:rPr>
              <w:t>□与实际施工情况不相符，修改意见见附件。</w:t>
            </w:r>
          </w:p>
          <w:p w14:paraId="6CF6A606">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3D14AC9B">
            <w:pPr>
              <w:spacing w:line="360" w:lineRule="exact"/>
              <w:ind w:firstLine="435"/>
              <w:jc w:val="right"/>
              <w:rPr>
                <w:rFonts w:hint="eastAsia"/>
                <w:color w:val="auto"/>
                <w:highlight w:val="none"/>
              </w:rPr>
            </w:pPr>
          </w:p>
          <w:p w14:paraId="7ABCEC73">
            <w:pPr>
              <w:spacing w:line="360" w:lineRule="exact"/>
              <w:ind w:firstLine="435"/>
              <w:jc w:val="right"/>
              <w:rPr>
                <w:rFonts w:hint="eastAsia"/>
                <w:color w:val="auto"/>
                <w:highlight w:val="none"/>
              </w:rPr>
            </w:pPr>
          </w:p>
          <w:p w14:paraId="6933A062">
            <w:pPr>
              <w:spacing w:line="360" w:lineRule="exact"/>
              <w:ind w:firstLine="435"/>
              <w:jc w:val="center"/>
              <w:rPr>
                <w:rFonts w:hint="eastAsia"/>
                <w:color w:val="auto"/>
                <w:highlight w:val="none"/>
              </w:rPr>
            </w:pPr>
            <w:r>
              <w:rPr>
                <w:color w:val="auto"/>
                <w:highlight w:val="none"/>
              </w:rPr>
              <w:t xml:space="preserve">    </w:t>
            </w:r>
            <w:r>
              <w:rPr>
                <w:rFonts w:hint="eastAsia"/>
                <w:color w:val="auto"/>
                <w:highlight w:val="none"/>
              </w:rPr>
              <w:t xml:space="preserve">     </w:t>
            </w:r>
          </w:p>
          <w:p w14:paraId="76661B1D">
            <w:pPr>
              <w:spacing w:line="360" w:lineRule="exact"/>
              <w:ind w:firstLine="435"/>
              <w:jc w:val="center"/>
              <w:rPr>
                <w:rFonts w:hint="eastAsia"/>
                <w:color w:val="auto"/>
                <w:highlight w:val="none"/>
                <w:u w:val="single"/>
              </w:rPr>
            </w:pPr>
            <w:r>
              <w:rPr>
                <w:rFonts w:hint="eastAsia"/>
                <w:color w:val="auto"/>
                <w:highlight w:val="none"/>
              </w:rPr>
              <w:t xml:space="preserve">        监理工程师</w:t>
            </w:r>
            <w:r>
              <w:rPr>
                <w:rFonts w:hint="eastAsia"/>
                <w:color w:val="auto"/>
                <w:highlight w:val="none"/>
                <w:u w:val="single"/>
              </w:rPr>
              <w:t xml:space="preserve">           </w:t>
            </w:r>
          </w:p>
          <w:p w14:paraId="35EC61B7">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533" w:type="dxa"/>
            <w:tcBorders>
              <w:tl2br w:val="nil"/>
              <w:tr2bl w:val="nil"/>
            </w:tcBorders>
          </w:tcPr>
          <w:p w14:paraId="6B86CB1B">
            <w:pPr>
              <w:spacing w:line="360" w:lineRule="exact"/>
              <w:rPr>
                <w:rFonts w:hint="eastAsia"/>
                <w:color w:val="auto"/>
                <w:highlight w:val="none"/>
              </w:rPr>
            </w:pPr>
            <w:r>
              <w:rPr>
                <w:rFonts w:hint="eastAsia"/>
                <w:color w:val="auto"/>
                <w:highlight w:val="none"/>
              </w:rPr>
              <w:t>复核意见：</w:t>
            </w:r>
          </w:p>
          <w:p w14:paraId="6ADDBEA3">
            <w:pPr>
              <w:spacing w:line="360" w:lineRule="exact"/>
              <w:ind w:firstLine="435"/>
              <w:rPr>
                <w:rFonts w:hint="eastAsia"/>
                <w:color w:val="auto"/>
                <w:highlight w:val="none"/>
                <w:u w:val="single"/>
              </w:rPr>
            </w:pPr>
            <w:r>
              <w:rPr>
                <w:rFonts w:hint="eastAsia"/>
                <w:color w:val="auto"/>
                <w:highlight w:val="none"/>
              </w:rPr>
              <w:t>你方提出的支付申请经复核，最终应支付金额为（大写）</w:t>
            </w:r>
            <w:r>
              <w:rPr>
                <w:rFonts w:hint="eastAsia"/>
                <w:color w:val="auto"/>
                <w:highlight w:val="none"/>
                <w:u w:val="single"/>
              </w:rPr>
              <w:t xml:space="preserve">          </w:t>
            </w:r>
            <w:r>
              <w:rPr>
                <w:rFonts w:hint="eastAsia"/>
                <w:color w:val="auto"/>
                <w:highlight w:val="none"/>
              </w:rPr>
              <w:t xml:space="preserve">元，（小写）  </w:t>
            </w:r>
            <w:r>
              <w:rPr>
                <w:rFonts w:hint="eastAsia"/>
                <w:color w:val="auto"/>
                <w:highlight w:val="none"/>
                <w:u w:val="single"/>
              </w:rPr>
              <w:t xml:space="preserve">       </w:t>
            </w:r>
            <w:r>
              <w:rPr>
                <w:rFonts w:hint="eastAsia"/>
                <w:color w:val="auto"/>
                <w:highlight w:val="none"/>
              </w:rPr>
              <w:t>元。</w:t>
            </w:r>
          </w:p>
          <w:p w14:paraId="2018CD93">
            <w:pPr>
              <w:spacing w:line="360" w:lineRule="exact"/>
              <w:ind w:firstLine="435"/>
              <w:jc w:val="center"/>
              <w:rPr>
                <w:rFonts w:hint="eastAsia"/>
                <w:color w:val="auto"/>
                <w:highlight w:val="none"/>
              </w:rPr>
            </w:pPr>
            <w:r>
              <w:rPr>
                <w:color w:val="auto"/>
                <w:highlight w:val="none"/>
              </w:rPr>
              <w:t xml:space="preserve">    </w:t>
            </w:r>
          </w:p>
          <w:p w14:paraId="4090B307">
            <w:pPr>
              <w:spacing w:line="360" w:lineRule="exact"/>
              <w:ind w:firstLine="435"/>
              <w:jc w:val="center"/>
              <w:rPr>
                <w:rFonts w:hint="eastAsia"/>
                <w:color w:val="auto"/>
                <w:highlight w:val="none"/>
              </w:rPr>
            </w:pPr>
          </w:p>
          <w:p w14:paraId="3B8C3F7A">
            <w:pPr>
              <w:spacing w:line="360" w:lineRule="exact"/>
              <w:ind w:firstLine="435"/>
              <w:jc w:val="center"/>
              <w:rPr>
                <w:rFonts w:hint="eastAsia"/>
                <w:color w:val="auto"/>
                <w:highlight w:val="none"/>
              </w:rPr>
            </w:pPr>
          </w:p>
          <w:p w14:paraId="06F30DE0">
            <w:pPr>
              <w:spacing w:line="360" w:lineRule="exact"/>
              <w:ind w:firstLine="435"/>
              <w:jc w:val="center"/>
              <w:rPr>
                <w:rFonts w:hint="eastAsia"/>
                <w:color w:val="auto"/>
                <w:highlight w:val="none"/>
              </w:rPr>
            </w:pPr>
          </w:p>
          <w:p w14:paraId="5B65950D">
            <w:pPr>
              <w:spacing w:line="360" w:lineRule="exact"/>
              <w:ind w:firstLine="435"/>
              <w:jc w:val="center"/>
              <w:rPr>
                <w:rFonts w:hint="eastAsia"/>
                <w:color w:val="auto"/>
                <w:highlight w:val="none"/>
                <w:u w:val="single"/>
              </w:rPr>
            </w:pPr>
            <w:r>
              <w:rPr>
                <w:rFonts w:hint="eastAsia"/>
                <w:color w:val="auto"/>
                <w:highlight w:val="none"/>
              </w:rPr>
              <w:t xml:space="preserve">    造价工程师</w:t>
            </w:r>
            <w:r>
              <w:rPr>
                <w:rFonts w:hint="eastAsia"/>
                <w:color w:val="auto"/>
                <w:highlight w:val="none"/>
                <w:u w:val="single"/>
              </w:rPr>
              <w:t xml:space="preserve">           </w:t>
            </w:r>
          </w:p>
          <w:p w14:paraId="28317873">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6BB84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Borders>
              <w:tl2br w:val="nil"/>
              <w:tr2bl w:val="nil"/>
            </w:tcBorders>
          </w:tcPr>
          <w:p w14:paraId="0DAFD784">
            <w:pPr>
              <w:spacing w:line="400" w:lineRule="exact"/>
              <w:rPr>
                <w:rFonts w:hint="eastAsia"/>
                <w:color w:val="auto"/>
                <w:highlight w:val="none"/>
              </w:rPr>
            </w:pPr>
            <w:r>
              <w:rPr>
                <w:rFonts w:hint="eastAsia"/>
                <w:color w:val="auto"/>
                <w:highlight w:val="none"/>
              </w:rPr>
              <w:t>审核意见：</w:t>
            </w:r>
          </w:p>
          <w:p w14:paraId="0F71F80C">
            <w:pPr>
              <w:spacing w:line="400" w:lineRule="exact"/>
              <w:ind w:firstLine="435"/>
              <w:rPr>
                <w:rFonts w:hint="eastAsia"/>
                <w:color w:val="auto"/>
                <w:highlight w:val="none"/>
              </w:rPr>
            </w:pPr>
            <w:r>
              <w:rPr>
                <w:rFonts w:hint="eastAsia"/>
                <w:color w:val="auto"/>
                <w:highlight w:val="none"/>
              </w:rPr>
              <w:t>□不同意。</w:t>
            </w:r>
          </w:p>
          <w:p w14:paraId="3E49AC45">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114534B1">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137159EF">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2DEEAC99">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6F864A6C">
      <w:pPr>
        <w:spacing w:before="166" w:beforeLines="50"/>
        <w:ind w:firstLine="360" w:firstLineChars="200"/>
        <w:rPr>
          <w:rFonts w:hint="eastAsia"/>
          <w:color w:val="auto"/>
          <w:sz w:val="18"/>
          <w:szCs w:val="18"/>
          <w:highlight w:val="none"/>
        </w:rPr>
      </w:pPr>
      <w:r>
        <w:rPr>
          <w:rFonts w:hint="eastAsia"/>
          <w:color w:val="auto"/>
          <w:sz w:val="18"/>
          <w:szCs w:val="18"/>
          <w:highlight w:val="none"/>
        </w:rPr>
        <w:t>注：1.在选择栏中的“□”内作标识“√”。 如监理人已退场，监理工程师栏可空缺。</w:t>
      </w:r>
    </w:p>
    <w:p w14:paraId="26C15CA5">
      <w:pPr>
        <w:spacing w:before="166"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47F17C7D">
      <w:pPr>
        <w:rPr>
          <w:rFonts w:hint="eastAsia"/>
          <w:color w:val="auto"/>
          <w:sz w:val="30"/>
          <w:szCs w:val="30"/>
          <w:highlight w:val="none"/>
        </w:rPr>
      </w:pPr>
      <w:r>
        <w:rPr>
          <w:rFonts w:hint="eastAsia"/>
          <w:color w:val="auto"/>
          <w:sz w:val="30"/>
          <w:szCs w:val="30"/>
          <w:highlight w:val="none"/>
        </w:rPr>
        <w:br w:type="page"/>
      </w:r>
    </w:p>
    <w:p w14:paraId="0A026A56">
      <w:pPr>
        <w:spacing w:line="360" w:lineRule="auto"/>
        <w:jc w:val="left"/>
        <w:rPr>
          <w:rFonts w:hint="eastAsia"/>
          <w:color w:val="auto"/>
          <w:sz w:val="30"/>
          <w:szCs w:val="30"/>
          <w:highlight w:val="none"/>
        </w:rPr>
      </w:pPr>
    </w:p>
    <w:p w14:paraId="2C1D4986">
      <w:pPr>
        <w:spacing w:line="360" w:lineRule="auto"/>
        <w:jc w:val="left"/>
        <w:rPr>
          <w:rFonts w:hint="eastAsia" w:hAnsi="宋体" w:cs="宋体"/>
          <w:color w:val="auto"/>
          <w:sz w:val="30"/>
          <w:szCs w:val="30"/>
          <w:highlight w:val="none"/>
        </w:rPr>
      </w:pPr>
      <w:r>
        <w:rPr>
          <w:rFonts w:hint="eastAsia"/>
          <w:color w:val="auto"/>
          <w:sz w:val="30"/>
          <w:szCs w:val="30"/>
          <w:highlight w:val="none"/>
        </w:rPr>
        <w:t>附件1</w:t>
      </w:r>
      <w:r>
        <w:rPr>
          <w:rFonts w:hint="eastAsia"/>
          <w:color w:val="auto"/>
          <w:sz w:val="30"/>
          <w:szCs w:val="30"/>
          <w:highlight w:val="none"/>
          <w:lang w:val="en-US" w:eastAsia="zh-CN"/>
        </w:rPr>
        <w:t>3</w:t>
      </w:r>
      <w:r>
        <w:rPr>
          <w:rFonts w:hint="eastAsia"/>
          <w:color w:val="auto"/>
          <w:sz w:val="30"/>
          <w:szCs w:val="30"/>
          <w:highlight w:val="none"/>
        </w:rPr>
        <w:t>：</w:t>
      </w:r>
    </w:p>
    <w:p w14:paraId="785D6DFF">
      <w:pPr>
        <w:spacing w:line="360" w:lineRule="auto"/>
        <w:ind w:firstLine="720" w:firstLineChars="200"/>
        <w:jc w:val="center"/>
        <w:rPr>
          <w:rFonts w:hint="eastAsia" w:ascii="宋体" w:hAnsi="宋体" w:cs="宋体"/>
          <w:color w:val="auto"/>
          <w:kern w:val="0"/>
          <w:sz w:val="36"/>
          <w:szCs w:val="36"/>
          <w:highlight w:val="none"/>
        </w:rPr>
      </w:pPr>
      <w:r>
        <w:rPr>
          <w:rFonts w:hint="eastAsia" w:ascii="宋体" w:hAnsi="宋体" w:cs="宋体"/>
          <w:color w:val="auto"/>
          <w:kern w:val="0"/>
          <w:sz w:val="36"/>
          <w:szCs w:val="36"/>
          <w:highlight w:val="none"/>
        </w:rPr>
        <w:t>总价合同进度款支付分解表</w:t>
      </w:r>
    </w:p>
    <w:p w14:paraId="636D843B">
      <w:pPr>
        <w:spacing w:line="360" w:lineRule="auto"/>
        <w:rPr>
          <w:rFonts w:hint="eastAsia" w:ascii="宋体" w:hAnsi="宋体" w:cs="宋体"/>
          <w:color w:val="auto"/>
          <w:kern w:val="0"/>
          <w:highlight w:val="none"/>
        </w:rPr>
      </w:pPr>
      <w:r>
        <w:rPr>
          <w:rFonts w:hint="eastAsia" w:ascii="宋体" w:hAnsi="宋体" w:cs="宋体"/>
          <w:color w:val="auto"/>
          <w:kern w:val="0"/>
          <w:highlight w:val="none"/>
        </w:rPr>
        <w:t>工程名称：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3794"/>
        <w:gridCol w:w="2268"/>
        <w:gridCol w:w="1276"/>
      </w:tblGrid>
      <w:tr w14:paraId="386C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Borders>
              <w:tl2br w:val="nil"/>
              <w:tr2bl w:val="nil"/>
            </w:tcBorders>
          </w:tcPr>
          <w:p w14:paraId="0B7732EE">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进度款期次</w:t>
            </w:r>
          </w:p>
        </w:tc>
        <w:tc>
          <w:tcPr>
            <w:tcW w:w="3794" w:type="dxa"/>
            <w:tcBorders>
              <w:tl2br w:val="nil"/>
              <w:tr2bl w:val="nil"/>
            </w:tcBorders>
          </w:tcPr>
          <w:p w14:paraId="32DEAEE1">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形象进度</w:t>
            </w:r>
          </w:p>
        </w:tc>
        <w:tc>
          <w:tcPr>
            <w:tcW w:w="2268" w:type="dxa"/>
            <w:tcBorders>
              <w:tl2br w:val="nil"/>
              <w:tr2bl w:val="nil"/>
            </w:tcBorders>
          </w:tcPr>
          <w:p w14:paraId="767672D1">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进度款付款金额（元）</w:t>
            </w:r>
          </w:p>
        </w:tc>
        <w:tc>
          <w:tcPr>
            <w:tcW w:w="1276" w:type="dxa"/>
            <w:tcBorders>
              <w:tl2br w:val="nil"/>
              <w:tr2bl w:val="nil"/>
            </w:tcBorders>
          </w:tcPr>
          <w:p w14:paraId="10E6E202">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备注</w:t>
            </w:r>
          </w:p>
        </w:tc>
      </w:tr>
      <w:tr w14:paraId="0531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Borders>
              <w:tl2br w:val="nil"/>
              <w:tr2bl w:val="nil"/>
            </w:tcBorders>
          </w:tcPr>
          <w:p w14:paraId="723D4AEC">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第一期</w:t>
            </w:r>
          </w:p>
        </w:tc>
        <w:tc>
          <w:tcPr>
            <w:tcW w:w="3794" w:type="dxa"/>
            <w:tcBorders>
              <w:tl2br w:val="nil"/>
              <w:tr2bl w:val="nil"/>
            </w:tcBorders>
          </w:tcPr>
          <w:p w14:paraId="2D80B395">
            <w:pPr>
              <w:spacing w:line="360" w:lineRule="auto"/>
              <w:jc w:val="center"/>
              <w:rPr>
                <w:rFonts w:hint="eastAsia" w:ascii="宋体" w:hAnsi="宋体" w:cs="宋体"/>
                <w:color w:val="auto"/>
                <w:kern w:val="0"/>
                <w:highlight w:val="none"/>
              </w:rPr>
            </w:pPr>
          </w:p>
        </w:tc>
        <w:tc>
          <w:tcPr>
            <w:tcW w:w="2268" w:type="dxa"/>
            <w:tcBorders>
              <w:tl2br w:val="nil"/>
              <w:tr2bl w:val="nil"/>
            </w:tcBorders>
          </w:tcPr>
          <w:p w14:paraId="0289765D">
            <w:pPr>
              <w:spacing w:line="360" w:lineRule="auto"/>
              <w:jc w:val="center"/>
              <w:rPr>
                <w:rFonts w:hint="eastAsia" w:ascii="宋体" w:hAnsi="宋体" w:cs="宋体"/>
                <w:color w:val="auto"/>
                <w:kern w:val="0"/>
                <w:highlight w:val="none"/>
              </w:rPr>
            </w:pPr>
          </w:p>
        </w:tc>
        <w:tc>
          <w:tcPr>
            <w:tcW w:w="1276" w:type="dxa"/>
            <w:tcBorders>
              <w:tl2br w:val="nil"/>
              <w:tr2bl w:val="nil"/>
            </w:tcBorders>
          </w:tcPr>
          <w:p w14:paraId="074D7DFD">
            <w:pPr>
              <w:spacing w:line="360" w:lineRule="auto"/>
              <w:jc w:val="center"/>
              <w:rPr>
                <w:rFonts w:hint="eastAsia" w:ascii="宋体" w:hAnsi="宋体" w:cs="宋体"/>
                <w:color w:val="auto"/>
                <w:kern w:val="0"/>
                <w:highlight w:val="none"/>
              </w:rPr>
            </w:pPr>
          </w:p>
        </w:tc>
      </w:tr>
      <w:tr w14:paraId="7BE8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Borders>
              <w:tl2br w:val="nil"/>
              <w:tr2bl w:val="nil"/>
            </w:tcBorders>
          </w:tcPr>
          <w:p w14:paraId="7FD8BF4B">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第二期</w:t>
            </w:r>
          </w:p>
        </w:tc>
        <w:tc>
          <w:tcPr>
            <w:tcW w:w="3794" w:type="dxa"/>
            <w:tcBorders>
              <w:tl2br w:val="nil"/>
              <w:tr2bl w:val="nil"/>
            </w:tcBorders>
          </w:tcPr>
          <w:p w14:paraId="32A20F9E">
            <w:pPr>
              <w:spacing w:line="360" w:lineRule="auto"/>
              <w:jc w:val="center"/>
              <w:rPr>
                <w:rFonts w:hint="eastAsia" w:ascii="宋体" w:hAnsi="宋体" w:cs="宋体"/>
                <w:color w:val="auto"/>
                <w:kern w:val="0"/>
                <w:highlight w:val="none"/>
              </w:rPr>
            </w:pPr>
          </w:p>
        </w:tc>
        <w:tc>
          <w:tcPr>
            <w:tcW w:w="2268" w:type="dxa"/>
            <w:tcBorders>
              <w:tl2br w:val="nil"/>
              <w:tr2bl w:val="nil"/>
            </w:tcBorders>
          </w:tcPr>
          <w:p w14:paraId="600C9F8C">
            <w:pPr>
              <w:spacing w:line="360" w:lineRule="auto"/>
              <w:jc w:val="center"/>
              <w:rPr>
                <w:rFonts w:hint="eastAsia" w:ascii="宋体" w:hAnsi="宋体" w:cs="宋体"/>
                <w:color w:val="auto"/>
                <w:kern w:val="0"/>
                <w:highlight w:val="none"/>
              </w:rPr>
            </w:pPr>
          </w:p>
        </w:tc>
        <w:tc>
          <w:tcPr>
            <w:tcW w:w="1276" w:type="dxa"/>
            <w:tcBorders>
              <w:tl2br w:val="nil"/>
              <w:tr2bl w:val="nil"/>
            </w:tcBorders>
          </w:tcPr>
          <w:p w14:paraId="33A2F047">
            <w:pPr>
              <w:spacing w:line="360" w:lineRule="auto"/>
              <w:jc w:val="center"/>
              <w:rPr>
                <w:rFonts w:hint="eastAsia" w:ascii="宋体" w:hAnsi="宋体" w:cs="宋体"/>
                <w:color w:val="auto"/>
                <w:kern w:val="0"/>
                <w:highlight w:val="none"/>
              </w:rPr>
            </w:pPr>
          </w:p>
        </w:tc>
      </w:tr>
      <w:tr w14:paraId="1FA4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Borders>
              <w:tl2br w:val="nil"/>
              <w:tr2bl w:val="nil"/>
            </w:tcBorders>
          </w:tcPr>
          <w:p w14:paraId="729C9A9E">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第三期</w:t>
            </w:r>
          </w:p>
        </w:tc>
        <w:tc>
          <w:tcPr>
            <w:tcW w:w="3794" w:type="dxa"/>
            <w:tcBorders>
              <w:tl2br w:val="nil"/>
              <w:tr2bl w:val="nil"/>
            </w:tcBorders>
          </w:tcPr>
          <w:p w14:paraId="7765FDD3">
            <w:pPr>
              <w:spacing w:line="360" w:lineRule="auto"/>
              <w:jc w:val="center"/>
              <w:rPr>
                <w:rFonts w:hint="eastAsia" w:ascii="宋体" w:hAnsi="宋体" w:cs="宋体"/>
                <w:color w:val="auto"/>
                <w:kern w:val="0"/>
                <w:highlight w:val="none"/>
              </w:rPr>
            </w:pPr>
          </w:p>
        </w:tc>
        <w:tc>
          <w:tcPr>
            <w:tcW w:w="2268" w:type="dxa"/>
            <w:tcBorders>
              <w:tl2br w:val="nil"/>
              <w:tr2bl w:val="nil"/>
            </w:tcBorders>
          </w:tcPr>
          <w:p w14:paraId="6F54F49A">
            <w:pPr>
              <w:spacing w:line="360" w:lineRule="auto"/>
              <w:jc w:val="center"/>
              <w:rPr>
                <w:rFonts w:hint="eastAsia" w:ascii="宋体" w:hAnsi="宋体" w:cs="宋体"/>
                <w:color w:val="auto"/>
                <w:kern w:val="0"/>
                <w:highlight w:val="none"/>
              </w:rPr>
            </w:pPr>
          </w:p>
        </w:tc>
        <w:tc>
          <w:tcPr>
            <w:tcW w:w="1276" w:type="dxa"/>
            <w:tcBorders>
              <w:tl2br w:val="nil"/>
              <w:tr2bl w:val="nil"/>
            </w:tcBorders>
          </w:tcPr>
          <w:p w14:paraId="077C37DC">
            <w:pPr>
              <w:spacing w:line="360" w:lineRule="auto"/>
              <w:jc w:val="center"/>
              <w:rPr>
                <w:rFonts w:hint="eastAsia" w:ascii="宋体" w:hAnsi="宋体" w:cs="宋体"/>
                <w:color w:val="auto"/>
                <w:kern w:val="0"/>
                <w:highlight w:val="none"/>
              </w:rPr>
            </w:pPr>
          </w:p>
        </w:tc>
      </w:tr>
      <w:tr w14:paraId="247F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Borders>
              <w:tl2br w:val="nil"/>
              <w:tr2bl w:val="nil"/>
            </w:tcBorders>
          </w:tcPr>
          <w:p w14:paraId="69287799">
            <w:pPr>
              <w:spacing w:line="360" w:lineRule="auto"/>
              <w:jc w:val="center"/>
              <w:rPr>
                <w:rFonts w:hint="eastAsia" w:ascii="宋体" w:hAnsi="宋体" w:cs="宋体"/>
                <w:color w:val="auto"/>
                <w:kern w:val="0"/>
                <w:highlight w:val="none"/>
              </w:rPr>
            </w:pPr>
            <w:r>
              <w:rPr>
                <w:rFonts w:ascii="宋体" w:hAnsi="宋体" w:cs="宋体"/>
                <w:color w:val="auto"/>
                <w:kern w:val="0"/>
                <w:highlight w:val="none"/>
              </w:rPr>
              <w:t>……</w:t>
            </w:r>
          </w:p>
        </w:tc>
        <w:tc>
          <w:tcPr>
            <w:tcW w:w="3794" w:type="dxa"/>
            <w:tcBorders>
              <w:tl2br w:val="nil"/>
              <w:tr2bl w:val="nil"/>
            </w:tcBorders>
          </w:tcPr>
          <w:p w14:paraId="606C3D8C">
            <w:pPr>
              <w:spacing w:line="360" w:lineRule="auto"/>
              <w:jc w:val="center"/>
              <w:rPr>
                <w:rFonts w:hint="eastAsia" w:ascii="宋体" w:hAnsi="宋体" w:cs="宋体"/>
                <w:color w:val="auto"/>
                <w:kern w:val="0"/>
                <w:highlight w:val="none"/>
              </w:rPr>
            </w:pPr>
          </w:p>
        </w:tc>
        <w:tc>
          <w:tcPr>
            <w:tcW w:w="2268" w:type="dxa"/>
            <w:tcBorders>
              <w:tl2br w:val="nil"/>
              <w:tr2bl w:val="nil"/>
            </w:tcBorders>
          </w:tcPr>
          <w:p w14:paraId="68E5AD82">
            <w:pPr>
              <w:spacing w:line="360" w:lineRule="auto"/>
              <w:jc w:val="center"/>
              <w:rPr>
                <w:rFonts w:hint="eastAsia" w:ascii="宋体" w:hAnsi="宋体" w:cs="宋体"/>
                <w:color w:val="auto"/>
                <w:kern w:val="0"/>
                <w:highlight w:val="none"/>
              </w:rPr>
            </w:pPr>
          </w:p>
        </w:tc>
        <w:tc>
          <w:tcPr>
            <w:tcW w:w="1276" w:type="dxa"/>
            <w:tcBorders>
              <w:tl2br w:val="nil"/>
              <w:tr2bl w:val="nil"/>
            </w:tcBorders>
          </w:tcPr>
          <w:p w14:paraId="233A46DB">
            <w:pPr>
              <w:spacing w:line="360" w:lineRule="auto"/>
              <w:jc w:val="center"/>
              <w:rPr>
                <w:rFonts w:hint="eastAsia" w:ascii="宋体" w:hAnsi="宋体" w:cs="宋体"/>
                <w:color w:val="auto"/>
                <w:kern w:val="0"/>
                <w:highlight w:val="none"/>
              </w:rPr>
            </w:pPr>
          </w:p>
        </w:tc>
      </w:tr>
      <w:tr w14:paraId="3A2B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5211" w:type="dxa"/>
            <w:gridSpan w:val="2"/>
            <w:tcBorders>
              <w:tl2br w:val="nil"/>
              <w:tr2bl w:val="nil"/>
            </w:tcBorders>
          </w:tcPr>
          <w:p w14:paraId="4A7A7F4C">
            <w:pPr>
              <w:spacing w:line="360" w:lineRule="exact"/>
              <w:ind w:firstLine="435"/>
              <w:jc w:val="right"/>
              <w:rPr>
                <w:rFonts w:hint="eastAsia"/>
                <w:color w:val="auto"/>
                <w:highlight w:val="none"/>
              </w:rPr>
            </w:pPr>
          </w:p>
          <w:p w14:paraId="38C88B05">
            <w:pPr>
              <w:spacing w:line="360" w:lineRule="exact"/>
              <w:ind w:firstLine="435"/>
              <w:jc w:val="center"/>
              <w:rPr>
                <w:rFonts w:hint="eastAsia"/>
                <w:color w:val="auto"/>
                <w:highlight w:val="none"/>
              </w:rPr>
            </w:pPr>
          </w:p>
          <w:p w14:paraId="76434339">
            <w:pPr>
              <w:spacing w:line="360" w:lineRule="exact"/>
              <w:ind w:firstLine="435"/>
              <w:jc w:val="center"/>
              <w:rPr>
                <w:rFonts w:hint="eastAsia"/>
                <w:color w:val="auto"/>
                <w:highlight w:val="none"/>
              </w:rPr>
            </w:pPr>
            <w:r>
              <w:rPr>
                <w:rFonts w:hint="eastAsia"/>
                <w:color w:val="auto"/>
                <w:highlight w:val="none"/>
              </w:rPr>
              <w:t>发包人代表签字：</w:t>
            </w:r>
          </w:p>
          <w:p w14:paraId="1A8C4448">
            <w:pPr>
              <w:spacing w:line="360" w:lineRule="exact"/>
              <w:ind w:firstLine="435"/>
              <w:jc w:val="center"/>
              <w:rPr>
                <w:rFonts w:hint="eastAsia"/>
                <w:color w:val="auto"/>
                <w:highlight w:val="none"/>
              </w:rPr>
            </w:pPr>
          </w:p>
          <w:p w14:paraId="2485611C">
            <w:pPr>
              <w:spacing w:line="360" w:lineRule="exact"/>
              <w:ind w:firstLine="435"/>
              <w:jc w:val="center"/>
              <w:rPr>
                <w:rFonts w:hint="eastAsia"/>
                <w:color w:val="auto"/>
                <w:highlight w:val="none"/>
              </w:rPr>
            </w:pPr>
            <w:r>
              <w:rPr>
                <w:rFonts w:hint="eastAsia"/>
                <w:color w:val="auto"/>
                <w:highlight w:val="none"/>
              </w:rPr>
              <w:t>发包人（盖公章）</w:t>
            </w:r>
          </w:p>
          <w:p w14:paraId="273E0BD9">
            <w:pPr>
              <w:spacing w:line="360" w:lineRule="exact"/>
              <w:ind w:firstLine="435"/>
              <w:jc w:val="center"/>
              <w:rPr>
                <w:rFonts w:hint="eastAsia"/>
                <w:color w:val="auto"/>
                <w:highlight w:val="none"/>
              </w:rPr>
            </w:pPr>
          </w:p>
          <w:p w14:paraId="00CCE23B">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        </w:t>
            </w:r>
            <w:r>
              <w:rPr>
                <w:rFonts w:hint="eastAsia"/>
                <w:color w:val="auto"/>
                <w:highlight w:val="none"/>
                <w:u w:val="single"/>
              </w:rPr>
              <w:t xml:space="preserve">   </w:t>
            </w:r>
          </w:p>
        </w:tc>
        <w:tc>
          <w:tcPr>
            <w:tcW w:w="3544" w:type="dxa"/>
            <w:gridSpan w:val="2"/>
            <w:tcBorders>
              <w:tl2br w:val="nil"/>
              <w:tr2bl w:val="nil"/>
            </w:tcBorders>
          </w:tcPr>
          <w:p w14:paraId="12F485BB">
            <w:pPr>
              <w:spacing w:line="360" w:lineRule="exact"/>
              <w:ind w:firstLine="435"/>
              <w:jc w:val="center"/>
              <w:rPr>
                <w:rFonts w:hint="eastAsia"/>
                <w:color w:val="auto"/>
                <w:highlight w:val="none"/>
              </w:rPr>
            </w:pPr>
          </w:p>
          <w:p w14:paraId="7BDBB61F">
            <w:pPr>
              <w:spacing w:line="360" w:lineRule="exact"/>
              <w:ind w:firstLine="435"/>
              <w:jc w:val="center"/>
              <w:rPr>
                <w:rFonts w:hint="eastAsia"/>
                <w:color w:val="auto"/>
                <w:highlight w:val="none"/>
                <w:u w:val="single"/>
              </w:rPr>
            </w:pPr>
          </w:p>
          <w:p w14:paraId="31034470">
            <w:pPr>
              <w:spacing w:line="360" w:lineRule="exact"/>
              <w:ind w:firstLine="435"/>
              <w:jc w:val="center"/>
              <w:rPr>
                <w:rFonts w:hint="eastAsia"/>
                <w:color w:val="auto"/>
                <w:highlight w:val="none"/>
              </w:rPr>
            </w:pPr>
            <w:r>
              <w:rPr>
                <w:rFonts w:hint="eastAsia"/>
                <w:color w:val="auto"/>
                <w:highlight w:val="none"/>
              </w:rPr>
              <w:t>承包人代表签字：</w:t>
            </w:r>
          </w:p>
          <w:p w14:paraId="0601205F">
            <w:pPr>
              <w:spacing w:line="360" w:lineRule="exact"/>
              <w:ind w:firstLine="435"/>
              <w:jc w:val="center"/>
              <w:rPr>
                <w:rFonts w:hint="eastAsia"/>
                <w:color w:val="auto"/>
                <w:highlight w:val="none"/>
              </w:rPr>
            </w:pPr>
          </w:p>
          <w:p w14:paraId="6E901B11">
            <w:pPr>
              <w:spacing w:line="360" w:lineRule="exact"/>
              <w:ind w:firstLine="435"/>
              <w:jc w:val="center"/>
              <w:rPr>
                <w:rFonts w:hint="eastAsia"/>
                <w:color w:val="auto"/>
                <w:highlight w:val="none"/>
              </w:rPr>
            </w:pPr>
            <w:r>
              <w:rPr>
                <w:rFonts w:hint="eastAsia"/>
                <w:color w:val="auto"/>
                <w:highlight w:val="none"/>
              </w:rPr>
              <w:t>承包人（盖公章）</w:t>
            </w:r>
          </w:p>
          <w:p w14:paraId="15C77B59">
            <w:pPr>
              <w:spacing w:line="360" w:lineRule="exact"/>
              <w:ind w:firstLine="435"/>
              <w:jc w:val="center"/>
              <w:rPr>
                <w:rFonts w:hint="eastAsia"/>
                <w:color w:val="auto"/>
                <w:highlight w:val="none"/>
              </w:rPr>
            </w:pPr>
          </w:p>
          <w:p w14:paraId="2A2734C9">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r>
    </w:tbl>
    <w:p w14:paraId="2A59C91A">
      <w:pPr>
        <w:pStyle w:val="6"/>
        <w:spacing w:line="257" w:lineRule="auto"/>
        <w:rPr>
          <w:color w:val="auto"/>
          <w:highlight w:val="none"/>
        </w:rPr>
      </w:pPr>
    </w:p>
    <w:p w14:paraId="7CAA888D">
      <w:pPr>
        <w:pStyle w:val="6"/>
        <w:spacing w:line="257" w:lineRule="auto"/>
        <w:rPr>
          <w:color w:val="auto"/>
          <w:highlight w:val="none"/>
        </w:rPr>
      </w:pPr>
    </w:p>
    <w:p w14:paraId="44C367FF">
      <w:pPr>
        <w:rPr>
          <w:rFonts w:ascii="宋体" w:hAnsi="宋体" w:eastAsia="宋体" w:cs="宋体"/>
          <w:b/>
          <w:bCs/>
          <w:color w:val="auto"/>
          <w:spacing w:val="5"/>
          <w:sz w:val="43"/>
          <w:szCs w:val="43"/>
          <w:highlight w:val="none"/>
        </w:rPr>
      </w:pPr>
      <w:bookmarkStart w:id="1621" w:name="_Toc29065"/>
      <w:r>
        <w:rPr>
          <w:rFonts w:ascii="宋体" w:hAnsi="宋体" w:eastAsia="宋体" w:cs="宋体"/>
          <w:b/>
          <w:bCs/>
          <w:color w:val="auto"/>
          <w:spacing w:val="5"/>
          <w:sz w:val="43"/>
          <w:szCs w:val="43"/>
          <w:highlight w:val="none"/>
        </w:rPr>
        <w:br w:type="page"/>
      </w:r>
    </w:p>
    <w:p w14:paraId="66307CB8">
      <w:pPr>
        <w:spacing w:before="139" w:line="223" w:lineRule="auto"/>
        <w:ind w:left="2161"/>
        <w:outlineLvl w:val="0"/>
        <w:rPr>
          <w:rFonts w:ascii="宋体" w:hAnsi="宋体" w:eastAsia="宋体" w:cs="宋体"/>
          <w:color w:val="auto"/>
          <w:sz w:val="43"/>
          <w:szCs w:val="43"/>
          <w:highlight w:val="none"/>
        </w:rPr>
      </w:pPr>
      <w:r>
        <w:rPr>
          <w:rFonts w:ascii="宋体" w:hAnsi="宋体" w:eastAsia="宋体" w:cs="宋体"/>
          <w:b/>
          <w:bCs/>
          <w:color w:val="auto"/>
          <w:spacing w:val="5"/>
          <w:sz w:val="43"/>
          <w:szCs w:val="43"/>
          <w:highlight w:val="none"/>
        </w:rPr>
        <w:t>第七章</w:t>
      </w:r>
      <w:r>
        <w:rPr>
          <w:rFonts w:ascii="宋体" w:hAnsi="宋体" w:eastAsia="宋体" w:cs="宋体"/>
          <w:color w:val="auto"/>
          <w:spacing w:val="5"/>
          <w:sz w:val="43"/>
          <w:szCs w:val="43"/>
          <w:highlight w:val="none"/>
        </w:rPr>
        <w:t xml:space="preserve">    </w:t>
      </w:r>
      <w:r>
        <w:rPr>
          <w:rFonts w:ascii="宋体" w:hAnsi="宋体" w:eastAsia="宋体" w:cs="宋体"/>
          <w:b/>
          <w:bCs/>
          <w:color w:val="auto"/>
          <w:spacing w:val="5"/>
          <w:sz w:val="43"/>
          <w:szCs w:val="43"/>
          <w:highlight w:val="none"/>
        </w:rPr>
        <w:t>工程量清单</w:t>
      </w:r>
      <w:bookmarkEnd w:id="1621"/>
    </w:p>
    <w:p w14:paraId="1BCFCDC9">
      <w:pPr>
        <w:pStyle w:val="6"/>
        <w:spacing w:line="265" w:lineRule="auto"/>
        <w:rPr>
          <w:color w:val="auto"/>
          <w:highlight w:val="none"/>
        </w:rPr>
      </w:pPr>
    </w:p>
    <w:p w14:paraId="7765F327">
      <w:pPr>
        <w:pStyle w:val="6"/>
        <w:spacing w:line="265" w:lineRule="auto"/>
        <w:rPr>
          <w:color w:val="auto"/>
          <w:highlight w:val="none"/>
        </w:rPr>
      </w:pPr>
    </w:p>
    <w:p w14:paraId="0302EF9A">
      <w:pPr>
        <w:pStyle w:val="6"/>
        <w:spacing w:line="265" w:lineRule="auto"/>
        <w:rPr>
          <w:color w:val="auto"/>
          <w:highlight w:val="none"/>
        </w:rPr>
      </w:pPr>
    </w:p>
    <w:p w14:paraId="7EE092F7">
      <w:pPr>
        <w:pStyle w:val="6"/>
        <w:spacing w:line="265" w:lineRule="auto"/>
        <w:rPr>
          <w:color w:val="auto"/>
          <w:highlight w:val="none"/>
        </w:rPr>
      </w:pPr>
    </w:p>
    <w:p w14:paraId="3CFD4EDB">
      <w:pPr>
        <w:spacing w:before="100" w:line="226" w:lineRule="auto"/>
        <w:ind w:left="13"/>
        <w:outlineLvl w:val="1"/>
        <w:rPr>
          <w:rFonts w:ascii="宋体" w:hAnsi="宋体" w:eastAsia="宋体" w:cs="宋体"/>
          <w:color w:val="auto"/>
          <w:sz w:val="24"/>
          <w:szCs w:val="24"/>
          <w:highlight w:val="none"/>
        </w:rPr>
      </w:pPr>
      <w:bookmarkStart w:id="1622" w:name="_Toc15804"/>
      <w:r>
        <w:rPr>
          <w:rFonts w:ascii="Cambria" w:hAnsi="Cambria" w:eastAsia="Cambria" w:cs="Cambria"/>
          <w:b/>
          <w:bCs/>
          <w:color w:val="auto"/>
          <w:spacing w:val="5"/>
          <w:sz w:val="24"/>
          <w:szCs w:val="24"/>
          <w:highlight w:val="none"/>
        </w:rPr>
        <w:t>1.</w:t>
      </w:r>
      <w:r>
        <w:rPr>
          <w:rFonts w:ascii="宋体" w:hAnsi="宋体" w:eastAsia="宋体" w:cs="宋体"/>
          <w:b/>
          <w:bCs/>
          <w:color w:val="auto"/>
          <w:spacing w:val="5"/>
          <w:sz w:val="24"/>
          <w:szCs w:val="24"/>
          <w:highlight w:val="none"/>
        </w:rPr>
        <w:t>工程量清单和施工方案（另册）</w:t>
      </w:r>
      <w:bookmarkEnd w:id="1622"/>
    </w:p>
    <w:p w14:paraId="4563CC52">
      <w:pPr>
        <w:spacing w:before="241" w:line="299" w:lineRule="auto"/>
        <w:ind w:firstLine="5"/>
        <w:outlineLvl w:val="1"/>
        <w:rPr>
          <w:rFonts w:ascii="宋体" w:hAnsi="宋体" w:eastAsia="宋体" w:cs="宋体"/>
          <w:color w:val="auto"/>
          <w:sz w:val="24"/>
          <w:szCs w:val="24"/>
          <w:highlight w:val="none"/>
        </w:rPr>
      </w:pPr>
      <w:bookmarkStart w:id="1623" w:name="_Toc8996"/>
      <w:r>
        <w:rPr>
          <w:rFonts w:ascii="Cambria" w:hAnsi="Cambria" w:eastAsia="Cambria" w:cs="Cambria"/>
          <w:b/>
          <w:bCs/>
          <w:color w:val="auto"/>
          <w:spacing w:val="9"/>
          <w:sz w:val="24"/>
          <w:szCs w:val="24"/>
          <w:highlight w:val="none"/>
        </w:rPr>
        <w:t>2.</w:t>
      </w:r>
      <w:r>
        <w:rPr>
          <w:rFonts w:ascii="Cambria" w:hAnsi="Cambria" w:eastAsia="Cambria" w:cs="Cambria"/>
          <w:b/>
          <w:bCs/>
          <w:color w:val="auto"/>
          <w:spacing w:val="-10"/>
          <w:sz w:val="24"/>
          <w:szCs w:val="24"/>
          <w:highlight w:val="none"/>
        </w:rPr>
        <w:t xml:space="preserve"> </w:t>
      </w:r>
      <w:r>
        <w:rPr>
          <w:rFonts w:ascii="宋体" w:hAnsi="宋体" w:eastAsia="宋体" w:cs="宋体"/>
          <w:b/>
          <w:bCs/>
          <w:color w:val="auto"/>
          <w:spacing w:val="9"/>
          <w:sz w:val="24"/>
          <w:szCs w:val="24"/>
          <w:highlight w:val="none"/>
        </w:rPr>
        <w:t>已标价工程量清单编制说明详见上传广西政府采购云平台工</w:t>
      </w:r>
      <w:r>
        <w:rPr>
          <w:rFonts w:ascii="宋体" w:hAnsi="宋体" w:eastAsia="宋体" w:cs="宋体"/>
          <w:color w:val="auto"/>
          <w:sz w:val="24"/>
          <w:szCs w:val="24"/>
          <w:highlight w:val="none"/>
        </w:rPr>
        <w:t xml:space="preserve"> </w:t>
      </w:r>
      <w:r>
        <w:rPr>
          <w:rFonts w:ascii="宋体" w:hAnsi="宋体" w:eastAsia="宋体" w:cs="宋体"/>
          <w:b/>
          <w:bCs/>
          <w:color w:val="auto"/>
          <w:spacing w:val="4"/>
          <w:sz w:val="24"/>
          <w:szCs w:val="24"/>
          <w:highlight w:val="none"/>
        </w:rPr>
        <w:t>程量清单</w:t>
      </w:r>
      <w:bookmarkEnd w:id="1623"/>
    </w:p>
    <w:p w14:paraId="0AB936D1">
      <w:pPr>
        <w:spacing w:line="299" w:lineRule="auto"/>
        <w:rPr>
          <w:rFonts w:ascii="宋体" w:hAnsi="宋体" w:eastAsia="宋体" w:cs="宋体"/>
          <w:color w:val="auto"/>
          <w:sz w:val="24"/>
          <w:szCs w:val="24"/>
          <w:highlight w:val="none"/>
        </w:rPr>
        <w:sectPr>
          <w:headerReference r:id="rId83" w:type="default"/>
          <w:footerReference r:id="rId84" w:type="default"/>
          <w:pgSz w:w="11910" w:h="16840"/>
          <w:pgMar w:top="400" w:right="1501" w:bottom="1148" w:left="1691" w:header="0" w:footer="912" w:gutter="0"/>
          <w:pgNumType w:fmt="decimal"/>
          <w:cols w:space="720" w:num="1"/>
        </w:sectPr>
      </w:pPr>
    </w:p>
    <w:p w14:paraId="2155181D">
      <w:pPr>
        <w:pStyle w:val="6"/>
        <w:spacing w:line="242" w:lineRule="auto"/>
        <w:rPr>
          <w:color w:val="auto"/>
          <w:highlight w:val="none"/>
        </w:rPr>
      </w:pPr>
    </w:p>
    <w:p w14:paraId="242DCCFB">
      <w:pPr>
        <w:pStyle w:val="6"/>
        <w:spacing w:line="242" w:lineRule="auto"/>
        <w:rPr>
          <w:color w:val="auto"/>
          <w:highlight w:val="none"/>
        </w:rPr>
      </w:pPr>
    </w:p>
    <w:p w14:paraId="57A7E225">
      <w:pPr>
        <w:pStyle w:val="6"/>
        <w:spacing w:line="242" w:lineRule="auto"/>
        <w:rPr>
          <w:color w:val="auto"/>
          <w:highlight w:val="none"/>
        </w:rPr>
      </w:pPr>
    </w:p>
    <w:p w14:paraId="12ADA95E">
      <w:pPr>
        <w:pStyle w:val="6"/>
        <w:spacing w:line="242" w:lineRule="auto"/>
        <w:rPr>
          <w:color w:val="auto"/>
          <w:highlight w:val="none"/>
        </w:rPr>
      </w:pPr>
    </w:p>
    <w:p w14:paraId="52D3F851">
      <w:pPr>
        <w:pStyle w:val="6"/>
        <w:spacing w:line="242" w:lineRule="auto"/>
        <w:rPr>
          <w:color w:val="auto"/>
          <w:highlight w:val="none"/>
        </w:rPr>
      </w:pPr>
    </w:p>
    <w:p w14:paraId="0C3896A5">
      <w:pPr>
        <w:pStyle w:val="6"/>
        <w:spacing w:line="242" w:lineRule="auto"/>
        <w:rPr>
          <w:color w:val="auto"/>
          <w:highlight w:val="none"/>
        </w:rPr>
      </w:pPr>
    </w:p>
    <w:p w14:paraId="6B68D7D9">
      <w:pPr>
        <w:pStyle w:val="6"/>
        <w:spacing w:line="242" w:lineRule="auto"/>
        <w:rPr>
          <w:color w:val="auto"/>
          <w:highlight w:val="none"/>
        </w:rPr>
      </w:pPr>
    </w:p>
    <w:p w14:paraId="377B19CC">
      <w:pPr>
        <w:pStyle w:val="6"/>
        <w:spacing w:line="242" w:lineRule="auto"/>
        <w:rPr>
          <w:color w:val="auto"/>
          <w:highlight w:val="none"/>
        </w:rPr>
      </w:pPr>
    </w:p>
    <w:p w14:paraId="79D0E821">
      <w:pPr>
        <w:pStyle w:val="6"/>
        <w:spacing w:line="242" w:lineRule="auto"/>
        <w:rPr>
          <w:color w:val="auto"/>
          <w:highlight w:val="none"/>
        </w:rPr>
      </w:pPr>
    </w:p>
    <w:p w14:paraId="4353860B">
      <w:pPr>
        <w:pStyle w:val="6"/>
        <w:spacing w:line="242" w:lineRule="auto"/>
        <w:rPr>
          <w:color w:val="auto"/>
          <w:highlight w:val="none"/>
        </w:rPr>
      </w:pPr>
    </w:p>
    <w:p w14:paraId="378928C1">
      <w:pPr>
        <w:pStyle w:val="6"/>
        <w:spacing w:line="242" w:lineRule="auto"/>
        <w:rPr>
          <w:color w:val="auto"/>
          <w:highlight w:val="none"/>
        </w:rPr>
      </w:pPr>
    </w:p>
    <w:p w14:paraId="111AF14E">
      <w:pPr>
        <w:pStyle w:val="6"/>
        <w:spacing w:line="242" w:lineRule="auto"/>
        <w:rPr>
          <w:color w:val="auto"/>
          <w:highlight w:val="none"/>
        </w:rPr>
      </w:pPr>
    </w:p>
    <w:p w14:paraId="46BF938C">
      <w:pPr>
        <w:spacing w:before="140" w:line="223" w:lineRule="auto"/>
        <w:ind w:left="2065"/>
        <w:outlineLvl w:val="0"/>
        <w:rPr>
          <w:rFonts w:ascii="宋体" w:hAnsi="宋体" w:eastAsia="宋体" w:cs="宋体"/>
          <w:color w:val="auto"/>
          <w:sz w:val="43"/>
          <w:szCs w:val="43"/>
          <w:highlight w:val="none"/>
        </w:rPr>
      </w:pPr>
      <w:bookmarkStart w:id="1624" w:name="_Toc28120"/>
      <w:r>
        <w:rPr>
          <w:rFonts w:ascii="宋体" w:hAnsi="宋体" w:eastAsia="宋体" w:cs="宋体"/>
          <w:b/>
          <w:bCs/>
          <w:color w:val="auto"/>
          <w:spacing w:val="-4"/>
          <w:sz w:val="43"/>
          <w:szCs w:val="43"/>
          <w:highlight w:val="none"/>
        </w:rPr>
        <w:t>第八章</w:t>
      </w:r>
      <w:r>
        <w:rPr>
          <w:rFonts w:ascii="宋体" w:hAnsi="宋体" w:eastAsia="宋体" w:cs="宋体"/>
          <w:color w:val="auto"/>
          <w:spacing w:val="39"/>
          <w:sz w:val="43"/>
          <w:szCs w:val="43"/>
          <w:highlight w:val="none"/>
        </w:rPr>
        <w:t xml:space="preserve">  </w:t>
      </w:r>
      <w:r>
        <w:rPr>
          <w:rFonts w:ascii="宋体" w:hAnsi="宋体" w:eastAsia="宋体" w:cs="宋体"/>
          <w:b/>
          <w:bCs/>
          <w:color w:val="auto"/>
          <w:spacing w:val="-4"/>
          <w:sz w:val="43"/>
          <w:szCs w:val="43"/>
          <w:highlight w:val="none"/>
        </w:rPr>
        <w:t>图纸（另册）</w:t>
      </w:r>
      <w:bookmarkEnd w:id="1624"/>
    </w:p>
    <w:p w14:paraId="746922AE">
      <w:pPr>
        <w:pStyle w:val="6"/>
        <w:spacing w:line="264" w:lineRule="auto"/>
        <w:rPr>
          <w:color w:val="auto"/>
          <w:highlight w:val="none"/>
        </w:rPr>
      </w:pPr>
    </w:p>
    <w:p w14:paraId="54B60EFC">
      <w:pPr>
        <w:pStyle w:val="6"/>
        <w:spacing w:line="265" w:lineRule="auto"/>
        <w:rPr>
          <w:color w:val="auto"/>
          <w:highlight w:val="none"/>
        </w:rPr>
      </w:pPr>
    </w:p>
    <w:p w14:paraId="3CD1B922">
      <w:pPr>
        <w:pStyle w:val="6"/>
        <w:spacing w:line="265" w:lineRule="auto"/>
        <w:rPr>
          <w:color w:val="auto"/>
          <w:highlight w:val="none"/>
        </w:rPr>
      </w:pPr>
    </w:p>
    <w:p w14:paraId="59444FB3">
      <w:pPr>
        <w:pStyle w:val="6"/>
        <w:spacing w:line="265" w:lineRule="auto"/>
        <w:rPr>
          <w:color w:val="auto"/>
          <w:highlight w:val="none"/>
        </w:rPr>
      </w:pPr>
    </w:p>
    <w:p w14:paraId="0CE2C78F">
      <w:pPr>
        <w:spacing w:before="101" w:line="225" w:lineRule="auto"/>
        <w:ind w:left="1510"/>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详见上传广西政府采购云平台图纸</w:t>
      </w:r>
    </w:p>
    <w:p w14:paraId="4716F196">
      <w:pPr>
        <w:spacing w:line="225" w:lineRule="auto"/>
        <w:rPr>
          <w:rFonts w:ascii="宋体" w:hAnsi="宋体" w:eastAsia="宋体" w:cs="宋体"/>
          <w:color w:val="auto"/>
          <w:sz w:val="24"/>
          <w:szCs w:val="24"/>
          <w:highlight w:val="none"/>
        </w:rPr>
        <w:sectPr>
          <w:footerReference r:id="rId85" w:type="default"/>
          <w:pgSz w:w="11910" w:h="16840"/>
          <w:pgMar w:top="400" w:right="1786" w:bottom="1148" w:left="1786" w:header="0" w:footer="912" w:gutter="0"/>
          <w:pgNumType w:fmt="decimal"/>
          <w:cols w:space="720" w:num="1"/>
        </w:sectPr>
      </w:pPr>
    </w:p>
    <w:p w14:paraId="14A15917">
      <w:pPr>
        <w:pStyle w:val="6"/>
        <w:spacing w:line="256" w:lineRule="auto"/>
        <w:rPr>
          <w:color w:val="auto"/>
          <w:highlight w:val="none"/>
        </w:rPr>
      </w:pPr>
    </w:p>
    <w:p w14:paraId="50D84A1A">
      <w:pPr>
        <w:pStyle w:val="6"/>
        <w:spacing w:line="256" w:lineRule="auto"/>
        <w:rPr>
          <w:color w:val="auto"/>
          <w:highlight w:val="none"/>
        </w:rPr>
      </w:pPr>
    </w:p>
    <w:p w14:paraId="3AF70D66">
      <w:pPr>
        <w:pStyle w:val="6"/>
        <w:spacing w:line="256" w:lineRule="auto"/>
        <w:rPr>
          <w:color w:val="auto"/>
          <w:highlight w:val="none"/>
        </w:rPr>
      </w:pPr>
    </w:p>
    <w:p w14:paraId="33F839C5">
      <w:pPr>
        <w:pStyle w:val="6"/>
        <w:spacing w:line="256" w:lineRule="auto"/>
        <w:rPr>
          <w:color w:val="auto"/>
          <w:highlight w:val="none"/>
        </w:rPr>
      </w:pPr>
    </w:p>
    <w:p w14:paraId="7898F700">
      <w:pPr>
        <w:pStyle w:val="6"/>
        <w:spacing w:line="257" w:lineRule="auto"/>
        <w:rPr>
          <w:color w:val="auto"/>
          <w:highlight w:val="none"/>
        </w:rPr>
      </w:pPr>
    </w:p>
    <w:p w14:paraId="1ADD2D90">
      <w:pPr>
        <w:pStyle w:val="6"/>
        <w:spacing w:line="257" w:lineRule="auto"/>
        <w:rPr>
          <w:color w:val="auto"/>
          <w:highlight w:val="none"/>
        </w:rPr>
      </w:pPr>
    </w:p>
    <w:p w14:paraId="34A0E4D3">
      <w:pPr>
        <w:pStyle w:val="6"/>
        <w:spacing w:line="257" w:lineRule="auto"/>
        <w:rPr>
          <w:color w:val="auto"/>
          <w:highlight w:val="none"/>
        </w:rPr>
      </w:pPr>
    </w:p>
    <w:p w14:paraId="4795A014">
      <w:pPr>
        <w:spacing w:before="139" w:line="223" w:lineRule="auto"/>
        <w:ind w:left="1513"/>
        <w:outlineLvl w:val="0"/>
        <w:rPr>
          <w:rFonts w:ascii="宋体" w:hAnsi="宋体" w:eastAsia="宋体" w:cs="宋体"/>
          <w:color w:val="auto"/>
          <w:sz w:val="43"/>
          <w:szCs w:val="43"/>
          <w:highlight w:val="none"/>
        </w:rPr>
      </w:pPr>
      <w:bookmarkStart w:id="1625" w:name="_Toc21033"/>
      <w:r>
        <w:rPr>
          <w:rFonts w:ascii="宋体" w:hAnsi="宋体" w:eastAsia="宋体" w:cs="宋体"/>
          <w:b/>
          <w:bCs/>
          <w:color w:val="auto"/>
          <w:spacing w:val="5"/>
          <w:sz w:val="43"/>
          <w:szCs w:val="43"/>
          <w:highlight w:val="none"/>
        </w:rPr>
        <w:t>第九章</w:t>
      </w:r>
      <w:r>
        <w:rPr>
          <w:rFonts w:ascii="宋体" w:hAnsi="宋体" w:eastAsia="宋体" w:cs="宋体"/>
          <w:color w:val="auto"/>
          <w:spacing w:val="5"/>
          <w:sz w:val="43"/>
          <w:szCs w:val="43"/>
          <w:highlight w:val="none"/>
        </w:rPr>
        <w:t xml:space="preserve"> </w:t>
      </w:r>
      <w:r>
        <w:rPr>
          <w:rFonts w:ascii="宋体" w:hAnsi="宋体" w:eastAsia="宋体" w:cs="宋体"/>
          <w:b/>
          <w:bCs/>
          <w:color w:val="auto"/>
          <w:spacing w:val="5"/>
          <w:sz w:val="43"/>
          <w:szCs w:val="43"/>
          <w:highlight w:val="none"/>
        </w:rPr>
        <w:t>质疑、投诉材料格式</w:t>
      </w:r>
      <w:bookmarkEnd w:id="1625"/>
    </w:p>
    <w:p w14:paraId="46D61232">
      <w:pPr>
        <w:pStyle w:val="6"/>
        <w:spacing w:line="265" w:lineRule="auto"/>
        <w:rPr>
          <w:color w:val="auto"/>
          <w:highlight w:val="none"/>
        </w:rPr>
      </w:pPr>
    </w:p>
    <w:p w14:paraId="289995E5">
      <w:pPr>
        <w:pStyle w:val="6"/>
        <w:spacing w:line="265" w:lineRule="auto"/>
        <w:rPr>
          <w:color w:val="auto"/>
          <w:highlight w:val="none"/>
        </w:rPr>
      </w:pPr>
    </w:p>
    <w:p w14:paraId="383A7FC9">
      <w:pPr>
        <w:pStyle w:val="6"/>
        <w:spacing w:line="265" w:lineRule="auto"/>
        <w:rPr>
          <w:color w:val="auto"/>
          <w:highlight w:val="none"/>
        </w:rPr>
      </w:pPr>
    </w:p>
    <w:p w14:paraId="4577BD98">
      <w:pPr>
        <w:pStyle w:val="6"/>
        <w:spacing w:line="265" w:lineRule="auto"/>
        <w:rPr>
          <w:color w:val="auto"/>
          <w:highlight w:val="none"/>
        </w:rPr>
      </w:pPr>
    </w:p>
    <w:p w14:paraId="4F80B7E6">
      <w:pPr>
        <w:spacing w:before="101" w:line="225" w:lineRule="auto"/>
        <w:ind w:left="3147"/>
        <w:rPr>
          <w:rFonts w:ascii="宋体" w:hAnsi="宋体" w:eastAsia="宋体" w:cs="宋体"/>
          <w:color w:val="auto"/>
          <w:sz w:val="20"/>
          <w:szCs w:val="20"/>
          <w:highlight w:val="none"/>
        </w:rPr>
      </w:pPr>
      <w:r>
        <w:rPr>
          <w:rFonts w:ascii="宋体" w:hAnsi="宋体" w:eastAsia="宋体" w:cs="宋体"/>
          <w:b/>
          <w:bCs/>
          <w:color w:val="auto"/>
          <w:spacing w:val="4"/>
          <w:sz w:val="20"/>
          <w:szCs w:val="20"/>
          <w:highlight w:val="none"/>
        </w:rPr>
        <w:t>质疑函（格式）</w:t>
      </w:r>
    </w:p>
    <w:p w14:paraId="24B09C94">
      <w:pPr>
        <w:spacing w:before="232" w:line="219" w:lineRule="auto"/>
        <w:ind w:left="386"/>
        <w:rPr>
          <w:rFonts w:ascii="宋体" w:hAnsi="宋体" w:eastAsia="宋体" w:cs="宋体"/>
          <w:color w:val="auto"/>
          <w:sz w:val="20"/>
          <w:szCs w:val="20"/>
          <w:highlight w:val="none"/>
        </w:rPr>
      </w:pPr>
      <w:r>
        <w:rPr>
          <w:rFonts w:ascii="宋体" w:hAnsi="宋体" w:eastAsia="宋体" w:cs="宋体"/>
          <w:b/>
          <w:bCs/>
          <w:color w:val="auto"/>
          <w:spacing w:val="-3"/>
          <w:sz w:val="20"/>
          <w:szCs w:val="20"/>
          <w:highlight w:val="none"/>
        </w:rPr>
        <w:t>一、质疑供应商基本信息：</w:t>
      </w:r>
    </w:p>
    <w:p w14:paraId="321F8609">
      <w:pPr>
        <w:spacing w:before="180" w:line="219" w:lineRule="auto"/>
        <w:ind w:left="383"/>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质疑供应商：</w:t>
      </w:r>
      <w:r>
        <w:rPr>
          <w:rFonts w:ascii="宋体" w:hAnsi="宋体" w:eastAsia="宋体" w:cs="宋体"/>
          <w:color w:val="auto"/>
          <w:sz w:val="20"/>
          <w:szCs w:val="20"/>
          <w:highlight w:val="none"/>
          <w:u w:val="single" w:color="auto"/>
        </w:rPr>
        <w:t xml:space="preserve">                                       </w:t>
      </w:r>
    </w:p>
    <w:p w14:paraId="23173F27">
      <w:pPr>
        <w:spacing w:before="183" w:line="220" w:lineRule="auto"/>
        <w:ind w:left="382"/>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地址：</w:t>
      </w:r>
      <w:r>
        <w:rPr>
          <w:rFonts w:ascii="宋体" w:hAnsi="宋体" w:eastAsia="宋体" w:cs="宋体"/>
          <w:color w:val="auto"/>
          <w:sz w:val="20"/>
          <w:szCs w:val="20"/>
          <w:highlight w:val="none"/>
          <w:u w:val="single" w:color="auto"/>
        </w:rPr>
        <w:t xml:space="preserve">                                    </w:t>
      </w:r>
      <w:r>
        <w:rPr>
          <w:rFonts w:ascii="宋体" w:hAnsi="宋体" w:eastAsia="宋体" w:cs="宋体"/>
          <w:color w:val="auto"/>
          <w:spacing w:val="-89"/>
          <w:sz w:val="20"/>
          <w:szCs w:val="20"/>
          <w:highlight w:val="none"/>
        </w:rPr>
        <w:t xml:space="preserve"> </w:t>
      </w:r>
      <w:r>
        <w:rPr>
          <w:rFonts w:ascii="宋体" w:hAnsi="宋体" w:eastAsia="宋体" w:cs="宋体"/>
          <w:color w:val="auto"/>
          <w:spacing w:val="-7"/>
          <w:sz w:val="20"/>
          <w:szCs w:val="20"/>
          <w:highlight w:val="none"/>
        </w:rPr>
        <w:t>邮编：</w:t>
      </w:r>
      <w:r>
        <w:rPr>
          <w:rFonts w:ascii="宋体" w:hAnsi="宋体" w:eastAsia="宋体" w:cs="宋体"/>
          <w:color w:val="auto"/>
          <w:sz w:val="20"/>
          <w:szCs w:val="20"/>
          <w:highlight w:val="none"/>
          <w:u w:val="single" w:color="auto"/>
        </w:rPr>
        <w:t xml:space="preserve">                  </w:t>
      </w:r>
    </w:p>
    <w:p w14:paraId="70F578FD">
      <w:pPr>
        <w:spacing w:before="180" w:line="222" w:lineRule="auto"/>
        <w:ind w:left="383"/>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联系人：</w:t>
      </w:r>
      <w:r>
        <w:rPr>
          <w:rFonts w:ascii="宋体" w:hAnsi="宋体" w:eastAsia="宋体" w:cs="宋体"/>
          <w:color w:val="auto"/>
          <w:spacing w:val="-1"/>
          <w:sz w:val="20"/>
          <w:szCs w:val="20"/>
          <w:highlight w:val="none"/>
          <w:u w:val="single" w:color="auto"/>
        </w:rPr>
        <w:t xml:space="preserve">                     </w:t>
      </w:r>
      <w:r>
        <w:rPr>
          <w:rFonts w:ascii="宋体" w:hAnsi="宋体" w:eastAsia="宋体" w:cs="宋体"/>
          <w:color w:val="auto"/>
          <w:spacing w:val="-102"/>
          <w:sz w:val="20"/>
          <w:szCs w:val="20"/>
          <w:highlight w:val="none"/>
        </w:rPr>
        <w:t xml:space="preserve"> </w:t>
      </w:r>
      <w:r>
        <w:rPr>
          <w:rFonts w:ascii="宋体" w:hAnsi="宋体" w:eastAsia="宋体" w:cs="宋体"/>
          <w:color w:val="auto"/>
          <w:spacing w:val="-1"/>
          <w:sz w:val="20"/>
          <w:szCs w:val="20"/>
          <w:highlight w:val="none"/>
        </w:rPr>
        <w:t>联系电话：</w:t>
      </w:r>
      <w:r>
        <w:rPr>
          <w:rFonts w:ascii="宋体" w:hAnsi="宋体" w:eastAsia="宋体" w:cs="宋体"/>
          <w:color w:val="auto"/>
          <w:sz w:val="20"/>
          <w:szCs w:val="20"/>
          <w:highlight w:val="none"/>
          <w:u w:val="single" w:color="auto"/>
        </w:rPr>
        <w:t xml:space="preserve">                 </w:t>
      </w:r>
    </w:p>
    <w:p w14:paraId="4320CF31">
      <w:pPr>
        <w:spacing w:before="179" w:line="220" w:lineRule="auto"/>
        <w:ind w:left="381"/>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授权代表：</w:t>
      </w:r>
      <w:r>
        <w:rPr>
          <w:rFonts w:ascii="宋体" w:hAnsi="宋体" w:eastAsia="宋体" w:cs="宋体"/>
          <w:color w:val="auto"/>
          <w:sz w:val="20"/>
          <w:szCs w:val="20"/>
          <w:highlight w:val="none"/>
          <w:u w:val="single" w:color="auto"/>
        </w:rPr>
        <w:t xml:space="preserve">                      </w:t>
      </w:r>
    </w:p>
    <w:p w14:paraId="78DF2C77">
      <w:pPr>
        <w:spacing w:before="180" w:line="222" w:lineRule="auto"/>
        <w:ind w:left="383"/>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联系电话：</w:t>
      </w:r>
      <w:r>
        <w:rPr>
          <w:rFonts w:ascii="宋体" w:hAnsi="宋体" w:eastAsia="宋体" w:cs="宋体"/>
          <w:color w:val="auto"/>
          <w:sz w:val="20"/>
          <w:szCs w:val="20"/>
          <w:highlight w:val="none"/>
          <w:u w:val="single" w:color="auto"/>
        </w:rPr>
        <w:t xml:space="preserve">                      </w:t>
      </w:r>
    </w:p>
    <w:p w14:paraId="5DFB2701">
      <w:pPr>
        <w:spacing w:before="179" w:line="220" w:lineRule="auto"/>
        <w:ind w:left="382"/>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地址：</w:t>
      </w:r>
      <w:r>
        <w:rPr>
          <w:rFonts w:ascii="宋体" w:hAnsi="宋体" w:eastAsia="宋体" w:cs="宋体"/>
          <w:color w:val="auto"/>
          <w:sz w:val="20"/>
          <w:szCs w:val="20"/>
          <w:highlight w:val="none"/>
          <w:u w:val="single" w:color="auto"/>
        </w:rPr>
        <w:t xml:space="preserve">                                    </w:t>
      </w:r>
      <w:r>
        <w:rPr>
          <w:rFonts w:ascii="宋体" w:hAnsi="宋体" w:eastAsia="宋体" w:cs="宋体"/>
          <w:color w:val="auto"/>
          <w:spacing w:val="-89"/>
          <w:sz w:val="20"/>
          <w:szCs w:val="20"/>
          <w:highlight w:val="none"/>
        </w:rPr>
        <w:t xml:space="preserve"> </w:t>
      </w:r>
      <w:r>
        <w:rPr>
          <w:rFonts w:ascii="宋体" w:hAnsi="宋体" w:eastAsia="宋体" w:cs="宋体"/>
          <w:color w:val="auto"/>
          <w:spacing w:val="-7"/>
          <w:sz w:val="20"/>
          <w:szCs w:val="20"/>
          <w:highlight w:val="none"/>
        </w:rPr>
        <w:t>邮编：</w:t>
      </w:r>
      <w:r>
        <w:rPr>
          <w:rFonts w:ascii="宋体" w:hAnsi="宋体" w:eastAsia="宋体" w:cs="宋体"/>
          <w:color w:val="auto"/>
          <w:sz w:val="20"/>
          <w:szCs w:val="20"/>
          <w:highlight w:val="none"/>
          <w:u w:val="single" w:color="auto"/>
        </w:rPr>
        <w:t xml:space="preserve">                   </w:t>
      </w:r>
    </w:p>
    <w:p w14:paraId="2C36ED17">
      <w:pPr>
        <w:spacing w:before="180" w:line="219" w:lineRule="auto"/>
        <w:ind w:left="386"/>
        <w:rPr>
          <w:rFonts w:ascii="宋体" w:hAnsi="宋体" w:eastAsia="宋体" w:cs="宋体"/>
          <w:color w:val="auto"/>
          <w:sz w:val="20"/>
          <w:szCs w:val="20"/>
          <w:highlight w:val="none"/>
        </w:rPr>
      </w:pPr>
      <w:r>
        <w:rPr>
          <w:rFonts w:ascii="宋体" w:hAnsi="宋体" w:eastAsia="宋体" w:cs="宋体"/>
          <w:b/>
          <w:bCs/>
          <w:color w:val="auto"/>
          <w:spacing w:val="-3"/>
          <w:sz w:val="20"/>
          <w:szCs w:val="20"/>
          <w:highlight w:val="none"/>
        </w:rPr>
        <w:t>二、质疑项目基本情况：</w:t>
      </w:r>
    </w:p>
    <w:p w14:paraId="12965885">
      <w:pPr>
        <w:spacing w:before="182" w:line="221" w:lineRule="auto"/>
        <w:ind w:left="400"/>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质疑项目的名称：</w:t>
      </w:r>
      <w:r>
        <w:rPr>
          <w:rFonts w:ascii="宋体" w:hAnsi="宋体" w:eastAsia="宋体" w:cs="宋体"/>
          <w:color w:val="auto"/>
          <w:sz w:val="20"/>
          <w:szCs w:val="20"/>
          <w:highlight w:val="none"/>
          <w:u w:val="single" w:color="auto"/>
        </w:rPr>
        <w:t xml:space="preserve">                                               </w:t>
      </w:r>
    </w:p>
    <w:p w14:paraId="0CEA6272">
      <w:pPr>
        <w:spacing w:before="179" w:line="220" w:lineRule="auto"/>
        <w:ind w:left="400"/>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质疑项目的编号：</w:t>
      </w:r>
      <w:r>
        <w:rPr>
          <w:rFonts w:ascii="宋体" w:hAnsi="宋体" w:eastAsia="宋体" w:cs="宋体"/>
          <w:color w:val="auto"/>
          <w:sz w:val="20"/>
          <w:szCs w:val="20"/>
          <w:highlight w:val="none"/>
          <w:u w:val="single" w:color="auto"/>
        </w:rPr>
        <w:t xml:space="preserve">                </w:t>
      </w:r>
    </w:p>
    <w:p w14:paraId="549FF508">
      <w:pPr>
        <w:spacing w:before="182" w:line="219" w:lineRule="auto"/>
        <w:ind w:left="398"/>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采购人名称：</w:t>
      </w:r>
      <w:r>
        <w:rPr>
          <w:rFonts w:ascii="宋体" w:hAnsi="宋体" w:eastAsia="宋体" w:cs="宋体"/>
          <w:color w:val="auto"/>
          <w:sz w:val="20"/>
          <w:szCs w:val="20"/>
          <w:highlight w:val="none"/>
          <w:u w:val="single" w:color="auto"/>
        </w:rPr>
        <w:t xml:space="preserve">                </w:t>
      </w:r>
    </w:p>
    <w:p w14:paraId="08A8AA17">
      <w:pPr>
        <w:spacing w:before="183" w:line="221" w:lineRule="auto"/>
        <w:ind w:left="400"/>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质疑事项：</w:t>
      </w:r>
    </w:p>
    <w:p w14:paraId="104001E9">
      <w:pPr>
        <w:spacing w:before="179" w:line="219" w:lineRule="auto"/>
        <w:ind w:left="304"/>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□采购文件   采购文件获取日期：</w:t>
      </w:r>
      <w:r>
        <w:rPr>
          <w:rFonts w:ascii="宋体" w:hAnsi="宋体" w:eastAsia="宋体" w:cs="宋体"/>
          <w:color w:val="auto"/>
          <w:spacing w:val="-3"/>
          <w:sz w:val="20"/>
          <w:szCs w:val="20"/>
          <w:highlight w:val="none"/>
          <w:u w:val="single" w:color="auto"/>
        </w:rPr>
        <w:t xml:space="preserve">                                    </w:t>
      </w:r>
    </w:p>
    <w:p w14:paraId="15FC325C">
      <w:pPr>
        <w:spacing w:before="183" w:line="219" w:lineRule="auto"/>
        <w:ind w:left="304"/>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□采购过程</w:t>
      </w:r>
    </w:p>
    <w:p w14:paraId="09008CA7">
      <w:pPr>
        <w:spacing w:before="180" w:line="221" w:lineRule="auto"/>
        <w:ind w:left="304"/>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□成交结果</w:t>
      </w:r>
    </w:p>
    <w:p w14:paraId="38DB86F5">
      <w:pPr>
        <w:spacing w:before="179" w:line="220" w:lineRule="auto"/>
        <w:ind w:left="397"/>
        <w:rPr>
          <w:rFonts w:ascii="宋体" w:hAnsi="宋体" w:eastAsia="宋体" w:cs="宋体"/>
          <w:color w:val="auto"/>
          <w:sz w:val="20"/>
          <w:szCs w:val="20"/>
          <w:highlight w:val="none"/>
        </w:rPr>
      </w:pPr>
      <w:r>
        <w:rPr>
          <w:rFonts w:ascii="宋体" w:hAnsi="宋体" w:eastAsia="宋体" w:cs="宋体"/>
          <w:b/>
          <w:bCs/>
          <w:color w:val="auto"/>
          <w:spacing w:val="-3"/>
          <w:sz w:val="20"/>
          <w:szCs w:val="20"/>
          <w:highlight w:val="none"/>
        </w:rPr>
        <w:t>三、质疑事项具体内容</w:t>
      </w:r>
    </w:p>
    <w:p w14:paraId="7737B6C2">
      <w:pPr>
        <w:spacing w:before="182" w:line="221" w:lineRule="auto"/>
        <w:ind w:left="400"/>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质疑事项</w:t>
      </w:r>
      <w:r>
        <w:rPr>
          <w:rFonts w:ascii="宋体" w:hAnsi="宋体" w:eastAsia="宋体" w:cs="宋体"/>
          <w:color w:val="auto"/>
          <w:spacing w:val="-33"/>
          <w:sz w:val="20"/>
          <w:szCs w:val="20"/>
          <w:highlight w:val="none"/>
        </w:rPr>
        <w:t xml:space="preserve"> </w:t>
      </w:r>
      <w:r>
        <w:rPr>
          <w:rFonts w:ascii="宋体" w:hAnsi="宋体" w:eastAsia="宋体" w:cs="宋体"/>
          <w:color w:val="auto"/>
          <w:spacing w:val="-4"/>
          <w:sz w:val="20"/>
          <w:szCs w:val="20"/>
          <w:highlight w:val="none"/>
        </w:rPr>
        <w:t>1：</w:t>
      </w:r>
      <w:r>
        <w:rPr>
          <w:rFonts w:ascii="宋体" w:hAnsi="宋体" w:eastAsia="宋体" w:cs="宋体"/>
          <w:color w:val="auto"/>
          <w:spacing w:val="-4"/>
          <w:sz w:val="20"/>
          <w:szCs w:val="20"/>
          <w:highlight w:val="none"/>
          <w:u w:val="single" w:color="auto"/>
        </w:rPr>
        <w:t xml:space="preserve">                                                   </w:t>
      </w:r>
      <w:r>
        <w:rPr>
          <w:rFonts w:ascii="宋体" w:hAnsi="宋体" w:eastAsia="宋体" w:cs="宋体"/>
          <w:color w:val="auto"/>
          <w:spacing w:val="-5"/>
          <w:sz w:val="20"/>
          <w:szCs w:val="20"/>
          <w:highlight w:val="none"/>
          <w:u w:val="single" w:color="auto"/>
        </w:rPr>
        <w:t xml:space="preserve">        </w:t>
      </w:r>
    </w:p>
    <w:p w14:paraId="5B4A4F13">
      <w:pPr>
        <w:spacing w:before="181" w:line="219" w:lineRule="auto"/>
        <w:ind w:left="399"/>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事实依据：</w:t>
      </w:r>
      <w:r>
        <w:rPr>
          <w:rFonts w:ascii="宋体" w:hAnsi="宋体" w:eastAsia="宋体" w:cs="宋体"/>
          <w:color w:val="auto"/>
          <w:sz w:val="20"/>
          <w:szCs w:val="20"/>
          <w:highlight w:val="none"/>
          <w:u w:val="single" w:color="auto"/>
        </w:rPr>
        <w:t xml:space="preserve">                                                           </w:t>
      </w:r>
    </w:p>
    <w:p w14:paraId="6EF698DE">
      <w:pPr>
        <w:spacing w:before="181" w:line="359" w:lineRule="auto"/>
        <w:ind w:left="40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法律依据：</w:t>
      </w:r>
      <w:r>
        <w:rPr>
          <w:rFonts w:ascii="宋体" w:hAnsi="宋体" w:eastAsia="宋体" w:cs="宋体"/>
          <w:color w:val="auto"/>
          <w:spacing w:val="-1"/>
          <w:sz w:val="20"/>
          <w:szCs w:val="20"/>
          <w:highlight w:val="none"/>
          <w:u w:val="single" w:color="auto"/>
        </w:rPr>
        <w:t xml:space="preserve">                                                           </w:t>
      </w:r>
      <w:r>
        <w:rPr>
          <w:rFonts w:ascii="宋体" w:hAnsi="宋体" w:eastAsia="宋体" w:cs="宋体"/>
          <w:color w:val="auto"/>
          <w:spacing w:val="3"/>
          <w:sz w:val="20"/>
          <w:szCs w:val="20"/>
          <w:highlight w:val="none"/>
        </w:rPr>
        <w:t xml:space="preserve"> </w:t>
      </w:r>
      <w:r>
        <w:rPr>
          <w:rFonts w:ascii="宋体" w:hAnsi="宋体" w:eastAsia="宋体" w:cs="宋体"/>
          <w:color w:val="auto"/>
          <w:spacing w:val="-3"/>
          <w:sz w:val="20"/>
          <w:szCs w:val="20"/>
          <w:highlight w:val="none"/>
        </w:rPr>
        <w:t>质疑事项</w:t>
      </w:r>
      <w:r>
        <w:rPr>
          <w:rFonts w:ascii="宋体" w:hAnsi="宋体" w:eastAsia="宋体" w:cs="宋体"/>
          <w:color w:val="auto"/>
          <w:spacing w:val="-45"/>
          <w:sz w:val="20"/>
          <w:szCs w:val="20"/>
          <w:highlight w:val="none"/>
        </w:rPr>
        <w:t xml:space="preserve"> </w:t>
      </w:r>
      <w:r>
        <w:rPr>
          <w:rFonts w:ascii="宋体" w:hAnsi="宋体" w:eastAsia="宋体" w:cs="宋体"/>
          <w:color w:val="auto"/>
          <w:spacing w:val="-3"/>
          <w:sz w:val="20"/>
          <w:szCs w:val="20"/>
          <w:highlight w:val="none"/>
        </w:rPr>
        <w:t>2</w:t>
      </w:r>
    </w:p>
    <w:p w14:paraId="27C86D06">
      <w:pPr>
        <w:spacing w:line="379" w:lineRule="exact"/>
        <w:ind w:left="414"/>
        <w:rPr>
          <w:rFonts w:ascii="宋体" w:hAnsi="宋体" w:eastAsia="宋体" w:cs="宋体"/>
          <w:color w:val="auto"/>
          <w:sz w:val="20"/>
          <w:szCs w:val="20"/>
          <w:highlight w:val="none"/>
        </w:rPr>
      </w:pPr>
      <w:r>
        <w:rPr>
          <w:rFonts w:ascii="宋体" w:hAnsi="宋体" w:eastAsia="宋体" w:cs="宋体"/>
          <w:color w:val="auto"/>
          <w:spacing w:val="-13"/>
          <w:position w:val="3"/>
          <w:sz w:val="20"/>
          <w:szCs w:val="20"/>
          <w:highlight w:val="none"/>
        </w:rPr>
        <w:t>……</w:t>
      </w:r>
    </w:p>
    <w:p w14:paraId="595F03BE">
      <w:pPr>
        <w:spacing w:before="89" w:line="221" w:lineRule="auto"/>
        <w:ind w:left="422"/>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四、与质疑事项相关的质疑请求：</w:t>
      </w:r>
    </w:p>
    <w:p w14:paraId="049A4754">
      <w:pPr>
        <w:spacing w:before="180" w:line="221" w:lineRule="auto"/>
        <w:ind w:left="397"/>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请求：</w:t>
      </w:r>
      <w:r>
        <w:rPr>
          <w:rFonts w:ascii="宋体" w:hAnsi="宋体" w:eastAsia="宋体" w:cs="宋体"/>
          <w:color w:val="auto"/>
          <w:sz w:val="20"/>
          <w:szCs w:val="20"/>
          <w:highlight w:val="none"/>
          <w:u w:val="single" w:color="auto"/>
        </w:rPr>
        <w:t xml:space="preserve">                                                               </w:t>
      </w:r>
    </w:p>
    <w:p w14:paraId="45AD879D">
      <w:pPr>
        <w:spacing w:before="179" w:line="219" w:lineRule="auto"/>
        <w:ind w:left="399"/>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签字（签章</w:t>
      </w:r>
      <w:r>
        <w:rPr>
          <w:rFonts w:ascii="宋体" w:hAnsi="宋体" w:eastAsia="宋体" w:cs="宋体"/>
          <w:color w:val="auto"/>
          <w:spacing w:val="2"/>
          <w:sz w:val="20"/>
          <w:szCs w:val="20"/>
          <w:highlight w:val="none"/>
        </w:rPr>
        <w:t>）：</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公章：</w:t>
      </w:r>
    </w:p>
    <w:p w14:paraId="74694A8B">
      <w:pPr>
        <w:pStyle w:val="6"/>
        <w:spacing w:line="297" w:lineRule="auto"/>
        <w:rPr>
          <w:color w:val="auto"/>
          <w:sz w:val="20"/>
          <w:szCs w:val="20"/>
          <w:highlight w:val="none"/>
        </w:rPr>
      </w:pPr>
    </w:p>
    <w:p w14:paraId="6E59BC30">
      <w:pPr>
        <w:pStyle w:val="6"/>
        <w:spacing w:line="298" w:lineRule="auto"/>
        <w:rPr>
          <w:rFonts w:hint="eastAsia" w:eastAsia="宋体"/>
          <w:color w:val="auto"/>
          <w:sz w:val="20"/>
          <w:szCs w:val="20"/>
          <w:highlight w:val="none"/>
          <w:lang w:eastAsia="zh-CN"/>
        </w:rPr>
      </w:pPr>
    </w:p>
    <w:p w14:paraId="5EF7F86D">
      <w:pPr>
        <w:spacing w:before="78" w:line="221" w:lineRule="auto"/>
        <w:ind w:left="535"/>
        <w:rPr>
          <w:rFonts w:ascii="宋体" w:hAnsi="宋体" w:eastAsia="宋体" w:cs="宋体"/>
          <w:color w:val="auto"/>
          <w:sz w:val="20"/>
          <w:szCs w:val="20"/>
          <w:highlight w:val="none"/>
        </w:rPr>
      </w:pPr>
      <w:r>
        <w:rPr>
          <w:rFonts w:ascii="宋体" w:hAnsi="宋体" w:eastAsia="宋体" w:cs="宋体"/>
          <w:color w:val="auto"/>
          <w:spacing w:val="-17"/>
          <w:sz w:val="20"/>
          <w:szCs w:val="20"/>
          <w:highlight w:val="none"/>
        </w:rPr>
        <w:t>日期：</w:t>
      </w:r>
    </w:p>
    <w:p w14:paraId="459EC8B9">
      <w:pPr>
        <w:pStyle w:val="6"/>
        <w:spacing w:line="281" w:lineRule="auto"/>
        <w:rPr>
          <w:color w:val="auto"/>
          <w:sz w:val="20"/>
          <w:szCs w:val="20"/>
          <w:highlight w:val="none"/>
        </w:rPr>
      </w:pPr>
    </w:p>
    <w:p w14:paraId="704AD0D0">
      <w:pPr>
        <w:pStyle w:val="6"/>
        <w:spacing w:line="281" w:lineRule="auto"/>
        <w:rPr>
          <w:color w:val="auto"/>
          <w:sz w:val="20"/>
          <w:szCs w:val="20"/>
          <w:highlight w:val="none"/>
        </w:rPr>
      </w:pPr>
    </w:p>
    <w:p w14:paraId="1AB01B19">
      <w:pPr>
        <w:spacing w:before="78" w:line="220" w:lineRule="auto"/>
        <w:rPr>
          <w:rFonts w:ascii="宋体" w:hAnsi="宋体" w:eastAsia="宋体" w:cs="宋体"/>
          <w:b/>
          <w:bCs/>
          <w:color w:val="auto"/>
          <w:spacing w:val="-7"/>
          <w:sz w:val="20"/>
          <w:szCs w:val="20"/>
          <w:highlight w:val="none"/>
        </w:rPr>
      </w:pPr>
    </w:p>
    <w:p w14:paraId="69D3D1C1">
      <w:pPr>
        <w:spacing w:before="78" w:line="220" w:lineRule="auto"/>
        <w:rPr>
          <w:rFonts w:ascii="宋体" w:hAnsi="宋体" w:eastAsia="宋体" w:cs="宋体"/>
          <w:b/>
          <w:bCs/>
          <w:color w:val="auto"/>
          <w:spacing w:val="-7"/>
          <w:sz w:val="20"/>
          <w:szCs w:val="20"/>
          <w:highlight w:val="none"/>
        </w:rPr>
      </w:pPr>
    </w:p>
    <w:p w14:paraId="3338C750">
      <w:pPr>
        <w:spacing w:before="78" w:line="220" w:lineRule="auto"/>
        <w:rPr>
          <w:rFonts w:ascii="宋体" w:hAnsi="宋体" w:eastAsia="宋体" w:cs="宋体"/>
          <w:b/>
          <w:bCs/>
          <w:color w:val="auto"/>
          <w:spacing w:val="-7"/>
          <w:sz w:val="20"/>
          <w:szCs w:val="20"/>
          <w:highlight w:val="none"/>
        </w:rPr>
      </w:pPr>
    </w:p>
    <w:p w14:paraId="3824E85B">
      <w:pPr>
        <w:spacing w:before="78" w:line="220" w:lineRule="auto"/>
        <w:rPr>
          <w:rFonts w:ascii="宋体" w:hAnsi="宋体" w:eastAsia="宋体" w:cs="宋体"/>
          <w:color w:val="auto"/>
          <w:sz w:val="20"/>
          <w:szCs w:val="20"/>
          <w:highlight w:val="none"/>
        </w:rPr>
      </w:pPr>
      <w:r>
        <w:rPr>
          <w:rFonts w:ascii="宋体" w:hAnsi="宋体" w:eastAsia="宋体" w:cs="宋体"/>
          <w:b/>
          <w:bCs/>
          <w:color w:val="auto"/>
          <w:spacing w:val="-7"/>
          <w:sz w:val="20"/>
          <w:szCs w:val="20"/>
          <w:highlight w:val="none"/>
        </w:rPr>
        <w:t>说明：</w:t>
      </w:r>
    </w:p>
    <w:p w14:paraId="3960F836">
      <w:pPr>
        <w:spacing w:before="182" w:line="219" w:lineRule="auto"/>
        <w:ind w:left="391"/>
        <w:rPr>
          <w:rFonts w:ascii="宋体" w:hAnsi="宋体" w:eastAsia="宋体" w:cs="宋体"/>
          <w:color w:val="auto"/>
          <w:sz w:val="20"/>
          <w:szCs w:val="20"/>
          <w:highlight w:val="none"/>
        </w:rPr>
      </w:pPr>
      <w:r>
        <w:rPr>
          <w:rFonts w:ascii="宋体" w:hAnsi="宋体" w:eastAsia="宋体" w:cs="宋体"/>
          <w:b/>
          <w:bCs/>
          <w:color w:val="auto"/>
          <w:spacing w:val="-3"/>
          <w:sz w:val="20"/>
          <w:szCs w:val="20"/>
          <w:highlight w:val="none"/>
        </w:rPr>
        <w:t>1.供应商提出质疑时，应提交质疑函和必要的证明材料。</w:t>
      </w:r>
    </w:p>
    <w:p w14:paraId="4F03819C">
      <w:pPr>
        <w:spacing w:before="181" w:line="313" w:lineRule="auto"/>
        <w:ind w:left="23" w:firstLine="353"/>
        <w:rPr>
          <w:rFonts w:ascii="宋体" w:hAnsi="宋体" w:eastAsia="宋体" w:cs="宋体"/>
          <w:color w:val="auto"/>
          <w:sz w:val="20"/>
          <w:szCs w:val="20"/>
          <w:highlight w:val="none"/>
        </w:rPr>
      </w:pPr>
      <w:r>
        <w:rPr>
          <w:rFonts w:ascii="宋体" w:hAnsi="宋体" w:eastAsia="宋体" w:cs="宋体"/>
          <w:b/>
          <w:bCs/>
          <w:color w:val="auto"/>
          <w:spacing w:val="-5"/>
          <w:sz w:val="20"/>
          <w:szCs w:val="20"/>
          <w:highlight w:val="none"/>
        </w:rPr>
        <w:t>2.质疑供应商若委托代理人进行质疑的，质疑函应按要求列明“授权代</w:t>
      </w:r>
      <w:r>
        <w:rPr>
          <w:rFonts w:ascii="宋体" w:hAnsi="宋体" w:eastAsia="宋体" w:cs="宋体"/>
          <w:b/>
          <w:bCs/>
          <w:color w:val="auto"/>
          <w:spacing w:val="-6"/>
          <w:sz w:val="20"/>
          <w:szCs w:val="20"/>
          <w:highlight w:val="none"/>
        </w:rPr>
        <w:t>表</w:t>
      </w:r>
      <w:r>
        <w:rPr>
          <w:rFonts w:ascii="宋体" w:hAnsi="宋体" w:eastAsia="宋体" w:cs="宋体"/>
          <w:color w:val="auto"/>
          <w:spacing w:val="-88"/>
          <w:sz w:val="20"/>
          <w:szCs w:val="20"/>
          <w:highlight w:val="none"/>
        </w:rPr>
        <w:t xml:space="preserve"> </w:t>
      </w:r>
      <w:r>
        <w:rPr>
          <w:rFonts w:ascii="宋体" w:hAnsi="宋体" w:eastAsia="宋体" w:cs="宋体"/>
          <w:b/>
          <w:bCs/>
          <w:color w:val="auto"/>
          <w:spacing w:val="-6"/>
          <w:sz w:val="20"/>
          <w:szCs w:val="20"/>
          <w:highlight w:val="none"/>
        </w:rPr>
        <w:t>”的有</w:t>
      </w:r>
      <w:r>
        <w:rPr>
          <w:rFonts w:ascii="宋体" w:hAnsi="宋体" w:eastAsia="宋体" w:cs="宋体"/>
          <w:color w:val="auto"/>
          <w:sz w:val="20"/>
          <w:szCs w:val="20"/>
          <w:highlight w:val="none"/>
        </w:rPr>
        <w:t xml:space="preserve"> </w:t>
      </w:r>
      <w:r>
        <w:rPr>
          <w:rFonts w:ascii="宋体" w:hAnsi="宋体" w:eastAsia="宋体" w:cs="宋体"/>
          <w:b/>
          <w:bCs/>
          <w:color w:val="auto"/>
          <w:spacing w:val="-1"/>
          <w:sz w:val="20"/>
          <w:szCs w:val="20"/>
          <w:highlight w:val="none"/>
        </w:rPr>
        <w:t>关内容，并在附件中提交由质疑供应商签署的授权委托书。授权委托书应载</w:t>
      </w:r>
      <w:r>
        <w:rPr>
          <w:rFonts w:ascii="宋体" w:hAnsi="宋体" w:eastAsia="宋体" w:cs="宋体"/>
          <w:b/>
          <w:bCs/>
          <w:color w:val="auto"/>
          <w:spacing w:val="-2"/>
          <w:sz w:val="20"/>
          <w:szCs w:val="20"/>
          <w:highlight w:val="none"/>
        </w:rPr>
        <w:t>明代理</w:t>
      </w:r>
      <w:r>
        <w:rPr>
          <w:rFonts w:ascii="宋体" w:hAnsi="宋体" w:eastAsia="宋体" w:cs="宋体"/>
          <w:color w:val="auto"/>
          <w:sz w:val="20"/>
          <w:szCs w:val="20"/>
          <w:highlight w:val="none"/>
        </w:rPr>
        <w:t xml:space="preserve"> </w:t>
      </w:r>
      <w:r>
        <w:rPr>
          <w:rFonts w:ascii="宋体" w:hAnsi="宋体" w:eastAsia="宋体" w:cs="宋体"/>
          <w:b/>
          <w:bCs/>
          <w:color w:val="auto"/>
          <w:spacing w:val="-2"/>
          <w:sz w:val="20"/>
          <w:szCs w:val="20"/>
          <w:highlight w:val="none"/>
        </w:rPr>
        <w:t>人的姓名或者名称、代理事项、具体权限、期限和相关</w:t>
      </w:r>
      <w:r>
        <w:rPr>
          <w:rFonts w:ascii="宋体" w:hAnsi="宋体" w:eastAsia="宋体" w:cs="宋体"/>
          <w:b/>
          <w:bCs/>
          <w:color w:val="auto"/>
          <w:spacing w:val="-3"/>
          <w:sz w:val="20"/>
          <w:szCs w:val="20"/>
          <w:highlight w:val="none"/>
        </w:rPr>
        <w:t>事项。</w:t>
      </w:r>
    </w:p>
    <w:p w14:paraId="26AFF020">
      <w:pPr>
        <w:spacing w:before="180" w:line="219" w:lineRule="auto"/>
        <w:ind w:left="378"/>
        <w:rPr>
          <w:rFonts w:ascii="宋体" w:hAnsi="宋体" w:eastAsia="宋体" w:cs="宋体"/>
          <w:color w:val="auto"/>
          <w:sz w:val="20"/>
          <w:szCs w:val="20"/>
          <w:highlight w:val="none"/>
        </w:rPr>
      </w:pPr>
      <w:r>
        <w:rPr>
          <w:rFonts w:ascii="宋体" w:hAnsi="宋体" w:eastAsia="宋体" w:cs="宋体"/>
          <w:b/>
          <w:bCs/>
          <w:color w:val="auto"/>
          <w:spacing w:val="-2"/>
          <w:sz w:val="20"/>
          <w:szCs w:val="20"/>
          <w:highlight w:val="none"/>
        </w:rPr>
        <w:t>3.质疑函的质疑事项应具体、明确，并有必要的事实依据和法</w:t>
      </w:r>
      <w:r>
        <w:rPr>
          <w:rFonts w:ascii="宋体" w:hAnsi="宋体" w:eastAsia="宋体" w:cs="宋体"/>
          <w:b/>
          <w:bCs/>
          <w:color w:val="auto"/>
          <w:spacing w:val="-3"/>
          <w:sz w:val="20"/>
          <w:szCs w:val="20"/>
          <w:highlight w:val="none"/>
        </w:rPr>
        <w:t>律依据。</w:t>
      </w:r>
    </w:p>
    <w:p w14:paraId="726CA7EF">
      <w:pPr>
        <w:spacing w:before="183" w:line="221" w:lineRule="auto"/>
        <w:ind w:left="372"/>
        <w:rPr>
          <w:rFonts w:ascii="宋体" w:hAnsi="宋体" w:eastAsia="宋体" w:cs="宋体"/>
          <w:color w:val="auto"/>
          <w:sz w:val="20"/>
          <w:szCs w:val="20"/>
          <w:highlight w:val="none"/>
        </w:rPr>
      </w:pPr>
      <w:r>
        <w:rPr>
          <w:rFonts w:ascii="宋体" w:hAnsi="宋体" w:eastAsia="宋体" w:cs="宋体"/>
          <w:b/>
          <w:bCs/>
          <w:color w:val="auto"/>
          <w:spacing w:val="-3"/>
          <w:sz w:val="20"/>
          <w:szCs w:val="20"/>
          <w:highlight w:val="none"/>
        </w:rPr>
        <w:t>4.质疑函的质疑请求应与质疑事项相关。</w:t>
      </w:r>
    </w:p>
    <w:p w14:paraId="7C080761">
      <w:pPr>
        <w:spacing w:before="177" w:line="290" w:lineRule="auto"/>
        <w:ind w:left="23" w:firstLine="355"/>
        <w:rPr>
          <w:rFonts w:ascii="宋体" w:hAnsi="宋体" w:eastAsia="宋体" w:cs="宋体"/>
          <w:color w:val="auto"/>
          <w:sz w:val="20"/>
          <w:szCs w:val="20"/>
          <w:highlight w:val="none"/>
        </w:rPr>
      </w:pPr>
      <w:r>
        <w:rPr>
          <w:rFonts w:ascii="宋体" w:hAnsi="宋体" w:eastAsia="宋体" w:cs="宋体"/>
          <w:b/>
          <w:bCs/>
          <w:color w:val="auto"/>
          <w:spacing w:val="-4"/>
          <w:sz w:val="20"/>
          <w:szCs w:val="20"/>
          <w:highlight w:val="none"/>
        </w:rPr>
        <w:t>5.质疑供应商为法人或者其他组织的，质疑函应由法定代</w:t>
      </w:r>
      <w:r>
        <w:rPr>
          <w:rFonts w:ascii="宋体" w:hAnsi="宋体" w:eastAsia="宋体" w:cs="宋体"/>
          <w:b/>
          <w:bCs/>
          <w:color w:val="auto"/>
          <w:spacing w:val="-5"/>
          <w:sz w:val="20"/>
          <w:szCs w:val="20"/>
          <w:highlight w:val="none"/>
        </w:rPr>
        <w:t>表人、主要负责人，或</w:t>
      </w:r>
      <w:r>
        <w:rPr>
          <w:rFonts w:ascii="宋体" w:hAnsi="宋体" w:eastAsia="宋体" w:cs="宋体"/>
          <w:color w:val="auto"/>
          <w:sz w:val="20"/>
          <w:szCs w:val="20"/>
          <w:highlight w:val="none"/>
        </w:rPr>
        <w:t xml:space="preserve"> </w:t>
      </w:r>
      <w:r>
        <w:rPr>
          <w:rFonts w:ascii="宋体" w:hAnsi="宋体" w:eastAsia="宋体" w:cs="宋体"/>
          <w:b/>
          <w:bCs/>
          <w:color w:val="auto"/>
          <w:spacing w:val="-3"/>
          <w:sz w:val="20"/>
          <w:szCs w:val="20"/>
          <w:highlight w:val="none"/>
        </w:rPr>
        <w:t>者其授权代表签字或者盖章，并加盖公章。</w:t>
      </w:r>
    </w:p>
    <w:p w14:paraId="02D06589">
      <w:pPr>
        <w:spacing w:line="290" w:lineRule="auto"/>
        <w:rPr>
          <w:rFonts w:ascii="宋体" w:hAnsi="宋体" w:eastAsia="宋体" w:cs="宋体"/>
          <w:color w:val="auto"/>
          <w:sz w:val="20"/>
          <w:szCs w:val="20"/>
          <w:highlight w:val="none"/>
        </w:rPr>
        <w:sectPr>
          <w:footerReference r:id="rId86" w:type="default"/>
          <w:pgSz w:w="11910" w:h="16840"/>
          <w:pgMar w:top="400" w:right="1501" w:bottom="1148" w:left="1692" w:header="0" w:footer="912" w:gutter="0"/>
          <w:pgNumType w:fmt="decimal"/>
          <w:cols w:space="720" w:num="1"/>
        </w:sectPr>
      </w:pPr>
    </w:p>
    <w:p w14:paraId="35ECA4E7">
      <w:pPr>
        <w:pStyle w:val="6"/>
        <w:spacing w:line="267" w:lineRule="auto"/>
        <w:rPr>
          <w:color w:val="auto"/>
          <w:highlight w:val="none"/>
        </w:rPr>
      </w:pPr>
    </w:p>
    <w:p w14:paraId="0ACB4189">
      <w:pPr>
        <w:pStyle w:val="6"/>
        <w:spacing w:line="268" w:lineRule="auto"/>
        <w:rPr>
          <w:color w:val="auto"/>
          <w:highlight w:val="none"/>
        </w:rPr>
      </w:pPr>
    </w:p>
    <w:p w14:paraId="56E38D7B">
      <w:pPr>
        <w:pStyle w:val="6"/>
        <w:spacing w:line="268" w:lineRule="auto"/>
        <w:rPr>
          <w:color w:val="auto"/>
          <w:highlight w:val="none"/>
        </w:rPr>
      </w:pPr>
    </w:p>
    <w:p w14:paraId="64ABD723">
      <w:pPr>
        <w:pStyle w:val="6"/>
        <w:spacing w:line="268" w:lineRule="auto"/>
        <w:rPr>
          <w:color w:val="auto"/>
          <w:highlight w:val="none"/>
        </w:rPr>
      </w:pPr>
    </w:p>
    <w:p w14:paraId="558BCDE7">
      <w:pPr>
        <w:pStyle w:val="6"/>
        <w:spacing w:line="268" w:lineRule="auto"/>
        <w:rPr>
          <w:color w:val="auto"/>
          <w:highlight w:val="none"/>
        </w:rPr>
      </w:pPr>
    </w:p>
    <w:p w14:paraId="0BAD7B6D">
      <w:pPr>
        <w:spacing w:before="100" w:line="225" w:lineRule="auto"/>
        <w:ind w:left="3149"/>
        <w:rPr>
          <w:rFonts w:ascii="宋体" w:hAnsi="宋体" w:eastAsia="宋体" w:cs="宋体"/>
          <w:color w:val="auto"/>
          <w:sz w:val="31"/>
          <w:szCs w:val="31"/>
          <w:highlight w:val="none"/>
        </w:rPr>
      </w:pPr>
      <w:r>
        <w:rPr>
          <w:rFonts w:ascii="宋体" w:hAnsi="宋体" w:eastAsia="宋体" w:cs="宋体"/>
          <w:b/>
          <w:bCs/>
          <w:color w:val="auto"/>
          <w:spacing w:val="3"/>
          <w:sz w:val="31"/>
          <w:szCs w:val="31"/>
          <w:highlight w:val="none"/>
        </w:rPr>
        <w:t>投诉书（格式）</w:t>
      </w:r>
    </w:p>
    <w:p w14:paraId="4056FF52">
      <w:pPr>
        <w:spacing w:before="233" w:line="219" w:lineRule="auto"/>
        <w:ind w:left="386"/>
        <w:rPr>
          <w:rFonts w:ascii="宋体" w:hAnsi="宋体" w:eastAsia="宋体" w:cs="宋体"/>
          <w:color w:val="auto"/>
          <w:sz w:val="20"/>
          <w:szCs w:val="20"/>
          <w:highlight w:val="none"/>
        </w:rPr>
      </w:pPr>
      <w:r>
        <w:rPr>
          <w:rFonts w:ascii="宋体" w:hAnsi="宋体" w:eastAsia="宋体" w:cs="宋体"/>
          <w:b/>
          <w:bCs/>
          <w:color w:val="auto"/>
          <w:spacing w:val="-3"/>
          <w:sz w:val="20"/>
          <w:szCs w:val="20"/>
          <w:highlight w:val="none"/>
        </w:rPr>
        <w:t>一、投诉相关主体基本情况：</w:t>
      </w:r>
    </w:p>
    <w:p w14:paraId="44292A23">
      <w:pPr>
        <w:spacing w:before="180" w:line="219" w:lineRule="auto"/>
        <w:ind w:left="382"/>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供应商：</w:t>
      </w:r>
      <w:r>
        <w:rPr>
          <w:rFonts w:ascii="宋体" w:hAnsi="宋体" w:eastAsia="宋体" w:cs="宋体"/>
          <w:color w:val="auto"/>
          <w:sz w:val="20"/>
          <w:szCs w:val="20"/>
          <w:highlight w:val="none"/>
          <w:u w:val="single" w:color="auto"/>
        </w:rPr>
        <w:t xml:space="preserve">                                                             </w:t>
      </w:r>
    </w:p>
    <w:p w14:paraId="12E432CD">
      <w:pPr>
        <w:spacing w:before="183" w:line="220" w:lineRule="auto"/>
        <w:ind w:left="382"/>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地址：</w:t>
      </w:r>
      <w:r>
        <w:rPr>
          <w:rFonts w:ascii="宋体" w:hAnsi="宋体" w:eastAsia="宋体" w:cs="宋体"/>
          <w:color w:val="auto"/>
          <w:spacing w:val="-3"/>
          <w:sz w:val="20"/>
          <w:szCs w:val="20"/>
          <w:highlight w:val="none"/>
          <w:u w:val="single" w:color="auto"/>
        </w:rPr>
        <w:t xml:space="preserve">                                   </w:t>
      </w:r>
      <w:r>
        <w:rPr>
          <w:rFonts w:ascii="宋体" w:hAnsi="宋体" w:eastAsia="宋体" w:cs="宋体"/>
          <w:color w:val="auto"/>
          <w:spacing w:val="-4"/>
          <w:sz w:val="20"/>
          <w:szCs w:val="20"/>
          <w:highlight w:val="none"/>
          <w:u w:val="single" w:color="auto"/>
        </w:rPr>
        <w:t xml:space="preserve">        </w:t>
      </w:r>
      <w:r>
        <w:rPr>
          <w:rFonts w:ascii="宋体" w:hAnsi="宋体" w:eastAsia="宋体" w:cs="宋体"/>
          <w:color w:val="auto"/>
          <w:spacing w:val="-93"/>
          <w:sz w:val="20"/>
          <w:szCs w:val="20"/>
          <w:highlight w:val="none"/>
        </w:rPr>
        <w:t xml:space="preserve"> </w:t>
      </w:r>
      <w:r>
        <w:rPr>
          <w:rFonts w:ascii="宋体" w:hAnsi="宋体" w:eastAsia="宋体" w:cs="宋体"/>
          <w:color w:val="auto"/>
          <w:spacing w:val="-4"/>
          <w:sz w:val="20"/>
          <w:szCs w:val="20"/>
          <w:highlight w:val="none"/>
        </w:rPr>
        <w:t>邮编：</w:t>
      </w:r>
      <w:r>
        <w:rPr>
          <w:rFonts w:ascii="宋体" w:hAnsi="宋体" w:eastAsia="宋体" w:cs="宋体"/>
          <w:color w:val="auto"/>
          <w:sz w:val="20"/>
          <w:szCs w:val="20"/>
          <w:highlight w:val="none"/>
          <w:u w:val="single" w:color="auto"/>
        </w:rPr>
        <w:t xml:space="preserve">               </w:t>
      </w:r>
    </w:p>
    <w:p w14:paraId="0B4ED104">
      <w:pPr>
        <w:spacing w:before="179" w:line="220" w:lineRule="auto"/>
        <w:ind w:left="383"/>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法定代表人/主要负责人：</w:t>
      </w:r>
      <w:r>
        <w:rPr>
          <w:rFonts w:ascii="宋体" w:hAnsi="宋体" w:eastAsia="宋体" w:cs="宋体"/>
          <w:color w:val="auto"/>
          <w:spacing w:val="-1"/>
          <w:sz w:val="20"/>
          <w:szCs w:val="20"/>
          <w:highlight w:val="none"/>
          <w:u w:val="single" w:color="auto"/>
        </w:rPr>
        <w:t xml:space="preserve">                                              </w:t>
      </w:r>
    </w:p>
    <w:p w14:paraId="4CD51063">
      <w:pPr>
        <w:spacing w:before="182" w:line="222" w:lineRule="auto"/>
        <w:ind w:left="383"/>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联系电话：</w:t>
      </w:r>
      <w:r>
        <w:rPr>
          <w:rFonts w:ascii="宋体" w:hAnsi="宋体" w:eastAsia="宋体" w:cs="宋体"/>
          <w:color w:val="auto"/>
          <w:sz w:val="20"/>
          <w:szCs w:val="20"/>
          <w:highlight w:val="none"/>
          <w:u w:val="single" w:color="auto"/>
        </w:rPr>
        <w:t xml:space="preserve">                                         </w:t>
      </w:r>
    </w:p>
    <w:p w14:paraId="38600527">
      <w:pPr>
        <w:spacing w:before="177" w:line="220" w:lineRule="auto"/>
        <w:ind w:left="381"/>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授权代表：</w:t>
      </w:r>
      <w:r>
        <w:rPr>
          <w:rFonts w:ascii="宋体" w:hAnsi="宋体" w:eastAsia="宋体" w:cs="宋体"/>
          <w:color w:val="auto"/>
          <w:spacing w:val="-1"/>
          <w:sz w:val="20"/>
          <w:szCs w:val="20"/>
          <w:highlight w:val="none"/>
          <w:u w:val="single" w:color="auto"/>
        </w:rPr>
        <w:t xml:space="preserve">                                      </w:t>
      </w:r>
      <w:r>
        <w:rPr>
          <w:rFonts w:ascii="宋体" w:hAnsi="宋体" w:eastAsia="宋体" w:cs="宋体"/>
          <w:color w:val="auto"/>
          <w:spacing w:val="-103"/>
          <w:sz w:val="20"/>
          <w:szCs w:val="20"/>
          <w:highlight w:val="none"/>
        </w:rPr>
        <w:t xml:space="preserve"> </w:t>
      </w:r>
      <w:r>
        <w:rPr>
          <w:rFonts w:ascii="宋体" w:hAnsi="宋体" w:eastAsia="宋体" w:cs="宋体"/>
          <w:color w:val="auto"/>
          <w:spacing w:val="-1"/>
          <w:sz w:val="20"/>
          <w:szCs w:val="20"/>
          <w:highlight w:val="none"/>
        </w:rPr>
        <w:t>联系电话：</w:t>
      </w:r>
      <w:r>
        <w:rPr>
          <w:rFonts w:ascii="宋体" w:hAnsi="宋体" w:eastAsia="宋体" w:cs="宋体"/>
          <w:color w:val="auto"/>
          <w:spacing w:val="-1"/>
          <w:sz w:val="20"/>
          <w:szCs w:val="20"/>
          <w:highlight w:val="none"/>
          <w:u w:val="single" w:color="auto"/>
        </w:rPr>
        <w:t xml:space="preserve">           </w:t>
      </w:r>
    </w:p>
    <w:p w14:paraId="7985B6A0">
      <w:pPr>
        <w:spacing w:before="183" w:line="229" w:lineRule="auto"/>
        <w:ind w:left="382"/>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地址：</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3"/>
          <w:sz w:val="20"/>
          <w:szCs w:val="20"/>
          <w:highlight w:val="none"/>
          <w:u w:val="single" w:color="auto"/>
        </w:rPr>
        <w:t xml:space="preserve">   </w:t>
      </w:r>
    </w:p>
    <w:p w14:paraId="7F6D2F33">
      <w:pPr>
        <w:spacing w:before="167" w:line="220" w:lineRule="auto"/>
        <w:ind w:left="400"/>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邮编：</w:t>
      </w:r>
      <w:r>
        <w:rPr>
          <w:rFonts w:ascii="宋体" w:hAnsi="宋体" w:eastAsia="宋体" w:cs="宋体"/>
          <w:color w:val="auto"/>
          <w:sz w:val="20"/>
          <w:szCs w:val="20"/>
          <w:highlight w:val="none"/>
          <w:u w:val="single" w:color="auto"/>
        </w:rPr>
        <w:t xml:space="preserve">         </w:t>
      </w:r>
    </w:p>
    <w:p w14:paraId="33966440">
      <w:pPr>
        <w:spacing w:before="182" w:line="220" w:lineRule="auto"/>
        <w:ind w:left="382"/>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被投诉人</w:t>
      </w:r>
      <w:r>
        <w:rPr>
          <w:rFonts w:ascii="宋体" w:hAnsi="宋体" w:eastAsia="宋体" w:cs="宋体"/>
          <w:color w:val="auto"/>
          <w:spacing w:val="-29"/>
          <w:sz w:val="20"/>
          <w:szCs w:val="20"/>
          <w:highlight w:val="none"/>
        </w:rPr>
        <w:t xml:space="preserve"> </w:t>
      </w:r>
      <w:r>
        <w:rPr>
          <w:rFonts w:ascii="宋体" w:hAnsi="宋体" w:eastAsia="宋体" w:cs="宋体"/>
          <w:color w:val="auto"/>
          <w:spacing w:val="-7"/>
          <w:sz w:val="20"/>
          <w:szCs w:val="20"/>
          <w:highlight w:val="none"/>
        </w:rPr>
        <w:t>1：</w:t>
      </w:r>
    </w:p>
    <w:p w14:paraId="3960F255">
      <w:pPr>
        <w:spacing w:before="180" w:line="229" w:lineRule="auto"/>
        <w:ind w:left="382"/>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地址：</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3"/>
          <w:sz w:val="20"/>
          <w:szCs w:val="20"/>
          <w:highlight w:val="none"/>
          <w:u w:val="single" w:color="auto"/>
        </w:rPr>
        <w:t xml:space="preserve">   </w:t>
      </w:r>
    </w:p>
    <w:p w14:paraId="27688E69">
      <w:pPr>
        <w:spacing w:before="170" w:line="220" w:lineRule="auto"/>
        <w:ind w:left="400"/>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邮编：</w:t>
      </w:r>
      <w:r>
        <w:rPr>
          <w:rFonts w:ascii="宋体" w:hAnsi="宋体" w:eastAsia="宋体" w:cs="宋体"/>
          <w:color w:val="auto"/>
          <w:sz w:val="20"/>
          <w:szCs w:val="20"/>
          <w:highlight w:val="none"/>
          <w:u w:val="single" w:color="auto"/>
        </w:rPr>
        <w:t xml:space="preserve">         </w:t>
      </w:r>
    </w:p>
    <w:p w14:paraId="15415384">
      <w:pPr>
        <w:spacing w:before="182" w:line="222" w:lineRule="auto"/>
        <w:ind w:left="383"/>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联系人：</w:t>
      </w:r>
      <w:r>
        <w:rPr>
          <w:rFonts w:ascii="宋体" w:hAnsi="宋体" w:eastAsia="宋体" w:cs="宋体"/>
          <w:color w:val="auto"/>
          <w:spacing w:val="-1"/>
          <w:sz w:val="20"/>
          <w:szCs w:val="20"/>
          <w:highlight w:val="none"/>
          <w:u w:val="single" w:color="auto"/>
        </w:rPr>
        <w:t xml:space="preserve">                                         </w:t>
      </w:r>
      <w:r>
        <w:rPr>
          <w:rFonts w:ascii="宋体" w:hAnsi="宋体" w:eastAsia="宋体" w:cs="宋体"/>
          <w:color w:val="auto"/>
          <w:spacing w:val="-104"/>
          <w:sz w:val="20"/>
          <w:szCs w:val="20"/>
          <w:highlight w:val="none"/>
        </w:rPr>
        <w:t xml:space="preserve"> </w:t>
      </w:r>
      <w:r>
        <w:rPr>
          <w:rFonts w:ascii="宋体" w:hAnsi="宋体" w:eastAsia="宋体" w:cs="宋体"/>
          <w:color w:val="auto"/>
          <w:spacing w:val="-1"/>
          <w:sz w:val="20"/>
          <w:szCs w:val="20"/>
          <w:highlight w:val="none"/>
        </w:rPr>
        <w:t>联系电话：</w:t>
      </w:r>
      <w:r>
        <w:rPr>
          <w:rFonts w:ascii="宋体" w:hAnsi="宋体" w:eastAsia="宋体" w:cs="宋体"/>
          <w:color w:val="auto"/>
          <w:spacing w:val="-1"/>
          <w:sz w:val="20"/>
          <w:szCs w:val="20"/>
          <w:highlight w:val="none"/>
          <w:u w:val="single" w:color="auto"/>
        </w:rPr>
        <w:t xml:space="preserve">          </w:t>
      </w:r>
    </w:p>
    <w:p w14:paraId="15F37B8B">
      <w:pPr>
        <w:spacing w:before="177" w:line="220" w:lineRule="auto"/>
        <w:ind w:left="382"/>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被投诉人</w:t>
      </w:r>
      <w:r>
        <w:rPr>
          <w:rFonts w:ascii="宋体" w:hAnsi="宋体" w:eastAsia="宋体" w:cs="宋体"/>
          <w:color w:val="auto"/>
          <w:spacing w:val="-47"/>
          <w:sz w:val="20"/>
          <w:szCs w:val="20"/>
          <w:highlight w:val="none"/>
        </w:rPr>
        <w:t xml:space="preserve"> </w:t>
      </w:r>
      <w:r>
        <w:rPr>
          <w:rFonts w:ascii="宋体" w:hAnsi="宋体" w:eastAsia="宋体" w:cs="宋体"/>
          <w:color w:val="auto"/>
          <w:spacing w:val="-4"/>
          <w:sz w:val="20"/>
          <w:szCs w:val="20"/>
          <w:highlight w:val="none"/>
        </w:rPr>
        <w:t>2：</w:t>
      </w:r>
    </w:p>
    <w:p w14:paraId="3ACC6141">
      <w:pPr>
        <w:spacing w:before="179" w:line="379" w:lineRule="exact"/>
        <w:ind w:left="397"/>
        <w:rPr>
          <w:rFonts w:ascii="宋体" w:hAnsi="宋体" w:eastAsia="宋体" w:cs="宋体"/>
          <w:color w:val="auto"/>
          <w:sz w:val="20"/>
          <w:szCs w:val="20"/>
          <w:highlight w:val="none"/>
        </w:rPr>
      </w:pPr>
      <w:r>
        <w:rPr>
          <w:rFonts w:ascii="宋体" w:hAnsi="宋体" w:eastAsia="宋体" w:cs="宋体"/>
          <w:color w:val="auto"/>
          <w:spacing w:val="-13"/>
          <w:position w:val="3"/>
          <w:sz w:val="20"/>
          <w:szCs w:val="20"/>
          <w:highlight w:val="none"/>
        </w:rPr>
        <w:t>……</w:t>
      </w:r>
    </w:p>
    <w:p w14:paraId="426C5991">
      <w:pPr>
        <w:spacing w:before="90" w:line="219" w:lineRule="auto"/>
        <w:ind w:left="382"/>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相关供应商：</w:t>
      </w:r>
      <w:r>
        <w:rPr>
          <w:rFonts w:ascii="宋体" w:hAnsi="宋体" w:eastAsia="宋体" w:cs="宋体"/>
          <w:color w:val="auto"/>
          <w:sz w:val="20"/>
          <w:szCs w:val="20"/>
          <w:highlight w:val="none"/>
          <w:u w:val="single" w:color="auto"/>
        </w:rPr>
        <w:t xml:space="preserve">                                                         </w:t>
      </w:r>
    </w:p>
    <w:p w14:paraId="2DB5D0B4">
      <w:pPr>
        <w:spacing w:before="180" w:line="220" w:lineRule="auto"/>
        <w:ind w:left="382"/>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地址：</w:t>
      </w:r>
      <w:r>
        <w:rPr>
          <w:rFonts w:ascii="宋体" w:hAnsi="宋体" w:eastAsia="宋体" w:cs="宋体"/>
          <w:color w:val="auto"/>
          <w:spacing w:val="-3"/>
          <w:sz w:val="20"/>
          <w:szCs w:val="20"/>
          <w:highlight w:val="none"/>
          <w:u w:val="single" w:color="auto"/>
        </w:rPr>
        <w:t xml:space="preserve">                                       </w:t>
      </w:r>
      <w:r>
        <w:rPr>
          <w:rFonts w:ascii="宋体" w:hAnsi="宋体" w:eastAsia="宋体" w:cs="宋体"/>
          <w:color w:val="auto"/>
          <w:spacing w:val="-4"/>
          <w:sz w:val="20"/>
          <w:szCs w:val="20"/>
          <w:highlight w:val="none"/>
          <w:u w:val="single" w:color="auto"/>
        </w:rPr>
        <w:t xml:space="preserve">     </w:t>
      </w:r>
      <w:r>
        <w:rPr>
          <w:rFonts w:ascii="宋体" w:hAnsi="宋体" w:eastAsia="宋体" w:cs="宋体"/>
          <w:color w:val="auto"/>
          <w:spacing w:val="-93"/>
          <w:sz w:val="20"/>
          <w:szCs w:val="20"/>
          <w:highlight w:val="none"/>
        </w:rPr>
        <w:t xml:space="preserve"> </w:t>
      </w:r>
      <w:r>
        <w:rPr>
          <w:rFonts w:ascii="宋体" w:hAnsi="宋体" w:eastAsia="宋体" w:cs="宋体"/>
          <w:color w:val="auto"/>
          <w:spacing w:val="-4"/>
          <w:sz w:val="20"/>
          <w:szCs w:val="20"/>
          <w:highlight w:val="none"/>
        </w:rPr>
        <w:t>邮编：</w:t>
      </w:r>
      <w:r>
        <w:rPr>
          <w:rFonts w:ascii="宋体" w:hAnsi="宋体" w:eastAsia="宋体" w:cs="宋体"/>
          <w:color w:val="auto"/>
          <w:sz w:val="20"/>
          <w:szCs w:val="20"/>
          <w:highlight w:val="none"/>
          <w:u w:val="single" w:color="auto"/>
        </w:rPr>
        <w:t xml:space="preserve">              </w:t>
      </w:r>
    </w:p>
    <w:p w14:paraId="09B6AB11">
      <w:pPr>
        <w:spacing w:before="183" w:line="222" w:lineRule="auto"/>
        <w:ind w:left="383"/>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联系人：</w:t>
      </w:r>
      <w:r>
        <w:rPr>
          <w:rFonts w:ascii="宋体" w:hAnsi="宋体" w:eastAsia="宋体" w:cs="宋体"/>
          <w:color w:val="auto"/>
          <w:spacing w:val="-1"/>
          <w:sz w:val="20"/>
          <w:szCs w:val="20"/>
          <w:highlight w:val="none"/>
          <w:u w:val="single" w:color="auto"/>
        </w:rPr>
        <w:t xml:space="preserve">                                         </w:t>
      </w:r>
      <w:r>
        <w:rPr>
          <w:rFonts w:ascii="宋体" w:hAnsi="宋体" w:eastAsia="宋体" w:cs="宋体"/>
          <w:color w:val="auto"/>
          <w:spacing w:val="-104"/>
          <w:sz w:val="20"/>
          <w:szCs w:val="20"/>
          <w:highlight w:val="none"/>
        </w:rPr>
        <w:t xml:space="preserve"> </w:t>
      </w:r>
      <w:r>
        <w:rPr>
          <w:rFonts w:ascii="宋体" w:hAnsi="宋体" w:eastAsia="宋体" w:cs="宋体"/>
          <w:color w:val="auto"/>
          <w:spacing w:val="-1"/>
          <w:sz w:val="20"/>
          <w:szCs w:val="20"/>
          <w:highlight w:val="none"/>
        </w:rPr>
        <w:t>联系电话：</w:t>
      </w:r>
      <w:r>
        <w:rPr>
          <w:rFonts w:ascii="宋体" w:hAnsi="宋体" w:eastAsia="宋体" w:cs="宋体"/>
          <w:color w:val="auto"/>
          <w:spacing w:val="-1"/>
          <w:sz w:val="20"/>
          <w:szCs w:val="20"/>
          <w:highlight w:val="none"/>
          <w:u w:val="single" w:color="auto"/>
        </w:rPr>
        <w:t xml:space="preserve">          </w:t>
      </w:r>
    </w:p>
    <w:p w14:paraId="567FE661">
      <w:pPr>
        <w:spacing w:before="179" w:line="219" w:lineRule="auto"/>
        <w:ind w:left="386"/>
        <w:rPr>
          <w:rFonts w:ascii="宋体" w:hAnsi="宋体" w:eastAsia="宋体" w:cs="宋体"/>
          <w:color w:val="auto"/>
          <w:sz w:val="20"/>
          <w:szCs w:val="20"/>
          <w:highlight w:val="none"/>
        </w:rPr>
      </w:pPr>
      <w:r>
        <w:rPr>
          <w:rFonts w:ascii="宋体" w:hAnsi="宋体" w:eastAsia="宋体" w:cs="宋体"/>
          <w:b/>
          <w:bCs/>
          <w:color w:val="auto"/>
          <w:spacing w:val="-3"/>
          <w:sz w:val="20"/>
          <w:szCs w:val="20"/>
          <w:highlight w:val="none"/>
        </w:rPr>
        <w:t>二、投诉项目基本情况：</w:t>
      </w:r>
    </w:p>
    <w:p w14:paraId="4157385B">
      <w:pPr>
        <w:spacing w:before="181" w:line="219" w:lineRule="auto"/>
        <w:ind w:left="398"/>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采购项目的名称：</w:t>
      </w:r>
      <w:r>
        <w:rPr>
          <w:rFonts w:ascii="宋体" w:hAnsi="宋体" w:eastAsia="宋体" w:cs="宋体"/>
          <w:color w:val="auto"/>
          <w:sz w:val="20"/>
          <w:szCs w:val="20"/>
          <w:highlight w:val="none"/>
          <w:u w:val="single" w:color="auto"/>
        </w:rPr>
        <w:t xml:space="preserve">                                        </w:t>
      </w:r>
    </w:p>
    <w:p w14:paraId="7537B8A2">
      <w:pPr>
        <w:spacing w:before="183" w:line="219" w:lineRule="auto"/>
        <w:ind w:left="398"/>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采购项目的编号：</w:t>
      </w:r>
      <w:r>
        <w:rPr>
          <w:rFonts w:ascii="宋体" w:hAnsi="宋体" w:eastAsia="宋体" w:cs="宋体"/>
          <w:color w:val="auto"/>
          <w:sz w:val="20"/>
          <w:szCs w:val="20"/>
          <w:highlight w:val="none"/>
          <w:u w:val="single" w:color="auto"/>
        </w:rPr>
        <w:t xml:space="preserve">                                        </w:t>
      </w:r>
    </w:p>
    <w:p w14:paraId="77D6A7F9">
      <w:pPr>
        <w:spacing w:before="181" w:line="219" w:lineRule="auto"/>
        <w:ind w:left="398"/>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采购人名称：</w:t>
      </w:r>
      <w:r>
        <w:rPr>
          <w:rFonts w:ascii="宋体" w:hAnsi="宋体" w:eastAsia="宋体" w:cs="宋体"/>
          <w:color w:val="auto"/>
          <w:sz w:val="20"/>
          <w:szCs w:val="20"/>
          <w:highlight w:val="none"/>
          <w:u w:val="single" w:color="auto"/>
        </w:rPr>
        <w:t xml:space="preserve">                                            </w:t>
      </w:r>
    </w:p>
    <w:p w14:paraId="40BC3A31">
      <w:pPr>
        <w:spacing w:before="184" w:line="219" w:lineRule="auto"/>
        <w:ind w:left="398"/>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代理机构名称：</w:t>
      </w:r>
      <w:r>
        <w:rPr>
          <w:rFonts w:ascii="宋体" w:hAnsi="宋体" w:eastAsia="宋体" w:cs="宋体"/>
          <w:color w:val="auto"/>
          <w:sz w:val="20"/>
          <w:szCs w:val="20"/>
          <w:highlight w:val="none"/>
          <w:u w:val="single" w:color="auto"/>
        </w:rPr>
        <w:t xml:space="preserve">                                           </w:t>
      </w:r>
    </w:p>
    <w:p w14:paraId="650DD8FE">
      <w:pPr>
        <w:spacing w:before="180" w:line="219" w:lineRule="auto"/>
        <w:ind w:left="40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招标文件公告：</w:t>
      </w:r>
      <w:r>
        <w:rPr>
          <w:rFonts w:ascii="宋体" w:hAnsi="宋体" w:eastAsia="宋体" w:cs="宋体"/>
          <w:color w:val="auto"/>
          <w:spacing w:val="-1"/>
          <w:sz w:val="20"/>
          <w:szCs w:val="20"/>
          <w:highlight w:val="none"/>
          <w:u w:val="single" w:color="auto"/>
        </w:rPr>
        <w:t>是/否</w:t>
      </w:r>
      <w:r>
        <w:rPr>
          <w:rFonts w:ascii="宋体" w:hAnsi="宋体" w:eastAsia="宋体" w:cs="宋体"/>
          <w:color w:val="auto"/>
          <w:spacing w:val="-1"/>
          <w:sz w:val="20"/>
          <w:szCs w:val="20"/>
          <w:highlight w:val="none"/>
        </w:rPr>
        <w:t>公告期限：</w:t>
      </w:r>
      <w:r>
        <w:rPr>
          <w:rFonts w:ascii="宋体" w:hAnsi="宋体" w:eastAsia="宋体" w:cs="宋体"/>
          <w:color w:val="auto"/>
          <w:spacing w:val="-1"/>
          <w:sz w:val="20"/>
          <w:szCs w:val="20"/>
          <w:highlight w:val="none"/>
          <w:u w:val="single" w:color="auto"/>
        </w:rPr>
        <w:t xml:space="preserve">                                  </w:t>
      </w:r>
      <w:r>
        <w:rPr>
          <w:rFonts w:ascii="宋体" w:hAnsi="宋体" w:eastAsia="宋体" w:cs="宋体"/>
          <w:color w:val="auto"/>
          <w:spacing w:val="-2"/>
          <w:sz w:val="20"/>
          <w:szCs w:val="20"/>
          <w:highlight w:val="none"/>
          <w:u w:val="single" w:color="auto"/>
        </w:rPr>
        <w:t xml:space="preserve">      </w:t>
      </w:r>
    </w:p>
    <w:p w14:paraId="60FD73FF">
      <w:pPr>
        <w:spacing w:before="183" w:line="219" w:lineRule="auto"/>
        <w:ind w:left="398"/>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采购结果公告：</w:t>
      </w:r>
      <w:r>
        <w:rPr>
          <w:rFonts w:ascii="宋体" w:hAnsi="宋体" w:eastAsia="宋体" w:cs="宋体"/>
          <w:color w:val="auto"/>
          <w:spacing w:val="-1"/>
          <w:sz w:val="20"/>
          <w:szCs w:val="20"/>
          <w:highlight w:val="none"/>
          <w:u w:val="single" w:color="auto"/>
        </w:rPr>
        <w:t>是/否</w:t>
      </w:r>
      <w:r>
        <w:rPr>
          <w:rFonts w:ascii="宋体" w:hAnsi="宋体" w:eastAsia="宋体" w:cs="宋体"/>
          <w:color w:val="auto"/>
          <w:spacing w:val="-1"/>
          <w:sz w:val="20"/>
          <w:szCs w:val="20"/>
          <w:highlight w:val="none"/>
        </w:rPr>
        <w:t>公告期限：</w:t>
      </w:r>
      <w:r>
        <w:rPr>
          <w:rFonts w:ascii="宋体" w:hAnsi="宋体" w:eastAsia="宋体" w:cs="宋体"/>
          <w:color w:val="auto"/>
          <w:spacing w:val="-1"/>
          <w:sz w:val="20"/>
          <w:szCs w:val="20"/>
          <w:highlight w:val="none"/>
          <w:u w:val="single" w:color="auto"/>
        </w:rPr>
        <w:t xml:space="preserve">                                    </w:t>
      </w:r>
      <w:r>
        <w:rPr>
          <w:rFonts w:ascii="宋体" w:hAnsi="宋体" w:eastAsia="宋体" w:cs="宋体"/>
          <w:color w:val="auto"/>
          <w:spacing w:val="-2"/>
          <w:sz w:val="20"/>
          <w:szCs w:val="20"/>
          <w:highlight w:val="none"/>
          <w:u w:val="single" w:color="auto"/>
        </w:rPr>
        <w:t xml:space="preserve">    </w:t>
      </w:r>
    </w:p>
    <w:p w14:paraId="630CC01D">
      <w:pPr>
        <w:spacing w:before="182" w:line="219" w:lineRule="auto"/>
        <w:ind w:left="397"/>
        <w:rPr>
          <w:rFonts w:ascii="宋体" w:hAnsi="宋体" w:eastAsia="宋体" w:cs="宋体"/>
          <w:color w:val="auto"/>
          <w:sz w:val="20"/>
          <w:szCs w:val="20"/>
          <w:highlight w:val="none"/>
        </w:rPr>
      </w:pPr>
      <w:r>
        <w:rPr>
          <w:rFonts w:ascii="宋体" w:hAnsi="宋体" w:eastAsia="宋体" w:cs="宋体"/>
          <w:b/>
          <w:bCs/>
          <w:color w:val="auto"/>
          <w:spacing w:val="-3"/>
          <w:sz w:val="20"/>
          <w:szCs w:val="20"/>
          <w:highlight w:val="none"/>
        </w:rPr>
        <w:t>三、质疑基本情况</w:t>
      </w:r>
    </w:p>
    <w:p w14:paraId="36CA34F3">
      <w:pPr>
        <w:spacing w:before="183" w:line="220" w:lineRule="auto"/>
        <w:jc w:val="right"/>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投诉人于</w:t>
      </w:r>
      <w:r>
        <w:rPr>
          <w:rFonts w:ascii="宋体" w:hAnsi="宋体" w:eastAsia="宋体" w:cs="宋体"/>
          <w:color w:val="auto"/>
          <w:spacing w:val="-5"/>
          <w:sz w:val="20"/>
          <w:szCs w:val="20"/>
          <w:highlight w:val="none"/>
          <w:u w:val="single" w:color="auto"/>
        </w:rPr>
        <w:t xml:space="preserve">      </w:t>
      </w:r>
      <w:r>
        <w:rPr>
          <w:rFonts w:ascii="宋体" w:hAnsi="宋体" w:eastAsia="宋体" w:cs="宋体"/>
          <w:color w:val="auto"/>
          <w:spacing w:val="-110"/>
          <w:sz w:val="20"/>
          <w:szCs w:val="20"/>
          <w:highlight w:val="none"/>
        </w:rPr>
        <w:t xml:space="preserve"> </w:t>
      </w:r>
      <w:r>
        <w:rPr>
          <w:rFonts w:ascii="宋体" w:hAnsi="宋体" w:eastAsia="宋体" w:cs="宋体"/>
          <w:color w:val="auto"/>
          <w:spacing w:val="-5"/>
          <w:sz w:val="20"/>
          <w:szCs w:val="20"/>
          <w:highlight w:val="none"/>
        </w:rPr>
        <w:t>年</w:t>
      </w:r>
      <w:r>
        <w:rPr>
          <w:rFonts w:ascii="宋体" w:hAnsi="宋体" w:eastAsia="宋体" w:cs="宋体"/>
          <w:color w:val="auto"/>
          <w:spacing w:val="-5"/>
          <w:sz w:val="20"/>
          <w:szCs w:val="20"/>
          <w:highlight w:val="none"/>
          <w:u w:val="single" w:color="auto"/>
        </w:rPr>
        <w:t xml:space="preserve">   </w:t>
      </w:r>
      <w:r>
        <w:rPr>
          <w:rFonts w:ascii="宋体" w:hAnsi="宋体" w:eastAsia="宋体" w:cs="宋体"/>
          <w:color w:val="auto"/>
          <w:spacing w:val="-105"/>
          <w:sz w:val="20"/>
          <w:szCs w:val="20"/>
          <w:highlight w:val="none"/>
        </w:rPr>
        <w:t xml:space="preserve"> </w:t>
      </w:r>
      <w:r>
        <w:rPr>
          <w:rFonts w:ascii="宋体" w:hAnsi="宋体" w:eastAsia="宋体" w:cs="宋体"/>
          <w:color w:val="auto"/>
          <w:spacing w:val="-5"/>
          <w:sz w:val="20"/>
          <w:szCs w:val="20"/>
          <w:highlight w:val="none"/>
        </w:rPr>
        <w:t>月</w:t>
      </w:r>
      <w:r>
        <w:rPr>
          <w:rFonts w:ascii="宋体" w:hAnsi="宋体" w:eastAsia="宋体" w:cs="宋体"/>
          <w:color w:val="auto"/>
          <w:spacing w:val="-5"/>
          <w:sz w:val="20"/>
          <w:szCs w:val="20"/>
          <w:highlight w:val="none"/>
          <w:u w:val="single" w:color="auto"/>
        </w:rPr>
        <w:t xml:space="preserve">   </w:t>
      </w:r>
      <w:r>
        <w:rPr>
          <w:rFonts w:ascii="宋体" w:hAnsi="宋体" w:eastAsia="宋体" w:cs="宋体"/>
          <w:color w:val="auto"/>
          <w:spacing w:val="-69"/>
          <w:sz w:val="20"/>
          <w:szCs w:val="20"/>
          <w:highlight w:val="none"/>
        </w:rPr>
        <w:t xml:space="preserve"> </w:t>
      </w:r>
      <w:r>
        <w:rPr>
          <w:rFonts w:ascii="宋体" w:hAnsi="宋体" w:eastAsia="宋体" w:cs="宋体"/>
          <w:color w:val="auto"/>
          <w:spacing w:val="-5"/>
          <w:sz w:val="20"/>
          <w:szCs w:val="20"/>
          <w:highlight w:val="none"/>
        </w:rPr>
        <w:t>日，向</w:t>
      </w:r>
      <w:r>
        <w:rPr>
          <w:rFonts w:ascii="宋体" w:hAnsi="宋体" w:eastAsia="宋体" w:cs="宋体"/>
          <w:color w:val="auto"/>
          <w:sz w:val="20"/>
          <w:szCs w:val="20"/>
          <w:highlight w:val="none"/>
          <w:u w:val="single" w:color="auto"/>
        </w:rPr>
        <w:t xml:space="preserve">                 </w:t>
      </w:r>
      <w:r>
        <w:rPr>
          <w:rFonts w:ascii="宋体" w:hAnsi="宋体" w:eastAsia="宋体" w:cs="宋体"/>
          <w:color w:val="auto"/>
          <w:spacing w:val="-110"/>
          <w:sz w:val="20"/>
          <w:szCs w:val="20"/>
          <w:highlight w:val="none"/>
        </w:rPr>
        <w:t xml:space="preserve"> </w:t>
      </w:r>
      <w:r>
        <w:rPr>
          <w:rFonts w:ascii="宋体" w:hAnsi="宋体" w:eastAsia="宋体" w:cs="宋体"/>
          <w:color w:val="auto"/>
          <w:spacing w:val="-5"/>
          <w:sz w:val="20"/>
          <w:szCs w:val="20"/>
          <w:highlight w:val="none"/>
        </w:rPr>
        <w:t>提出质疑，质疑事项为：</w:t>
      </w:r>
    </w:p>
    <w:p w14:paraId="22060B11">
      <w:pPr>
        <w:pStyle w:val="6"/>
        <w:tabs>
          <w:tab w:val="left" w:pos="8620"/>
        </w:tabs>
        <w:spacing w:before="219"/>
        <w:ind w:left="613"/>
        <w:rPr>
          <w:color w:val="auto"/>
          <w:sz w:val="20"/>
          <w:szCs w:val="20"/>
          <w:highlight w:val="none"/>
        </w:rPr>
      </w:pPr>
      <w:r>
        <w:rPr>
          <w:color w:val="auto"/>
          <w:sz w:val="20"/>
          <w:szCs w:val="20"/>
          <w:highlight w:val="none"/>
          <w:u w:val="single" w:color="auto"/>
        </w:rPr>
        <w:tab/>
      </w:r>
    </w:p>
    <w:p w14:paraId="16138426">
      <w:pPr>
        <w:spacing w:before="187" w:line="219" w:lineRule="auto"/>
        <w:jc w:val="right"/>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u w:val="single" w:color="auto"/>
        </w:rPr>
        <w:t>采购人/代理机构</w:t>
      </w:r>
      <w:r>
        <w:rPr>
          <w:rFonts w:ascii="宋体" w:hAnsi="宋体" w:eastAsia="宋体" w:cs="宋体"/>
          <w:color w:val="auto"/>
          <w:spacing w:val="-1"/>
          <w:sz w:val="20"/>
          <w:szCs w:val="20"/>
          <w:highlight w:val="none"/>
        </w:rPr>
        <w:t>于</w:t>
      </w:r>
      <w:r>
        <w:rPr>
          <w:rFonts w:ascii="宋体" w:hAnsi="宋体" w:eastAsia="宋体" w:cs="宋体"/>
          <w:color w:val="auto"/>
          <w:spacing w:val="-117"/>
          <w:sz w:val="20"/>
          <w:szCs w:val="20"/>
          <w:highlight w:val="none"/>
        </w:rPr>
        <w:t xml:space="preserve"> </w:t>
      </w:r>
      <w:r>
        <w:rPr>
          <w:rFonts w:ascii="宋体" w:hAnsi="宋体" w:eastAsia="宋体" w:cs="宋体"/>
          <w:color w:val="auto"/>
          <w:spacing w:val="2"/>
          <w:sz w:val="20"/>
          <w:szCs w:val="20"/>
          <w:highlight w:val="none"/>
          <w:u w:val="single" w:color="auto"/>
        </w:rPr>
        <w:t xml:space="preserve">      </w:t>
      </w:r>
      <w:r>
        <w:rPr>
          <w:rFonts w:ascii="宋体" w:hAnsi="宋体" w:eastAsia="宋体" w:cs="宋体"/>
          <w:color w:val="auto"/>
          <w:spacing w:val="-107"/>
          <w:sz w:val="20"/>
          <w:szCs w:val="20"/>
          <w:highlight w:val="none"/>
        </w:rPr>
        <w:t xml:space="preserve"> </w:t>
      </w:r>
      <w:r>
        <w:rPr>
          <w:rFonts w:ascii="宋体" w:hAnsi="宋体" w:eastAsia="宋体" w:cs="宋体"/>
          <w:color w:val="auto"/>
          <w:spacing w:val="-1"/>
          <w:sz w:val="20"/>
          <w:szCs w:val="20"/>
          <w:highlight w:val="none"/>
        </w:rPr>
        <w:t>年</w:t>
      </w:r>
      <w:r>
        <w:rPr>
          <w:rFonts w:ascii="宋体" w:hAnsi="宋体" w:eastAsia="宋体" w:cs="宋体"/>
          <w:color w:val="auto"/>
          <w:spacing w:val="-118"/>
          <w:sz w:val="20"/>
          <w:szCs w:val="20"/>
          <w:highlight w:val="none"/>
        </w:rPr>
        <w:t xml:space="preserve"> </w:t>
      </w:r>
      <w:r>
        <w:rPr>
          <w:rFonts w:ascii="宋体" w:hAnsi="宋体" w:eastAsia="宋体" w:cs="宋体"/>
          <w:color w:val="auto"/>
          <w:spacing w:val="1"/>
          <w:sz w:val="20"/>
          <w:szCs w:val="20"/>
          <w:highlight w:val="none"/>
          <w:u w:val="single" w:color="auto"/>
        </w:rPr>
        <w:t xml:space="preserve">   </w:t>
      </w:r>
      <w:r>
        <w:rPr>
          <w:rFonts w:ascii="宋体" w:hAnsi="宋体" w:eastAsia="宋体" w:cs="宋体"/>
          <w:color w:val="auto"/>
          <w:spacing w:val="-103"/>
          <w:sz w:val="20"/>
          <w:szCs w:val="20"/>
          <w:highlight w:val="none"/>
        </w:rPr>
        <w:t xml:space="preserve"> </w:t>
      </w:r>
      <w:r>
        <w:rPr>
          <w:rFonts w:ascii="宋体" w:hAnsi="宋体" w:eastAsia="宋体" w:cs="宋体"/>
          <w:color w:val="auto"/>
          <w:spacing w:val="-1"/>
          <w:sz w:val="20"/>
          <w:szCs w:val="20"/>
          <w:highlight w:val="none"/>
        </w:rPr>
        <w:t>月</w:t>
      </w:r>
      <w:r>
        <w:rPr>
          <w:rFonts w:ascii="宋体" w:hAnsi="宋体" w:eastAsia="宋体" w:cs="宋体"/>
          <w:color w:val="auto"/>
          <w:spacing w:val="-116"/>
          <w:sz w:val="20"/>
          <w:szCs w:val="20"/>
          <w:highlight w:val="none"/>
        </w:rPr>
        <w:t xml:space="preserve"> </w:t>
      </w:r>
      <w:r>
        <w:rPr>
          <w:rFonts w:ascii="宋体" w:hAnsi="宋体" w:eastAsia="宋体" w:cs="宋体"/>
          <w:color w:val="auto"/>
          <w:spacing w:val="1"/>
          <w:sz w:val="20"/>
          <w:szCs w:val="20"/>
          <w:highlight w:val="none"/>
          <w:u w:val="single" w:color="auto"/>
        </w:rPr>
        <w:t xml:space="preserve">   </w:t>
      </w:r>
      <w:r>
        <w:rPr>
          <w:rFonts w:ascii="宋体" w:hAnsi="宋体" w:eastAsia="宋体" w:cs="宋体"/>
          <w:color w:val="auto"/>
          <w:spacing w:val="-67"/>
          <w:sz w:val="20"/>
          <w:szCs w:val="20"/>
          <w:highlight w:val="none"/>
        </w:rPr>
        <w:t xml:space="preserve"> </w:t>
      </w:r>
      <w:r>
        <w:rPr>
          <w:rFonts w:ascii="宋体" w:hAnsi="宋体" w:eastAsia="宋体" w:cs="宋体"/>
          <w:color w:val="auto"/>
          <w:spacing w:val="-1"/>
          <w:sz w:val="20"/>
          <w:szCs w:val="20"/>
          <w:highlight w:val="none"/>
        </w:rPr>
        <w:t>日，就质疑事项作出了答复/没有在法定</w:t>
      </w:r>
    </w:p>
    <w:p w14:paraId="5D94F5A0">
      <w:pPr>
        <w:spacing w:line="219" w:lineRule="auto"/>
        <w:rPr>
          <w:rFonts w:ascii="宋体" w:hAnsi="宋体" w:eastAsia="宋体" w:cs="宋体"/>
          <w:color w:val="auto"/>
          <w:sz w:val="20"/>
          <w:szCs w:val="20"/>
          <w:highlight w:val="none"/>
        </w:rPr>
        <w:sectPr>
          <w:footerReference r:id="rId87" w:type="default"/>
          <w:pgSz w:w="11910" w:h="16840"/>
          <w:pgMar w:top="400" w:right="1498" w:bottom="1148" w:left="1786" w:header="0" w:footer="912" w:gutter="0"/>
          <w:pgNumType w:fmt="decimal"/>
          <w:cols w:space="720" w:num="1"/>
        </w:sectPr>
      </w:pPr>
    </w:p>
    <w:p w14:paraId="688A2FCB">
      <w:pPr>
        <w:pStyle w:val="6"/>
        <w:spacing w:line="297" w:lineRule="auto"/>
        <w:rPr>
          <w:color w:val="auto"/>
          <w:sz w:val="20"/>
          <w:szCs w:val="20"/>
          <w:highlight w:val="none"/>
        </w:rPr>
      </w:pPr>
    </w:p>
    <w:p w14:paraId="6E35F41E">
      <w:pPr>
        <w:pStyle w:val="6"/>
        <w:spacing w:line="298" w:lineRule="auto"/>
        <w:rPr>
          <w:color w:val="auto"/>
          <w:sz w:val="20"/>
          <w:szCs w:val="20"/>
          <w:highlight w:val="none"/>
        </w:rPr>
      </w:pPr>
    </w:p>
    <w:p w14:paraId="0B810387">
      <w:pPr>
        <w:pStyle w:val="6"/>
        <w:spacing w:line="298" w:lineRule="auto"/>
        <w:rPr>
          <w:color w:val="auto"/>
          <w:sz w:val="20"/>
          <w:szCs w:val="20"/>
          <w:highlight w:val="none"/>
        </w:rPr>
      </w:pPr>
    </w:p>
    <w:p w14:paraId="564D87D7">
      <w:pPr>
        <w:spacing w:before="78" w:line="220" w:lineRule="auto"/>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期限内作出答复。</w:t>
      </w:r>
    </w:p>
    <w:p w14:paraId="127062E5">
      <w:pPr>
        <w:spacing w:before="179" w:line="220" w:lineRule="auto"/>
        <w:ind w:left="514"/>
        <w:rPr>
          <w:rFonts w:ascii="宋体" w:hAnsi="宋体" w:eastAsia="宋体" w:cs="宋体"/>
          <w:color w:val="auto"/>
          <w:sz w:val="20"/>
          <w:szCs w:val="20"/>
          <w:highlight w:val="none"/>
        </w:rPr>
      </w:pPr>
      <w:r>
        <w:rPr>
          <w:rFonts w:ascii="宋体" w:hAnsi="宋体" w:eastAsia="宋体" w:cs="宋体"/>
          <w:b/>
          <w:bCs/>
          <w:color w:val="auto"/>
          <w:spacing w:val="-5"/>
          <w:sz w:val="20"/>
          <w:szCs w:val="20"/>
          <w:highlight w:val="none"/>
        </w:rPr>
        <w:t>四、投诉事项具体内容</w:t>
      </w:r>
    </w:p>
    <w:p w14:paraId="20B4D278">
      <w:pPr>
        <w:spacing w:before="179" w:line="221" w:lineRule="auto"/>
        <w:ind w:left="496"/>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投诉事项</w:t>
      </w:r>
      <w:r>
        <w:rPr>
          <w:rFonts w:ascii="宋体" w:hAnsi="宋体" w:eastAsia="宋体" w:cs="宋体"/>
          <w:color w:val="auto"/>
          <w:spacing w:val="-33"/>
          <w:sz w:val="20"/>
          <w:szCs w:val="20"/>
          <w:highlight w:val="none"/>
        </w:rPr>
        <w:t xml:space="preserve"> </w:t>
      </w:r>
      <w:r>
        <w:rPr>
          <w:rFonts w:ascii="宋体" w:hAnsi="宋体" w:eastAsia="宋体" w:cs="宋体"/>
          <w:color w:val="auto"/>
          <w:spacing w:val="-4"/>
          <w:sz w:val="20"/>
          <w:szCs w:val="20"/>
          <w:highlight w:val="none"/>
        </w:rPr>
        <w:t>1：</w:t>
      </w:r>
      <w:r>
        <w:rPr>
          <w:rFonts w:ascii="宋体" w:hAnsi="宋体" w:eastAsia="宋体" w:cs="宋体"/>
          <w:color w:val="auto"/>
          <w:spacing w:val="-4"/>
          <w:sz w:val="20"/>
          <w:szCs w:val="20"/>
          <w:highlight w:val="none"/>
          <w:u w:val="single" w:color="auto"/>
        </w:rPr>
        <w:t xml:space="preserve">                                                 </w:t>
      </w:r>
      <w:r>
        <w:rPr>
          <w:rFonts w:ascii="宋体" w:hAnsi="宋体" w:eastAsia="宋体" w:cs="宋体"/>
          <w:color w:val="auto"/>
          <w:spacing w:val="-5"/>
          <w:sz w:val="20"/>
          <w:szCs w:val="20"/>
          <w:highlight w:val="none"/>
          <w:u w:val="single" w:color="auto"/>
        </w:rPr>
        <w:t xml:space="preserve">          </w:t>
      </w:r>
    </w:p>
    <w:p w14:paraId="64A99506">
      <w:pPr>
        <w:spacing w:before="181" w:line="219" w:lineRule="auto"/>
        <w:ind w:left="477"/>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 xml:space="preserve">事实依据： </w:t>
      </w:r>
      <w:r>
        <w:rPr>
          <w:rFonts w:ascii="宋体" w:hAnsi="宋体" w:eastAsia="宋体" w:cs="宋体"/>
          <w:color w:val="auto"/>
          <w:sz w:val="20"/>
          <w:szCs w:val="20"/>
          <w:highlight w:val="none"/>
          <w:u w:val="single" w:color="auto"/>
        </w:rPr>
        <w:t xml:space="preserve">                                                          </w:t>
      </w:r>
    </w:p>
    <w:p w14:paraId="63F7F59A">
      <w:pPr>
        <w:pStyle w:val="6"/>
        <w:tabs>
          <w:tab w:val="left" w:pos="8715"/>
        </w:tabs>
        <w:spacing w:before="217"/>
        <w:ind w:left="483"/>
        <w:rPr>
          <w:color w:val="auto"/>
          <w:sz w:val="20"/>
          <w:szCs w:val="20"/>
          <w:highlight w:val="none"/>
        </w:rPr>
      </w:pPr>
      <w:r>
        <w:rPr>
          <w:color w:val="auto"/>
          <w:sz w:val="20"/>
          <w:szCs w:val="20"/>
          <w:highlight w:val="none"/>
          <w:u w:val="single" w:color="auto"/>
        </w:rPr>
        <w:tab/>
      </w:r>
    </w:p>
    <w:p w14:paraId="4550D6E8">
      <w:pPr>
        <w:spacing w:before="190" w:line="219" w:lineRule="auto"/>
        <w:ind w:left="478"/>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 xml:space="preserve">法律依据： </w:t>
      </w:r>
      <w:r>
        <w:rPr>
          <w:rFonts w:ascii="宋体" w:hAnsi="宋体" w:eastAsia="宋体" w:cs="宋体"/>
          <w:color w:val="auto"/>
          <w:sz w:val="20"/>
          <w:szCs w:val="20"/>
          <w:highlight w:val="none"/>
          <w:u w:val="single" w:color="auto"/>
        </w:rPr>
        <w:t xml:space="preserve">                                                          </w:t>
      </w:r>
    </w:p>
    <w:p w14:paraId="532BB8A2">
      <w:pPr>
        <w:pStyle w:val="6"/>
        <w:tabs>
          <w:tab w:val="left" w:pos="8715"/>
        </w:tabs>
        <w:spacing w:before="216"/>
        <w:ind w:left="483"/>
        <w:rPr>
          <w:color w:val="auto"/>
          <w:sz w:val="20"/>
          <w:szCs w:val="20"/>
          <w:highlight w:val="none"/>
        </w:rPr>
      </w:pPr>
      <w:r>
        <w:rPr>
          <w:color w:val="auto"/>
          <w:sz w:val="20"/>
          <w:szCs w:val="20"/>
          <w:highlight w:val="none"/>
          <w:u w:val="single" w:color="auto"/>
        </w:rPr>
        <w:tab/>
      </w:r>
    </w:p>
    <w:p w14:paraId="780FCFCD">
      <w:pPr>
        <w:spacing w:before="190" w:line="221" w:lineRule="auto"/>
        <w:ind w:left="496"/>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投诉事项</w:t>
      </w:r>
      <w:r>
        <w:rPr>
          <w:rFonts w:ascii="宋体" w:hAnsi="宋体" w:eastAsia="宋体" w:cs="宋体"/>
          <w:color w:val="auto"/>
          <w:spacing w:val="-47"/>
          <w:sz w:val="20"/>
          <w:szCs w:val="20"/>
          <w:highlight w:val="none"/>
        </w:rPr>
        <w:t xml:space="preserve"> </w:t>
      </w:r>
      <w:r>
        <w:rPr>
          <w:rFonts w:ascii="宋体" w:hAnsi="宋体" w:eastAsia="宋体" w:cs="宋体"/>
          <w:color w:val="auto"/>
          <w:spacing w:val="-3"/>
          <w:sz w:val="20"/>
          <w:szCs w:val="20"/>
          <w:highlight w:val="none"/>
        </w:rPr>
        <w:t>2</w:t>
      </w:r>
    </w:p>
    <w:p w14:paraId="6161566B">
      <w:pPr>
        <w:spacing w:before="181" w:line="379" w:lineRule="exact"/>
        <w:ind w:left="509"/>
        <w:rPr>
          <w:rFonts w:ascii="宋体" w:hAnsi="宋体" w:eastAsia="宋体" w:cs="宋体"/>
          <w:color w:val="auto"/>
          <w:sz w:val="20"/>
          <w:szCs w:val="20"/>
          <w:highlight w:val="none"/>
        </w:rPr>
      </w:pPr>
      <w:r>
        <w:rPr>
          <w:rFonts w:ascii="宋体" w:hAnsi="宋体" w:eastAsia="宋体" w:cs="宋体"/>
          <w:color w:val="auto"/>
          <w:spacing w:val="-13"/>
          <w:position w:val="3"/>
          <w:sz w:val="20"/>
          <w:szCs w:val="20"/>
          <w:highlight w:val="none"/>
        </w:rPr>
        <w:t>……</w:t>
      </w:r>
    </w:p>
    <w:p w14:paraId="537A8BE4">
      <w:pPr>
        <w:spacing w:before="86" w:line="221" w:lineRule="auto"/>
        <w:ind w:left="495"/>
        <w:rPr>
          <w:rFonts w:ascii="宋体" w:hAnsi="宋体" w:eastAsia="宋体" w:cs="宋体"/>
          <w:color w:val="auto"/>
          <w:sz w:val="20"/>
          <w:szCs w:val="20"/>
          <w:highlight w:val="none"/>
        </w:rPr>
      </w:pPr>
      <w:r>
        <w:rPr>
          <w:rFonts w:ascii="宋体" w:hAnsi="宋体" w:eastAsia="宋体" w:cs="宋体"/>
          <w:b/>
          <w:bCs/>
          <w:color w:val="auto"/>
          <w:spacing w:val="-3"/>
          <w:sz w:val="20"/>
          <w:szCs w:val="20"/>
          <w:highlight w:val="none"/>
        </w:rPr>
        <w:t>五、与投诉事项相关的投诉请求：</w:t>
      </w:r>
    </w:p>
    <w:p w14:paraId="32611CED">
      <w:pPr>
        <w:spacing w:before="181" w:line="221" w:lineRule="auto"/>
        <w:ind w:left="492"/>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请求：</w:t>
      </w:r>
      <w:r>
        <w:rPr>
          <w:rFonts w:ascii="宋体" w:hAnsi="宋体" w:eastAsia="宋体" w:cs="宋体"/>
          <w:color w:val="auto"/>
          <w:sz w:val="20"/>
          <w:szCs w:val="20"/>
          <w:highlight w:val="none"/>
          <w:u w:val="single" w:color="auto"/>
        </w:rPr>
        <w:t xml:space="preserve">                                                               </w:t>
      </w:r>
    </w:p>
    <w:p w14:paraId="1644D8A4">
      <w:pPr>
        <w:pStyle w:val="6"/>
        <w:spacing w:line="282" w:lineRule="auto"/>
        <w:rPr>
          <w:color w:val="auto"/>
          <w:sz w:val="20"/>
          <w:szCs w:val="20"/>
          <w:highlight w:val="none"/>
        </w:rPr>
      </w:pPr>
    </w:p>
    <w:p w14:paraId="59581CBC">
      <w:pPr>
        <w:pStyle w:val="6"/>
        <w:spacing w:line="283" w:lineRule="auto"/>
        <w:rPr>
          <w:color w:val="auto"/>
          <w:sz w:val="20"/>
          <w:szCs w:val="20"/>
          <w:highlight w:val="none"/>
        </w:rPr>
      </w:pPr>
    </w:p>
    <w:p w14:paraId="28DA4D81">
      <w:pPr>
        <w:spacing w:before="78" w:line="219" w:lineRule="auto"/>
        <w:ind w:left="493"/>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签字（签章</w:t>
      </w:r>
      <w:r>
        <w:rPr>
          <w:rFonts w:ascii="宋体" w:hAnsi="宋体" w:eastAsia="宋体" w:cs="宋体"/>
          <w:color w:val="auto"/>
          <w:spacing w:val="2"/>
          <w:sz w:val="20"/>
          <w:szCs w:val="20"/>
          <w:highlight w:val="none"/>
        </w:rPr>
        <w:t>）：</w:t>
      </w:r>
      <w:r>
        <w:rPr>
          <w:rFonts w:ascii="宋体" w:hAnsi="宋体" w:eastAsia="宋体" w:cs="宋体"/>
          <w:color w:val="auto"/>
          <w:sz w:val="20"/>
          <w:szCs w:val="20"/>
          <w:highlight w:val="none"/>
        </w:rPr>
        <w:t xml:space="preserve">                                       </w:t>
      </w:r>
      <w:r>
        <w:rPr>
          <w:rFonts w:ascii="宋体" w:hAnsi="宋体" w:eastAsia="宋体" w:cs="宋体"/>
          <w:color w:val="auto"/>
          <w:spacing w:val="-4"/>
          <w:sz w:val="20"/>
          <w:szCs w:val="20"/>
          <w:highlight w:val="none"/>
        </w:rPr>
        <w:t>公章：</w:t>
      </w:r>
    </w:p>
    <w:p w14:paraId="15415FDB">
      <w:pPr>
        <w:pStyle w:val="6"/>
        <w:spacing w:line="283" w:lineRule="auto"/>
        <w:rPr>
          <w:color w:val="auto"/>
          <w:sz w:val="20"/>
          <w:szCs w:val="20"/>
          <w:highlight w:val="none"/>
        </w:rPr>
      </w:pPr>
    </w:p>
    <w:p w14:paraId="79385994">
      <w:pPr>
        <w:pStyle w:val="6"/>
        <w:spacing w:line="283" w:lineRule="auto"/>
        <w:rPr>
          <w:color w:val="auto"/>
          <w:sz w:val="20"/>
          <w:szCs w:val="20"/>
          <w:highlight w:val="none"/>
        </w:rPr>
      </w:pPr>
    </w:p>
    <w:p w14:paraId="512377A1">
      <w:pPr>
        <w:spacing w:before="79" w:line="221" w:lineRule="auto"/>
        <w:ind w:left="535"/>
        <w:rPr>
          <w:rFonts w:ascii="宋体" w:hAnsi="宋体" w:eastAsia="宋体" w:cs="宋体"/>
          <w:color w:val="auto"/>
          <w:sz w:val="20"/>
          <w:szCs w:val="20"/>
          <w:highlight w:val="none"/>
        </w:rPr>
      </w:pPr>
      <w:r>
        <w:rPr>
          <w:rFonts w:ascii="宋体" w:hAnsi="宋体" w:eastAsia="宋体" w:cs="宋体"/>
          <w:color w:val="auto"/>
          <w:spacing w:val="-17"/>
          <w:sz w:val="20"/>
          <w:szCs w:val="20"/>
          <w:highlight w:val="none"/>
        </w:rPr>
        <w:t>日期：</w:t>
      </w:r>
    </w:p>
    <w:p w14:paraId="59ECD651">
      <w:pPr>
        <w:pStyle w:val="6"/>
        <w:spacing w:line="256" w:lineRule="auto"/>
        <w:rPr>
          <w:color w:val="auto"/>
          <w:sz w:val="20"/>
          <w:szCs w:val="20"/>
          <w:highlight w:val="none"/>
        </w:rPr>
      </w:pPr>
    </w:p>
    <w:p w14:paraId="563B6B64">
      <w:pPr>
        <w:pStyle w:val="6"/>
        <w:spacing w:line="257" w:lineRule="auto"/>
        <w:rPr>
          <w:color w:val="auto"/>
          <w:sz w:val="20"/>
          <w:szCs w:val="20"/>
          <w:highlight w:val="none"/>
        </w:rPr>
      </w:pPr>
    </w:p>
    <w:p w14:paraId="2FF203E2">
      <w:pPr>
        <w:pStyle w:val="6"/>
        <w:spacing w:line="257" w:lineRule="auto"/>
        <w:rPr>
          <w:color w:val="auto"/>
          <w:sz w:val="20"/>
          <w:szCs w:val="20"/>
          <w:highlight w:val="none"/>
        </w:rPr>
      </w:pPr>
    </w:p>
    <w:p w14:paraId="3AAC7270">
      <w:pPr>
        <w:pStyle w:val="6"/>
        <w:spacing w:line="257" w:lineRule="auto"/>
        <w:rPr>
          <w:color w:val="auto"/>
          <w:sz w:val="20"/>
          <w:szCs w:val="20"/>
          <w:highlight w:val="none"/>
        </w:rPr>
      </w:pPr>
    </w:p>
    <w:p w14:paraId="11151C26">
      <w:pPr>
        <w:spacing w:before="79" w:line="220" w:lineRule="auto"/>
        <w:rPr>
          <w:rFonts w:ascii="宋体" w:hAnsi="宋体" w:eastAsia="宋体" w:cs="宋体"/>
          <w:color w:val="auto"/>
          <w:sz w:val="20"/>
          <w:szCs w:val="20"/>
          <w:highlight w:val="none"/>
        </w:rPr>
      </w:pPr>
      <w:r>
        <w:rPr>
          <w:rFonts w:ascii="宋体" w:hAnsi="宋体" w:eastAsia="宋体" w:cs="宋体"/>
          <w:b/>
          <w:bCs/>
          <w:color w:val="auto"/>
          <w:spacing w:val="-7"/>
          <w:sz w:val="20"/>
          <w:szCs w:val="20"/>
          <w:highlight w:val="none"/>
        </w:rPr>
        <w:t>说明：</w:t>
      </w:r>
    </w:p>
    <w:p w14:paraId="08AB49D1">
      <w:pPr>
        <w:spacing w:before="181" w:line="290" w:lineRule="auto"/>
        <w:ind w:left="23" w:firstLine="367"/>
        <w:rPr>
          <w:rFonts w:ascii="宋体" w:hAnsi="宋体" w:eastAsia="宋体" w:cs="宋体"/>
          <w:color w:val="auto"/>
          <w:sz w:val="20"/>
          <w:szCs w:val="20"/>
          <w:highlight w:val="none"/>
        </w:rPr>
      </w:pPr>
      <w:r>
        <w:rPr>
          <w:rFonts w:ascii="宋体" w:hAnsi="宋体" w:eastAsia="宋体" w:cs="宋体"/>
          <w:b/>
          <w:bCs/>
          <w:color w:val="auto"/>
          <w:spacing w:val="-5"/>
          <w:sz w:val="20"/>
          <w:szCs w:val="20"/>
          <w:highlight w:val="none"/>
        </w:rPr>
        <w:t>1.投诉人提起投诉时，应当提交投诉书和必要的证明材料，并按照被投诉人和与</w:t>
      </w:r>
      <w:r>
        <w:rPr>
          <w:rFonts w:ascii="宋体" w:hAnsi="宋体" w:eastAsia="宋体" w:cs="宋体"/>
          <w:color w:val="auto"/>
          <w:spacing w:val="13"/>
          <w:sz w:val="20"/>
          <w:szCs w:val="20"/>
          <w:highlight w:val="none"/>
        </w:rPr>
        <w:t xml:space="preserve"> </w:t>
      </w:r>
      <w:r>
        <w:rPr>
          <w:rFonts w:ascii="宋体" w:hAnsi="宋体" w:eastAsia="宋体" w:cs="宋体"/>
          <w:b/>
          <w:bCs/>
          <w:color w:val="auto"/>
          <w:spacing w:val="-3"/>
          <w:sz w:val="20"/>
          <w:szCs w:val="20"/>
          <w:highlight w:val="none"/>
        </w:rPr>
        <w:t>投诉事项有关的供应商数量提供投诉书副本。</w:t>
      </w:r>
    </w:p>
    <w:p w14:paraId="1836290D">
      <w:pPr>
        <w:spacing w:before="180" w:line="313" w:lineRule="auto"/>
        <w:ind w:left="23" w:firstLine="352"/>
        <w:rPr>
          <w:rFonts w:ascii="宋体" w:hAnsi="宋体" w:eastAsia="宋体" w:cs="宋体"/>
          <w:color w:val="auto"/>
          <w:sz w:val="20"/>
          <w:szCs w:val="20"/>
          <w:highlight w:val="none"/>
        </w:rPr>
      </w:pPr>
      <w:r>
        <w:rPr>
          <w:rFonts w:ascii="宋体" w:hAnsi="宋体" w:eastAsia="宋体" w:cs="宋体"/>
          <w:b/>
          <w:bCs/>
          <w:color w:val="auto"/>
          <w:spacing w:val="-5"/>
          <w:sz w:val="20"/>
          <w:szCs w:val="20"/>
          <w:highlight w:val="none"/>
        </w:rPr>
        <w:t>2.投诉人若委托代理人进行投诉的，投诉书应按要求列明“授权</w:t>
      </w:r>
      <w:r>
        <w:rPr>
          <w:rFonts w:ascii="宋体" w:hAnsi="宋体" w:eastAsia="宋体" w:cs="宋体"/>
          <w:b/>
          <w:bCs/>
          <w:color w:val="auto"/>
          <w:spacing w:val="-6"/>
          <w:sz w:val="20"/>
          <w:szCs w:val="20"/>
          <w:highlight w:val="none"/>
        </w:rPr>
        <w:t>代表</w:t>
      </w:r>
      <w:r>
        <w:rPr>
          <w:rFonts w:ascii="宋体" w:hAnsi="宋体" w:eastAsia="宋体" w:cs="宋体"/>
          <w:color w:val="auto"/>
          <w:spacing w:val="-85"/>
          <w:sz w:val="20"/>
          <w:szCs w:val="20"/>
          <w:highlight w:val="none"/>
        </w:rPr>
        <w:t xml:space="preserve"> </w:t>
      </w:r>
      <w:r>
        <w:rPr>
          <w:rFonts w:ascii="宋体" w:hAnsi="宋体" w:eastAsia="宋体" w:cs="宋体"/>
          <w:b/>
          <w:bCs/>
          <w:color w:val="auto"/>
          <w:spacing w:val="-6"/>
          <w:sz w:val="20"/>
          <w:szCs w:val="20"/>
          <w:highlight w:val="none"/>
        </w:rPr>
        <w:t>”的有关内</w:t>
      </w:r>
      <w:r>
        <w:rPr>
          <w:rFonts w:ascii="宋体" w:hAnsi="宋体" w:eastAsia="宋体" w:cs="宋体"/>
          <w:color w:val="auto"/>
          <w:sz w:val="20"/>
          <w:szCs w:val="20"/>
          <w:highlight w:val="none"/>
        </w:rPr>
        <w:t xml:space="preserve"> </w:t>
      </w:r>
      <w:r>
        <w:rPr>
          <w:rFonts w:ascii="宋体" w:hAnsi="宋体" w:eastAsia="宋体" w:cs="宋体"/>
          <w:b/>
          <w:bCs/>
          <w:color w:val="auto"/>
          <w:spacing w:val="-1"/>
          <w:sz w:val="20"/>
          <w:szCs w:val="20"/>
          <w:highlight w:val="none"/>
        </w:rPr>
        <w:t>容，并在附件中提交由投诉人签署的授权委托书。授权委托书应当载明代</w:t>
      </w:r>
      <w:r>
        <w:rPr>
          <w:rFonts w:ascii="宋体" w:hAnsi="宋体" w:eastAsia="宋体" w:cs="宋体"/>
          <w:b/>
          <w:bCs/>
          <w:color w:val="auto"/>
          <w:spacing w:val="-2"/>
          <w:sz w:val="20"/>
          <w:szCs w:val="20"/>
          <w:highlight w:val="none"/>
        </w:rPr>
        <w:t>理人的姓</w:t>
      </w:r>
      <w:r>
        <w:rPr>
          <w:rFonts w:ascii="宋体" w:hAnsi="宋体" w:eastAsia="宋体" w:cs="宋体"/>
          <w:color w:val="auto"/>
          <w:sz w:val="20"/>
          <w:szCs w:val="20"/>
          <w:highlight w:val="none"/>
        </w:rPr>
        <w:t xml:space="preserve"> </w:t>
      </w:r>
      <w:r>
        <w:rPr>
          <w:rFonts w:ascii="宋体" w:hAnsi="宋体" w:eastAsia="宋体" w:cs="宋体"/>
          <w:b/>
          <w:bCs/>
          <w:color w:val="auto"/>
          <w:spacing w:val="-2"/>
          <w:sz w:val="20"/>
          <w:szCs w:val="20"/>
          <w:highlight w:val="none"/>
        </w:rPr>
        <w:t>名或者名称、代理事项、具体权限、期限和</w:t>
      </w:r>
      <w:r>
        <w:rPr>
          <w:rFonts w:ascii="宋体" w:hAnsi="宋体" w:eastAsia="宋体" w:cs="宋体"/>
          <w:b/>
          <w:bCs/>
          <w:color w:val="auto"/>
          <w:spacing w:val="-3"/>
          <w:sz w:val="20"/>
          <w:szCs w:val="20"/>
          <w:highlight w:val="none"/>
        </w:rPr>
        <w:t>相关事项。</w:t>
      </w:r>
    </w:p>
    <w:p w14:paraId="20659BE5">
      <w:pPr>
        <w:spacing w:before="182" w:line="219" w:lineRule="auto"/>
        <w:ind w:left="378"/>
        <w:rPr>
          <w:rFonts w:ascii="宋体" w:hAnsi="宋体" w:eastAsia="宋体" w:cs="宋体"/>
          <w:color w:val="auto"/>
          <w:sz w:val="20"/>
          <w:szCs w:val="20"/>
          <w:highlight w:val="none"/>
        </w:rPr>
      </w:pPr>
      <w:r>
        <w:rPr>
          <w:rFonts w:ascii="宋体" w:hAnsi="宋体" w:eastAsia="宋体" w:cs="宋体"/>
          <w:b/>
          <w:bCs/>
          <w:color w:val="auto"/>
          <w:spacing w:val="-2"/>
          <w:sz w:val="20"/>
          <w:szCs w:val="20"/>
          <w:highlight w:val="none"/>
        </w:rPr>
        <w:t>3.投诉书应简要列明质疑事项，质疑函、质疑答复等作为附件材</w:t>
      </w:r>
      <w:r>
        <w:rPr>
          <w:rFonts w:ascii="宋体" w:hAnsi="宋体" w:eastAsia="宋体" w:cs="宋体"/>
          <w:b/>
          <w:bCs/>
          <w:color w:val="auto"/>
          <w:spacing w:val="-3"/>
          <w:sz w:val="20"/>
          <w:szCs w:val="20"/>
          <w:highlight w:val="none"/>
        </w:rPr>
        <w:t>料提供。</w:t>
      </w:r>
    </w:p>
    <w:p w14:paraId="48E2732F">
      <w:pPr>
        <w:spacing w:before="181" w:line="219" w:lineRule="auto"/>
        <w:ind w:left="372"/>
        <w:rPr>
          <w:rFonts w:ascii="宋体" w:hAnsi="宋体" w:eastAsia="宋体" w:cs="宋体"/>
          <w:color w:val="auto"/>
          <w:sz w:val="20"/>
          <w:szCs w:val="20"/>
          <w:highlight w:val="none"/>
        </w:rPr>
      </w:pPr>
      <w:r>
        <w:rPr>
          <w:rFonts w:ascii="宋体" w:hAnsi="宋体" w:eastAsia="宋体" w:cs="宋体"/>
          <w:b/>
          <w:bCs/>
          <w:color w:val="auto"/>
          <w:spacing w:val="-2"/>
          <w:sz w:val="20"/>
          <w:szCs w:val="20"/>
          <w:highlight w:val="none"/>
        </w:rPr>
        <w:t>4.投诉书的投诉事项应具体、明确，并有必要的事实依据和法律依据。</w:t>
      </w:r>
    </w:p>
    <w:p w14:paraId="1D5D44C5">
      <w:pPr>
        <w:spacing w:before="183" w:line="219" w:lineRule="auto"/>
        <w:ind w:left="378"/>
        <w:rPr>
          <w:rFonts w:ascii="宋体" w:hAnsi="宋体" w:eastAsia="宋体" w:cs="宋体"/>
          <w:color w:val="auto"/>
          <w:sz w:val="20"/>
          <w:szCs w:val="20"/>
          <w:highlight w:val="none"/>
        </w:rPr>
      </w:pPr>
      <w:r>
        <w:rPr>
          <w:rFonts w:ascii="宋体" w:hAnsi="宋体" w:eastAsia="宋体" w:cs="宋体"/>
          <w:b/>
          <w:bCs/>
          <w:color w:val="auto"/>
          <w:spacing w:val="-3"/>
          <w:sz w:val="20"/>
          <w:szCs w:val="20"/>
          <w:highlight w:val="none"/>
        </w:rPr>
        <w:t>5.投诉书的投诉请求应与投诉事项相关。</w:t>
      </w:r>
    </w:p>
    <w:p w14:paraId="173E78DC">
      <w:pPr>
        <w:spacing w:before="180" w:line="290" w:lineRule="auto"/>
        <w:ind w:left="20" w:firstLine="355"/>
        <w:rPr>
          <w:rFonts w:ascii="宋体" w:hAnsi="宋体" w:eastAsia="宋体" w:cs="宋体"/>
          <w:color w:val="auto"/>
          <w:sz w:val="20"/>
          <w:szCs w:val="20"/>
          <w:highlight w:val="none"/>
        </w:rPr>
      </w:pPr>
      <w:r>
        <w:rPr>
          <w:rFonts w:ascii="宋体" w:hAnsi="宋体" w:eastAsia="宋体" w:cs="宋体"/>
          <w:b/>
          <w:bCs/>
          <w:color w:val="auto"/>
          <w:spacing w:val="-4"/>
          <w:sz w:val="20"/>
          <w:szCs w:val="20"/>
          <w:highlight w:val="none"/>
        </w:rPr>
        <w:t>6.投诉人为法人或者其他组织的，投诉书应由法定代表人、主</w:t>
      </w:r>
      <w:r>
        <w:rPr>
          <w:rFonts w:ascii="宋体" w:hAnsi="宋体" w:eastAsia="宋体" w:cs="宋体"/>
          <w:b/>
          <w:bCs/>
          <w:color w:val="auto"/>
          <w:spacing w:val="-5"/>
          <w:sz w:val="20"/>
          <w:szCs w:val="20"/>
          <w:highlight w:val="none"/>
        </w:rPr>
        <w:t>要负责人，或者其</w:t>
      </w:r>
      <w:r>
        <w:rPr>
          <w:rFonts w:ascii="宋体" w:hAnsi="宋体" w:eastAsia="宋体" w:cs="宋体"/>
          <w:color w:val="auto"/>
          <w:sz w:val="20"/>
          <w:szCs w:val="20"/>
          <w:highlight w:val="none"/>
        </w:rPr>
        <w:t xml:space="preserve"> </w:t>
      </w:r>
      <w:r>
        <w:rPr>
          <w:rFonts w:ascii="宋体" w:hAnsi="宋体" w:eastAsia="宋体" w:cs="宋体"/>
          <w:b/>
          <w:bCs/>
          <w:color w:val="auto"/>
          <w:spacing w:val="-3"/>
          <w:sz w:val="20"/>
          <w:szCs w:val="20"/>
          <w:highlight w:val="none"/>
        </w:rPr>
        <w:t>授权代表签字或者盖章，并加盖公章。</w:t>
      </w:r>
    </w:p>
    <w:sectPr>
      <w:footerReference r:id="rId88" w:type="default"/>
      <w:pgSz w:w="11910" w:h="16840"/>
      <w:pgMar w:top="400" w:right="1501" w:bottom="1148" w:left="1692" w:header="0" w:footer="91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MS PMincho">
    <w:panose1 w:val="02020600040205080304"/>
    <w:charset w:val="86"/>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00" w:usb3="00000000" w:csb0="00040000" w:csb1="00000000"/>
  </w:font>
  <w:font w:name="彩虹小标宋">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10022FF" w:usb1="C000E47F" w:usb2="00000029" w:usb3="00000000" w:csb0="200001DF" w:csb1="2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C264C">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B9BE9">
    <w:pPr>
      <w:spacing w:line="226" w:lineRule="exact"/>
      <w:ind w:left="428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8ABFF">
                          <w:pPr>
                            <w:pStyle w:val="9"/>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868ABFF">
                    <w:pPr>
                      <w:pStyle w:val="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9F64A">
    <w:pPr>
      <w:spacing w:line="226" w:lineRule="exact"/>
      <w:ind w:left="42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0458B9">
                          <w:pPr>
                            <w:pStyle w:val="9"/>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50458B9">
                    <w:pPr>
                      <w:pStyle w:val="9"/>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15909">
    <w:pPr>
      <w:spacing w:line="226" w:lineRule="exact"/>
      <w:ind w:left="42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C7330D">
                          <w:pPr>
                            <w:pStyle w:val="9"/>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DC7330D">
                    <w:pPr>
                      <w:pStyle w:val="9"/>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9C5FE">
    <w:pPr>
      <w:spacing w:line="226" w:lineRule="exact"/>
      <w:ind w:left="42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65C8B">
                          <w:pPr>
                            <w:pStyle w:val="9"/>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D565C8B">
                    <w:pPr>
                      <w:pStyle w:val="9"/>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37D05">
    <w:pPr>
      <w:spacing w:line="226" w:lineRule="exact"/>
      <w:ind w:left="42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F87C0">
                          <w:pPr>
                            <w:pStyle w:val="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63F87C0">
                    <w:pPr>
                      <w:pStyle w:val="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E8C51">
    <w:pPr>
      <w:spacing w:line="226" w:lineRule="exact"/>
      <w:ind w:left="42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EEA35">
                          <w:pPr>
                            <w:pStyle w:val="9"/>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10AEEA35">
                    <w:pPr>
                      <w:pStyle w:val="9"/>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76B3F">
    <w:pPr>
      <w:spacing w:line="226" w:lineRule="exact"/>
      <w:ind w:left="42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E9F893">
                          <w:pPr>
                            <w:pStyle w:val="9"/>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4E9F893">
                    <w:pPr>
                      <w:pStyle w:val="9"/>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634F6">
    <w:pPr>
      <w:spacing w:line="226" w:lineRule="exact"/>
      <w:ind w:left="42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183BE3">
                          <w:pPr>
                            <w:pStyle w:val="9"/>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7183BE3">
                    <w:pPr>
                      <w:pStyle w:val="9"/>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09273">
    <w:pPr>
      <w:spacing w:line="226" w:lineRule="exact"/>
      <w:ind w:left="42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591E9">
                          <w:pPr>
                            <w:pStyle w:val="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62591E9">
                    <w:pPr>
                      <w:pStyle w:val="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4B46D">
    <w:pPr>
      <w:spacing w:line="226" w:lineRule="exact"/>
      <w:ind w:left="42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E7715">
                          <w:pPr>
                            <w:pStyle w:val="9"/>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B8E7715">
                    <w:pPr>
                      <w:pStyle w:val="9"/>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20836">
    <w:pPr>
      <w:pStyle w:val="9"/>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5E73F">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B65E73F">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CD566">
    <w:pPr>
      <w:spacing w:line="226" w:lineRule="exact"/>
      <w:ind w:left="42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1A6D46">
                          <w:pPr>
                            <w:pStyle w:val="9"/>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4D1A6D46">
                    <w:pPr>
                      <w:pStyle w:val="9"/>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AD6BC">
    <w:pPr>
      <w:spacing w:line="226" w:lineRule="exact"/>
      <w:ind w:left="427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7CE206">
                          <w:pPr>
                            <w:pStyle w:val="9"/>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77CE206">
                    <w:pPr>
                      <w:pStyle w:val="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52559">
    <w:pPr>
      <w:spacing w:line="226" w:lineRule="exact"/>
      <w:ind w:left="427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F12392">
                          <w:pPr>
                            <w:pStyle w:val="9"/>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64F12392">
                    <w:pPr>
                      <w:pStyle w:val="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5C780">
    <w:pPr>
      <w:spacing w:line="226" w:lineRule="exact"/>
      <w:ind w:left="427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E0AF1">
                          <w:pPr>
                            <w:pStyle w:val="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0EE0AF1">
                    <w:pPr>
                      <w:pStyle w:val="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5FA5D">
    <w:pPr>
      <w:spacing w:line="226" w:lineRule="exact"/>
      <w:ind w:left="427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14CE6">
                          <w:pPr>
                            <w:pStyle w:val="9"/>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60014CE6">
                    <w:pPr>
                      <w:pStyle w:val="9"/>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7FA36">
    <w:pPr>
      <w:spacing w:line="226" w:lineRule="exact"/>
      <w:ind w:left="452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7BDE4">
                          <w:pPr>
                            <w:pStyle w:val="9"/>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6787BDE4">
                    <w:pPr>
                      <w:pStyle w:val="9"/>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DE2A8">
    <w:pPr>
      <w:spacing w:line="226" w:lineRule="exact"/>
      <w:ind w:left="451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491E6">
                          <w:pPr>
                            <w:pStyle w:val="9"/>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68A491E6">
                    <w:pPr>
                      <w:pStyle w:val="9"/>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2B886">
    <w:pPr>
      <w:spacing w:line="226" w:lineRule="exact"/>
      <w:ind w:left="451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B63B47">
                          <w:pPr>
                            <w:pStyle w:val="9"/>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6B63B47">
                    <w:pPr>
                      <w:pStyle w:val="9"/>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26759">
    <w:pPr>
      <w:spacing w:line="226" w:lineRule="exact"/>
      <w:ind w:left="426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2C709">
                          <w:pPr>
                            <w:pStyle w:val="9"/>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0252C709">
                    <w:pPr>
                      <w:pStyle w:val="9"/>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D95C6">
    <w:pPr>
      <w:spacing w:line="226" w:lineRule="exact"/>
      <w:ind w:left="40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9CFA1">
                          <w:pPr>
                            <w:pStyle w:val="9"/>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939CFA1">
                    <w:pPr>
                      <w:pStyle w:val="9"/>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1D751">
    <w:pPr>
      <w:pStyle w:val="9"/>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B69740">
                          <w:pPr>
                            <w:pStyle w:val="9"/>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9B69740">
                    <w:pPr>
                      <w:pStyle w:val="9"/>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84732">
    <w:pPr>
      <w:spacing w:line="226" w:lineRule="exact"/>
      <w:ind w:left="41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FBF12">
                          <w:pPr>
                            <w:pStyle w:val="9"/>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3ADFBF12">
                    <w:pPr>
                      <w:pStyle w:val="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FC7A0">
    <w:pPr>
      <w:spacing w:line="226" w:lineRule="exact"/>
      <w:ind w:left="426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641E75">
                          <w:pPr>
                            <w:pStyle w:val="9"/>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08641E75">
                    <w:pPr>
                      <w:pStyle w:val="9"/>
                    </w:pPr>
                    <w:r>
                      <w:fldChar w:fldCharType="begin"/>
                    </w:r>
                    <w:r>
                      <w:instrText xml:space="preserve"> PAGE  \* MERGEFORMAT </w:instrText>
                    </w:r>
                    <w:r>
                      <w:fldChar w:fldCharType="separate"/>
                    </w:r>
                    <w:r>
                      <w:t>45</w:t>
                    </w:r>
                    <w:r>
                      <w:fldChar w:fldCharType="end"/>
                    </w:r>
                  </w:p>
                </w:txbxContent>
              </v:textbox>
            </v:shape>
          </w:pict>
        </mc:Fallback>
      </mc:AlternateContent>
    </w:r>
    <w:r>
      <w:rPr>
        <w:rFonts w:ascii="Times New Roman" w:hAnsi="Times New Roman" w:eastAsia="Times New Roman" w:cs="Times New Roman"/>
        <w:spacing w:val="-1"/>
        <w:position w:val="1"/>
        <w:sz w:val="18"/>
        <w:szCs w:val="18"/>
      </w:rPr>
      <w:t>45</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8D47F">
    <w:pPr>
      <w:spacing w:line="226" w:lineRule="exact"/>
      <w:ind w:left="425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BB544">
                          <w:pPr>
                            <w:pStyle w:val="9"/>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2D2BB544">
                    <w:pPr>
                      <w:pStyle w:val="9"/>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F7755">
    <w:pPr>
      <w:spacing w:line="226" w:lineRule="exact"/>
      <w:ind w:left="499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3FFD1">
                          <w:pPr>
                            <w:pStyle w:val="9"/>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2EA3FFD1">
                    <w:pPr>
                      <w:pStyle w:val="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7FCA4">
    <w:pPr>
      <w:spacing w:line="226" w:lineRule="exact"/>
      <w:ind w:left="474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5E95B">
                          <w:pPr>
                            <w:pStyle w:val="9"/>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2C35E95B">
                    <w:pPr>
                      <w:pStyle w:val="9"/>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B3561">
    <w:pPr>
      <w:spacing w:line="226" w:lineRule="exact"/>
      <w:ind w:left="426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97EE8">
                          <w:pPr>
                            <w:pStyle w:val="9"/>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3F897EE8">
                    <w:pPr>
                      <w:pStyle w:val="9"/>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204D4">
    <w:pPr>
      <w:spacing w:line="226" w:lineRule="exact"/>
      <w:ind w:left="42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B4E88">
                          <w:pPr>
                            <w:pStyle w:val="9"/>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623B4E88">
                    <w:pPr>
                      <w:pStyle w:val="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E6F0B">
    <w:pPr>
      <w:spacing w:line="226" w:lineRule="exact"/>
      <w:ind w:left="42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8D2D7">
                          <w:pPr>
                            <w:pStyle w:val="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4BD8D2D7">
                    <w:pPr>
                      <w:pStyle w:val="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99B51">
    <w:pPr>
      <w:spacing w:line="226" w:lineRule="exact"/>
      <w:ind w:left="47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93612">
                          <w:pPr>
                            <w:pStyle w:val="9"/>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39793612">
                    <w:pPr>
                      <w:pStyle w:val="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52A53">
    <w:pPr>
      <w:spacing w:line="226" w:lineRule="exact"/>
      <w:ind w:left="427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46BB9A">
                          <w:pPr>
                            <w:pStyle w:val="9"/>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6146BB9A">
                    <w:pPr>
                      <w:pStyle w:val="9"/>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50BD5">
    <w:pPr>
      <w:pStyle w:val="9"/>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BDB4C">
                          <w:pPr>
                            <w:pStyle w:val="9"/>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28BDB4C">
                    <w:pPr>
                      <w:pStyle w:val="9"/>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2957D">
    <w:pPr>
      <w:spacing w:line="226" w:lineRule="exact"/>
      <w:ind w:left="42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53396">
                          <w:pPr>
                            <w:pStyle w:val="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2E353396">
                    <w:pPr>
                      <w:pStyle w:val="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DCC61">
    <w:pPr>
      <w:spacing w:line="173"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3BDE2">
                          <w:pPr>
                            <w:pStyle w:val="9"/>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6C83BDE2">
                    <w:pPr>
                      <w:pStyle w:val="9"/>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E63A2">
    <w:pPr>
      <w:spacing w:line="226" w:lineRule="exact"/>
      <w:ind w:left="42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9447E">
                          <w:pPr>
                            <w:pStyle w:val="9"/>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6439447E">
                    <w:pPr>
                      <w:pStyle w:val="9"/>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BB20B">
    <w:pPr>
      <w:spacing w:line="173" w:lineRule="auto"/>
      <w:ind w:left="427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B5BC6">
                          <w:pPr>
                            <w:pStyle w:val="9"/>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2EEB5BC6">
                    <w:pPr>
                      <w:pStyle w:val="9"/>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38B33">
    <w:pPr>
      <w:spacing w:line="226" w:lineRule="exact"/>
      <w:ind w:left="42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01ABEA">
                          <w:pPr>
                            <w:pStyle w:val="9"/>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5401ABEA">
                    <w:pPr>
                      <w:pStyle w:val="9"/>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3170D">
    <w:pPr>
      <w:spacing w:line="226" w:lineRule="exact"/>
      <w:ind w:left="441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FB135">
                          <w:pPr>
                            <w:pStyle w:val="9"/>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483FB135">
                    <w:pPr>
                      <w:pStyle w:val="9"/>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5E4CE">
    <w:pPr>
      <w:spacing w:line="226" w:lineRule="exact"/>
      <w:ind w:left="44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81D3B5">
                          <w:pPr>
                            <w:pStyle w:val="9"/>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5181D3B5">
                    <w:pPr>
                      <w:pStyle w:val="9"/>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40CAC">
    <w:pPr>
      <w:spacing w:line="226" w:lineRule="exact"/>
      <w:ind w:left="44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2ADB26">
                          <w:pPr>
                            <w:pStyle w:val="9"/>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692ADB26">
                    <w:pPr>
                      <w:pStyle w:val="9"/>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A9E22">
    <w:pPr>
      <w:spacing w:line="226" w:lineRule="exact"/>
      <w:ind w:left="45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B618E3">
                          <w:pPr>
                            <w:pStyle w:val="9"/>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7DB618E3">
                    <w:pPr>
                      <w:pStyle w:val="9"/>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7DD07">
    <w:pPr>
      <w:spacing w:line="226" w:lineRule="exact"/>
      <w:ind w:left="44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6E387A">
                          <w:pPr>
                            <w:pStyle w:val="9"/>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146E387A">
                    <w:pPr>
                      <w:pStyle w:val="9"/>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7160B">
    <w:pPr>
      <w:pStyle w:val="9"/>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2EDED">
                          <w:pPr>
                            <w:pStyle w:val="9"/>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C02EDED">
                    <w:pPr>
                      <w:pStyle w:val="9"/>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43A5E">
    <w:pPr>
      <w:spacing w:line="226" w:lineRule="exact"/>
      <w:ind w:left="44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93D9F7">
                          <w:pPr>
                            <w:pStyle w:val="9"/>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7893D9F7">
                    <w:pPr>
                      <w:pStyle w:val="9"/>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C9338">
    <w:pPr>
      <w:spacing w:line="226" w:lineRule="exact"/>
      <w:ind w:left="459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03995">
                          <w:pPr>
                            <w:pStyle w:val="9"/>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11803995">
                    <w:pPr>
                      <w:pStyle w:val="9"/>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6064B">
    <w:pPr>
      <w:spacing w:line="226" w:lineRule="exact"/>
      <w:ind w:left="44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C33317">
                          <w:pPr>
                            <w:pStyle w:val="9"/>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4FC33317">
                    <w:pPr>
                      <w:pStyle w:val="9"/>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AFC19">
    <w:pPr>
      <w:spacing w:line="226" w:lineRule="exact"/>
      <w:ind w:left="44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92C2C8">
                          <w:pPr>
                            <w:pStyle w:val="9"/>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792C2C8">
                    <w:pPr>
                      <w:pStyle w:val="9"/>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1C042">
    <w:pPr>
      <w:spacing w:line="226" w:lineRule="exact"/>
      <w:ind w:left="44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689A0">
                          <w:pPr>
                            <w:pStyle w:val="9"/>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6C2689A0">
                    <w:pPr>
                      <w:pStyle w:val="9"/>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9BF7D">
    <w:pPr>
      <w:spacing w:line="226" w:lineRule="exact"/>
      <w:ind w:left="460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C697F">
                          <w:pPr>
                            <w:pStyle w:val="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28AC697F">
                    <w:pPr>
                      <w:pStyle w:val="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466B8">
    <w:pPr>
      <w:spacing w:line="226" w:lineRule="exact"/>
      <w:ind w:left="427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9AE11">
                          <w:pPr>
                            <w:pStyle w:val="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08C9AE11">
                    <w:pPr>
                      <w:pStyle w:val="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EEF9A">
    <w:pPr>
      <w:spacing w:line="226" w:lineRule="exact"/>
      <w:ind w:left="426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DF43C">
                          <w:pPr>
                            <w:pStyle w:val="9"/>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534DF43C">
                    <w:pPr>
                      <w:pStyle w:val="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A17EB">
    <w:pPr>
      <w:spacing w:line="226" w:lineRule="exact"/>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3B6949">
                          <w:pPr>
                            <w:pStyle w:val="9"/>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733B6949">
                    <w:pPr>
                      <w:pStyle w:val="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653B2">
    <w:pPr>
      <w:spacing w:line="226" w:lineRule="exact"/>
      <w:ind w:left="42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000964">
                          <w:pPr>
                            <w:pStyle w:val="9"/>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77000964">
                    <w:pPr>
                      <w:pStyle w:val="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62A58">
    <w:pPr>
      <w:pStyle w:val="9"/>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E36531">
                          <w:pPr>
                            <w:pStyle w:val="9"/>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9E36531">
                    <w:pPr>
                      <w:pStyle w:val="9"/>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87FD5">
    <w:pPr>
      <w:spacing w:line="173" w:lineRule="auto"/>
      <w:ind w:left="42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D8FCC7">
                          <w:pPr>
                            <w:pStyle w:val="9"/>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1CD8FCC7">
                    <w:pPr>
                      <w:pStyle w:val="9"/>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7ACF7">
    <w:pPr>
      <w:spacing w:line="226" w:lineRule="exact"/>
      <w:ind w:left="42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16168D">
                          <w:pPr>
                            <w:pStyle w:val="9"/>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3416168D">
                    <w:pPr>
                      <w:pStyle w:val="9"/>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05D63">
    <w:pPr>
      <w:spacing w:line="173" w:lineRule="auto"/>
      <w:ind w:left="490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A1B39">
                          <w:pPr>
                            <w:pStyle w:val="9"/>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2A4A1B39">
                    <w:pPr>
                      <w:pStyle w:val="9"/>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0ECA2">
    <w:pPr>
      <w:spacing w:line="226" w:lineRule="exact"/>
      <w:ind w:left="477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80B00A">
                          <w:pPr>
                            <w:pStyle w:val="9"/>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1580B00A">
                    <w:pPr>
                      <w:pStyle w:val="9"/>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C26A8">
    <w:pPr>
      <w:spacing w:line="226" w:lineRule="exact"/>
      <w:ind w:left="42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D8C91">
                          <w:pPr>
                            <w:pStyle w:val="9"/>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61CD8C91">
                    <w:pPr>
                      <w:pStyle w:val="9"/>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BF51B">
    <w:pPr>
      <w:spacing w:line="226" w:lineRule="exact"/>
      <w:ind w:left="47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277EB">
                          <w:pPr>
                            <w:pStyle w:val="9"/>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673277EB">
                    <w:pPr>
                      <w:pStyle w:val="9"/>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2E77E">
    <w:pPr>
      <w:spacing w:line="226" w:lineRule="exact"/>
      <w:ind w:left="42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2B7740">
                          <w:pPr>
                            <w:pStyle w:val="9"/>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2C2B7740">
                    <w:pPr>
                      <w:pStyle w:val="9"/>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237E4">
    <w:pPr>
      <w:spacing w:line="166" w:lineRule="auto"/>
      <w:ind w:left="4225"/>
      <w:rPr>
        <w:rFonts w:ascii="Calibri" w:hAnsi="Calibri" w:eastAsia="Calibri" w:cs="Calibri"/>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E391D6">
                          <w:pPr>
                            <w:pStyle w:val="9"/>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26E391D6">
                    <w:pPr>
                      <w:pStyle w:val="9"/>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1499B">
    <w:pPr>
      <w:spacing w:line="166" w:lineRule="auto"/>
      <w:ind w:left="4225"/>
      <w:rPr>
        <w:rFonts w:ascii="Calibri" w:hAnsi="Calibri" w:eastAsia="Calibri" w:cs="Calibri"/>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AEC715">
                          <w:pPr>
                            <w:pStyle w:val="9"/>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1BAEC715">
                    <w:pPr>
                      <w:pStyle w:val="9"/>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CB528">
    <w:pPr>
      <w:spacing w:line="166" w:lineRule="auto"/>
      <w:ind w:left="4225"/>
      <w:rPr>
        <w:rFonts w:ascii="Calibri" w:hAnsi="Calibri" w:eastAsia="Calibri" w:cs="Calibri"/>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5C48D">
                          <w:pPr>
                            <w:pStyle w:val="9"/>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5B65C48D">
                    <w:pPr>
                      <w:pStyle w:val="9"/>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690E4">
    <w:pPr>
      <w:pStyle w:val="9"/>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011BA">
                          <w:pPr>
                            <w:pStyle w:val="9"/>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D0011BA">
                    <w:pPr>
                      <w:pStyle w:val="9"/>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12B18">
    <w:pPr>
      <w:pStyle w:val="9"/>
      <w:jc w:val="center"/>
    </w:pPr>
    <w:r>
      <w:rPr>
        <w:sz w:val="21"/>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659CEC">
                          <w:pPr>
                            <w:pStyle w:val="9"/>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38659CEC">
                    <w:pPr>
                      <w:pStyle w:val="9"/>
                    </w:pPr>
                    <w:r>
                      <w:fldChar w:fldCharType="begin"/>
                    </w:r>
                    <w:r>
                      <w:instrText xml:space="preserve"> PAGE  \* MERGEFORMAT </w:instrText>
                    </w:r>
                    <w:r>
                      <w:fldChar w:fldCharType="separate"/>
                    </w:r>
                    <w:r>
                      <w:t>168</w:t>
                    </w:r>
                    <w:r>
                      <w:fldChar w:fldCharType="end"/>
                    </w:r>
                  </w:p>
                </w:txbxContent>
              </v:textbox>
            </v:shape>
          </w:pict>
        </mc:Fallback>
      </mc:AlternateContent>
    </w:r>
  </w:p>
  <w:p w14:paraId="53BF8378">
    <w:pPr>
      <w:pStyle w:val="9"/>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34FA3">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300" cy="131445"/>
              <wp:effectExtent l="0" t="0" r="0" b="0"/>
              <wp:wrapNone/>
              <wp:docPr id="11" name="文本框 5122"/>
              <wp:cNvGraphicFramePr/>
              <a:graphic xmlns:a="http://schemas.openxmlformats.org/drawingml/2006/main">
                <a:graphicData uri="http://schemas.microsoft.com/office/word/2010/wordprocessingShape">
                  <wps:wsp>
                    <wps:cNvSpPr/>
                    <wps:spPr>
                      <a:xfrm>
                        <a:off x="0" y="0"/>
                        <a:ext cx="114300" cy="131433"/>
                      </a:xfrm>
                      <a:prstGeom prst="rect">
                        <a:avLst/>
                      </a:prstGeom>
                      <a:noFill/>
                      <a:ln w="9525" cap="flat" cmpd="sng">
                        <a:noFill/>
                        <a:prstDash val="solid"/>
                        <a:miter/>
                      </a:ln>
                      <a:effectLst/>
                    </wps:spPr>
                    <wps:txbx>
                      <w:txbxContent>
                        <w:p w14:paraId="770BAAF3">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63</w:t>
                          </w:r>
                          <w:r>
                            <w:rPr>
                              <w:rFonts w:hint="eastAsia"/>
                            </w:rPr>
                            <w:fldChar w:fldCharType="end"/>
                          </w:r>
                        </w:p>
                      </w:txbxContent>
                    </wps:txbx>
                    <wps:bodyPr vert="horz" wrap="none" lIns="0" tIns="0" rIns="0" bIns="0" anchor="t" anchorCtr="0" upright="1">
                      <a:spAutoFit/>
                    </wps:bodyPr>
                  </wps:wsp>
                </a:graphicData>
              </a:graphic>
            </wp:anchor>
          </w:drawing>
        </mc:Choice>
        <mc:Fallback>
          <w:pict>
            <v:rect id="文本框 5122" o:spid="_x0000_s1026" o:spt="1" style="position:absolute;left:0pt;margin-top:0pt;height:10.35pt;width:9pt;mso-position-horizontal:center;mso-position-horizontal-relative:margin;mso-wrap-style:none;z-index:251659264;mso-width-relative:page;mso-height-relative:page;" filled="f" stroked="f" coordsize="21600,21600" o:gfxdata="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WkXqzQAAAAAwEAAA8AAAAAAAAAAQAgAAAAIgAAAGRycy9k&#10;b3ducmV2LnhtbFBLAQIUABQAAAAIAIdO4kDTyoSbCgIAAAYEAAAOAAAAAAAAAAEAIAAAAB8BAABk&#10;cnMvZTJvRG9jLnhtbFBLBQYAAAAABgAGAFkBAACbBQAAAAA=&#10;">
              <v:fill on="f" focussize="0,0"/>
              <v:stroke on="f" joinstyle="miter"/>
              <v:imagedata o:title=""/>
              <o:lock v:ext="edit" aspectratio="f"/>
              <v:textbox inset="0mm,0mm,0mm,0mm" style="mso-fit-shape-to-text:t;">
                <w:txbxContent>
                  <w:p w14:paraId="770BAAF3">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63</w:t>
                    </w:r>
                    <w:r>
                      <w:rPr>
                        <w:rFonts w:hint="eastAsia"/>
                      </w:rPr>
                      <w:fldChar w:fldCharType="end"/>
                    </w:r>
                  </w:p>
                </w:txbxContent>
              </v:textbox>
            </v:rect>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39088">
    <w:pPr>
      <w:spacing w:line="226" w:lineRule="exact"/>
      <w:ind w:left="42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7A5980">
                          <w:pPr>
                            <w:pStyle w:val="9"/>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057A5980">
                    <w:pPr>
                      <w:pStyle w:val="9"/>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B717F">
    <w:pPr>
      <w:spacing w:line="226" w:lineRule="exact"/>
      <w:ind w:left="414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4C446">
                          <w:pPr>
                            <w:pStyle w:val="9"/>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70A4C446">
                    <w:pPr>
                      <w:pStyle w:val="9"/>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57C86">
    <w:pPr>
      <w:spacing w:line="226" w:lineRule="exact"/>
      <w:ind w:left="42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2F01A6">
                          <w:pPr>
                            <w:pStyle w:val="9"/>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342F01A6">
                    <w:pPr>
                      <w:pStyle w:val="9"/>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1EA78">
    <w:pPr>
      <w:spacing w:line="226" w:lineRule="exact"/>
      <w:ind w:left="414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F45180">
                          <w:pPr>
                            <w:pStyle w:val="9"/>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1BF45180">
                    <w:pPr>
                      <w:pStyle w:val="9"/>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9E2AB">
    <w:pPr>
      <w:spacing w:line="226" w:lineRule="exact"/>
      <w:ind w:left="42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1F2F7">
                          <w:pPr>
                            <w:pStyle w:val="9"/>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3D01F2F7">
                    <w:pPr>
                      <w:pStyle w:val="9"/>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8759A">
    <w:pPr>
      <w:spacing w:line="226" w:lineRule="exact"/>
      <w:ind w:left="489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770D4">
                          <w:pPr>
                            <w:pStyle w:val="9"/>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25770D4">
                    <w:pPr>
                      <w:pStyle w:val="9"/>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B4F9A">
    <w:pPr>
      <w:spacing w:line="226" w:lineRule="exact"/>
      <w:ind w:left="489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0DA0C">
                          <w:pPr>
                            <w:pStyle w:val="9"/>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9A0DA0C">
                    <w:pPr>
                      <w:pStyle w:val="9"/>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EF667">
    <w:pPr>
      <w:pStyle w:val="6"/>
      <w:spacing w:line="46"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BD930">
    <w:pPr>
      <w:pStyle w:val="6"/>
      <w:spacing w:line="46"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10ACA">
    <w:pPr>
      <w:pStyle w:val="6"/>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9A471">
    <w:pPr>
      <w:pStyle w:val="6"/>
      <w:spacing w:line="46"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17EFD">
    <w:pPr>
      <w:pStyle w:val="6"/>
      <w:spacing w:line="46" w:lineRule="auto"/>
      <w:rPr>
        <w:sz w:val="2"/>
      </w:rPr>
    </w:pPr>
    <w:r>
      <w:pict>
        <v:shape id="_x0000_s2057" o:spid="_x0000_s2057" style="position:absolute;left:0pt;margin-left:79.35pt;margin-top:47.3pt;height:0.75pt;width:436.6pt;mso-position-horizontal-relative:page;mso-position-vertical-relative:page;z-index:251736064;mso-width-relative:page;mso-height-relative:page;" fillcolor="#000000" filled="t" stroked="f" coordsize="8732,15" o:allowincell="f" path="m0,0l8731,0,8731,14,0,14,0,0xe">
          <v:path/>
          <v:fill on="t" focussize="0,0"/>
          <v:stroke on="f"/>
          <v:imagedata o:title=""/>
          <o:lock v:ext="edi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FE440">
    <w:pPr>
      <w:pStyle w:val="6"/>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ACB31">
    <w:pPr>
      <w:pStyle w:val="6"/>
      <w:spacing w:line="46"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657F4">
    <w:pPr>
      <w:pStyle w:val="6"/>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7031B"/>
    <w:multiLevelType w:val="singleLevel"/>
    <w:tmpl w:val="8447031B"/>
    <w:lvl w:ilvl="0" w:tentative="0">
      <w:start w:val="1"/>
      <w:numFmt w:val="decimal"/>
      <w:suff w:val="nothing"/>
      <w:lvlText w:val="（%1）"/>
      <w:lvlJc w:val="left"/>
    </w:lvl>
  </w:abstractNum>
  <w:abstractNum w:abstractNumId="1">
    <w:nsid w:val="0C71DA5F"/>
    <w:multiLevelType w:val="singleLevel"/>
    <w:tmpl w:val="0C71DA5F"/>
    <w:lvl w:ilvl="0" w:tentative="0">
      <w:start w:val="1"/>
      <w:numFmt w:val="decimal"/>
      <w:suff w:val="nothing"/>
      <w:lvlText w:val="%1、"/>
      <w:lvlJc w:val="left"/>
    </w:lvl>
  </w:abstractNum>
  <w:abstractNum w:abstractNumId="2">
    <w:nsid w:val="5498E193"/>
    <w:multiLevelType w:val="singleLevel"/>
    <w:tmpl w:val="5498E193"/>
    <w:lvl w:ilvl="0" w:tentative="0">
      <w:start w:val="11"/>
      <w:numFmt w:val="decimal"/>
      <w:suff w:val="space"/>
      <w:lvlText w:val="%1."/>
      <w:lvlJc w:val="left"/>
    </w:lvl>
  </w:abstractNum>
  <w:abstractNum w:abstractNumId="3">
    <w:nsid w:val="77F239CA"/>
    <w:multiLevelType w:val="singleLevel"/>
    <w:tmpl w:val="77F239CA"/>
    <w:lvl w:ilvl="0" w:tentative="0">
      <w:start w:val="1"/>
      <w:numFmt w:val="decimal"/>
      <w:suff w:val="nothing"/>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2EF25D4"/>
    <w:rsid w:val="037153A5"/>
    <w:rsid w:val="03E730AF"/>
    <w:rsid w:val="04643CBB"/>
    <w:rsid w:val="04882BC0"/>
    <w:rsid w:val="049F168E"/>
    <w:rsid w:val="04CC6940"/>
    <w:rsid w:val="05A02C87"/>
    <w:rsid w:val="06072B29"/>
    <w:rsid w:val="077F1687"/>
    <w:rsid w:val="087777B0"/>
    <w:rsid w:val="087B2CE7"/>
    <w:rsid w:val="09DB2911"/>
    <w:rsid w:val="0A670558"/>
    <w:rsid w:val="0A8B4FE6"/>
    <w:rsid w:val="0CEE3E43"/>
    <w:rsid w:val="0DD16ECD"/>
    <w:rsid w:val="0F864C61"/>
    <w:rsid w:val="0F9B0EE8"/>
    <w:rsid w:val="0F9C42D2"/>
    <w:rsid w:val="0FC96875"/>
    <w:rsid w:val="115E01DA"/>
    <w:rsid w:val="13446B55"/>
    <w:rsid w:val="144D4918"/>
    <w:rsid w:val="146B344E"/>
    <w:rsid w:val="14DE573A"/>
    <w:rsid w:val="155D5602"/>
    <w:rsid w:val="16691563"/>
    <w:rsid w:val="18FF6806"/>
    <w:rsid w:val="1ABA3C26"/>
    <w:rsid w:val="1B0A50FA"/>
    <w:rsid w:val="1B2A1722"/>
    <w:rsid w:val="1B9B26A0"/>
    <w:rsid w:val="1BEC3DC9"/>
    <w:rsid w:val="1C3B7CB4"/>
    <w:rsid w:val="1D50293C"/>
    <w:rsid w:val="1E755602"/>
    <w:rsid w:val="1ECE2D2C"/>
    <w:rsid w:val="1F77470B"/>
    <w:rsid w:val="1FE8583F"/>
    <w:rsid w:val="201C5584"/>
    <w:rsid w:val="21A95442"/>
    <w:rsid w:val="21A9767B"/>
    <w:rsid w:val="22672929"/>
    <w:rsid w:val="22AA7A2F"/>
    <w:rsid w:val="22CD0962"/>
    <w:rsid w:val="232647FF"/>
    <w:rsid w:val="25586F13"/>
    <w:rsid w:val="265B3685"/>
    <w:rsid w:val="27673E35"/>
    <w:rsid w:val="278725F8"/>
    <w:rsid w:val="28786B3B"/>
    <w:rsid w:val="28BD180D"/>
    <w:rsid w:val="29CB313D"/>
    <w:rsid w:val="2A326C77"/>
    <w:rsid w:val="2A430F19"/>
    <w:rsid w:val="2A8F43FF"/>
    <w:rsid w:val="2C475FE3"/>
    <w:rsid w:val="2C86798E"/>
    <w:rsid w:val="2CD50B00"/>
    <w:rsid w:val="2D64028A"/>
    <w:rsid w:val="2DA55C0B"/>
    <w:rsid w:val="2DDE68B7"/>
    <w:rsid w:val="2DDF2977"/>
    <w:rsid w:val="2E2B7AFE"/>
    <w:rsid w:val="2E585DD8"/>
    <w:rsid w:val="2E5E2687"/>
    <w:rsid w:val="2EFF3B7B"/>
    <w:rsid w:val="2F024162"/>
    <w:rsid w:val="2F4207E1"/>
    <w:rsid w:val="30033C07"/>
    <w:rsid w:val="307A71D3"/>
    <w:rsid w:val="320C339A"/>
    <w:rsid w:val="34FB796B"/>
    <w:rsid w:val="350718CE"/>
    <w:rsid w:val="350845A4"/>
    <w:rsid w:val="351831AD"/>
    <w:rsid w:val="35EA167F"/>
    <w:rsid w:val="36BA3904"/>
    <w:rsid w:val="39035B78"/>
    <w:rsid w:val="39551D3F"/>
    <w:rsid w:val="3974645A"/>
    <w:rsid w:val="3980612A"/>
    <w:rsid w:val="39B171D7"/>
    <w:rsid w:val="3B7B4451"/>
    <w:rsid w:val="3BEC68D3"/>
    <w:rsid w:val="3BED0C70"/>
    <w:rsid w:val="3C6B7ACC"/>
    <w:rsid w:val="3E4613DD"/>
    <w:rsid w:val="3E8B7FB1"/>
    <w:rsid w:val="3EFA6550"/>
    <w:rsid w:val="443E3008"/>
    <w:rsid w:val="461A77DD"/>
    <w:rsid w:val="46357180"/>
    <w:rsid w:val="47C15863"/>
    <w:rsid w:val="49715B84"/>
    <w:rsid w:val="4AAD0316"/>
    <w:rsid w:val="4AD3347B"/>
    <w:rsid w:val="4B31270B"/>
    <w:rsid w:val="4C9A3E35"/>
    <w:rsid w:val="4CBC37F3"/>
    <w:rsid w:val="4D7F3CDB"/>
    <w:rsid w:val="4F1D395D"/>
    <w:rsid w:val="4F85070E"/>
    <w:rsid w:val="4F9F2129"/>
    <w:rsid w:val="4FCB74FE"/>
    <w:rsid w:val="512745E9"/>
    <w:rsid w:val="51894844"/>
    <w:rsid w:val="51A85FD8"/>
    <w:rsid w:val="527952AF"/>
    <w:rsid w:val="536801B7"/>
    <w:rsid w:val="53B06332"/>
    <w:rsid w:val="57425DF2"/>
    <w:rsid w:val="58201145"/>
    <w:rsid w:val="58600972"/>
    <w:rsid w:val="5A617D5D"/>
    <w:rsid w:val="5A9D2278"/>
    <w:rsid w:val="5B3C1A65"/>
    <w:rsid w:val="5BBA3E20"/>
    <w:rsid w:val="5C1F5C38"/>
    <w:rsid w:val="5D144A17"/>
    <w:rsid w:val="5D9F285E"/>
    <w:rsid w:val="5EBD78BB"/>
    <w:rsid w:val="5F166FCB"/>
    <w:rsid w:val="5F8D66F8"/>
    <w:rsid w:val="60013B4A"/>
    <w:rsid w:val="60073FFE"/>
    <w:rsid w:val="602D0A3A"/>
    <w:rsid w:val="63BC2837"/>
    <w:rsid w:val="63CF2E61"/>
    <w:rsid w:val="63DC4C88"/>
    <w:rsid w:val="647B3D4D"/>
    <w:rsid w:val="64E10103"/>
    <w:rsid w:val="65460DA3"/>
    <w:rsid w:val="65F05BE9"/>
    <w:rsid w:val="660C5310"/>
    <w:rsid w:val="66123B9C"/>
    <w:rsid w:val="66E738CA"/>
    <w:rsid w:val="688431F8"/>
    <w:rsid w:val="68A47863"/>
    <w:rsid w:val="6A4977FF"/>
    <w:rsid w:val="6A59237F"/>
    <w:rsid w:val="6C34175B"/>
    <w:rsid w:val="6C3E20D6"/>
    <w:rsid w:val="6D627B76"/>
    <w:rsid w:val="6DE23112"/>
    <w:rsid w:val="6E66120D"/>
    <w:rsid w:val="6EB51B6F"/>
    <w:rsid w:val="6ED6427A"/>
    <w:rsid w:val="6F0D7DB1"/>
    <w:rsid w:val="70DA6D98"/>
    <w:rsid w:val="7179405A"/>
    <w:rsid w:val="72C05CFA"/>
    <w:rsid w:val="72D43840"/>
    <w:rsid w:val="737C5B3F"/>
    <w:rsid w:val="7450554C"/>
    <w:rsid w:val="74F90479"/>
    <w:rsid w:val="757D16A2"/>
    <w:rsid w:val="757D214A"/>
    <w:rsid w:val="75E832AF"/>
    <w:rsid w:val="765F6921"/>
    <w:rsid w:val="76D9077B"/>
    <w:rsid w:val="76E4531E"/>
    <w:rsid w:val="76EF485F"/>
    <w:rsid w:val="780F50C8"/>
    <w:rsid w:val="78135A15"/>
    <w:rsid w:val="78663838"/>
    <w:rsid w:val="78B21497"/>
    <w:rsid w:val="798F3A5E"/>
    <w:rsid w:val="7A2E623C"/>
    <w:rsid w:val="7B551150"/>
    <w:rsid w:val="7BA1460B"/>
    <w:rsid w:val="7D622B49"/>
    <w:rsid w:val="7DD47E8B"/>
    <w:rsid w:val="7E2F6C18"/>
    <w:rsid w:val="7F08472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21"/>
    <w:qFormat/>
    <w:uiPriority w:val="0"/>
    <w:pPr>
      <w:keepNext/>
      <w:keepLines/>
      <w:spacing w:line="360" w:lineRule="auto"/>
      <w:jc w:val="center"/>
      <w:outlineLvl w:val="0"/>
    </w:pPr>
    <w:rPr>
      <w:rFonts w:ascii="Times New Roman" w:hAnsi="Times New Roman" w:eastAsia="宋体"/>
      <w:b/>
      <w:bCs/>
      <w:kern w:val="44"/>
      <w:sz w:val="32"/>
      <w:szCs w:val="44"/>
    </w:rPr>
  </w:style>
  <w:style w:type="paragraph" w:styleId="3">
    <w:name w:val="heading 2"/>
    <w:basedOn w:val="1"/>
    <w:next w:val="1"/>
    <w:qFormat/>
    <w:uiPriority w:val="0"/>
    <w:pPr>
      <w:keepNext/>
      <w:keepLines/>
      <w:spacing w:before="260" w:after="260" w:line="415" w:lineRule="auto"/>
      <w:outlineLvl w:val="1"/>
    </w:pPr>
    <w:rPr>
      <w:rFonts w:ascii="Cambria" w:hAnsi="Cambria" w:eastAsia="宋体"/>
      <w:b/>
      <w:bCs/>
      <w:sz w:val="32"/>
      <w:szCs w:val="32"/>
    </w:rPr>
  </w:style>
  <w:style w:type="paragraph" w:styleId="4">
    <w:name w:val="heading 3"/>
    <w:basedOn w:val="1"/>
    <w:next w:val="1"/>
    <w:qFormat/>
    <w:uiPriority w:val="0"/>
    <w:pPr>
      <w:keepNext/>
      <w:keepLines/>
      <w:spacing w:before="260" w:after="260" w:line="415" w:lineRule="auto"/>
      <w:outlineLvl w:val="2"/>
    </w:pPr>
    <w:rPr>
      <w:rFonts w:ascii="Times New Roman" w:hAnsi="Times New Roman" w:eastAsia="宋体"/>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toc 3"/>
    <w:basedOn w:val="1"/>
    <w:next w:val="1"/>
    <w:qFormat/>
    <w:uiPriority w:val="0"/>
    <w:pPr>
      <w:ind w:left="840" w:leftChars="400"/>
    </w:pPr>
  </w:style>
  <w:style w:type="paragraph" w:styleId="8">
    <w:name w:val="Plain Text"/>
    <w:basedOn w:val="1"/>
    <w:qFormat/>
    <w:uiPriority w:val="0"/>
    <w:rPr>
      <w:rFonts w:ascii="宋体" w:hAnsi="Courier New" w:eastAsia="宋体"/>
      <w:kern w:val="0"/>
      <w:sz w:val="20"/>
      <w:szCs w:val="21"/>
    </w:rPr>
  </w:style>
  <w:style w:type="paragraph" w:styleId="9">
    <w:name w:val="footer"/>
    <w:basedOn w:val="1"/>
    <w:qFormat/>
    <w:uiPriority w:val="0"/>
    <w:pPr>
      <w:tabs>
        <w:tab w:val="center" w:pos="4153"/>
        <w:tab w:val="right" w:pos="8306"/>
      </w:tabs>
      <w:snapToGrid w:val="0"/>
      <w:spacing w:line="240" w:lineRule="auto"/>
      <w:ind w:firstLine="0" w:firstLineChars="0"/>
      <w:jc w:val="center"/>
    </w:pPr>
    <w:rPr>
      <w:sz w:val="21"/>
      <w:szCs w:val="21"/>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6">
    <w:name w:val="Strong"/>
    <w:basedOn w:val="15"/>
    <w:qFormat/>
    <w:uiPriority w:val="0"/>
    <w:rPr>
      <w:b/>
      <w:bCs/>
    </w:rPr>
  </w:style>
  <w:style w:type="character" w:styleId="17">
    <w:name w:val="Hyperlink"/>
    <w:basedOn w:val="15"/>
    <w:qFormat/>
    <w:uiPriority w:val="0"/>
    <w:rPr>
      <w:color w:val="0000FF"/>
      <w:u w:val="single"/>
    </w:rPr>
  </w:style>
  <w:style w:type="paragraph" w:customStyle="1" w:styleId="18">
    <w:name w:val="表格文字"/>
    <w:basedOn w:val="1"/>
    <w:qFormat/>
    <w:uiPriority w:val="0"/>
    <w:pPr>
      <w:keepNext w:val="0"/>
      <w:keepLines w:val="0"/>
      <w:widowControl w:val="0"/>
      <w:suppressLineNumbers w:val="0"/>
      <w:spacing w:before="0" w:beforeAutospacing="0" w:after="0" w:afterAutospacing="0"/>
      <w:ind w:left="0" w:right="0"/>
      <w:jc w:val="left"/>
    </w:pPr>
    <w:rPr>
      <w:rFonts w:ascii="Times New Roman" w:hAnsi="Times New Roman" w:eastAsia="宋体" w:cs="Times New Roman"/>
      <w:spacing w:val="10"/>
      <w:kern w:val="0"/>
      <w:sz w:val="24"/>
      <w:szCs w:val="24"/>
      <w:lang w:val="en-US" w:eastAsia="zh-CN"/>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宋体" w:hAnsi="宋体" w:eastAsia="宋体" w:cs="宋体"/>
      <w:sz w:val="20"/>
      <w:szCs w:val="20"/>
      <w:lang w:val="en-US" w:eastAsia="en-US" w:bidi="ar-SA"/>
    </w:rPr>
  </w:style>
  <w:style w:type="character" w:customStyle="1" w:styleId="21">
    <w:name w:val="heading 1 Char"/>
    <w:basedOn w:val="15"/>
    <w:link w:val="2"/>
    <w:qFormat/>
    <w:uiPriority w:val="0"/>
    <w:rPr>
      <w:rFonts w:ascii="Times New Roman" w:hAnsi="Times New Roman" w:eastAsia="宋体"/>
      <w:b/>
      <w:bCs/>
      <w:kern w:val="44"/>
      <w:sz w:val="32"/>
      <w:szCs w:val="44"/>
    </w:rPr>
  </w:style>
  <w:style w:type="paragraph" w:customStyle="1" w:styleId="22">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3">
    <w:name w:val="10_0"/>
    <w:basedOn w:val="15"/>
    <w:qFormat/>
    <w:uiPriority w:val="0"/>
    <w:rPr>
      <w:rFonts w:ascii="Times New Roman" w:hAnsi="Times New Roman" w:cs="Times New Roman"/>
    </w:rPr>
  </w:style>
</w:styles>
</file>

<file path=word/_rels/document.xml.rels><?xml version="1.0" encoding="UTF-8" standalone="yes"?>
<Relationships xmlns="http://schemas.openxmlformats.org/package/2006/relationships"><Relationship Id="rId99" Type="http://schemas.openxmlformats.org/officeDocument/2006/relationships/image" Target="media/image7.wmf"/><Relationship Id="rId98" Type="http://schemas.openxmlformats.org/officeDocument/2006/relationships/oleObject" Target="embeddings/oleObject3.bin"/><Relationship Id="rId97" Type="http://schemas.openxmlformats.org/officeDocument/2006/relationships/image" Target="media/image6.wmf"/><Relationship Id="rId96" Type="http://schemas.openxmlformats.org/officeDocument/2006/relationships/oleObject" Target="embeddings/oleObject2.bin"/><Relationship Id="rId95" Type="http://schemas.openxmlformats.org/officeDocument/2006/relationships/image" Target="media/image5.wmf"/><Relationship Id="rId94" Type="http://schemas.openxmlformats.org/officeDocument/2006/relationships/oleObject" Target="embeddings/oleObject1.bin"/><Relationship Id="rId93" Type="http://schemas.openxmlformats.org/officeDocument/2006/relationships/image" Target="media/image4.png"/><Relationship Id="rId92" Type="http://schemas.openxmlformats.org/officeDocument/2006/relationships/image" Target="media/image3.png"/><Relationship Id="rId91" Type="http://schemas.openxmlformats.org/officeDocument/2006/relationships/image" Target="media/image2.png"/><Relationship Id="rId90" Type="http://schemas.openxmlformats.org/officeDocument/2006/relationships/image" Target="media/image1.png"/><Relationship Id="rId9" Type="http://schemas.openxmlformats.org/officeDocument/2006/relationships/header" Target="header3.xml"/><Relationship Id="rId89" Type="http://schemas.openxmlformats.org/officeDocument/2006/relationships/theme" Target="theme/theme1.xml"/><Relationship Id="rId88" Type="http://schemas.openxmlformats.org/officeDocument/2006/relationships/footer" Target="footer76.xml"/><Relationship Id="rId87" Type="http://schemas.openxmlformats.org/officeDocument/2006/relationships/footer" Target="footer75.xml"/><Relationship Id="rId86" Type="http://schemas.openxmlformats.org/officeDocument/2006/relationships/footer" Target="footer74.xml"/><Relationship Id="rId85" Type="http://schemas.openxmlformats.org/officeDocument/2006/relationships/footer" Target="footer73.xml"/><Relationship Id="rId84" Type="http://schemas.openxmlformats.org/officeDocument/2006/relationships/footer" Target="footer72.xml"/><Relationship Id="rId83" Type="http://schemas.openxmlformats.org/officeDocument/2006/relationships/header" Target="header8.xml"/><Relationship Id="rId82" Type="http://schemas.openxmlformats.org/officeDocument/2006/relationships/footer" Target="footer71.xml"/><Relationship Id="rId81" Type="http://schemas.openxmlformats.org/officeDocument/2006/relationships/footer" Target="footer70.xml"/><Relationship Id="rId80" Type="http://schemas.openxmlformats.org/officeDocument/2006/relationships/footer" Target="footer69.xml"/><Relationship Id="rId8" Type="http://schemas.openxmlformats.org/officeDocument/2006/relationships/footer" Target="footer2.xml"/><Relationship Id="rId79" Type="http://schemas.openxmlformats.org/officeDocument/2006/relationships/footer" Target="footer68.xml"/><Relationship Id="rId78" Type="http://schemas.openxmlformats.org/officeDocument/2006/relationships/header" Target="header7.xml"/><Relationship Id="rId77" Type="http://schemas.openxmlformats.org/officeDocument/2006/relationships/footer" Target="footer67.xml"/><Relationship Id="rId76" Type="http://schemas.openxmlformats.org/officeDocument/2006/relationships/footer" Target="footer66.xml"/><Relationship Id="rId75" Type="http://schemas.openxmlformats.org/officeDocument/2006/relationships/footer" Target="footer65.xml"/><Relationship Id="rId74" Type="http://schemas.openxmlformats.org/officeDocument/2006/relationships/footer" Target="footer64.xml"/><Relationship Id="rId73" Type="http://schemas.openxmlformats.org/officeDocument/2006/relationships/footer" Target="footer63.xml"/><Relationship Id="rId72" Type="http://schemas.openxmlformats.org/officeDocument/2006/relationships/footer" Target="footer62.xml"/><Relationship Id="rId71" Type="http://schemas.openxmlformats.org/officeDocument/2006/relationships/footer" Target="footer61.xml"/><Relationship Id="rId70" Type="http://schemas.openxmlformats.org/officeDocument/2006/relationships/footer" Target="footer60.xml"/><Relationship Id="rId7" Type="http://schemas.openxmlformats.org/officeDocument/2006/relationships/header" Target="header2.xml"/><Relationship Id="rId69" Type="http://schemas.openxmlformats.org/officeDocument/2006/relationships/footer" Target="footer59.xml"/><Relationship Id="rId68" Type="http://schemas.openxmlformats.org/officeDocument/2006/relationships/footer" Target="footer58.xml"/><Relationship Id="rId67" Type="http://schemas.openxmlformats.org/officeDocument/2006/relationships/footer" Target="footer57.xml"/><Relationship Id="rId66" Type="http://schemas.openxmlformats.org/officeDocument/2006/relationships/footer" Target="footer56.xml"/><Relationship Id="rId65" Type="http://schemas.openxmlformats.org/officeDocument/2006/relationships/footer" Target="footer55.xml"/><Relationship Id="rId64" Type="http://schemas.openxmlformats.org/officeDocument/2006/relationships/footer" Target="footer54.xml"/><Relationship Id="rId63" Type="http://schemas.openxmlformats.org/officeDocument/2006/relationships/footer" Target="footer53.xml"/><Relationship Id="rId62" Type="http://schemas.openxmlformats.org/officeDocument/2006/relationships/footer" Target="footer52.xml"/><Relationship Id="rId61" Type="http://schemas.openxmlformats.org/officeDocument/2006/relationships/footer" Target="footer51.xml"/><Relationship Id="rId60" Type="http://schemas.openxmlformats.org/officeDocument/2006/relationships/footer" Target="footer50.xml"/><Relationship Id="rId6" Type="http://schemas.openxmlformats.org/officeDocument/2006/relationships/footer" Target="footer1.xml"/><Relationship Id="rId59" Type="http://schemas.openxmlformats.org/officeDocument/2006/relationships/footer" Target="footer49.xml"/><Relationship Id="rId58" Type="http://schemas.openxmlformats.org/officeDocument/2006/relationships/footer" Target="footer48.xml"/><Relationship Id="rId57" Type="http://schemas.openxmlformats.org/officeDocument/2006/relationships/footer" Target="footer47.xml"/><Relationship Id="rId56" Type="http://schemas.openxmlformats.org/officeDocument/2006/relationships/footer" Target="footer46.xml"/><Relationship Id="rId55" Type="http://schemas.openxmlformats.org/officeDocument/2006/relationships/footer" Target="footer45.xml"/><Relationship Id="rId54" Type="http://schemas.openxmlformats.org/officeDocument/2006/relationships/footer" Target="footer44.xml"/><Relationship Id="rId53" Type="http://schemas.openxmlformats.org/officeDocument/2006/relationships/footer" Target="footer43.xml"/><Relationship Id="rId52" Type="http://schemas.openxmlformats.org/officeDocument/2006/relationships/footer" Target="footer42.xml"/><Relationship Id="rId51" Type="http://schemas.openxmlformats.org/officeDocument/2006/relationships/footer" Target="footer41.xml"/><Relationship Id="rId50" Type="http://schemas.openxmlformats.org/officeDocument/2006/relationships/footer" Target="footer40.xml"/><Relationship Id="rId5" Type="http://schemas.openxmlformats.org/officeDocument/2006/relationships/header" Target="header1.xml"/><Relationship Id="rId49" Type="http://schemas.openxmlformats.org/officeDocument/2006/relationships/footer" Target="footer39.xml"/><Relationship Id="rId48" Type="http://schemas.openxmlformats.org/officeDocument/2006/relationships/footer" Target="footer38.xml"/><Relationship Id="rId47" Type="http://schemas.openxmlformats.org/officeDocument/2006/relationships/footer" Target="footer37.xml"/><Relationship Id="rId46" Type="http://schemas.openxmlformats.org/officeDocument/2006/relationships/footer" Target="footer36.xml"/><Relationship Id="rId45" Type="http://schemas.openxmlformats.org/officeDocument/2006/relationships/footer" Target="footer35.xml"/><Relationship Id="rId44" Type="http://schemas.openxmlformats.org/officeDocument/2006/relationships/footer" Target="footer34.xml"/><Relationship Id="rId43" Type="http://schemas.openxmlformats.org/officeDocument/2006/relationships/footer" Target="footer33.xml"/><Relationship Id="rId42" Type="http://schemas.openxmlformats.org/officeDocument/2006/relationships/footer" Target="footer32.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endnotes" Target="endnotes.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footnotes" Target="footnotes.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wmf"/><Relationship Id="rId102" Type="http://schemas.openxmlformats.org/officeDocument/2006/relationships/oleObject" Target="embeddings/oleObject5.bin"/><Relationship Id="rId101" Type="http://schemas.openxmlformats.org/officeDocument/2006/relationships/image" Target="media/image8.wmf"/><Relationship Id="rId100" Type="http://schemas.openxmlformats.org/officeDocument/2006/relationships/oleObject" Target="embeddings/oleObject4.bin"/><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7"/>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190</Pages>
  <Words>9859</Words>
  <Characters>11738</Characters>
  <TotalTime>57</TotalTime>
  <ScaleCrop>false</ScaleCrop>
  <LinksUpToDate>false</LinksUpToDate>
  <CharactersWithSpaces>12231</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2025-09-30T11:06:00Z</dcterms:created>
  <dc:creator>唐冰</dc:creator>
  <cp:lastModifiedBy>NTKO</cp:lastModifiedBy>
  <dcterms:modified xsi:type="dcterms:W3CDTF">2026-06-18T07:38:11Z</dcterms:modified>
  <dc:title>竞争性谈判文件规范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2025-10-11T15:16:24Z</vt:filetime>
  </property>
  <property fmtid="{D5CDD505-2E9C-101B-9397-08002B2CF9AE}" pid="4" name="KSOTemplateDocerSaveRecord">
    <vt:lpwstr>eyJoZGlkIjoiNWMyYjUxZjkxMzEyYzczYTQ2YzdjYjA4Y2JmMzY0YWIiLCJ1c2VySWQiOiI4MjU1MDk1NzYifQ==</vt:lpwstr>
  </property>
  <property fmtid="{D5CDD505-2E9C-101B-9397-08002B2CF9AE}" pid="5" name="KSOProductBuildVer">
    <vt:lpwstr>2052-12.1.0.26375</vt:lpwstr>
  </property>
  <property fmtid="{D5CDD505-2E9C-101B-9397-08002B2CF9AE}" pid="6" name="ICV">
    <vt:lpwstr>12C4FA802E4A4A0DA46404A89F6884E3_12</vt:lpwstr>
  </property>
</Properties>
</file>