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17.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A0D5EA">
      <w:pPr>
        <w:spacing w:before="165" w:beforeLines="50" w:line="360" w:lineRule="auto"/>
        <w:jc w:val="center"/>
        <w:rPr>
          <w:rFonts w:ascii="宋体" w:hAnsi="宋体"/>
          <w:color w:val="auto"/>
          <w:sz w:val="52"/>
          <w:szCs w:val="52"/>
          <w:highlight w:val="none"/>
        </w:rPr>
      </w:pPr>
      <w:r>
        <w:rPr>
          <w:rFonts w:hint="eastAsia" w:ascii="宋体" w:hAnsi="宋体"/>
          <w:color w:val="auto"/>
          <w:sz w:val="52"/>
          <w:szCs w:val="52"/>
          <w:highlight w:val="none"/>
        </w:rPr>
        <w:t>南宁市政府采购</w:t>
      </w:r>
    </w:p>
    <w:p w14:paraId="67645532">
      <w:pPr>
        <w:spacing w:before="165" w:beforeLines="50" w:line="360" w:lineRule="auto"/>
        <w:jc w:val="center"/>
        <w:rPr>
          <w:rFonts w:ascii="宋体" w:hAnsi="宋体"/>
          <w:color w:val="auto"/>
          <w:sz w:val="52"/>
          <w:szCs w:val="52"/>
          <w:highlight w:val="none"/>
        </w:rPr>
      </w:pPr>
      <w:r>
        <w:rPr>
          <w:rFonts w:hint="eastAsia" w:ascii="宋体" w:hAnsi="宋体"/>
          <w:color w:val="auto"/>
          <w:sz w:val="52"/>
          <w:szCs w:val="52"/>
          <w:highlight w:val="none"/>
        </w:rPr>
        <w:t>竞争性磋商文件（服务类）</w:t>
      </w:r>
    </w:p>
    <w:p w14:paraId="23D07337">
      <w:pPr>
        <w:spacing w:before="165" w:beforeLines="50" w:line="360" w:lineRule="auto"/>
        <w:jc w:val="center"/>
        <w:rPr>
          <w:rFonts w:ascii="宋体" w:hAnsi="宋体"/>
          <w:color w:val="auto"/>
          <w:sz w:val="36"/>
          <w:szCs w:val="36"/>
          <w:highlight w:val="none"/>
        </w:rPr>
      </w:pPr>
    </w:p>
    <w:p w14:paraId="760B5A61">
      <w:pPr>
        <w:snapToGrid w:val="0"/>
        <w:spacing w:before="165" w:beforeLines="50" w:line="360" w:lineRule="auto"/>
        <w:jc w:val="center"/>
        <w:rPr>
          <w:rFonts w:ascii="方正小标宋简体" w:hAnsi="方正小标宋简体" w:eastAsia="方正小标宋简体" w:cs="方正小标宋简体"/>
          <w:color w:val="auto"/>
          <w:sz w:val="44"/>
          <w:szCs w:val="44"/>
          <w:highlight w:val="none"/>
        </w:rPr>
      </w:pPr>
      <w:r>
        <w:rPr>
          <w:rFonts w:hint="eastAsia" w:ascii="华文新魏" w:hAnsi="宋体" w:eastAsia="华文新魏"/>
          <w:color w:val="auto"/>
          <w:sz w:val="72"/>
          <w:szCs w:val="72"/>
          <w:highlight w:val="none"/>
        </w:rPr>
        <w:t>竞争性磋商文件</w:t>
      </w:r>
    </w:p>
    <w:p w14:paraId="71FBC99E">
      <w:pPr>
        <w:spacing w:before="331" w:beforeLines="100" w:after="165" w:afterLines="50" w:line="360" w:lineRule="auto"/>
        <w:jc w:val="center"/>
        <w:rPr>
          <w:rFonts w:ascii="宋体" w:hAnsi="宋体"/>
          <w:color w:val="auto"/>
          <w:szCs w:val="21"/>
          <w:highlight w:val="none"/>
        </w:rPr>
      </w:pPr>
      <w:r>
        <w:rPr>
          <w:rFonts w:hint="eastAsia" w:ascii="宋体" w:hAnsi="宋体"/>
          <w:color w:val="auto"/>
          <w:szCs w:val="21"/>
          <w:highlight w:val="none"/>
        </w:rPr>
        <w:t>（全流程电子化评标）</w:t>
      </w:r>
    </w:p>
    <w:p w14:paraId="04A904C9">
      <w:pPr>
        <w:spacing w:line="360" w:lineRule="auto"/>
        <w:rPr>
          <w:rFonts w:ascii="宋体" w:hAnsi="宋体"/>
          <w:b/>
          <w:color w:val="auto"/>
          <w:sz w:val="32"/>
          <w:szCs w:val="32"/>
          <w:highlight w:val="none"/>
        </w:rPr>
      </w:pPr>
    </w:p>
    <w:p w14:paraId="6052A4A0">
      <w:pPr>
        <w:spacing w:line="360" w:lineRule="auto"/>
        <w:jc w:val="center"/>
        <w:rPr>
          <w:rFonts w:ascii="宋体" w:hAnsi="宋体"/>
          <w:b/>
          <w:color w:val="auto"/>
          <w:sz w:val="32"/>
          <w:szCs w:val="32"/>
          <w:highlight w:val="none"/>
        </w:rPr>
      </w:pPr>
    </w:p>
    <w:p w14:paraId="340E9FEC">
      <w:pPr>
        <w:snapToGrid w:val="0"/>
        <w:spacing w:before="50" w:after="120" w:line="360" w:lineRule="auto"/>
        <w:ind w:left="1205" w:leftChars="568" w:hanging="12" w:hangingChars="4"/>
        <w:rPr>
          <w:rFonts w:hint="eastAsia" w:ascii="仿宋_GB2312" w:hAnsi="宋体" w:eastAsia="仿宋_GB2312"/>
          <w:b/>
          <w:bCs/>
          <w:color w:val="auto"/>
          <w:kern w:val="0"/>
          <w:sz w:val="30"/>
          <w:szCs w:val="30"/>
          <w:highlight w:val="none"/>
          <w:lang w:eastAsia="zh-CN"/>
        </w:rPr>
      </w:pPr>
      <w:r>
        <w:rPr>
          <w:rFonts w:hint="eastAsia" w:ascii="仿宋_GB2312" w:hAnsi="宋体" w:eastAsia="仿宋_GB2312"/>
          <w:b/>
          <w:bCs/>
          <w:color w:val="auto"/>
          <w:kern w:val="0"/>
          <w:sz w:val="30"/>
          <w:szCs w:val="30"/>
          <w:highlight w:val="none"/>
        </w:rPr>
        <w:t>项目</w:t>
      </w:r>
      <w:r>
        <w:rPr>
          <w:rFonts w:hint="eastAsia" w:ascii="仿宋_GB2312" w:hAnsi="宋体" w:eastAsia="仿宋_GB2312" w:cs="Courier New"/>
          <w:b/>
          <w:bCs/>
          <w:color w:val="auto"/>
          <w:w w:val="95"/>
          <w:kern w:val="0"/>
          <w:sz w:val="30"/>
          <w:szCs w:val="30"/>
          <w:highlight w:val="none"/>
        </w:rPr>
        <w:t>名称</w:t>
      </w:r>
      <w:r>
        <w:rPr>
          <w:rFonts w:hint="eastAsia" w:ascii="仿宋_GB2312" w:hAnsi="宋体" w:eastAsia="仿宋_GB2312"/>
          <w:b/>
          <w:bCs/>
          <w:color w:val="auto"/>
          <w:kern w:val="0"/>
          <w:sz w:val="30"/>
          <w:szCs w:val="30"/>
          <w:highlight w:val="none"/>
        </w:rPr>
        <w:t>：</w:t>
      </w:r>
      <w:bookmarkStart w:id="0" w:name="OLE_LINK1"/>
      <w:r>
        <w:rPr>
          <w:rFonts w:hint="eastAsia" w:ascii="仿宋_GB2312" w:hAnsi="宋体" w:eastAsia="仿宋_GB2312"/>
          <w:b/>
          <w:bCs/>
          <w:color w:val="auto"/>
          <w:kern w:val="0"/>
          <w:sz w:val="30"/>
          <w:szCs w:val="30"/>
          <w:highlight w:val="none"/>
          <w:lang w:eastAsia="zh-CN"/>
        </w:rPr>
        <w:t>隆安县电子政务外网一期线路租用及设备升级服务项目</w:t>
      </w:r>
      <w:bookmarkEnd w:id="0"/>
    </w:p>
    <w:p w14:paraId="78D190FE">
      <w:pPr>
        <w:snapToGrid w:val="0"/>
        <w:spacing w:before="50" w:after="120" w:line="360" w:lineRule="auto"/>
        <w:ind w:firstLine="1133" w:firstLineChars="396"/>
        <w:rPr>
          <w:rFonts w:hint="eastAsia" w:ascii="仿宋_GB2312" w:hAnsi="宋体" w:eastAsia="仿宋_GB2312" w:cs="Courier New"/>
          <w:b/>
          <w:bCs/>
          <w:color w:val="auto"/>
          <w:w w:val="95"/>
          <w:kern w:val="0"/>
          <w:sz w:val="30"/>
          <w:szCs w:val="30"/>
          <w:highlight w:val="none"/>
          <w:lang w:val="en-US" w:eastAsia="zh-CN"/>
        </w:rPr>
      </w:pPr>
      <w:r>
        <w:rPr>
          <w:rFonts w:hint="eastAsia" w:ascii="仿宋_GB2312" w:hAnsi="宋体" w:eastAsia="仿宋_GB2312" w:cs="Courier New"/>
          <w:b/>
          <w:bCs/>
          <w:color w:val="auto"/>
          <w:w w:val="95"/>
          <w:kern w:val="0"/>
          <w:sz w:val="30"/>
          <w:szCs w:val="30"/>
          <w:highlight w:val="none"/>
        </w:rPr>
        <w:t>项目</w:t>
      </w:r>
      <w:r>
        <w:rPr>
          <w:rFonts w:hint="eastAsia" w:ascii="仿宋_GB2312" w:hAnsi="宋体" w:eastAsia="仿宋_GB2312"/>
          <w:b/>
          <w:bCs/>
          <w:color w:val="auto"/>
          <w:kern w:val="0"/>
          <w:sz w:val="30"/>
          <w:szCs w:val="30"/>
          <w:highlight w:val="none"/>
        </w:rPr>
        <w:t>编号</w:t>
      </w:r>
      <w:r>
        <w:rPr>
          <w:rFonts w:hint="eastAsia" w:ascii="仿宋_GB2312" w:hAnsi="宋体" w:eastAsia="仿宋_GB2312" w:cs="Courier New"/>
          <w:b/>
          <w:bCs/>
          <w:color w:val="auto"/>
          <w:w w:val="95"/>
          <w:kern w:val="0"/>
          <w:sz w:val="30"/>
          <w:szCs w:val="30"/>
          <w:highlight w:val="none"/>
        </w:rPr>
        <w:t>：</w:t>
      </w:r>
      <w:r>
        <w:rPr>
          <w:rFonts w:hint="eastAsia" w:ascii="仿宋_GB2312" w:hAnsi="宋体" w:eastAsia="仿宋_GB2312" w:cs="Courier New"/>
          <w:b/>
          <w:bCs/>
          <w:color w:val="auto"/>
          <w:w w:val="95"/>
          <w:kern w:val="0"/>
          <w:sz w:val="30"/>
          <w:szCs w:val="30"/>
          <w:highlight w:val="none"/>
          <w:lang w:eastAsia="zh-CN"/>
        </w:rPr>
        <w:t>NNZC2026-C3-230061-NNSL</w:t>
      </w:r>
    </w:p>
    <w:p w14:paraId="2909660E">
      <w:pPr>
        <w:snapToGrid w:val="0"/>
        <w:spacing w:before="50" w:after="120" w:line="360" w:lineRule="auto"/>
        <w:ind w:firstLine="1193" w:firstLineChars="396"/>
        <w:rPr>
          <w:rFonts w:hint="eastAsia" w:ascii="仿宋_GB2312" w:hAnsi="宋体" w:eastAsia="仿宋_GB2312"/>
          <w:b/>
          <w:bCs/>
          <w:color w:val="auto"/>
          <w:sz w:val="30"/>
          <w:szCs w:val="30"/>
          <w:highlight w:val="none"/>
          <w:lang w:val="en-US" w:eastAsia="zh-CN"/>
        </w:rPr>
      </w:pPr>
      <w:r>
        <w:rPr>
          <w:rFonts w:hint="eastAsia" w:ascii="仿宋_GB2312" w:hAnsi="宋体" w:eastAsia="仿宋_GB2312"/>
          <w:b/>
          <w:color w:val="auto"/>
          <w:sz w:val="30"/>
          <w:szCs w:val="48"/>
          <w:highlight w:val="none"/>
        </w:rPr>
        <w:t>项目所属区划：</w:t>
      </w:r>
      <w:r>
        <w:rPr>
          <w:rFonts w:hint="eastAsia" w:ascii="仿宋_GB2312" w:hAnsi="宋体" w:eastAsia="仿宋_GB2312"/>
          <w:b/>
          <w:color w:val="auto"/>
          <w:sz w:val="30"/>
          <w:szCs w:val="48"/>
          <w:highlight w:val="none"/>
          <w:lang w:val="en-US" w:eastAsia="zh-CN"/>
        </w:rPr>
        <w:t>南宁市</w:t>
      </w:r>
      <w:r>
        <w:rPr>
          <w:rFonts w:hint="eastAsia" w:ascii="仿宋_GB2312" w:hAnsi="宋体" w:eastAsia="仿宋_GB2312"/>
          <w:b/>
          <w:bCs/>
          <w:color w:val="auto"/>
          <w:sz w:val="30"/>
          <w:szCs w:val="30"/>
          <w:highlight w:val="none"/>
          <w:lang w:val="en-US" w:eastAsia="zh-CN"/>
        </w:rPr>
        <w:t>隆安县</w:t>
      </w:r>
    </w:p>
    <w:p w14:paraId="748C58AF">
      <w:pPr>
        <w:snapToGrid w:val="0"/>
        <w:spacing w:before="50" w:after="120" w:line="360" w:lineRule="auto"/>
        <w:ind w:firstLine="1133" w:firstLineChars="396"/>
        <w:rPr>
          <w:rFonts w:hint="eastAsia" w:ascii="仿宋_GB2312" w:hAnsi="宋体" w:eastAsia="仿宋_GB2312"/>
          <w:b/>
          <w:bCs/>
          <w:color w:val="auto"/>
          <w:w w:val="95"/>
          <w:kern w:val="0"/>
          <w:sz w:val="30"/>
          <w:szCs w:val="30"/>
          <w:highlight w:val="none"/>
          <w:lang w:eastAsia="zh-CN"/>
        </w:rPr>
      </w:pPr>
      <w:r>
        <w:rPr>
          <w:rFonts w:hint="eastAsia" w:ascii="仿宋_GB2312" w:hAnsi="宋体" w:eastAsia="仿宋_GB2312"/>
          <w:b/>
          <w:bCs/>
          <w:color w:val="auto"/>
          <w:w w:val="95"/>
          <w:kern w:val="0"/>
          <w:sz w:val="30"/>
          <w:szCs w:val="30"/>
          <w:highlight w:val="none"/>
        </w:rPr>
        <w:t>采 购 人：</w:t>
      </w:r>
      <w:r>
        <w:rPr>
          <w:rFonts w:hint="eastAsia" w:ascii="仿宋_GB2312" w:hAnsi="宋体" w:eastAsia="仿宋_GB2312"/>
          <w:b/>
          <w:bCs/>
          <w:color w:val="auto"/>
          <w:kern w:val="0"/>
          <w:sz w:val="30"/>
          <w:szCs w:val="30"/>
          <w:highlight w:val="none"/>
          <w:lang w:eastAsia="zh-CN"/>
        </w:rPr>
        <w:t>隆安县数据局</w:t>
      </w:r>
    </w:p>
    <w:p w14:paraId="54B0B542">
      <w:pPr>
        <w:snapToGrid w:val="0"/>
        <w:spacing w:before="50" w:after="120" w:line="360" w:lineRule="auto"/>
        <w:ind w:firstLine="1125" w:firstLineChars="393"/>
        <w:rPr>
          <w:rFonts w:hint="eastAsia" w:ascii="仿宋_GB2312" w:hAnsi="宋体" w:eastAsia="仿宋_GB2312"/>
          <w:b/>
          <w:bCs/>
          <w:color w:val="auto"/>
          <w:w w:val="95"/>
          <w:kern w:val="0"/>
          <w:sz w:val="30"/>
          <w:szCs w:val="30"/>
          <w:highlight w:val="none"/>
          <w:lang w:eastAsia="zh-CN"/>
        </w:rPr>
      </w:pPr>
      <w:r>
        <w:rPr>
          <w:rFonts w:hint="eastAsia" w:ascii="仿宋_GB2312" w:hAnsi="宋体" w:eastAsia="仿宋_GB2312"/>
          <w:b/>
          <w:bCs/>
          <w:color w:val="auto"/>
          <w:w w:val="95"/>
          <w:kern w:val="0"/>
          <w:sz w:val="30"/>
          <w:szCs w:val="30"/>
          <w:highlight w:val="none"/>
        </w:rPr>
        <w:t>采购代理机构：</w:t>
      </w:r>
      <w:r>
        <w:rPr>
          <w:rFonts w:hint="eastAsia" w:ascii="仿宋_GB2312" w:hAnsi="宋体" w:eastAsia="仿宋_GB2312"/>
          <w:b/>
          <w:bCs/>
          <w:color w:val="auto"/>
          <w:w w:val="95"/>
          <w:kern w:val="0"/>
          <w:sz w:val="30"/>
          <w:szCs w:val="30"/>
          <w:highlight w:val="none"/>
          <w:lang w:eastAsia="zh-CN"/>
        </w:rPr>
        <w:t>隆安县政府集中采购中心</w:t>
      </w:r>
    </w:p>
    <w:p w14:paraId="1B6526C1">
      <w:pPr>
        <w:snapToGrid w:val="0"/>
        <w:spacing w:before="50" w:after="120" w:line="360" w:lineRule="auto"/>
        <w:ind w:firstLine="841" w:firstLineChars="294"/>
        <w:rPr>
          <w:rFonts w:hint="eastAsia" w:ascii="仿宋_GB2312" w:hAnsi="宋体" w:eastAsia="仿宋_GB2312"/>
          <w:b/>
          <w:bCs/>
          <w:color w:val="auto"/>
          <w:w w:val="95"/>
          <w:kern w:val="0"/>
          <w:sz w:val="30"/>
          <w:szCs w:val="30"/>
          <w:highlight w:val="none"/>
          <w:lang w:eastAsia="zh-CN"/>
        </w:rPr>
        <w:sectPr>
          <w:headerReference r:id="rId3" w:type="default"/>
          <w:footerReference r:id="rId4" w:type="default"/>
          <w:footerReference r:id="rId5" w:type="even"/>
          <w:pgSz w:w="11906" w:h="16838"/>
          <w:pgMar w:top="1134" w:right="1134" w:bottom="1134" w:left="1134" w:header="720" w:footer="720" w:gutter="0"/>
          <w:pgBorders>
            <w:top w:val="none" w:sz="0" w:space="0"/>
            <w:left w:val="none" w:sz="0" w:space="0"/>
            <w:bottom w:val="none" w:sz="0" w:space="0"/>
            <w:right w:val="none" w:sz="0" w:space="0"/>
          </w:pgBorders>
          <w:pgNumType w:start="1"/>
          <w:cols w:space="720" w:num="1"/>
          <w:docGrid w:type="lines" w:linePitch="331" w:charSpace="0"/>
        </w:sectPr>
      </w:pPr>
      <w:r>
        <w:rPr>
          <w:rFonts w:hint="eastAsia" w:ascii="仿宋_GB2312" w:hAnsi="宋体" w:eastAsia="仿宋_GB2312"/>
          <w:b/>
          <w:bCs/>
          <w:color w:val="auto"/>
          <w:w w:val="95"/>
          <w:kern w:val="0"/>
          <w:sz w:val="30"/>
          <w:szCs w:val="30"/>
          <w:highlight w:val="none"/>
        </w:rPr>
        <w:t xml:space="preserve">                     </w:t>
      </w:r>
      <w:r>
        <w:rPr>
          <w:rFonts w:hint="eastAsia" w:ascii="仿宋_GB2312" w:hAnsi="宋体" w:eastAsia="仿宋_GB2312"/>
          <w:b/>
          <w:bCs/>
          <w:color w:val="auto"/>
          <w:w w:val="95"/>
          <w:kern w:val="0"/>
          <w:sz w:val="30"/>
          <w:szCs w:val="30"/>
          <w:highlight w:val="none"/>
          <w:lang w:eastAsia="zh-CN"/>
        </w:rPr>
        <w:t>202</w:t>
      </w:r>
      <w:r>
        <w:rPr>
          <w:rFonts w:hint="eastAsia" w:ascii="仿宋_GB2312" w:hAnsi="宋体" w:eastAsia="仿宋_GB2312"/>
          <w:b/>
          <w:bCs/>
          <w:color w:val="auto"/>
          <w:w w:val="95"/>
          <w:kern w:val="0"/>
          <w:sz w:val="30"/>
          <w:szCs w:val="30"/>
          <w:highlight w:val="none"/>
          <w:lang w:val="en-US" w:eastAsia="zh-CN"/>
        </w:rPr>
        <w:t>6</w:t>
      </w:r>
      <w:r>
        <w:rPr>
          <w:rFonts w:hint="eastAsia" w:ascii="仿宋_GB2312" w:hAnsi="宋体" w:eastAsia="仿宋_GB2312"/>
          <w:b/>
          <w:bCs/>
          <w:color w:val="auto"/>
          <w:w w:val="95"/>
          <w:kern w:val="0"/>
          <w:sz w:val="30"/>
          <w:szCs w:val="30"/>
          <w:highlight w:val="none"/>
          <w:lang w:eastAsia="zh-CN"/>
        </w:rPr>
        <w:t>年</w:t>
      </w:r>
      <w:r>
        <w:rPr>
          <w:rFonts w:hint="eastAsia" w:ascii="仿宋_GB2312" w:hAnsi="宋体" w:eastAsia="仿宋_GB2312"/>
          <w:b/>
          <w:bCs/>
          <w:color w:val="auto"/>
          <w:w w:val="95"/>
          <w:kern w:val="0"/>
          <w:sz w:val="30"/>
          <w:szCs w:val="30"/>
          <w:highlight w:val="none"/>
          <w:lang w:val="en-US" w:eastAsia="zh-CN"/>
        </w:rPr>
        <w:t>7</w:t>
      </w:r>
      <w:r>
        <w:rPr>
          <w:rFonts w:hint="eastAsia" w:ascii="仿宋_GB2312" w:hAnsi="宋体" w:eastAsia="仿宋_GB2312"/>
          <w:b/>
          <w:bCs/>
          <w:color w:val="auto"/>
          <w:w w:val="95"/>
          <w:kern w:val="0"/>
          <w:sz w:val="30"/>
          <w:szCs w:val="30"/>
          <w:highlight w:val="none"/>
          <w:lang w:eastAsia="zh-CN"/>
        </w:rPr>
        <w:t>月</w:t>
      </w:r>
    </w:p>
    <w:p w14:paraId="288FB066">
      <w:pPr>
        <w:spacing w:line="360" w:lineRule="auto"/>
        <w:jc w:val="center"/>
        <w:rPr>
          <w:rFonts w:ascii="宋体" w:hAnsi="宋体"/>
          <w:b/>
          <w:color w:val="auto"/>
          <w:sz w:val="44"/>
          <w:szCs w:val="44"/>
          <w:highlight w:val="none"/>
        </w:rPr>
      </w:pPr>
      <w:r>
        <w:rPr>
          <w:rFonts w:hint="eastAsia" w:ascii="宋体" w:hAnsi="宋体"/>
          <w:b/>
          <w:color w:val="auto"/>
          <w:sz w:val="44"/>
          <w:szCs w:val="44"/>
          <w:highlight w:val="none"/>
        </w:rPr>
        <w:t>目   录</w:t>
      </w:r>
    </w:p>
    <w:p w14:paraId="379D258A">
      <w:pPr>
        <w:spacing w:line="400" w:lineRule="exact"/>
        <w:jc w:val="center"/>
        <w:rPr>
          <w:rFonts w:ascii="宋体" w:hAnsi="宋体"/>
          <w:b/>
          <w:color w:val="auto"/>
          <w:sz w:val="44"/>
          <w:szCs w:val="44"/>
          <w:highlight w:val="none"/>
        </w:rPr>
      </w:pPr>
    </w:p>
    <w:p w14:paraId="441432C8">
      <w:pPr>
        <w:pStyle w:val="23"/>
        <w:tabs>
          <w:tab w:val="right" w:leader="dot" w:pos="8879"/>
        </w:tabs>
      </w:pPr>
      <w:r>
        <w:rPr>
          <w:rFonts w:ascii="宋体" w:hAnsi="宋体"/>
          <w:b/>
          <w:color w:val="auto"/>
          <w:sz w:val="30"/>
          <w:szCs w:val="30"/>
          <w:highlight w:val="none"/>
        </w:rPr>
        <w:fldChar w:fldCharType="begin"/>
      </w:r>
      <w:r>
        <w:rPr>
          <w:rFonts w:hint="eastAsia" w:ascii="宋体" w:hAnsi="宋体"/>
          <w:b/>
          <w:color w:val="auto"/>
          <w:sz w:val="30"/>
          <w:szCs w:val="30"/>
          <w:highlight w:val="none"/>
        </w:rPr>
        <w:instrText xml:space="preserve">TOC \o "1-3" \h \z \u</w:instrText>
      </w:r>
      <w:r>
        <w:rPr>
          <w:rFonts w:ascii="宋体" w:hAnsi="宋体"/>
          <w:b/>
          <w:color w:val="auto"/>
          <w:sz w:val="30"/>
          <w:szCs w:val="30"/>
          <w:highlight w:val="none"/>
        </w:rPr>
        <w:fldChar w:fldCharType="separate"/>
      </w:r>
      <w:r>
        <w:rPr>
          <w:rFonts w:ascii="宋体" w:hAnsi="宋体"/>
          <w:color w:val="auto"/>
          <w:szCs w:val="30"/>
          <w:highlight w:val="none"/>
        </w:rPr>
        <w:fldChar w:fldCharType="begin"/>
      </w:r>
      <w:r>
        <w:rPr>
          <w:rFonts w:ascii="宋体" w:hAnsi="宋体"/>
          <w:szCs w:val="30"/>
          <w:highlight w:val="none"/>
        </w:rPr>
        <w:instrText xml:space="preserve"> HYPERLINK \l _Toc19290 </w:instrText>
      </w:r>
      <w:r>
        <w:rPr>
          <w:rFonts w:ascii="宋体" w:hAnsi="宋体"/>
          <w:szCs w:val="30"/>
          <w:highlight w:val="none"/>
        </w:rPr>
        <w:fldChar w:fldCharType="separate"/>
      </w:r>
      <w:r>
        <w:rPr>
          <w:rFonts w:hint="eastAsia"/>
          <w:bCs/>
          <w:kern w:val="44"/>
          <w:szCs w:val="44"/>
          <w:highlight w:val="none"/>
        </w:rPr>
        <w:t>第一章</w:t>
      </w:r>
      <w:r>
        <w:rPr>
          <w:rFonts w:hint="eastAsia"/>
          <w:bCs/>
          <w:kern w:val="44"/>
          <w:szCs w:val="44"/>
          <w:highlight w:val="none"/>
          <w:lang w:val="en-US" w:eastAsia="zh-CN"/>
        </w:rPr>
        <w:t xml:space="preserve"> </w:t>
      </w:r>
      <w:r>
        <w:rPr>
          <w:rFonts w:hint="eastAsia"/>
          <w:bCs/>
          <w:kern w:val="44"/>
          <w:szCs w:val="44"/>
          <w:highlight w:val="none"/>
        </w:rPr>
        <w:t>竞争性磋商公告</w:t>
      </w:r>
      <w:r>
        <w:tab/>
      </w:r>
      <w:r>
        <w:fldChar w:fldCharType="begin"/>
      </w:r>
      <w:r>
        <w:instrText xml:space="preserve"> PAGEREF _Toc19290 \h </w:instrText>
      </w:r>
      <w:r>
        <w:fldChar w:fldCharType="separate"/>
      </w:r>
      <w:r>
        <w:t>1</w:t>
      </w:r>
      <w:r>
        <w:fldChar w:fldCharType="end"/>
      </w:r>
      <w:r>
        <w:rPr>
          <w:rFonts w:ascii="宋体" w:hAnsi="宋体"/>
          <w:color w:val="auto"/>
          <w:szCs w:val="30"/>
          <w:highlight w:val="none"/>
        </w:rPr>
        <w:fldChar w:fldCharType="end"/>
      </w:r>
    </w:p>
    <w:p w14:paraId="111D3F1D">
      <w:pPr>
        <w:pStyle w:val="26"/>
        <w:tabs>
          <w:tab w:val="right" w:leader="dot" w:pos="8879"/>
          <w:tab w:val="clear" w:pos="8296"/>
        </w:tabs>
      </w:pPr>
      <w:r>
        <w:rPr>
          <w:rFonts w:ascii="宋体" w:hAnsi="宋体"/>
          <w:color w:val="auto"/>
          <w:szCs w:val="30"/>
          <w:highlight w:val="none"/>
        </w:rPr>
        <w:fldChar w:fldCharType="begin"/>
      </w:r>
      <w:r>
        <w:rPr>
          <w:rFonts w:ascii="宋体" w:hAnsi="宋体"/>
          <w:szCs w:val="30"/>
          <w:highlight w:val="none"/>
        </w:rPr>
        <w:instrText xml:space="preserve"> HYPERLINK \l _Toc2694 </w:instrText>
      </w:r>
      <w:r>
        <w:rPr>
          <w:rFonts w:ascii="宋体" w:hAnsi="宋体"/>
          <w:szCs w:val="30"/>
          <w:highlight w:val="none"/>
        </w:rPr>
        <w:fldChar w:fldCharType="separate"/>
      </w:r>
      <w:r>
        <w:rPr>
          <w:rFonts w:hint="eastAsia"/>
          <w:szCs w:val="21"/>
        </w:rPr>
        <w:t>1.采购人信息</w:t>
      </w:r>
      <w:r>
        <w:tab/>
      </w:r>
      <w:r>
        <w:fldChar w:fldCharType="begin"/>
      </w:r>
      <w:r>
        <w:instrText xml:space="preserve"> PAGEREF _Toc2694 \h </w:instrText>
      </w:r>
      <w:r>
        <w:fldChar w:fldCharType="separate"/>
      </w:r>
      <w:r>
        <w:t>3</w:t>
      </w:r>
      <w:r>
        <w:fldChar w:fldCharType="end"/>
      </w:r>
      <w:r>
        <w:rPr>
          <w:rFonts w:ascii="宋体" w:hAnsi="宋体"/>
          <w:color w:val="auto"/>
          <w:szCs w:val="30"/>
          <w:highlight w:val="none"/>
        </w:rPr>
        <w:fldChar w:fldCharType="end"/>
      </w:r>
    </w:p>
    <w:p w14:paraId="47020B16">
      <w:pPr>
        <w:pStyle w:val="26"/>
        <w:tabs>
          <w:tab w:val="right" w:leader="dot" w:pos="8879"/>
          <w:tab w:val="clear" w:pos="8296"/>
        </w:tabs>
      </w:pPr>
      <w:r>
        <w:rPr>
          <w:rFonts w:ascii="宋体" w:hAnsi="宋体"/>
          <w:color w:val="auto"/>
          <w:szCs w:val="30"/>
          <w:highlight w:val="none"/>
        </w:rPr>
        <w:fldChar w:fldCharType="begin"/>
      </w:r>
      <w:r>
        <w:rPr>
          <w:rFonts w:ascii="宋体" w:hAnsi="宋体"/>
          <w:szCs w:val="30"/>
          <w:highlight w:val="none"/>
        </w:rPr>
        <w:instrText xml:space="preserve"> HYPERLINK \l _Toc21799 </w:instrText>
      </w:r>
      <w:r>
        <w:rPr>
          <w:rFonts w:ascii="宋体" w:hAnsi="宋体"/>
          <w:szCs w:val="30"/>
          <w:highlight w:val="none"/>
        </w:rPr>
        <w:fldChar w:fldCharType="separate"/>
      </w:r>
      <w:r>
        <w:rPr>
          <w:rFonts w:hint="eastAsia"/>
          <w:szCs w:val="21"/>
        </w:rPr>
        <w:t>2.采购代理机构信息</w:t>
      </w:r>
      <w:r>
        <w:tab/>
      </w:r>
      <w:r>
        <w:fldChar w:fldCharType="begin"/>
      </w:r>
      <w:r>
        <w:instrText xml:space="preserve"> PAGEREF _Toc21799 \h </w:instrText>
      </w:r>
      <w:r>
        <w:fldChar w:fldCharType="separate"/>
      </w:r>
      <w:r>
        <w:t>3</w:t>
      </w:r>
      <w:r>
        <w:fldChar w:fldCharType="end"/>
      </w:r>
      <w:r>
        <w:rPr>
          <w:rFonts w:ascii="宋体" w:hAnsi="宋体"/>
          <w:color w:val="auto"/>
          <w:szCs w:val="30"/>
          <w:highlight w:val="none"/>
        </w:rPr>
        <w:fldChar w:fldCharType="end"/>
      </w:r>
    </w:p>
    <w:p w14:paraId="17204DA6">
      <w:pPr>
        <w:pStyle w:val="23"/>
        <w:tabs>
          <w:tab w:val="right" w:leader="dot" w:pos="8879"/>
        </w:tabs>
      </w:pPr>
      <w:r>
        <w:rPr>
          <w:rFonts w:ascii="宋体" w:hAnsi="宋体"/>
          <w:color w:val="auto"/>
          <w:szCs w:val="30"/>
          <w:highlight w:val="none"/>
        </w:rPr>
        <w:fldChar w:fldCharType="begin"/>
      </w:r>
      <w:r>
        <w:rPr>
          <w:rFonts w:ascii="宋体" w:hAnsi="宋体"/>
          <w:szCs w:val="30"/>
          <w:highlight w:val="none"/>
        </w:rPr>
        <w:instrText xml:space="preserve"> HYPERLINK \l _Toc6470 </w:instrText>
      </w:r>
      <w:r>
        <w:rPr>
          <w:rFonts w:ascii="宋体" w:hAnsi="宋体"/>
          <w:szCs w:val="30"/>
          <w:highlight w:val="none"/>
        </w:rPr>
        <w:fldChar w:fldCharType="separate"/>
      </w:r>
      <w:r>
        <w:rPr>
          <w:rFonts w:hint="eastAsia" w:ascii="Cambria" w:hAnsi="Cambria"/>
          <w:kern w:val="44"/>
          <w:szCs w:val="32"/>
          <w:highlight w:val="none"/>
        </w:rPr>
        <w:t>第二章</w:t>
      </w:r>
      <w:r>
        <w:rPr>
          <w:rFonts w:hint="eastAsia" w:ascii="Cambria" w:hAnsi="Cambria"/>
          <w:kern w:val="44"/>
          <w:szCs w:val="32"/>
          <w:highlight w:val="none"/>
          <w:lang w:val="en-US" w:eastAsia="zh-CN"/>
        </w:rPr>
        <w:t xml:space="preserve"> </w:t>
      </w:r>
      <w:r>
        <w:rPr>
          <w:rFonts w:hint="eastAsia" w:ascii="Cambria" w:hAnsi="Cambria"/>
          <w:kern w:val="44"/>
          <w:szCs w:val="32"/>
          <w:highlight w:val="none"/>
        </w:rPr>
        <w:t>采购需求</w:t>
      </w:r>
      <w:r>
        <w:tab/>
      </w:r>
      <w:r>
        <w:fldChar w:fldCharType="begin"/>
      </w:r>
      <w:r>
        <w:instrText xml:space="preserve"> PAGEREF _Toc6470 \h </w:instrText>
      </w:r>
      <w:r>
        <w:fldChar w:fldCharType="separate"/>
      </w:r>
      <w:r>
        <w:t>4</w:t>
      </w:r>
      <w:r>
        <w:fldChar w:fldCharType="end"/>
      </w:r>
      <w:r>
        <w:rPr>
          <w:rFonts w:ascii="宋体" w:hAnsi="宋体"/>
          <w:color w:val="auto"/>
          <w:szCs w:val="30"/>
          <w:highlight w:val="none"/>
        </w:rPr>
        <w:fldChar w:fldCharType="end"/>
      </w:r>
    </w:p>
    <w:p w14:paraId="189A85FD">
      <w:pPr>
        <w:pStyle w:val="23"/>
        <w:tabs>
          <w:tab w:val="right" w:leader="dot" w:pos="8879"/>
        </w:tabs>
      </w:pPr>
      <w:r>
        <w:rPr>
          <w:rFonts w:ascii="宋体" w:hAnsi="宋体"/>
          <w:color w:val="auto"/>
          <w:szCs w:val="30"/>
          <w:highlight w:val="none"/>
        </w:rPr>
        <w:fldChar w:fldCharType="begin"/>
      </w:r>
      <w:r>
        <w:rPr>
          <w:rFonts w:ascii="宋体" w:hAnsi="宋体"/>
          <w:szCs w:val="30"/>
          <w:highlight w:val="none"/>
        </w:rPr>
        <w:instrText xml:space="preserve"> HYPERLINK \l _Toc27537 </w:instrText>
      </w:r>
      <w:r>
        <w:rPr>
          <w:rFonts w:ascii="宋体" w:hAnsi="宋体"/>
          <w:szCs w:val="30"/>
          <w:highlight w:val="none"/>
        </w:rPr>
        <w:fldChar w:fldCharType="separate"/>
      </w:r>
      <w:r>
        <w:rPr>
          <w:rFonts w:hint="eastAsia" w:ascii="Cambria" w:hAnsi="Cambria"/>
          <w:kern w:val="44"/>
          <w:szCs w:val="32"/>
          <w:highlight w:val="none"/>
        </w:rPr>
        <w:t>第三章</w:t>
      </w:r>
      <w:r>
        <w:rPr>
          <w:rFonts w:hint="eastAsia" w:ascii="Cambria" w:hAnsi="Cambria"/>
          <w:kern w:val="44"/>
          <w:szCs w:val="32"/>
          <w:highlight w:val="none"/>
          <w:lang w:val="en-US" w:eastAsia="zh-CN"/>
        </w:rPr>
        <w:t xml:space="preserve"> </w:t>
      </w:r>
      <w:r>
        <w:rPr>
          <w:rFonts w:hint="eastAsia" w:ascii="Cambria" w:hAnsi="Cambria"/>
          <w:kern w:val="44"/>
          <w:szCs w:val="32"/>
          <w:highlight w:val="none"/>
        </w:rPr>
        <w:t>供应商须知</w:t>
      </w:r>
      <w:r>
        <w:tab/>
      </w:r>
      <w:r>
        <w:fldChar w:fldCharType="begin"/>
      </w:r>
      <w:r>
        <w:instrText xml:space="preserve"> PAGEREF _Toc27537 \h </w:instrText>
      </w:r>
      <w:r>
        <w:fldChar w:fldCharType="separate"/>
      </w:r>
      <w:r>
        <w:t>25</w:t>
      </w:r>
      <w:r>
        <w:fldChar w:fldCharType="end"/>
      </w:r>
      <w:r>
        <w:rPr>
          <w:rFonts w:ascii="宋体" w:hAnsi="宋体"/>
          <w:color w:val="auto"/>
          <w:szCs w:val="30"/>
          <w:highlight w:val="none"/>
        </w:rPr>
        <w:fldChar w:fldCharType="end"/>
      </w:r>
    </w:p>
    <w:p w14:paraId="6161C911">
      <w:pPr>
        <w:pStyle w:val="26"/>
        <w:tabs>
          <w:tab w:val="right" w:leader="dot" w:pos="8879"/>
          <w:tab w:val="clear" w:pos="8296"/>
        </w:tabs>
      </w:pPr>
      <w:r>
        <w:rPr>
          <w:rFonts w:ascii="宋体" w:hAnsi="宋体"/>
          <w:color w:val="auto"/>
          <w:szCs w:val="30"/>
          <w:highlight w:val="none"/>
        </w:rPr>
        <w:fldChar w:fldCharType="begin"/>
      </w:r>
      <w:r>
        <w:rPr>
          <w:rFonts w:ascii="宋体" w:hAnsi="宋体"/>
          <w:szCs w:val="30"/>
          <w:highlight w:val="none"/>
        </w:rPr>
        <w:instrText xml:space="preserve"> HYPERLINK \l _Toc14506 </w:instrText>
      </w:r>
      <w:r>
        <w:rPr>
          <w:rFonts w:ascii="宋体" w:hAnsi="宋体"/>
          <w:szCs w:val="30"/>
          <w:highlight w:val="none"/>
        </w:rPr>
        <w:fldChar w:fldCharType="separate"/>
      </w:r>
      <w:r>
        <w:rPr>
          <w:rFonts w:hint="eastAsia" w:ascii="宋体" w:hAnsi="宋体"/>
          <w:bCs/>
          <w:szCs w:val="32"/>
          <w:highlight w:val="none"/>
        </w:rPr>
        <w:t>第一节 供应商须知前附表</w:t>
      </w:r>
      <w:r>
        <w:tab/>
      </w:r>
      <w:r>
        <w:fldChar w:fldCharType="begin"/>
      </w:r>
      <w:r>
        <w:instrText xml:space="preserve"> PAGEREF _Toc14506 \h </w:instrText>
      </w:r>
      <w:r>
        <w:fldChar w:fldCharType="separate"/>
      </w:r>
      <w:r>
        <w:t>25</w:t>
      </w:r>
      <w:r>
        <w:fldChar w:fldCharType="end"/>
      </w:r>
      <w:r>
        <w:rPr>
          <w:rFonts w:ascii="宋体" w:hAnsi="宋体"/>
          <w:color w:val="auto"/>
          <w:szCs w:val="30"/>
          <w:highlight w:val="none"/>
        </w:rPr>
        <w:fldChar w:fldCharType="end"/>
      </w:r>
    </w:p>
    <w:p w14:paraId="0F411313">
      <w:pPr>
        <w:pStyle w:val="26"/>
        <w:tabs>
          <w:tab w:val="right" w:leader="dot" w:pos="8879"/>
          <w:tab w:val="clear" w:pos="8296"/>
        </w:tabs>
      </w:pPr>
      <w:r>
        <w:rPr>
          <w:rFonts w:ascii="宋体" w:hAnsi="宋体"/>
          <w:color w:val="auto"/>
          <w:szCs w:val="30"/>
          <w:highlight w:val="none"/>
        </w:rPr>
        <w:fldChar w:fldCharType="begin"/>
      </w:r>
      <w:r>
        <w:rPr>
          <w:rFonts w:ascii="宋体" w:hAnsi="宋体"/>
          <w:szCs w:val="30"/>
          <w:highlight w:val="none"/>
        </w:rPr>
        <w:instrText xml:space="preserve"> HYPERLINK \l _Toc26017 </w:instrText>
      </w:r>
      <w:r>
        <w:rPr>
          <w:rFonts w:ascii="宋体" w:hAnsi="宋体"/>
          <w:szCs w:val="30"/>
          <w:highlight w:val="none"/>
        </w:rPr>
        <w:fldChar w:fldCharType="separate"/>
      </w:r>
      <w:r>
        <w:rPr>
          <w:rFonts w:hint="eastAsia" w:ascii="宋体" w:hAnsi="宋体"/>
          <w:bCs/>
          <w:szCs w:val="32"/>
          <w:highlight w:val="none"/>
        </w:rPr>
        <w:t>第二节 供应商须知正文</w:t>
      </w:r>
      <w:r>
        <w:tab/>
      </w:r>
      <w:r>
        <w:fldChar w:fldCharType="begin"/>
      </w:r>
      <w:r>
        <w:instrText xml:space="preserve"> PAGEREF _Toc26017 \h </w:instrText>
      </w:r>
      <w:r>
        <w:fldChar w:fldCharType="separate"/>
      </w:r>
      <w:r>
        <w:t>30</w:t>
      </w:r>
      <w:r>
        <w:fldChar w:fldCharType="end"/>
      </w:r>
      <w:r>
        <w:rPr>
          <w:rFonts w:ascii="宋体" w:hAnsi="宋体"/>
          <w:color w:val="auto"/>
          <w:szCs w:val="30"/>
          <w:highlight w:val="none"/>
        </w:rPr>
        <w:fldChar w:fldCharType="end"/>
      </w:r>
    </w:p>
    <w:p w14:paraId="66804D4E">
      <w:pPr>
        <w:pStyle w:val="17"/>
        <w:tabs>
          <w:tab w:val="right" w:leader="dot" w:pos="8879"/>
        </w:tabs>
      </w:pPr>
      <w:r>
        <w:rPr>
          <w:rFonts w:ascii="宋体" w:hAnsi="宋体"/>
          <w:color w:val="auto"/>
          <w:szCs w:val="30"/>
          <w:highlight w:val="none"/>
        </w:rPr>
        <w:fldChar w:fldCharType="begin"/>
      </w:r>
      <w:r>
        <w:rPr>
          <w:rFonts w:ascii="宋体" w:hAnsi="宋体"/>
          <w:szCs w:val="30"/>
          <w:highlight w:val="none"/>
        </w:rPr>
        <w:instrText xml:space="preserve"> HYPERLINK \l _Toc16743 </w:instrText>
      </w:r>
      <w:r>
        <w:rPr>
          <w:rFonts w:ascii="宋体" w:hAnsi="宋体"/>
          <w:szCs w:val="30"/>
          <w:highlight w:val="none"/>
        </w:rPr>
        <w:fldChar w:fldCharType="separate"/>
      </w:r>
      <w:r>
        <w:rPr>
          <w:rFonts w:hint="eastAsia" w:ascii="宋体" w:hAnsi="宋体"/>
          <w:bCs/>
          <w:szCs w:val="32"/>
          <w:highlight w:val="none"/>
        </w:rPr>
        <w:t>一、总则</w:t>
      </w:r>
      <w:r>
        <w:tab/>
      </w:r>
      <w:r>
        <w:fldChar w:fldCharType="begin"/>
      </w:r>
      <w:r>
        <w:instrText xml:space="preserve"> PAGEREF _Toc16743 \h </w:instrText>
      </w:r>
      <w:r>
        <w:fldChar w:fldCharType="separate"/>
      </w:r>
      <w:r>
        <w:t>30</w:t>
      </w:r>
      <w:r>
        <w:fldChar w:fldCharType="end"/>
      </w:r>
      <w:r>
        <w:rPr>
          <w:rFonts w:ascii="宋体" w:hAnsi="宋体"/>
          <w:color w:val="auto"/>
          <w:szCs w:val="30"/>
          <w:highlight w:val="none"/>
        </w:rPr>
        <w:fldChar w:fldCharType="end"/>
      </w:r>
    </w:p>
    <w:p w14:paraId="0076B239">
      <w:pPr>
        <w:pStyle w:val="17"/>
        <w:tabs>
          <w:tab w:val="right" w:leader="dot" w:pos="8879"/>
        </w:tabs>
      </w:pPr>
      <w:r>
        <w:rPr>
          <w:rFonts w:ascii="宋体" w:hAnsi="宋体"/>
          <w:color w:val="auto"/>
          <w:szCs w:val="30"/>
          <w:highlight w:val="none"/>
        </w:rPr>
        <w:fldChar w:fldCharType="begin"/>
      </w:r>
      <w:r>
        <w:rPr>
          <w:rFonts w:ascii="宋体" w:hAnsi="宋体"/>
          <w:szCs w:val="30"/>
          <w:highlight w:val="none"/>
        </w:rPr>
        <w:instrText xml:space="preserve"> HYPERLINK \l _Toc26559 </w:instrText>
      </w:r>
      <w:r>
        <w:rPr>
          <w:rFonts w:ascii="宋体" w:hAnsi="宋体"/>
          <w:szCs w:val="30"/>
          <w:highlight w:val="none"/>
        </w:rPr>
        <w:fldChar w:fldCharType="separate"/>
      </w:r>
      <w:r>
        <w:rPr>
          <w:rFonts w:hint="eastAsia" w:ascii="宋体" w:hAnsi="宋体"/>
          <w:szCs w:val="32"/>
          <w:highlight w:val="none"/>
        </w:rPr>
        <w:t>二、磋商文件</w:t>
      </w:r>
      <w:r>
        <w:tab/>
      </w:r>
      <w:r>
        <w:fldChar w:fldCharType="begin"/>
      </w:r>
      <w:r>
        <w:instrText xml:space="preserve"> PAGEREF _Toc26559 \h </w:instrText>
      </w:r>
      <w:r>
        <w:fldChar w:fldCharType="separate"/>
      </w:r>
      <w:r>
        <w:t>32</w:t>
      </w:r>
      <w:r>
        <w:fldChar w:fldCharType="end"/>
      </w:r>
      <w:r>
        <w:rPr>
          <w:rFonts w:ascii="宋体" w:hAnsi="宋体"/>
          <w:color w:val="auto"/>
          <w:szCs w:val="30"/>
          <w:highlight w:val="none"/>
        </w:rPr>
        <w:fldChar w:fldCharType="end"/>
      </w:r>
    </w:p>
    <w:p w14:paraId="0A9A8DD9">
      <w:pPr>
        <w:pStyle w:val="17"/>
        <w:tabs>
          <w:tab w:val="right" w:leader="dot" w:pos="8879"/>
        </w:tabs>
      </w:pPr>
      <w:r>
        <w:rPr>
          <w:rFonts w:ascii="宋体" w:hAnsi="宋体"/>
          <w:color w:val="auto"/>
          <w:szCs w:val="30"/>
          <w:highlight w:val="none"/>
        </w:rPr>
        <w:fldChar w:fldCharType="begin"/>
      </w:r>
      <w:r>
        <w:rPr>
          <w:rFonts w:ascii="宋体" w:hAnsi="宋体"/>
          <w:szCs w:val="30"/>
          <w:highlight w:val="none"/>
        </w:rPr>
        <w:instrText xml:space="preserve"> HYPERLINK \l _Toc25258 </w:instrText>
      </w:r>
      <w:r>
        <w:rPr>
          <w:rFonts w:ascii="宋体" w:hAnsi="宋体"/>
          <w:szCs w:val="30"/>
          <w:highlight w:val="none"/>
        </w:rPr>
        <w:fldChar w:fldCharType="separate"/>
      </w:r>
      <w:r>
        <w:rPr>
          <w:rFonts w:hint="eastAsia" w:ascii="宋体" w:hAnsi="宋体"/>
          <w:szCs w:val="32"/>
          <w:highlight w:val="none"/>
        </w:rPr>
        <w:t>三、响应文件的编制</w:t>
      </w:r>
      <w:r>
        <w:tab/>
      </w:r>
      <w:r>
        <w:fldChar w:fldCharType="begin"/>
      </w:r>
      <w:r>
        <w:instrText xml:space="preserve"> PAGEREF _Toc25258 \h </w:instrText>
      </w:r>
      <w:r>
        <w:fldChar w:fldCharType="separate"/>
      </w:r>
      <w:r>
        <w:t>33</w:t>
      </w:r>
      <w:r>
        <w:fldChar w:fldCharType="end"/>
      </w:r>
      <w:r>
        <w:rPr>
          <w:rFonts w:ascii="宋体" w:hAnsi="宋体"/>
          <w:color w:val="auto"/>
          <w:szCs w:val="30"/>
          <w:highlight w:val="none"/>
        </w:rPr>
        <w:fldChar w:fldCharType="end"/>
      </w:r>
    </w:p>
    <w:p w14:paraId="07E177CE">
      <w:pPr>
        <w:pStyle w:val="17"/>
        <w:tabs>
          <w:tab w:val="right" w:leader="dot" w:pos="8879"/>
        </w:tabs>
      </w:pPr>
      <w:r>
        <w:rPr>
          <w:rFonts w:ascii="宋体" w:hAnsi="宋体"/>
          <w:color w:val="auto"/>
          <w:szCs w:val="30"/>
          <w:highlight w:val="none"/>
        </w:rPr>
        <w:fldChar w:fldCharType="begin"/>
      </w:r>
      <w:r>
        <w:rPr>
          <w:rFonts w:ascii="宋体" w:hAnsi="宋体"/>
          <w:szCs w:val="30"/>
          <w:highlight w:val="none"/>
        </w:rPr>
        <w:instrText xml:space="preserve"> HYPERLINK \l _Toc5956 </w:instrText>
      </w:r>
      <w:r>
        <w:rPr>
          <w:rFonts w:ascii="宋体" w:hAnsi="宋体"/>
          <w:szCs w:val="30"/>
          <w:highlight w:val="none"/>
        </w:rPr>
        <w:fldChar w:fldCharType="separate"/>
      </w:r>
      <w:r>
        <w:rPr>
          <w:rFonts w:hint="eastAsia" w:ascii="宋体" w:hAnsi="宋体"/>
          <w:szCs w:val="32"/>
          <w:highlight w:val="none"/>
        </w:rPr>
        <w:t>四、评审及磋商</w:t>
      </w:r>
      <w:r>
        <w:tab/>
      </w:r>
      <w:r>
        <w:fldChar w:fldCharType="begin"/>
      </w:r>
      <w:r>
        <w:instrText xml:space="preserve"> PAGEREF _Toc5956 \h </w:instrText>
      </w:r>
      <w:r>
        <w:fldChar w:fldCharType="separate"/>
      </w:r>
      <w:r>
        <w:t>35</w:t>
      </w:r>
      <w:r>
        <w:fldChar w:fldCharType="end"/>
      </w:r>
      <w:r>
        <w:rPr>
          <w:rFonts w:ascii="宋体" w:hAnsi="宋体"/>
          <w:color w:val="auto"/>
          <w:szCs w:val="30"/>
          <w:highlight w:val="none"/>
        </w:rPr>
        <w:fldChar w:fldCharType="end"/>
      </w:r>
    </w:p>
    <w:p w14:paraId="44382AC2">
      <w:pPr>
        <w:pStyle w:val="17"/>
        <w:tabs>
          <w:tab w:val="right" w:leader="dot" w:pos="8879"/>
        </w:tabs>
      </w:pPr>
      <w:r>
        <w:rPr>
          <w:rFonts w:ascii="宋体" w:hAnsi="宋体"/>
          <w:color w:val="auto"/>
          <w:szCs w:val="30"/>
          <w:highlight w:val="none"/>
        </w:rPr>
        <w:fldChar w:fldCharType="begin"/>
      </w:r>
      <w:r>
        <w:rPr>
          <w:rFonts w:ascii="宋体" w:hAnsi="宋体"/>
          <w:szCs w:val="30"/>
          <w:highlight w:val="none"/>
        </w:rPr>
        <w:instrText xml:space="preserve"> HYPERLINK \l _Toc31703 </w:instrText>
      </w:r>
      <w:r>
        <w:rPr>
          <w:rFonts w:ascii="宋体" w:hAnsi="宋体"/>
          <w:szCs w:val="30"/>
          <w:highlight w:val="none"/>
        </w:rPr>
        <w:fldChar w:fldCharType="separate"/>
      </w:r>
      <w:r>
        <w:rPr>
          <w:rFonts w:hint="eastAsia" w:ascii="宋体" w:hAnsi="宋体"/>
          <w:szCs w:val="32"/>
          <w:highlight w:val="none"/>
        </w:rPr>
        <w:t>五、成交及合同</w:t>
      </w:r>
      <w:r>
        <w:tab/>
      </w:r>
      <w:r>
        <w:fldChar w:fldCharType="begin"/>
      </w:r>
      <w:r>
        <w:instrText xml:space="preserve"> PAGEREF _Toc31703 \h </w:instrText>
      </w:r>
      <w:r>
        <w:fldChar w:fldCharType="separate"/>
      </w:r>
      <w:r>
        <w:t>36</w:t>
      </w:r>
      <w:r>
        <w:fldChar w:fldCharType="end"/>
      </w:r>
      <w:r>
        <w:rPr>
          <w:rFonts w:ascii="宋体" w:hAnsi="宋体"/>
          <w:color w:val="auto"/>
          <w:szCs w:val="30"/>
          <w:highlight w:val="none"/>
        </w:rPr>
        <w:fldChar w:fldCharType="end"/>
      </w:r>
    </w:p>
    <w:p w14:paraId="23BD86AC">
      <w:pPr>
        <w:pStyle w:val="17"/>
        <w:tabs>
          <w:tab w:val="right" w:leader="dot" w:pos="8879"/>
        </w:tabs>
      </w:pPr>
      <w:r>
        <w:rPr>
          <w:rFonts w:ascii="宋体" w:hAnsi="宋体"/>
          <w:color w:val="auto"/>
          <w:szCs w:val="30"/>
          <w:highlight w:val="none"/>
        </w:rPr>
        <w:fldChar w:fldCharType="begin"/>
      </w:r>
      <w:r>
        <w:rPr>
          <w:rFonts w:ascii="宋体" w:hAnsi="宋体"/>
          <w:szCs w:val="30"/>
          <w:highlight w:val="none"/>
        </w:rPr>
        <w:instrText xml:space="preserve"> HYPERLINK \l _Toc12199 </w:instrText>
      </w:r>
      <w:r>
        <w:rPr>
          <w:rFonts w:ascii="宋体" w:hAnsi="宋体"/>
          <w:szCs w:val="30"/>
          <w:highlight w:val="none"/>
        </w:rPr>
        <w:fldChar w:fldCharType="separate"/>
      </w:r>
      <w:r>
        <w:rPr>
          <w:rFonts w:hint="eastAsia" w:ascii="宋体" w:hAnsi="宋体"/>
          <w:bCs/>
          <w:szCs w:val="32"/>
          <w:highlight w:val="none"/>
        </w:rPr>
        <w:t>六、验收</w:t>
      </w:r>
      <w:r>
        <w:tab/>
      </w:r>
      <w:r>
        <w:fldChar w:fldCharType="begin"/>
      </w:r>
      <w:r>
        <w:instrText xml:space="preserve"> PAGEREF _Toc12199 \h </w:instrText>
      </w:r>
      <w:r>
        <w:fldChar w:fldCharType="separate"/>
      </w:r>
      <w:r>
        <w:t>39</w:t>
      </w:r>
      <w:r>
        <w:fldChar w:fldCharType="end"/>
      </w:r>
      <w:r>
        <w:rPr>
          <w:rFonts w:ascii="宋体" w:hAnsi="宋体"/>
          <w:color w:val="auto"/>
          <w:szCs w:val="30"/>
          <w:highlight w:val="none"/>
        </w:rPr>
        <w:fldChar w:fldCharType="end"/>
      </w:r>
    </w:p>
    <w:p w14:paraId="54F75989">
      <w:pPr>
        <w:pStyle w:val="17"/>
        <w:tabs>
          <w:tab w:val="right" w:leader="dot" w:pos="8879"/>
        </w:tabs>
      </w:pPr>
      <w:r>
        <w:rPr>
          <w:rFonts w:ascii="宋体" w:hAnsi="宋体"/>
          <w:color w:val="auto"/>
          <w:szCs w:val="30"/>
          <w:highlight w:val="none"/>
        </w:rPr>
        <w:fldChar w:fldCharType="begin"/>
      </w:r>
      <w:r>
        <w:rPr>
          <w:rFonts w:ascii="宋体" w:hAnsi="宋体"/>
          <w:szCs w:val="30"/>
          <w:highlight w:val="none"/>
        </w:rPr>
        <w:instrText xml:space="preserve"> HYPERLINK \l _Toc30093 </w:instrText>
      </w:r>
      <w:r>
        <w:rPr>
          <w:rFonts w:ascii="宋体" w:hAnsi="宋体"/>
          <w:szCs w:val="30"/>
          <w:highlight w:val="none"/>
        </w:rPr>
        <w:fldChar w:fldCharType="separate"/>
      </w:r>
      <w:r>
        <w:rPr>
          <w:rFonts w:hint="eastAsia" w:ascii="宋体" w:hAnsi="宋体"/>
          <w:szCs w:val="32"/>
          <w:highlight w:val="none"/>
        </w:rPr>
        <w:t>七、其他事项</w:t>
      </w:r>
      <w:r>
        <w:tab/>
      </w:r>
      <w:r>
        <w:fldChar w:fldCharType="begin"/>
      </w:r>
      <w:r>
        <w:instrText xml:space="preserve"> PAGEREF _Toc30093 \h </w:instrText>
      </w:r>
      <w:r>
        <w:fldChar w:fldCharType="separate"/>
      </w:r>
      <w:r>
        <w:t>39</w:t>
      </w:r>
      <w:r>
        <w:fldChar w:fldCharType="end"/>
      </w:r>
      <w:r>
        <w:rPr>
          <w:rFonts w:ascii="宋体" w:hAnsi="宋体"/>
          <w:color w:val="auto"/>
          <w:szCs w:val="30"/>
          <w:highlight w:val="none"/>
        </w:rPr>
        <w:fldChar w:fldCharType="end"/>
      </w:r>
    </w:p>
    <w:p w14:paraId="27F475E3">
      <w:pPr>
        <w:pStyle w:val="26"/>
        <w:tabs>
          <w:tab w:val="right" w:leader="dot" w:pos="8879"/>
          <w:tab w:val="clear" w:pos="8296"/>
        </w:tabs>
        <w:ind w:left="0" w:leftChars="0" w:firstLine="0" w:firstLineChars="0"/>
        <w:rPr>
          <w:rFonts w:hint="eastAsia" w:ascii="宋体" w:hAnsi="宋体"/>
          <w:bCs/>
          <w:szCs w:val="32"/>
          <w:highlight w:val="none"/>
        </w:rPr>
      </w:pPr>
      <w:r>
        <w:rPr>
          <w:rFonts w:hint="eastAsia" w:ascii="宋体" w:hAnsi="宋体"/>
          <w:bCs/>
          <w:szCs w:val="32"/>
          <w:highlight w:val="none"/>
        </w:rPr>
        <w:t>第四章</w:t>
      </w:r>
      <w:r>
        <w:rPr>
          <w:rFonts w:hint="eastAsia" w:ascii="宋体" w:hAnsi="宋体"/>
          <w:bCs/>
          <w:szCs w:val="32"/>
          <w:highlight w:val="none"/>
          <w:lang w:val="en-US" w:eastAsia="zh-CN"/>
        </w:rPr>
        <w:t xml:space="preserve"> </w:t>
      </w:r>
      <w:r>
        <w:rPr>
          <w:rFonts w:hint="eastAsia" w:ascii="宋体" w:hAnsi="宋体"/>
          <w:bCs/>
          <w:szCs w:val="32"/>
          <w:highlight w:val="none"/>
        </w:rPr>
        <w:t>评审程序、评审方法和评审标准</w:t>
      </w:r>
      <w:r>
        <w:tab/>
      </w:r>
      <w:r>
        <w:fldChar w:fldCharType="begin"/>
      </w:r>
      <w:r>
        <w:instrText xml:space="preserve"> PAGEREF _Toc11785 \h </w:instrText>
      </w:r>
      <w:r>
        <w:fldChar w:fldCharType="separate"/>
      </w:r>
      <w:r>
        <w:t>41</w:t>
      </w:r>
      <w:r>
        <w:fldChar w:fldCharType="end"/>
      </w:r>
    </w:p>
    <w:p w14:paraId="0456EC86">
      <w:pPr>
        <w:pStyle w:val="26"/>
        <w:tabs>
          <w:tab w:val="right" w:leader="dot" w:pos="8879"/>
          <w:tab w:val="clear" w:pos="8296"/>
        </w:tabs>
      </w:pPr>
      <w:r>
        <w:rPr>
          <w:rFonts w:ascii="宋体" w:hAnsi="宋体"/>
          <w:color w:val="auto"/>
          <w:szCs w:val="30"/>
          <w:highlight w:val="none"/>
        </w:rPr>
        <w:fldChar w:fldCharType="begin"/>
      </w:r>
      <w:r>
        <w:rPr>
          <w:rFonts w:ascii="宋体" w:hAnsi="宋体"/>
          <w:szCs w:val="30"/>
          <w:highlight w:val="none"/>
        </w:rPr>
        <w:instrText xml:space="preserve"> HYPERLINK \l _Toc11785 </w:instrText>
      </w:r>
      <w:r>
        <w:rPr>
          <w:rFonts w:ascii="宋体" w:hAnsi="宋体"/>
          <w:szCs w:val="30"/>
          <w:highlight w:val="none"/>
        </w:rPr>
        <w:fldChar w:fldCharType="separate"/>
      </w:r>
      <w:r>
        <w:rPr>
          <w:rFonts w:hint="eastAsia" w:ascii="宋体" w:hAnsi="宋体"/>
          <w:bCs/>
          <w:szCs w:val="32"/>
          <w:highlight w:val="none"/>
        </w:rPr>
        <w:t>第一节 评审程序和评审方法</w:t>
      </w:r>
      <w:r>
        <w:tab/>
      </w:r>
      <w:r>
        <w:fldChar w:fldCharType="begin"/>
      </w:r>
      <w:r>
        <w:instrText xml:space="preserve"> PAGEREF _Toc11785 \h </w:instrText>
      </w:r>
      <w:r>
        <w:fldChar w:fldCharType="separate"/>
      </w:r>
      <w:r>
        <w:t>41</w:t>
      </w:r>
      <w:r>
        <w:fldChar w:fldCharType="end"/>
      </w:r>
      <w:r>
        <w:rPr>
          <w:rFonts w:ascii="宋体" w:hAnsi="宋体"/>
          <w:color w:val="auto"/>
          <w:szCs w:val="30"/>
          <w:highlight w:val="none"/>
        </w:rPr>
        <w:fldChar w:fldCharType="end"/>
      </w:r>
    </w:p>
    <w:p w14:paraId="0027916B">
      <w:pPr>
        <w:pStyle w:val="26"/>
        <w:tabs>
          <w:tab w:val="right" w:leader="dot" w:pos="8879"/>
          <w:tab w:val="clear" w:pos="8296"/>
        </w:tabs>
      </w:pPr>
      <w:r>
        <w:rPr>
          <w:rFonts w:ascii="宋体" w:hAnsi="宋体"/>
          <w:color w:val="auto"/>
          <w:szCs w:val="30"/>
          <w:highlight w:val="none"/>
        </w:rPr>
        <w:fldChar w:fldCharType="begin"/>
      </w:r>
      <w:r>
        <w:rPr>
          <w:rFonts w:ascii="宋体" w:hAnsi="宋体"/>
          <w:szCs w:val="30"/>
          <w:highlight w:val="none"/>
        </w:rPr>
        <w:instrText xml:space="preserve"> HYPERLINK \l _Toc7033 </w:instrText>
      </w:r>
      <w:r>
        <w:rPr>
          <w:rFonts w:ascii="宋体" w:hAnsi="宋体"/>
          <w:szCs w:val="30"/>
          <w:highlight w:val="none"/>
        </w:rPr>
        <w:fldChar w:fldCharType="separate"/>
      </w:r>
      <w:r>
        <w:rPr>
          <w:rFonts w:hint="eastAsia" w:ascii="宋体" w:hAnsi="宋体"/>
          <w:bCs/>
          <w:szCs w:val="32"/>
          <w:highlight w:val="none"/>
        </w:rPr>
        <w:t>第二节 评标报告</w:t>
      </w:r>
      <w:r>
        <w:tab/>
      </w:r>
      <w:r>
        <w:fldChar w:fldCharType="begin"/>
      </w:r>
      <w:r>
        <w:instrText xml:space="preserve"> PAGEREF _Toc7033 \h </w:instrText>
      </w:r>
      <w:r>
        <w:fldChar w:fldCharType="separate"/>
      </w:r>
      <w:r>
        <w:t>53</w:t>
      </w:r>
      <w:r>
        <w:fldChar w:fldCharType="end"/>
      </w:r>
      <w:r>
        <w:rPr>
          <w:rFonts w:ascii="宋体" w:hAnsi="宋体"/>
          <w:color w:val="auto"/>
          <w:szCs w:val="30"/>
          <w:highlight w:val="none"/>
        </w:rPr>
        <w:fldChar w:fldCharType="end"/>
      </w:r>
    </w:p>
    <w:p w14:paraId="58F0C2E9">
      <w:pPr>
        <w:pStyle w:val="26"/>
        <w:tabs>
          <w:tab w:val="right" w:leader="dot" w:pos="8879"/>
          <w:tab w:val="clear" w:pos="8296"/>
        </w:tabs>
      </w:pPr>
      <w:r>
        <w:rPr>
          <w:rFonts w:ascii="宋体" w:hAnsi="宋体"/>
          <w:color w:val="auto"/>
          <w:szCs w:val="30"/>
          <w:highlight w:val="none"/>
        </w:rPr>
        <w:fldChar w:fldCharType="begin"/>
      </w:r>
      <w:r>
        <w:rPr>
          <w:rFonts w:ascii="宋体" w:hAnsi="宋体"/>
          <w:szCs w:val="30"/>
          <w:highlight w:val="none"/>
        </w:rPr>
        <w:instrText xml:space="preserve"> HYPERLINK \l _Toc11822 </w:instrText>
      </w:r>
      <w:r>
        <w:rPr>
          <w:rFonts w:ascii="宋体" w:hAnsi="宋体"/>
          <w:szCs w:val="30"/>
          <w:highlight w:val="none"/>
        </w:rPr>
        <w:fldChar w:fldCharType="separate"/>
      </w:r>
      <w:r>
        <w:rPr>
          <w:rFonts w:hint="eastAsia" w:ascii="宋体" w:hAnsi="宋体"/>
          <w:bCs/>
          <w:szCs w:val="32"/>
          <w:highlight w:val="none"/>
        </w:rPr>
        <w:t>第三节 评审过程的保密与录像</w:t>
      </w:r>
      <w:r>
        <w:tab/>
      </w:r>
      <w:r>
        <w:fldChar w:fldCharType="begin"/>
      </w:r>
      <w:r>
        <w:instrText xml:space="preserve"> PAGEREF _Toc11822 \h </w:instrText>
      </w:r>
      <w:r>
        <w:fldChar w:fldCharType="separate"/>
      </w:r>
      <w:r>
        <w:t>53</w:t>
      </w:r>
      <w:r>
        <w:fldChar w:fldCharType="end"/>
      </w:r>
      <w:r>
        <w:rPr>
          <w:rFonts w:ascii="宋体" w:hAnsi="宋体"/>
          <w:color w:val="auto"/>
          <w:szCs w:val="30"/>
          <w:highlight w:val="none"/>
        </w:rPr>
        <w:fldChar w:fldCharType="end"/>
      </w:r>
    </w:p>
    <w:p w14:paraId="1E774CF0">
      <w:pPr>
        <w:pStyle w:val="23"/>
        <w:tabs>
          <w:tab w:val="right" w:leader="dot" w:pos="8879"/>
        </w:tabs>
      </w:pPr>
      <w:r>
        <w:rPr>
          <w:rFonts w:ascii="宋体" w:hAnsi="宋体"/>
          <w:color w:val="auto"/>
          <w:szCs w:val="30"/>
          <w:highlight w:val="none"/>
        </w:rPr>
        <w:fldChar w:fldCharType="begin"/>
      </w:r>
      <w:r>
        <w:rPr>
          <w:rFonts w:ascii="宋体" w:hAnsi="宋体"/>
          <w:szCs w:val="30"/>
          <w:highlight w:val="none"/>
        </w:rPr>
        <w:instrText xml:space="preserve"> HYPERLINK \l _Toc17909 </w:instrText>
      </w:r>
      <w:r>
        <w:rPr>
          <w:rFonts w:ascii="宋体" w:hAnsi="宋体"/>
          <w:szCs w:val="30"/>
          <w:highlight w:val="none"/>
        </w:rPr>
        <w:fldChar w:fldCharType="separate"/>
      </w:r>
      <w:r>
        <w:rPr>
          <w:rFonts w:hint="eastAsia"/>
          <w:bCs/>
          <w:kern w:val="44"/>
          <w:szCs w:val="44"/>
          <w:highlight w:val="none"/>
        </w:rPr>
        <w:t>第五章</w:t>
      </w:r>
      <w:r>
        <w:rPr>
          <w:rFonts w:hint="eastAsia"/>
          <w:bCs/>
          <w:kern w:val="44"/>
          <w:szCs w:val="44"/>
          <w:highlight w:val="none"/>
          <w:lang w:val="en-US" w:eastAsia="zh-CN"/>
        </w:rPr>
        <w:t xml:space="preserve"> </w:t>
      </w:r>
      <w:r>
        <w:rPr>
          <w:rFonts w:hint="eastAsia"/>
          <w:bCs/>
          <w:kern w:val="44"/>
          <w:szCs w:val="44"/>
          <w:highlight w:val="none"/>
        </w:rPr>
        <w:t>响应文件格式</w:t>
      </w:r>
      <w:r>
        <w:tab/>
      </w:r>
      <w:r>
        <w:fldChar w:fldCharType="begin"/>
      </w:r>
      <w:r>
        <w:instrText xml:space="preserve"> PAGEREF _Toc17909 \h </w:instrText>
      </w:r>
      <w:r>
        <w:fldChar w:fldCharType="separate"/>
      </w:r>
      <w:r>
        <w:t>55</w:t>
      </w:r>
      <w:r>
        <w:fldChar w:fldCharType="end"/>
      </w:r>
      <w:r>
        <w:rPr>
          <w:rFonts w:ascii="宋体" w:hAnsi="宋体"/>
          <w:color w:val="auto"/>
          <w:szCs w:val="30"/>
          <w:highlight w:val="none"/>
        </w:rPr>
        <w:fldChar w:fldCharType="end"/>
      </w:r>
    </w:p>
    <w:p w14:paraId="3EEEAD71">
      <w:pPr>
        <w:pStyle w:val="26"/>
        <w:tabs>
          <w:tab w:val="right" w:leader="dot" w:pos="8879"/>
          <w:tab w:val="clear" w:pos="8296"/>
        </w:tabs>
      </w:pPr>
      <w:r>
        <w:rPr>
          <w:rFonts w:ascii="宋体" w:hAnsi="宋体"/>
          <w:color w:val="auto"/>
          <w:szCs w:val="30"/>
          <w:highlight w:val="none"/>
        </w:rPr>
        <w:fldChar w:fldCharType="begin"/>
      </w:r>
      <w:r>
        <w:rPr>
          <w:rFonts w:ascii="宋体" w:hAnsi="宋体"/>
          <w:szCs w:val="30"/>
          <w:highlight w:val="none"/>
        </w:rPr>
        <w:instrText xml:space="preserve"> HYPERLINK \l _Toc11295 </w:instrText>
      </w:r>
      <w:r>
        <w:rPr>
          <w:rFonts w:ascii="宋体" w:hAnsi="宋体"/>
          <w:szCs w:val="30"/>
          <w:highlight w:val="none"/>
        </w:rPr>
        <w:fldChar w:fldCharType="separate"/>
      </w:r>
      <w:r>
        <w:rPr>
          <w:rFonts w:hint="eastAsia" w:ascii="宋体" w:hAnsi="宋体"/>
          <w:highlight w:val="none"/>
          <w:lang w:val="en-US" w:eastAsia="zh-CN"/>
        </w:rPr>
        <w:t>第一节 封面格式</w:t>
      </w:r>
      <w:r>
        <w:tab/>
      </w:r>
      <w:r>
        <w:fldChar w:fldCharType="begin"/>
      </w:r>
      <w:r>
        <w:instrText xml:space="preserve"> PAGEREF _Toc11295 \h </w:instrText>
      </w:r>
      <w:r>
        <w:fldChar w:fldCharType="separate"/>
      </w:r>
      <w:r>
        <w:t>56</w:t>
      </w:r>
      <w:r>
        <w:fldChar w:fldCharType="end"/>
      </w:r>
      <w:r>
        <w:rPr>
          <w:rFonts w:ascii="宋体" w:hAnsi="宋体"/>
          <w:color w:val="auto"/>
          <w:szCs w:val="30"/>
          <w:highlight w:val="none"/>
        </w:rPr>
        <w:fldChar w:fldCharType="end"/>
      </w:r>
    </w:p>
    <w:p w14:paraId="41054E8F">
      <w:pPr>
        <w:pStyle w:val="26"/>
        <w:tabs>
          <w:tab w:val="right" w:leader="dot" w:pos="8879"/>
          <w:tab w:val="clear" w:pos="8296"/>
        </w:tabs>
      </w:pPr>
      <w:r>
        <w:rPr>
          <w:rFonts w:ascii="宋体" w:hAnsi="宋体"/>
          <w:color w:val="auto"/>
          <w:szCs w:val="30"/>
          <w:highlight w:val="none"/>
        </w:rPr>
        <w:fldChar w:fldCharType="begin"/>
      </w:r>
      <w:r>
        <w:rPr>
          <w:rFonts w:ascii="宋体" w:hAnsi="宋体"/>
          <w:szCs w:val="30"/>
          <w:highlight w:val="none"/>
        </w:rPr>
        <w:instrText xml:space="preserve"> HYPERLINK \l _Toc22932 </w:instrText>
      </w:r>
      <w:r>
        <w:rPr>
          <w:rFonts w:ascii="宋体" w:hAnsi="宋体"/>
          <w:szCs w:val="30"/>
          <w:highlight w:val="none"/>
        </w:rPr>
        <w:fldChar w:fldCharType="separate"/>
      </w:r>
      <w:r>
        <w:rPr>
          <w:rFonts w:hint="eastAsia" w:ascii="宋体" w:hAnsi="宋体"/>
          <w:bCs w:val="0"/>
          <w:highlight w:val="none"/>
        </w:rPr>
        <w:t>第二节 资格证明文件格式</w:t>
      </w:r>
      <w:r>
        <w:tab/>
      </w:r>
      <w:r>
        <w:fldChar w:fldCharType="begin"/>
      </w:r>
      <w:r>
        <w:instrText xml:space="preserve"> PAGEREF _Toc22932 \h </w:instrText>
      </w:r>
      <w:r>
        <w:fldChar w:fldCharType="separate"/>
      </w:r>
      <w:r>
        <w:t>57</w:t>
      </w:r>
      <w:r>
        <w:fldChar w:fldCharType="end"/>
      </w:r>
      <w:r>
        <w:rPr>
          <w:rFonts w:ascii="宋体" w:hAnsi="宋体"/>
          <w:color w:val="auto"/>
          <w:szCs w:val="30"/>
          <w:highlight w:val="none"/>
        </w:rPr>
        <w:fldChar w:fldCharType="end"/>
      </w:r>
    </w:p>
    <w:p w14:paraId="2E3B96C5">
      <w:pPr>
        <w:pStyle w:val="26"/>
        <w:tabs>
          <w:tab w:val="right" w:leader="dot" w:pos="8879"/>
          <w:tab w:val="clear" w:pos="8296"/>
        </w:tabs>
      </w:pPr>
      <w:r>
        <w:rPr>
          <w:rFonts w:ascii="宋体" w:hAnsi="宋体"/>
          <w:color w:val="auto"/>
          <w:szCs w:val="30"/>
          <w:highlight w:val="none"/>
        </w:rPr>
        <w:fldChar w:fldCharType="begin"/>
      </w:r>
      <w:r>
        <w:rPr>
          <w:rFonts w:ascii="宋体" w:hAnsi="宋体"/>
          <w:szCs w:val="30"/>
          <w:highlight w:val="none"/>
        </w:rPr>
        <w:instrText xml:space="preserve"> HYPERLINK \l _Toc14351 </w:instrText>
      </w:r>
      <w:r>
        <w:rPr>
          <w:rFonts w:ascii="宋体" w:hAnsi="宋体"/>
          <w:szCs w:val="30"/>
          <w:highlight w:val="none"/>
        </w:rPr>
        <w:fldChar w:fldCharType="separate"/>
      </w:r>
      <w:r>
        <w:rPr>
          <w:rFonts w:hint="eastAsia" w:ascii="宋体" w:hAnsi="宋体"/>
          <w:bCs w:val="0"/>
          <w:highlight w:val="none"/>
        </w:rPr>
        <w:t>第</w:t>
      </w:r>
      <w:r>
        <w:rPr>
          <w:rFonts w:hint="eastAsia" w:ascii="宋体" w:hAnsi="宋体"/>
          <w:bCs w:val="0"/>
          <w:highlight w:val="none"/>
          <w:lang w:eastAsia="zh-CN"/>
        </w:rPr>
        <w:t>三</w:t>
      </w:r>
      <w:r>
        <w:rPr>
          <w:rFonts w:hint="eastAsia" w:ascii="宋体" w:hAnsi="宋体"/>
          <w:bCs w:val="0"/>
          <w:highlight w:val="none"/>
        </w:rPr>
        <w:t xml:space="preserve">节 </w:t>
      </w:r>
      <w:r>
        <w:rPr>
          <w:rFonts w:hint="eastAsia" w:ascii="宋体" w:hAnsi="宋体"/>
          <w:highlight w:val="none"/>
        </w:rPr>
        <w:t>商务技术文件格式</w:t>
      </w:r>
      <w:r>
        <w:tab/>
      </w:r>
      <w:r>
        <w:fldChar w:fldCharType="begin"/>
      </w:r>
      <w:r>
        <w:instrText xml:space="preserve"> PAGEREF _Toc14351 \h </w:instrText>
      </w:r>
      <w:r>
        <w:fldChar w:fldCharType="separate"/>
      </w:r>
      <w:r>
        <w:t>65</w:t>
      </w:r>
      <w:r>
        <w:fldChar w:fldCharType="end"/>
      </w:r>
      <w:r>
        <w:rPr>
          <w:rFonts w:ascii="宋体" w:hAnsi="宋体"/>
          <w:color w:val="auto"/>
          <w:szCs w:val="30"/>
          <w:highlight w:val="none"/>
        </w:rPr>
        <w:fldChar w:fldCharType="end"/>
      </w:r>
    </w:p>
    <w:p w14:paraId="37856050">
      <w:pPr>
        <w:pStyle w:val="26"/>
        <w:tabs>
          <w:tab w:val="right" w:leader="dot" w:pos="8879"/>
          <w:tab w:val="clear" w:pos="8296"/>
        </w:tabs>
      </w:pPr>
      <w:r>
        <w:rPr>
          <w:rFonts w:ascii="宋体" w:hAnsi="宋体"/>
          <w:color w:val="auto"/>
          <w:szCs w:val="30"/>
          <w:highlight w:val="none"/>
        </w:rPr>
        <w:fldChar w:fldCharType="begin"/>
      </w:r>
      <w:r>
        <w:rPr>
          <w:rFonts w:ascii="宋体" w:hAnsi="宋体"/>
          <w:szCs w:val="30"/>
          <w:highlight w:val="none"/>
        </w:rPr>
        <w:instrText xml:space="preserve"> HYPERLINK \l _Toc5119 </w:instrText>
      </w:r>
      <w:r>
        <w:rPr>
          <w:rFonts w:ascii="宋体" w:hAnsi="宋体"/>
          <w:szCs w:val="30"/>
          <w:highlight w:val="none"/>
        </w:rPr>
        <w:fldChar w:fldCharType="separate"/>
      </w:r>
      <w:r>
        <w:rPr>
          <w:rFonts w:hint="eastAsia" w:ascii="宋体" w:hAnsi="宋体"/>
          <w:highlight w:val="none"/>
          <w:lang w:val="en-US" w:eastAsia="zh-CN"/>
        </w:rPr>
        <w:t>第四节 报价文件格式</w:t>
      </w:r>
      <w:r>
        <w:tab/>
      </w:r>
      <w:r>
        <w:fldChar w:fldCharType="begin"/>
      </w:r>
      <w:r>
        <w:instrText xml:space="preserve"> PAGEREF _Toc5119 \h </w:instrText>
      </w:r>
      <w:r>
        <w:fldChar w:fldCharType="separate"/>
      </w:r>
      <w:r>
        <w:t>78</w:t>
      </w:r>
      <w:r>
        <w:fldChar w:fldCharType="end"/>
      </w:r>
      <w:r>
        <w:rPr>
          <w:rFonts w:ascii="宋体" w:hAnsi="宋体"/>
          <w:color w:val="auto"/>
          <w:szCs w:val="30"/>
          <w:highlight w:val="none"/>
        </w:rPr>
        <w:fldChar w:fldCharType="end"/>
      </w:r>
    </w:p>
    <w:p w14:paraId="38F9D40B">
      <w:pPr>
        <w:pStyle w:val="26"/>
        <w:tabs>
          <w:tab w:val="right" w:leader="dot" w:pos="8879"/>
          <w:tab w:val="clear" w:pos="8296"/>
        </w:tabs>
      </w:pPr>
      <w:r>
        <w:rPr>
          <w:rFonts w:ascii="宋体" w:hAnsi="宋体"/>
          <w:color w:val="auto"/>
          <w:szCs w:val="30"/>
          <w:highlight w:val="none"/>
        </w:rPr>
        <w:fldChar w:fldCharType="begin"/>
      </w:r>
      <w:r>
        <w:rPr>
          <w:rFonts w:ascii="宋体" w:hAnsi="宋体"/>
          <w:szCs w:val="30"/>
          <w:highlight w:val="none"/>
        </w:rPr>
        <w:instrText xml:space="preserve"> HYPERLINK \l _Toc22074 </w:instrText>
      </w:r>
      <w:r>
        <w:rPr>
          <w:rFonts w:ascii="宋体" w:hAnsi="宋体"/>
          <w:szCs w:val="30"/>
          <w:highlight w:val="none"/>
        </w:rPr>
        <w:fldChar w:fldCharType="separate"/>
      </w:r>
      <w:r>
        <w:rPr>
          <w:rFonts w:hint="eastAsia" w:ascii="宋体" w:hAnsi="宋体" w:cs="宋体"/>
          <w:highlight w:val="none"/>
        </w:rPr>
        <w:t>第五节 其他文书、文件格式</w:t>
      </w:r>
      <w:r>
        <w:tab/>
      </w:r>
      <w:r>
        <w:fldChar w:fldCharType="begin"/>
      </w:r>
      <w:r>
        <w:instrText xml:space="preserve"> PAGEREF _Toc22074 \h </w:instrText>
      </w:r>
      <w:r>
        <w:fldChar w:fldCharType="separate"/>
      </w:r>
      <w:r>
        <w:t>86</w:t>
      </w:r>
      <w:r>
        <w:fldChar w:fldCharType="end"/>
      </w:r>
      <w:r>
        <w:rPr>
          <w:rFonts w:ascii="宋体" w:hAnsi="宋体"/>
          <w:color w:val="auto"/>
          <w:szCs w:val="30"/>
          <w:highlight w:val="none"/>
        </w:rPr>
        <w:fldChar w:fldCharType="end"/>
      </w:r>
    </w:p>
    <w:p w14:paraId="46209677">
      <w:pPr>
        <w:pStyle w:val="23"/>
        <w:tabs>
          <w:tab w:val="right" w:leader="dot" w:pos="8879"/>
        </w:tabs>
      </w:pPr>
      <w:r>
        <w:rPr>
          <w:rFonts w:ascii="宋体" w:hAnsi="宋体"/>
          <w:color w:val="auto"/>
          <w:szCs w:val="30"/>
          <w:highlight w:val="none"/>
        </w:rPr>
        <w:fldChar w:fldCharType="begin"/>
      </w:r>
      <w:r>
        <w:rPr>
          <w:rFonts w:ascii="宋体" w:hAnsi="宋体"/>
          <w:szCs w:val="30"/>
          <w:highlight w:val="none"/>
        </w:rPr>
        <w:instrText xml:space="preserve"> HYPERLINK \l _Toc6357 </w:instrText>
      </w:r>
      <w:r>
        <w:rPr>
          <w:rFonts w:ascii="宋体" w:hAnsi="宋体"/>
          <w:szCs w:val="30"/>
          <w:highlight w:val="none"/>
        </w:rPr>
        <w:fldChar w:fldCharType="separate"/>
      </w:r>
      <w:r>
        <w:rPr>
          <w:rFonts w:hint="eastAsia" w:ascii="宋体" w:hAnsi="宋体"/>
          <w:kern w:val="44"/>
          <w:szCs w:val="44"/>
          <w:highlight w:val="none"/>
        </w:rPr>
        <w:t>第六章 合同文本</w:t>
      </w:r>
      <w:r>
        <w:tab/>
      </w:r>
      <w:r>
        <w:fldChar w:fldCharType="begin"/>
      </w:r>
      <w:r>
        <w:instrText xml:space="preserve"> PAGEREF _Toc6357 \h </w:instrText>
      </w:r>
      <w:r>
        <w:fldChar w:fldCharType="separate"/>
      </w:r>
      <w:r>
        <w:t>87</w:t>
      </w:r>
      <w:r>
        <w:fldChar w:fldCharType="end"/>
      </w:r>
      <w:r>
        <w:rPr>
          <w:rFonts w:ascii="宋体" w:hAnsi="宋体"/>
          <w:color w:val="auto"/>
          <w:szCs w:val="30"/>
          <w:highlight w:val="none"/>
        </w:rPr>
        <w:fldChar w:fldCharType="end"/>
      </w:r>
    </w:p>
    <w:p w14:paraId="6DBB5FAB">
      <w:pPr>
        <w:pStyle w:val="26"/>
        <w:tabs>
          <w:tab w:val="right" w:leader="dot" w:pos="8879"/>
          <w:tab w:val="clear" w:pos="8296"/>
        </w:tabs>
      </w:pPr>
      <w:r>
        <w:rPr>
          <w:rFonts w:ascii="宋体" w:hAnsi="宋体"/>
          <w:color w:val="auto"/>
          <w:szCs w:val="30"/>
          <w:highlight w:val="none"/>
        </w:rPr>
        <w:fldChar w:fldCharType="begin"/>
      </w:r>
      <w:r>
        <w:rPr>
          <w:rFonts w:ascii="宋体" w:hAnsi="宋体"/>
          <w:szCs w:val="30"/>
          <w:highlight w:val="none"/>
        </w:rPr>
        <w:instrText xml:space="preserve"> HYPERLINK \l _Toc21199 </w:instrText>
      </w:r>
      <w:r>
        <w:rPr>
          <w:rFonts w:ascii="宋体" w:hAnsi="宋体"/>
          <w:szCs w:val="30"/>
          <w:highlight w:val="none"/>
        </w:rPr>
        <w:fldChar w:fldCharType="separate"/>
      </w:r>
      <w:r>
        <w:rPr>
          <w:rFonts w:hint="eastAsia" w:ascii="仿宋_GB2312" w:hAnsi="楷体" w:eastAsia="仿宋_GB2312"/>
          <w:szCs w:val="28"/>
          <w:highlight w:val="none"/>
        </w:rPr>
        <w:t>第一部分 合同书</w:t>
      </w:r>
      <w:r>
        <w:tab/>
      </w:r>
      <w:r>
        <w:fldChar w:fldCharType="begin"/>
      </w:r>
      <w:r>
        <w:instrText xml:space="preserve"> PAGEREF _Toc21199 \h </w:instrText>
      </w:r>
      <w:r>
        <w:fldChar w:fldCharType="separate"/>
      </w:r>
      <w:r>
        <w:t>90</w:t>
      </w:r>
      <w:r>
        <w:fldChar w:fldCharType="end"/>
      </w:r>
      <w:r>
        <w:rPr>
          <w:rFonts w:ascii="宋体" w:hAnsi="宋体"/>
          <w:color w:val="auto"/>
          <w:szCs w:val="30"/>
          <w:highlight w:val="none"/>
        </w:rPr>
        <w:fldChar w:fldCharType="end"/>
      </w:r>
    </w:p>
    <w:p w14:paraId="33C713AB">
      <w:pPr>
        <w:pStyle w:val="26"/>
        <w:tabs>
          <w:tab w:val="right" w:leader="dot" w:pos="8879"/>
          <w:tab w:val="clear" w:pos="8296"/>
        </w:tabs>
      </w:pPr>
      <w:r>
        <w:rPr>
          <w:rFonts w:ascii="宋体" w:hAnsi="宋体"/>
          <w:color w:val="auto"/>
          <w:szCs w:val="30"/>
          <w:highlight w:val="none"/>
        </w:rPr>
        <w:fldChar w:fldCharType="begin"/>
      </w:r>
      <w:r>
        <w:rPr>
          <w:rFonts w:ascii="宋体" w:hAnsi="宋体"/>
          <w:szCs w:val="30"/>
          <w:highlight w:val="none"/>
        </w:rPr>
        <w:instrText xml:space="preserve"> HYPERLINK \l _Toc1643 </w:instrText>
      </w:r>
      <w:r>
        <w:rPr>
          <w:rFonts w:ascii="宋体" w:hAnsi="宋体"/>
          <w:szCs w:val="30"/>
          <w:highlight w:val="none"/>
        </w:rPr>
        <w:fldChar w:fldCharType="separate"/>
      </w:r>
      <w:r>
        <w:rPr>
          <w:rFonts w:hint="eastAsia" w:ascii="仿宋_GB2312" w:hAnsi="楷体" w:eastAsia="仿宋_GB2312"/>
          <w:szCs w:val="28"/>
          <w:highlight w:val="none"/>
        </w:rPr>
        <w:t>第二部分 合同一般条款</w:t>
      </w:r>
      <w:r>
        <w:tab/>
      </w:r>
      <w:r>
        <w:fldChar w:fldCharType="begin"/>
      </w:r>
      <w:r>
        <w:instrText xml:space="preserve"> PAGEREF _Toc1643 \h </w:instrText>
      </w:r>
      <w:r>
        <w:fldChar w:fldCharType="separate"/>
      </w:r>
      <w:r>
        <w:t>94</w:t>
      </w:r>
      <w:r>
        <w:fldChar w:fldCharType="end"/>
      </w:r>
      <w:r>
        <w:rPr>
          <w:rFonts w:ascii="宋体" w:hAnsi="宋体"/>
          <w:color w:val="auto"/>
          <w:szCs w:val="30"/>
          <w:highlight w:val="none"/>
        </w:rPr>
        <w:fldChar w:fldCharType="end"/>
      </w:r>
    </w:p>
    <w:p w14:paraId="5CD7C442">
      <w:pPr>
        <w:pStyle w:val="26"/>
        <w:tabs>
          <w:tab w:val="right" w:leader="dot" w:pos="8879"/>
          <w:tab w:val="clear" w:pos="8296"/>
        </w:tabs>
      </w:pPr>
      <w:r>
        <w:rPr>
          <w:rFonts w:ascii="宋体" w:hAnsi="宋体"/>
          <w:color w:val="auto"/>
          <w:szCs w:val="30"/>
          <w:highlight w:val="none"/>
        </w:rPr>
        <w:fldChar w:fldCharType="begin"/>
      </w:r>
      <w:r>
        <w:rPr>
          <w:rFonts w:ascii="宋体" w:hAnsi="宋体"/>
          <w:szCs w:val="30"/>
          <w:highlight w:val="none"/>
        </w:rPr>
        <w:instrText xml:space="preserve"> HYPERLINK \l _Toc21037 </w:instrText>
      </w:r>
      <w:r>
        <w:rPr>
          <w:rFonts w:ascii="宋体" w:hAnsi="宋体"/>
          <w:szCs w:val="30"/>
          <w:highlight w:val="none"/>
        </w:rPr>
        <w:fldChar w:fldCharType="separate"/>
      </w:r>
      <w:r>
        <w:rPr>
          <w:rFonts w:hint="eastAsia" w:ascii="仿宋_GB2312" w:hAnsi="楷体" w:eastAsia="仿宋_GB2312"/>
          <w:szCs w:val="28"/>
          <w:highlight w:val="none"/>
        </w:rPr>
        <w:t>第三部分 合同专用条款</w:t>
      </w:r>
      <w:r>
        <w:tab/>
      </w:r>
      <w:r>
        <w:fldChar w:fldCharType="begin"/>
      </w:r>
      <w:r>
        <w:instrText xml:space="preserve"> PAGEREF _Toc21037 \h </w:instrText>
      </w:r>
      <w:r>
        <w:fldChar w:fldCharType="separate"/>
      </w:r>
      <w:r>
        <w:t>99</w:t>
      </w:r>
      <w:r>
        <w:fldChar w:fldCharType="end"/>
      </w:r>
      <w:r>
        <w:rPr>
          <w:rFonts w:ascii="宋体" w:hAnsi="宋体"/>
          <w:color w:val="auto"/>
          <w:szCs w:val="30"/>
          <w:highlight w:val="none"/>
        </w:rPr>
        <w:fldChar w:fldCharType="end"/>
      </w:r>
    </w:p>
    <w:p w14:paraId="5803347C">
      <w:pPr>
        <w:pStyle w:val="23"/>
        <w:tabs>
          <w:tab w:val="right" w:leader="dot" w:pos="8879"/>
        </w:tabs>
      </w:pPr>
      <w:r>
        <w:rPr>
          <w:rFonts w:ascii="宋体" w:hAnsi="宋体"/>
          <w:color w:val="auto"/>
          <w:szCs w:val="30"/>
          <w:highlight w:val="none"/>
        </w:rPr>
        <w:fldChar w:fldCharType="begin"/>
      </w:r>
      <w:r>
        <w:rPr>
          <w:rFonts w:ascii="宋体" w:hAnsi="宋体"/>
          <w:szCs w:val="30"/>
          <w:highlight w:val="none"/>
        </w:rPr>
        <w:instrText xml:space="preserve"> HYPERLINK \l _Toc22936 </w:instrText>
      </w:r>
      <w:r>
        <w:rPr>
          <w:rFonts w:ascii="宋体" w:hAnsi="宋体"/>
          <w:szCs w:val="30"/>
          <w:highlight w:val="none"/>
        </w:rPr>
        <w:fldChar w:fldCharType="separate"/>
      </w:r>
      <w:r>
        <w:rPr>
          <w:rFonts w:hint="eastAsia" w:ascii="宋体" w:hAnsi="宋体" w:cs="仿宋_GB2312"/>
          <w:bCs/>
          <w:kern w:val="44"/>
          <w:szCs w:val="44"/>
          <w:highlight w:val="none"/>
        </w:rPr>
        <w:t>第七章 质疑、投诉材料格式</w:t>
      </w:r>
      <w:r>
        <w:tab/>
      </w:r>
      <w:r>
        <w:fldChar w:fldCharType="begin"/>
      </w:r>
      <w:r>
        <w:instrText xml:space="preserve"> PAGEREF _Toc22936 \h </w:instrText>
      </w:r>
      <w:r>
        <w:fldChar w:fldCharType="separate"/>
      </w:r>
      <w:r>
        <w:t>102</w:t>
      </w:r>
      <w:r>
        <w:fldChar w:fldCharType="end"/>
      </w:r>
      <w:r>
        <w:rPr>
          <w:rFonts w:ascii="宋体" w:hAnsi="宋体"/>
          <w:color w:val="auto"/>
          <w:szCs w:val="30"/>
          <w:highlight w:val="none"/>
        </w:rPr>
        <w:fldChar w:fldCharType="end"/>
      </w:r>
    </w:p>
    <w:p w14:paraId="1F3744B7">
      <w:pPr>
        <w:spacing w:line="400" w:lineRule="exact"/>
        <w:rPr>
          <w:rFonts w:ascii="宋体" w:hAnsi="宋体"/>
          <w:b/>
          <w:color w:val="auto"/>
          <w:sz w:val="32"/>
          <w:szCs w:val="32"/>
          <w:highlight w:val="none"/>
        </w:rPr>
        <w:sectPr>
          <w:headerReference r:id="rId7" w:type="first"/>
          <w:footerReference r:id="rId9" w:type="first"/>
          <w:headerReference r:id="rId6" w:type="default"/>
          <w:footerReference r:id="rId8" w:type="default"/>
          <w:pgSz w:w="11906" w:h="16838"/>
          <w:pgMar w:top="1440" w:right="1440" w:bottom="1440" w:left="1587" w:header="851" w:footer="992" w:gutter="0"/>
          <w:pgBorders>
            <w:top w:val="none" w:sz="0" w:space="0"/>
            <w:left w:val="none" w:sz="0" w:space="0"/>
            <w:bottom w:val="none" w:sz="0" w:space="0"/>
            <w:right w:val="none" w:sz="0" w:space="0"/>
          </w:pgBorders>
          <w:pgNumType w:start="0"/>
          <w:cols w:space="720" w:num="1"/>
          <w:titlePg/>
          <w:docGrid w:type="lines" w:linePitch="312" w:charSpace="0"/>
        </w:sectPr>
      </w:pPr>
      <w:r>
        <w:rPr>
          <w:rFonts w:ascii="宋体" w:hAnsi="宋体"/>
          <w:color w:val="auto"/>
          <w:szCs w:val="30"/>
          <w:highlight w:val="none"/>
        </w:rPr>
        <w:fldChar w:fldCharType="end"/>
      </w:r>
    </w:p>
    <w:p w14:paraId="52D2B507">
      <w:pPr>
        <w:keepNext/>
        <w:keepLines/>
        <w:spacing w:before="340" w:after="330" w:line="400" w:lineRule="exact"/>
        <w:jc w:val="center"/>
        <w:outlineLvl w:val="0"/>
        <w:rPr>
          <w:b/>
          <w:bCs/>
          <w:color w:val="auto"/>
          <w:kern w:val="44"/>
          <w:sz w:val="44"/>
          <w:szCs w:val="44"/>
          <w:highlight w:val="none"/>
        </w:rPr>
      </w:pPr>
      <w:bookmarkStart w:id="1" w:name="_Toc19290"/>
      <w:r>
        <w:rPr>
          <w:rFonts w:ascii="黑体" w:hAnsi="黑体" w:eastAsia="黑体" w:cs="宋体"/>
          <w:b/>
          <w:color w:val="auto"/>
          <w:kern w:val="44"/>
          <w:sz w:val="24"/>
          <w:highlight w:val="none"/>
        </w:rPr>
        <mc:AlternateContent>
          <mc:Choice Requires="wps">
            <w:drawing>
              <wp:anchor distT="0" distB="0" distL="114300" distR="114300" simplePos="0" relativeHeight="251659264" behindDoc="0" locked="0" layoutInCell="1" allowOverlap="1">
                <wp:simplePos x="0" y="0"/>
                <wp:positionH relativeFrom="column">
                  <wp:posOffset>-234315</wp:posOffset>
                </wp:positionH>
                <wp:positionV relativeFrom="paragraph">
                  <wp:posOffset>621665</wp:posOffset>
                </wp:positionV>
                <wp:extent cx="6094095" cy="1270635"/>
                <wp:effectExtent l="0" t="0" r="1905" b="5715"/>
                <wp:wrapNone/>
                <wp:docPr id="4" name="文本框 101"/>
                <wp:cNvGraphicFramePr/>
                <a:graphic xmlns:a="http://schemas.openxmlformats.org/drawingml/2006/main">
                  <a:graphicData uri="http://schemas.microsoft.com/office/word/2010/wordprocessingShape">
                    <wps:wsp>
                      <wps:cNvSpPr txBox="1"/>
                      <wps:spPr>
                        <a:xfrm>
                          <a:off x="0" y="0"/>
                          <a:ext cx="5970270" cy="1431925"/>
                        </a:xfrm>
                        <a:prstGeom prst="rect">
                          <a:avLst/>
                        </a:prstGeom>
                        <a:solidFill>
                          <a:srgbClr val="FFFFFF"/>
                        </a:solidFill>
                        <a:ln w="9525">
                          <a:noFill/>
                        </a:ln>
                        <a:effectLst/>
                      </wps:spPr>
                      <wps:txbx>
                        <w:txbxContent>
                          <w:p w14:paraId="2E2E0C25">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color w:val="000000"/>
                                <w:szCs w:val="21"/>
                              </w:rPr>
                            </w:pPr>
                            <w:r>
                              <w:rPr>
                                <w:rFonts w:hint="eastAsia" w:ascii="宋体" w:hAnsi="宋体"/>
                                <w:color w:val="000000"/>
                                <w:szCs w:val="21"/>
                              </w:rPr>
                              <w:t>项目概况</w:t>
                            </w:r>
                          </w:p>
                          <w:p w14:paraId="46204ECB">
                            <w:pPr>
                              <w:pBdr>
                                <w:top w:val="single" w:color="auto" w:sz="4" w:space="1"/>
                                <w:left w:val="single" w:color="auto" w:sz="4" w:space="4"/>
                                <w:bottom w:val="single" w:color="auto" w:sz="4" w:space="1"/>
                                <w:right w:val="single" w:color="auto" w:sz="4" w:space="4"/>
                              </w:pBdr>
                              <w:spacing w:line="360" w:lineRule="auto"/>
                              <w:ind w:firstLine="420" w:firstLineChars="200"/>
                              <w:rPr>
                                <w:rFonts w:ascii="仿宋_GB2312" w:hAnsi="仿宋" w:eastAsia="仿宋_GB2312"/>
                                <w:szCs w:val="21"/>
                              </w:rPr>
                            </w:pPr>
                            <w:r>
                              <w:rPr>
                                <w:rFonts w:hint="eastAsia" w:ascii="仿宋_GB2312" w:hAnsi="仿宋" w:eastAsia="仿宋_GB2312"/>
                                <w:szCs w:val="21"/>
                                <w:u w:val="single"/>
                                <w:lang w:eastAsia="zh-CN"/>
                              </w:rPr>
                              <w:t>隆安县电子政务外网一期线路租用及设备升级服务项目</w:t>
                            </w:r>
                            <w:r>
                              <w:rPr>
                                <w:rFonts w:hint="eastAsia" w:ascii="仿宋_GB2312" w:hAnsi="仿宋" w:eastAsia="仿宋_GB2312"/>
                                <w:szCs w:val="21"/>
                              </w:rPr>
                              <w:t>的潜在供应商应在政采云平台（</w:t>
                            </w:r>
                            <w:r>
                              <w:rPr>
                                <w:rFonts w:hint="eastAsia" w:ascii="宋体" w:hAnsi="宋体"/>
                                <w:color w:val="auto"/>
                                <w:szCs w:val="21"/>
                                <w:highlight w:val="none"/>
                              </w:rPr>
                              <w:t>https://www.gcy.zfcg.gxzf.gov.cn/</w:t>
                            </w:r>
                            <w:r>
                              <w:rPr>
                                <w:rFonts w:hint="eastAsia" w:ascii="仿宋_GB2312" w:hAnsi="仿宋" w:eastAsia="仿宋_GB2312"/>
                                <w:szCs w:val="21"/>
                              </w:rPr>
                              <w:t>）获取（下载）获取竞争性磋商文件，</w:t>
                            </w:r>
                            <w:r>
                              <w:rPr>
                                <w:rFonts w:hint="eastAsia" w:ascii="仿宋_GB2312" w:hAnsi="仿宋" w:eastAsia="仿宋_GB2312"/>
                                <w:szCs w:val="21"/>
                                <w:highlight w:val="none"/>
                              </w:rPr>
                              <w:t>并于</w:t>
                            </w:r>
                            <w:bookmarkStart w:id="269" w:name="PO_3000001868_PM015_2"/>
                            <w:r>
                              <w:rPr>
                                <w:rFonts w:ascii="仿宋_GB2312" w:hAnsi="仿宋" w:eastAsia="仿宋_GB2312"/>
                                <w:color w:val="auto"/>
                                <w:szCs w:val="21"/>
                                <w:highlight w:val="none"/>
                                <w:u w:val="single"/>
                              </w:rPr>
                              <w:t>[</w:t>
                            </w:r>
                            <w:r>
                              <w:rPr>
                                <w:rFonts w:hint="eastAsia" w:ascii="仿宋_GB2312" w:hAnsi="仿宋" w:eastAsia="仿宋_GB2312"/>
                                <w:color w:val="auto"/>
                                <w:szCs w:val="21"/>
                                <w:highlight w:val="none"/>
                                <w:u w:val="single"/>
                                <w:lang w:eastAsia="zh-CN"/>
                              </w:rPr>
                              <w:t>202</w:t>
                            </w:r>
                            <w:r>
                              <w:rPr>
                                <w:rFonts w:hint="eastAsia" w:ascii="仿宋_GB2312" w:hAnsi="仿宋" w:eastAsia="仿宋_GB2312"/>
                                <w:color w:val="auto"/>
                                <w:szCs w:val="21"/>
                                <w:highlight w:val="none"/>
                                <w:u w:val="single"/>
                                <w:lang w:val="en-US" w:eastAsia="zh-CN"/>
                              </w:rPr>
                              <w:t>6</w:t>
                            </w:r>
                            <w:r>
                              <w:rPr>
                                <w:rFonts w:hint="eastAsia" w:ascii="仿宋_GB2312" w:hAnsi="仿宋" w:eastAsia="仿宋_GB2312"/>
                                <w:color w:val="auto"/>
                                <w:szCs w:val="21"/>
                                <w:highlight w:val="none"/>
                                <w:u w:val="single"/>
                                <w:lang w:eastAsia="zh-CN"/>
                              </w:rPr>
                              <w:t>年</w:t>
                            </w:r>
                            <w:r>
                              <w:rPr>
                                <w:rFonts w:hint="eastAsia" w:ascii="仿宋_GB2312" w:hAnsi="仿宋" w:eastAsia="仿宋_GB2312"/>
                                <w:color w:val="auto"/>
                                <w:szCs w:val="21"/>
                                <w:highlight w:val="none"/>
                                <w:u w:val="single"/>
                                <w:lang w:val="en-US" w:eastAsia="zh-CN"/>
                              </w:rPr>
                              <w:t>7</w:t>
                            </w:r>
                            <w:r>
                              <w:rPr>
                                <w:rFonts w:hint="eastAsia" w:ascii="仿宋_GB2312" w:hAnsi="仿宋" w:eastAsia="仿宋_GB2312"/>
                                <w:color w:val="auto"/>
                                <w:szCs w:val="21"/>
                                <w:highlight w:val="none"/>
                                <w:u w:val="single"/>
                                <w:lang w:eastAsia="zh-CN"/>
                              </w:rPr>
                              <w:t>月</w:t>
                            </w:r>
                            <w:r>
                              <w:rPr>
                                <w:rFonts w:hint="eastAsia" w:ascii="仿宋_GB2312" w:hAnsi="仿宋" w:eastAsia="仿宋_GB2312"/>
                                <w:color w:val="auto"/>
                                <w:szCs w:val="21"/>
                                <w:highlight w:val="none"/>
                                <w:u w:val="single"/>
                                <w:lang w:val="en-US" w:eastAsia="zh-CN"/>
                              </w:rPr>
                              <w:t>14</w:t>
                            </w:r>
                            <w:r>
                              <w:rPr>
                                <w:rFonts w:hint="eastAsia" w:ascii="仿宋_GB2312" w:hAnsi="仿宋" w:eastAsia="仿宋_GB2312"/>
                                <w:color w:val="auto"/>
                                <w:szCs w:val="21"/>
                                <w:highlight w:val="none"/>
                                <w:u w:val="single"/>
                                <w:lang w:eastAsia="zh-CN"/>
                              </w:rPr>
                              <w:t>日</w:t>
                            </w:r>
                            <w:r>
                              <w:rPr>
                                <w:rFonts w:hint="eastAsia" w:ascii="仿宋_GB2312" w:hAnsi="仿宋" w:eastAsia="仿宋_GB2312"/>
                                <w:color w:val="auto"/>
                                <w:szCs w:val="21"/>
                                <w:highlight w:val="none"/>
                                <w:u w:val="single"/>
                                <w:lang w:val="en-US" w:eastAsia="zh-CN"/>
                              </w:rPr>
                              <w:t>10</w:t>
                            </w:r>
                            <w:r>
                              <w:rPr>
                                <w:rFonts w:hint="eastAsia" w:ascii="仿宋_GB2312" w:hAnsi="仿宋" w:eastAsia="仿宋_GB2312"/>
                                <w:color w:val="auto"/>
                                <w:szCs w:val="21"/>
                                <w:highlight w:val="none"/>
                                <w:u w:val="single"/>
                                <w:lang w:eastAsia="zh-CN"/>
                              </w:rPr>
                              <w:t>点</w:t>
                            </w:r>
                            <w:r>
                              <w:rPr>
                                <w:rFonts w:hint="eastAsia" w:ascii="仿宋_GB2312" w:hAnsi="仿宋" w:eastAsia="仿宋_GB2312"/>
                                <w:color w:val="auto"/>
                                <w:szCs w:val="21"/>
                                <w:highlight w:val="none"/>
                                <w:u w:val="single"/>
                                <w:lang w:val="en-US" w:eastAsia="zh-CN"/>
                              </w:rPr>
                              <w:t>0</w:t>
                            </w:r>
                            <w:r>
                              <w:rPr>
                                <w:rFonts w:hint="eastAsia" w:ascii="仿宋_GB2312" w:hAnsi="仿宋" w:eastAsia="仿宋_GB2312"/>
                                <w:color w:val="auto"/>
                                <w:szCs w:val="21"/>
                                <w:highlight w:val="none"/>
                                <w:u w:val="single"/>
                                <w:lang w:eastAsia="zh-CN"/>
                              </w:rPr>
                              <w:t>0</w:t>
                            </w:r>
                            <w:r>
                              <w:rPr>
                                <w:rFonts w:hint="eastAsia" w:ascii="仿宋_GB2312" w:hAnsi="仿宋" w:eastAsia="仿宋_GB2312"/>
                                <w:color w:val="auto"/>
                                <w:szCs w:val="21"/>
                                <w:highlight w:val="none"/>
                                <w:u w:val="single"/>
                              </w:rPr>
                              <w:t>分00秒（北京时间）</w:t>
                            </w:r>
                            <w:r>
                              <w:rPr>
                                <w:rFonts w:ascii="仿宋_GB2312" w:hAnsi="仿宋" w:eastAsia="仿宋_GB2312"/>
                                <w:color w:val="auto"/>
                                <w:szCs w:val="21"/>
                                <w:highlight w:val="none"/>
                                <w:u w:val="single"/>
                              </w:rPr>
                              <w:t>]</w:t>
                            </w:r>
                            <w:bookmarkEnd w:id="269"/>
                            <w:r>
                              <w:rPr>
                                <w:rFonts w:hint="eastAsia" w:ascii="仿宋_GB2312" w:hAnsi="仿宋" w:eastAsia="仿宋_GB2312"/>
                                <w:color w:val="auto"/>
                                <w:szCs w:val="21"/>
                                <w:highlight w:val="none"/>
                              </w:rPr>
                              <w:t>前提交响应</w:t>
                            </w:r>
                            <w:r>
                              <w:rPr>
                                <w:rFonts w:ascii="仿宋_GB2312" w:hAnsi="仿宋" w:eastAsia="仿宋_GB2312"/>
                                <w:color w:val="auto"/>
                                <w:szCs w:val="21"/>
                                <w:highlight w:val="none"/>
                              </w:rPr>
                              <w:t>文件</w:t>
                            </w:r>
                            <w:r>
                              <w:rPr>
                                <w:rFonts w:hint="eastAsia" w:ascii="仿宋_GB2312" w:hAnsi="仿宋" w:eastAsia="仿宋_GB2312"/>
                                <w:color w:val="auto"/>
                                <w:szCs w:val="21"/>
                                <w:highlight w:val="none"/>
                              </w:rPr>
                              <w:t>。</w:t>
                            </w:r>
                          </w:p>
                          <w:p w14:paraId="616C2F42"/>
                        </w:txbxContent>
                      </wps:txbx>
                      <wps:bodyPr vert="horz" wrap="square" anchor="t" anchorCtr="0" upright="1"/>
                    </wps:wsp>
                  </a:graphicData>
                </a:graphic>
              </wp:anchor>
            </w:drawing>
          </mc:Choice>
          <mc:Fallback>
            <w:pict>
              <v:shape id="文本框 101" o:spid="_x0000_s1026" o:spt="202" type="#_x0000_t202" style="position:absolute;left:0pt;margin-left:-18.45pt;margin-top:48.95pt;height:100.05pt;width:479.85pt;z-index:251659264;mso-width-relative:page;mso-height-relative:page;" fillcolor="#FFFFFF" filled="t" stroked="f" coordsize="21600,21600" o:gfxdata="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6xXvQNgAAAAKAQAADwAAAAAAAAABACAAAAAiAAAAZHJzL2Rvd25yZXYueG1sUEsBAhQAFAAAAAgA&#10;h07iQAgFq6DsAQAAxAMAAA4AAAAAAAAAAQAgAAAAJwEAAGRycy9lMm9Eb2MueG1sUEsFBgAAAAAG&#10;AAYAWQEAAIUFAAAAAA==&#10;">
                <v:fill on="t" focussize="0,0"/>
                <v:stroke on="f"/>
                <v:imagedata o:title=""/>
                <o:lock v:ext="edit" aspectratio="f"/>
                <v:textbox>
                  <w:txbxContent>
                    <w:p w14:paraId="2E2E0C25">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color w:val="000000"/>
                          <w:szCs w:val="21"/>
                        </w:rPr>
                      </w:pPr>
                      <w:r>
                        <w:rPr>
                          <w:rFonts w:hint="eastAsia" w:ascii="宋体" w:hAnsi="宋体"/>
                          <w:color w:val="000000"/>
                          <w:szCs w:val="21"/>
                        </w:rPr>
                        <w:t>项目概况</w:t>
                      </w:r>
                    </w:p>
                    <w:p w14:paraId="46204ECB">
                      <w:pPr>
                        <w:pBdr>
                          <w:top w:val="single" w:color="auto" w:sz="4" w:space="1"/>
                          <w:left w:val="single" w:color="auto" w:sz="4" w:space="4"/>
                          <w:bottom w:val="single" w:color="auto" w:sz="4" w:space="1"/>
                          <w:right w:val="single" w:color="auto" w:sz="4" w:space="4"/>
                        </w:pBdr>
                        <w:spacing w:line="360" w:lineRule="auto"/>
                        <w:ind w:firstLine="420" w:firstLineChars="200"/>
                        <w:rPr>
                          <w:rFonts w:ascii="仿宋_GB2312" w:hAnsi="仿宋" w:eastAsia="仿宋_GB2312"/>
                          <w:szCs w:val="21"/>
                        </w:rPr>
                      </w:pPr>
                      <w:r>
                        <w:rPr>
                          <w:rFonts w:hint="eastAsia" w:ascii="仿宋_GB2312" w:hAnsi="仿宋" w:eastAsia="仿宋_GB2312"/>
                          <w:szCs w:val="21"/>
                          <w:u w:val="single"/>
                          <w:lang w:eastAsia="zh-CN"/>
                        </w:rPr>
                        <w:t>隆安县电子政务外网一期线路租用及设备升级服务项目</w:t>
                      </w:r>
                      <w:r>
                        <w:rPr>
                          <w:rFonts w:hint="eastAsia" w:ascii="仿宋_GB2312" w:hAnsi="仿宋" w:eastAsia="仿宋_GB2312"/>
                          <w:szCs w:val="21"/>
                        </w:rPr>
                        <w:t>的潜在供应商应在政采云平台（</w:t>
                      </w:r>
                      <w:r>
                        <w:rPr>
                          <w:rFonts w:hint="eastAsia" w:ascii="宋体" w:hAnsi="宋体"/>
                          <w:color w:val="auto"/>
                          <w:szCs w:val="21"/>
                          <w:highlight w:val="none"/>
                        </w:rPr>
                        <w:t>https://www.gcy.zfcg.gxzf.gov.cn/</w:t>
                      </w:r>
                      <w:r>
                        <w:rPr>
                          <w:rFonts w:hint="eastAsia" w:ascii="仿宋_GB2312" w:hAnsi="仿宋" w:eastAsia="仿宋_GB2312"/>
                          <w:szCs w:val="21"/>
                        </w:rPr>
                        <w:t>）获取（下载）获取竞争性磋商文件，</w:t>
                      </w:r>
                      <w:r>
                        <w:rPr>
                          <w:rFonts w:hint="eastAsia" w:ascii="仿宋_GB2312" w:hAnsi="仿宋" w:eastAsia="仿宋_GB2312"/>
                          <w:szCs w:val="21"/>
                          <w:highlight w:val="none"/>
                        </w:rPr>
                        <w:t>并于</w:t>
                      </w:r>
                      <w:bookmarkStart w:id="269" w:name="PO_3000001868_PM015_2"/>
                      <w:r>
                        <w:rPr>
                          <w:rFonts w:ascii="仿宋_GB2312" w:hAnsi="仿宋" w:eastAsia="仿宋_GB2312"/>
                          <w:color w:val="auto"/>
                          <w:szCs w:val="21"/>
                          <w:highlight w:val="none"/>
                          <w:u w:val="single"/>
                        </w:rPr>
                        <w:t>[</w:t>
                      </w:r>
                      <w:r>
                        <w:rPr>
                          <w:rFonts w:hint="eastAsia" w:ascii="仿宋_GB2312" w:hAnsi="仿宋" w:eastAsia="仿宋_GB2312"/>
                          <w:color w:val="auto"/>
                          <w:szCs w:val="21"/>
                          <w:highlight w:val="none"/>
                          <w:u w:val="single"/>
                          <w:lang w:eastAsia="zh-CN"/>
                        </w:rPr>
                        <w:t>202</w:t>
                      </w:r>
                      <w:r>
                        <w:rPr>
                          <w:rFonts w:hint="eastAsia" w:ascii="仿宋_GB2312" w:hAnsi="仿宋" w:eastAsia="仿宋_GB2312"/>
                          <w:color w:val="auto"/>
                          <w:szCs w:val="21"/>
                          <w:highlight w:val="none"/>
                          <w:u w:val="single"/>
                          <w:lang w:val="en-US" w:eastAsia="zh-CN"/>
                        </w:rPr>
                        <w:t>6</w:t>
                      </w:r>
                      <w:r>
                        <w:rPr>
                          <w:rFonts w:hint="eastAsia" w:ascii="仿宋_GB2312" w:hAnsi="仿宋" w:eastAsia="仿宋_GB2312"/>
                          <w:color w:val="auto"/>
                          <w:szCs w:val="21"/>
                          <w:highlight w:val="none"/>
                          <w:u w:val="single"/>
                          <w:lang w:eastAsia="zh-CN"/>
                        </w:rPr>
                        <w:t>年</w:t>
                      </w:r>
                      <w:r>
                        <w:rPr>
                          <w:rFonts w:hint="eastAsia" w:ascii="仿宋_GB2312" w:hAnsi="仿宋" w:eastAsia="仿宋_GB2312"/>
                          <w:color w:val="auto"/>
                          <w:szCs w:val="21"/>
                          <w:highlight w:val="none"/>
                          <w:u w:val="single"/>
                          <w:lang w:val="en-US" w:eastAsia="zh-CN"/>
                        </w:rPr>
                        <w:t>7</w:t>
                      </w:r>
                      <w:r>
                        <w:rPr>
                          <w:rFonts w:hint="eastAsia" w:ascii="仿宋_GB2312" w:hAnsi="仿宋" w:eastAsia="仿宋_GB2312"/>
                          <w:color w:val="auto"/>
                          <w:szCs w:val="21"/>
                          <w:highlight w:val="none"/>
                          <w:u w:val="single"/>
                          <w:lang w:eastAsia="zh-CN"/>
                        </w:rPr>
                        <w:t>月</w:t>
                      </w:r>
                      <w:r>
                        <w:rPr>
                          <w:rFonts w:hint="eastAsia" w:ascii="仿宋_GB2312" w:hAnsi="仿宋" w:eastAsia="仿宋_GB2312"/>
                          <w:color w:val="auto"/>
                          <w:szCs w:val="21"/>
                          <w:highlight w:val="none"/>
                          <w:u w:val="single"/>
                          <w:lang w:val="en-US" w:eastAsia="zh-CN"/>
                        </w:rPr>
                        <w:t>14</w:t>
                      </w:r>
                      <w:r>
                        <w:rPr>
                          <w:rFonts w:hint="eastAsia" w:ascii="仿宋_GB2312" w:hAnsi="仿宋" w:eastAsia="仿宋_GB2312"/>
                          <w:color w:val="auto"/>
                          <w:szCs w:val="21"/>
                          <w:highlight w:val="none"/>
                          <w:u w:val="single"/>
                          <w:lang w:eastAsia="zh-CN"/>
                        </w:rPr>
                        <w:t>日</w:t>
                      </w:r>
                      <w:r>
                        <w:rPr>
                          <w:rFonts w:hint="eastAsia" w:ascii="仿宋_GB2312" w:hAnsi="仿宋" w:eastAsia="仿宋_GB2312"/>
                          <w:color w:val="auto"/>
                          <w:szCs w:val="21"/>
                          <w:highlight w:val="none"/>
                          <w:u w:val="single"/>
                          <w:lang w:val="en-US" w:eastAsia="zh-CN"/>
                        </w:rPr>
                        <w:t>10</w:t>
                      </w:r>
                      <w:r>
                        <w:rPr>
                          <w:rFonts w:hint="eastAsia" w:ascii="仿宋_GB2312" w:hAnsi="仿宋" w:eastAsia="仿宋_GB2312"/>
                          <w:color w:val="auto"/>
                          <w:szCs w:val="21"/>
                          <w:highlight w:val="none"/>
                          <w:u w:val="single"/>
                          <w:lang w:eastAsia="zh-CN"/>
                        </w:rPr>
                        <w:t>点</w:t>
                      </w:r>
                      <w:r>
                        <w:rPr>
                          <w:rFonts w:hint="eastAsia" w:ascii="仿宋_GB2312" w:hAnsi="仿宋" w:eastAsia="仿宋_GB2312"/>
                          <w:color w:val="auto"/>
                          <w:szCs w:val="21"/>
                          <w:highlight w:val="none"/>
                          <w:u w:val="single"/>
                          <w:lang w:val="en-US" w:eastAsia="zh-CN"/>
                        </w:rPr>
                        <w:t>0</w:t>
                      </w:r>
                      <w:r>
                        <w:rPr>
                          <w:rFonts w:hint="eastAsia" w:ascii="仿宋_GB2312" w:hAnsi="仿宋" w:eastAsia="仿宋_GB2312"/>
                          <w:color w:val="auto"/>
                          <w:szCs w:val="21"/>
                          <w:highlight w:val="none"/>
                          <w:u w:val="single"/>
                          <w:lang w:eastAsia="zh-CN"/>
                        </w:rPr>
                        <w:t>0</w:t>
                      </w:r>
                      <w:r>
                        <w:rPr>
                          <w:rFonts w:hint="eastAsia" w:ascii="仿宋_GB2312" w:hAnsi="仿宋" w:eastAsia="仿宋_GB2312"/>
                          <w:color w:val="auto"/>
                          <w:szCs w:val="21"/>
                          <w:highlight w:val="none"/>
                          <w:u w:val="single"/>
                        </w:rPr>
                        <w:t>分00秒（北京时间）</w:t>
                      </w:r>
                      <w:r>
                        <w:rPr>
                          <w:rFonts w:ascii="仿宋_GB2312" w:hAnsi="仿宋" w:eastAsia="仿宋_GB2312"/>
                          <w:color w:val="auto"/>
                          <w:szCs w:val="21"/>
                          <w:highlight w:val="none"/>
                          <w:u w:val="single"/>
                        </w:rPr>
                        <w:t>]</w:t>
                      </w:r>
                      <w:bookmarkEnd w:id="269"/>
                      <w:r>
                        <w:rPr>
                          <w:rFonts w:hint="eastAsia" w:ascii="仿宋_GB2312" w:hAnsi="仿宋" w:eastAsia="仿宋_GB2312"/>
                          <w:color w:val="auto"/>
                          <w:szCs w:val="21"/>
                          <w:highlight w:val="none"/>
                        </w:rPr>
                        <w:t>前提交响应</w:t>
                      </w:r>
                      <w:r>
                        <w:rPr>
                          <w:rFonts w:ascii="仿宋_GB2312" w:hAnsi="仿宋" w:eastAsia="仿宋_GB2312"/>
                          <w:color w:val="auto"/>
                          <w:szCs w:val="21"/>
                          <w:highlight w:val="none"/>
                        </w:rPr>
                        <w:t>文件</w:t>
                      </w:r>
                      <w:r>
                        <w:rPr>
                          <w:rFonts w:hint="eastAsia" w:ascii="仿宋_GB2312" w:hAnsi="仿宋" w:eastAsia="仿宋_GB2312"/>
                          <w:color w:val="auto"/>
                          <w:szCs w:val="21"/>
                          <w:highlight w:val="none"/>
                        </w:rPr>
                        <w:t>。</w:t>
                      </w:r>
                    </w:p>
                    <w:p w14:paraId="616C2F42"/>
                  </w:txbxContent>
                </v:textbox>
              </v:shape>
            </w:pict>
          </mc:Fallback>
        </mc:AlternateContent>
      </w:r>
      <w:r>
        <w:rPr>
          <w:rFonts w:hint="eastAsia"/>
          <w:b/>
          <w:bCs/>
          <w:color w:val="auto"/>
          <w:kern w:val="44"/>
          <w:sz w:val="44"/>
          <w:szCs w:val="44"/>
          <w:highlight w:val="none"/>
        </w:rPr>
        <w:t>第一章</w:t>
      </w:r>
      <w:r>
        <w:rPr>
          <w:rFonts w:hint="eastAsia"/>
          <w:b/>
          <w:bCs/>
          <w:color w:val="auto"/>
          <w:kern w:val="44"/>
          <w:sz w:val="44"/>
          <w:szCs w:val="44"/>
          <w:highlight w:val="none"/>
          <w:lang w:val="en-US" w:eastAsia="zh-CN"/>
        </w:rPr>
        <w:t xml:space="preserve"> </w:t>
      </w:r>
      <w:r>
        <w:rPr>
          <w:rFonts w:hint="eastAsia"/>
          <w:b/>
          <w:bCs/>
          <w:color w:val="auto"/>
          <w:kern w:val="44"/>
          <w:sz w:val="44"/>
          <w:szCs w:val="44"/>
          <w:highlight w:val="none"/>
        </w:rPr>
        <w:t>竞争性磋商公告</w:t>
      </w:r>
      <w:bookmarkEnd w:id="1"/>
      <w:bookmarkStart w:id="2" w:name="_Toc35393798"/>
      <w:bookmarkStart w:id="3" w:name="_Toc28359089"/>
      <w:bookmarkStart w:id="4" w:name="_Toc44229878"/>
      <w:bookmarkStart w:id="5" w:name="_Toc35393629"/>
      <w:bookmarkStart w:id="6" w:name="_Toc28359012"/>
      <w:bookmarkStart w:id="7" w:name="_Toc28359004"/>
      <w:bookmarkStart w:id="8" w:name="_Toc35393792"/>
      <w:bookmarkStart w:id="9" w:name="_Toc28359081"/>
      <w:bookmarkStart w:id="10" w:name="_Toc35393623"/>
    </w:p>
    <w:p w14:paraId="24E22E0D">
      <w:pPr>
        <w:keepNext/>
        <w:keepLines/>
        <w:spacing w:before="340" w:after="330" w:line="400" w:lineRule="exact"/>
        <w:ind w:firstLine="482" w:firstLineChars="200"/>
        <w:outlineLvl w:val="9"/>
        <w:rPr>
          <w:rFonts w:ascii="黑体" w:hAnsi="黑体" w:eastAsia="黑体" w:cs="宋体"/>
          <w:b/>
          <w:color w:val="auto"/>
          <w:kern w:val="44"/>
          <w:sz w:val="24"/>
          <w:highlight w:val="none"/>
        </w:rPr>
      </w:pPr>
    </w:p>
    <w:p w14:paraId="3F855A63">
      <w:pPr>
        <w:keepNext/>
        <w:keepLines/>
        <w:spacing w:before="340" w:after="330" w:line="400" w:lineRule="exact"/>
        <w:ind w:firstLine="482" w:firstLineChars="200"/>
        <w:outlineLvl w:val="9"/>
        <w:rPr>
          <w:rFonts w:ascii="黑体" w:hAnsi="黑体" w:eastAsia="黑体" w:cs="宋体"/>
          <w:b/>
          <w:color w:val="auto"/>
          <w:kern w:val="44"/>
          <w:sz w:val="24"/>
          <w:highlight w:val="none"/>
        </w:rPr>
      </w:pPr>
    </w:p>
    <w:p w14:paraId="557059D8">
      <w:pPr>
        <w:spacing w:line="360" w:lineRule="auto"/>
        <w:rPr>
          <w:rFonts w:ascii="黑体" w:hAnsi="黑体" w:eastAsia="黑体" w:cs="宋体"/>
          <w:bCs/>
          <w:color w:val="auto"/>
          <w:sz w:val="24"/>
          <w:highlight w:val="none"/>
        </w:rPr>
      </w:pPr>
    </w:p>
    <w:p w14:paraId="7B76D8F7">
      <w:pPr>
        <w:spacing w:line="360" w:lineRule="auto"/>
        <w:rPr>
          <w:color w:val="auto"/>
          <w:highlight w:val="none"/>
        </w:rPr>
      </w:pPr>
      <w:r>
        <w:rPr>
          <w:rFonts w:hint="eastAsia" w:ascii="黑体" w:hAnsi="黑体" w:eastAsia="黑体" w:cs="宋体"/>
          <w:bCs/>
          <w:color w:val="auto"/>
          <w:sz w:val="24"/>
          <w:highlight w:val="none"/>
          <w:lang w:val="en-US" w:eastAsia="zh-CN"/>
        </w:rPr>
        <w:t>一、项目</w:t>
      </w:r>
      <w:r>
        <w:rPr>
          <w:rFonts w:hint="eastAsia" w:ascii="黑体" w:hAnsi="黑体" w:eastAsia="黑体" w:cs="宋体"/>
          <w:bCs/>
          <w:color w:val="auto"/>
          <w:sz w:val="24"/>
          <w:highlight w:val="none"/>
        </w:rPr>
        <w:t>基本情况</w:t>
      </w:r>
      <w:bookmarkEnd w:id="2"/>
      <w:bookmarkEnd w:id="3"/>
      <w:bookmarkEnd w:id="4"/>
      <w:bookmarkEnd w:id="5"/>
      <w:bookmarkEnd w:id="6"/>
    </w:p>
    <w:p w14:paraId="66BE5FAA">
      <w:pPr>
        <w:spacing w:line="360" w:lineRule="auto"/>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1</w:t>
      </w:r>
      <w:r>
        <w:rPr>
          <w:rFonts w:ascii="宋体" w:hAnsi="宋体"/>
          <w:color w:val="auto"/>
          <w:szCs w:val="21"/>
          <w:highlight w:val="none"/>
        </w:rPr>
        <w:t>.</w:t>
      </w:r>
      <w:r>
        <w:rPr>
          <w:rFonts w:hint="eastAsia" w:ascii="宋体" w:hAnsi="宋体"/>
          <w:color w:val="auto"/>
          <w:szCs w:val="21"/>
          <w:highlight w:val="none"/>
        </w:rPr>
        <w:t>项目编号：</w:t>
      </w:r>
      <w:r>
        <w:rPr>
          <w:rFonts w:hint="eastAsia" w:ascii="宋体" w:hAnsi="宋体"/>
          <w:color w:val="auto"/>
          <w:szCs w:val="21"/>
          <w:highlight w:val="none"/>
          <w:lang w:eastAsia="zh-CN"/>
        </w:rPr>
        <w:t>NNZC2026-C3-230061-NNSL</w:t>
      </w:r>
    </w:p>
    <w:p w14:paraId="1DCD32D5">
      <w:pPr>
        <w:spacing w:line="360" w:lineRule="auto"/>
        <w:ind w:firstLine="420" w:firstLineChars="200"/>
        <w:rPr>
          <w:rFonts w:hint="eastAsia" w:ascii="宋体" w:hAnsi="宋体" w:eastAsia="宋体"/>
          <w:color w:val="auto"/>
          <w:szCs w:val="21"/>
          <w:highlight w:val="none"/>
          <w:u w:val="single"/>
          <w:lang w:eastAsia="zh-CN"/>
        </w:rPr>
      </w:pPr>
      <w:r>
        <w:rPr>
          <w:rFonts w:hint="eastAsia" w:ascii="宋体" w:hAnsi="宋体"/>
          <w:color w:val="auto"/>
          <w:szCs w:val="21"/>
          <w:highlight w:val="none"/>
        </w:rPr>
        <w:t>2</w:t>
      </w:r>
      <w:r>
        <w:rPr>
          <w:rFonts w:ascii="宋体" w:hAnsi="宋体"/>
          <w:color w:val="auto"/>
          <w:szCs w:val="21"/>
          <w:highlight w:val="none"/>
        </w:rPr>
        <w:t>.</w:t>
      </w:r>
      <w:r>
        <w:rPr>
          <w:rFonts w:hint="eastAsia" w:ascii="宋体" w:hAnsi="宋体"/>
          <w:color w:val="auto"/>
          <w:szCs w:val="21"/>
          <w:highlight w:val="none"/>
        </w:rPr>
        <w:t>项目名称：</w:t>
      </w:r>
      <w:r>
        <w:rPr>
          <w:rFonts w:hint="eastAsia" w:ascii="宋体" w:hAnsi="宋体"/>
          <w:color w:val="auto"/>
          <w:szCs w:val="21"/>
          <w:highlight w:val="none"/>
          <w:lang w:eastAsia="zh-CN"/>
        </w:rPr>
        <w:t>隆安县电子政务外网一期线路租用及设备升级服务项目</w:t>
      </w:r>
    </w:p>
    <w:p w14:paraId="3C5FD837">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w:t>
      </w:r>
      <w:r>
        <w:rPr>
          <w:rFonts w:ascii="宋体" w:hAnsi="宋体"/>
          <w:color w:val="auto"/>
          <w:szCs w:val="21"/>
          <w:highlight w:val="none"/>
        </w:rPr>
        <w:t>.</w:t>
      </w:r>
      <w:r>
        <w:rPr>
          <w:rFonts w:hint="eastAsia" w:ascii="宋体" w:hAnsi="宋体"/>
          <w:color w:val="auto"/>
          <w:szCs w:val="21"/>
          <w:highlight w:val="none"/>
        </w:rPr>
        <w:t>采购方式：竞争性磋商</w:t>
      </w:r>
    </w:p>
    <w:p w14:paraId="0A33A630">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w:t>
      </w:r>
      <w:r>
        <w:rPr>
          <w:rFonts w:ascii="宋体" w:hAnsi="宋体"/>
          <w:color w:val="auto"/>
          <w:szCs w:val="21"/>
          <w:highlight w:val="none"/>
        </w:rPr>
        <w:t>.</w:t>
      </w:r>
      <w:r>
        <w:rPr>
          <w:rFonts w:hint="eastAsia" w:ascii="宋体" w:hAnsi="宋体"/>
          <w:color w:val="auto"/>
          <w:szCs w:val="21"/>
          <w:highlight w:val="none"/>
        </w:rPr>
        <w:t>预算金额：</w:t>
      </w:r>
      <w:r>
        <w:rPr>
          <w:rFonts w:hint="eastAsia" w:ascii="宋体" w:hAnsi="宋体"/>
          <w:color w:val="auto"/>
          <w:szCs w:val="21"/>
          <w:highlight w:val="none"/>
          <w:lang w:val="en-US" w:eastAsia="zh-CN"/>
        </w:rPr>
        <w:t>2,981,200</w:t>
      </w:r>
      <w:r>
        <w:rPr>
          <w:rFonts w:hint="eastAsia" w:ascii="宋体" w:hAnsi="宋体"/>
          <w:color w:val="auto"/>
          <w:szCs w:val="21"/>
          <w:highlight w:val="none"/>
        </w:rPr>
        <w:t>元</w:t>
      </w:r>
    </w:p>
    <w:p w14:paraId="34151CFE">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w:t>
      </w:r>
      <w:r>
        <w:rPr>
          <w:rFonts w:ascii="宋体" w:hAnsi="宋体"/>
          <w:color w:val="auto"/>
          <w:szCs w:val="21"/>
          <w:highlight w:val="none"/>
        </w:rPr>
        <w:t>.</w:t>
      </w:r>
      <w:r>
        <w:rPr>
          <w:rFonts w:hint="eastAsia" w:ascii="宋体" w:hAnsi="宋体"/>
          <w:color w:val="auto"/>
          <w:szCs w:val="21"/>
          <w:highlight w:val="none"/>
        </w:rPr>
        <w:t>最高限价</w:t>
      </w:r>
      <w:bookmarkStart w:id="11" w:name="_Hlk66782034"/>
      <w:r>
        <w:rPr>
          <w:rFonts w:hint="eastAsia" w:ascii="宋体" w:hAnsi="宋体"/>
          <w:color w:val="auto"/>
          <w:szCs w:val="21"/>
          <w:highlight w:val="none"/>
        </w:rPr>
        <w:t>（如有）</w:t>
      </w:r>
      <w:bookmarkEnd w:id="11"/>
      <w:r>
        <w:rPr>
          <w:rFonts w:hint="eastAsia" w:ascii="宋体" w:hAnsi="宋体"/>
          <w:color w:val="auto"/>
          <w:szCs w:val="21"/>
          <w:highlight w:val="none"/>
        </w:rPr>
        <w:t>：</w:t>
      </w:r>
      <w:r>
        <w:rPr>
          <w:rFonts w:hint="eastAsia" w:ascii="宋体" w:hAnsi="宋体"/>
          <w:color w:val="auto"/>
          <w:szCs w:val="21"/>
          <w:highlight w:val="none"/>
          <w:lang w:val="en-US" w:eastAsia="zh-CN"/>
        </w:rPr>
        <w:t>2,981,200</w:t>
      </w:r>
      <w:r>
        <w:rPr>
          <w:rFonts w:hint="eastAsia" w:ascii="宋体" w:hAnsi="宋体"/>
          <w:color w:val="auto"/>
          <w:szCs w:val="21"/>
          <w:highlight w:val="none"/>
        </w:rPr>
        <w:t>元</w:t>
      </w:r>
    </w:p>
    <w:p w14:paraId="06AB7A48">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w:t>
      </w:r>
      <w:r>
        <w:rPr>
          <w:rFonts w:ascii="宋体" w:hAnsi="宋体"/>
          <w:color w:val="auto"/>
          <w:szCs w:val="21"/>
          <w:highlight w:val="none"/>
        </w:rPr>
        <w:t>.</w:t>
      </w:r>
      <w:r>
        <w:rPr>
          <w:rFonts w:hint="eastAsia" w:ascii="宋体" w:hAnsi="宋体"/>
          <w:color w:val="auto"/>
          <w:szCs w:val="21"/>
          <w:highlight w:val="none"/>
        </w:rPr>
        <w:t>采购需求：</w:t>
      </w:r>
    </w:p>
    <w:tbl>
      <w:tblPr>
        <w:tblStyle w:val="30"/>
        <w:tblW w:w="947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91"/>
        <w:gridCol w:w="1905"/>
        <w:gridCol w:w="928"/>
        <w:gridCol w:w="913"/>
        <w:gridCol w:w="5041"/>
      </w:tblGrid>
      <w:tr w14:paraId="6278D8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6" w:hRule="atLeast"/>
        </w:trPr>
        <w:tc>
          <w:tcPr>
            <w:tcW w:w="691" w:type="dxa"/>
            <w:tcBorders>
              <w:top w:val="single" w:color="auto" w:sz="4" w:space="0"/>
              <w:left w:val="single" w:color="auto" w:sz="4" w:space="0"/>
              <w:bottom w:val="single" w:color="auto" w:sz="4" w:space="0"/>
              <w:right w:val="single" w:color="auto" w:sz="4" w:space="0"/>
            </w:tcBorders>
            <w:noWrap w:val="0"/>
            <w:vAlign w:val="center"/>
          </w:tcPr>
          <w:p w14:paraId="16C101A1">
            <w:pPr>
              <w:keepNext w:val="0"/>
              <w:keepLines w:val="0"/>
              <w:suppressLineNumbers w:val="0"/>
              <w:snapToGrid w:val="0"/>
              <w:spacing w:before="0" w:beforeAutospacing="0" w:after="0" w:afterAutospacing="0" w:line="360" w:lineRule="auto"/>
              <w:ind w:left="0" w:right="0"/>
              <w:jc w:val="center"/>
              <w:rPr>
                <w:rFonts w:hint="default" w:ascii="宋体" w:hAnsi="宋体" w:cs="Times New Roman"/>
                <w:color w:val="auto"/>
                <w:szCs w:val="21"/>
                <w:highlight w:val="none"/>
              </w:rPr>
            </w:pPr>
            <w:r>
              <w:rPr>
                <w:rFonts w:hint="eastAsia" w:ascii="宋体" w:hAnsi="宋体" w:cs="Times New Roman"/>
                <w:color w:val="auto"/>
                <w:szCs w:val="21"/>
                <w:highlight w:val="none"/>
              </w:rPr>
              <w:t>序号</w:t>
            </w:r>
          </w:p>
        </w:tc>
        <w:tc>
          <w:tcPr>
            <w:tcW w:w="1905" w:type="dxa"/>
            <w:tcBorders>
              <w:top w:val="single" w:color="auto" w:sz="4" w:space="0"/>
              <w:left w:val="single" w:color="auto" w:sz="4" w:space="0"/>
              <w:bottom w:val="single" w:color="auto" w:sz="4" w:space="0"/>
              <w:right w:val="single" w:color="auto" w:sz="4" w:space="0"/>
            </w:tcBorders>
            <w:noWrap w:val="0"/>
            <w:vAlign w:val="center"/>
          </w:tcPr>
          <w:p w14:paraId="4A626FD9">
            <w:pPr>
              <w:keepNext w:val="0"/>
              <w:keepLines w:val="0"/>
              <w:suppressLineNumbers w:val="0"/>
              <w:snapToGrid w:val="0"/>
              <w:spacing w:before="0" w:beforeAutospacing="0" w:after="0" w:afterAutospacing="0" w:line="360" w:lineRule="auto"/>
              <w:ind w:left="0" w:right="0"/>
              <w:jc w:val="center"/>
              <w:rPr>
                <w:rFonts w:hint="default" w:ascii="宋体" w:hAnsi="宋体" w:cs="Times New Roman"/>
                <w:color w:val="auto"/>
                <w:szCs w:val="21"/>
                <w:highlight w:val="none"/>
              </w:rPr>
            </w:pPr>
            <w:r>
              <w:rPr>
                <w:rFonts w:hint="eastAsia" w:ascii="宋体" w:hAnsi="宋体" w:cs="Times New Roman"/>
                <w:color w:val="auto"/>
                <w:szCs w:val="21"/>
                <w:highlight w:val="none"/>
              </w:rPr>
              <w:t>标的的名称</w:t>
            </w:r>
          </w:p>
        </w:tc>
        <w:tc>
          <w:tcPr>
            <w:tcW w:w="928" w:type="dxa"/>
            <w:tcBorders>
              <w:top w:val="single" w:color="auto" w:sz="4" w:space="0"/>
              <w:left w:val="single" w:color="auto" w:sz="4" w:space="0"/>
              <w:bottom w:val="single" w:color="auto" w:sz="4" w:space="0"/>
              <w:right w:val="single" w:color="auto" w:sz="4" w:space="0"/>
            </w:tcBorders>
            <w:noWrap w:val="0"/>
            <w:vAlign w:val="center"/>
          </w:tcPr>
          <w:p w14:paraId="6FF85F24">
            <w:pPr>
              <w:keepNext w:val="0"/>
              <w:keepLines w:val="0"/>
              <w:suppressLineNumbers w:val="0"/>
              <w:snapToGrid w:val="0"/>
              <w:spacing w:before="0" w:beforeAutospacing="0" w:after="0" w:afterAutospacing="0" w:line="360" w:lineRule="auto"/>
              <w:ind w:left="-2" w:leftChars="-1" w:right="0" w:firstLine="31" w:firstLineChars="15"/>
              <w:jc w:val="center"/>
              <w:rPr>
                <w:rFonts w:hint="default" w:ascii="宋体" w:hAnsi="宋体" w:cs="Times New Roman"/>
                <w:color w:val="auto"/>
                <w:szCs w:val="21"/>
                <w:highlight w:val="none"/>
              </w:rPr>
            </w:pPr>
            <w:r>
              <w:rPr>
                <w:rFonts w:hint="eastAsia" w:ascii="宋体" w:hAnsi="宋体" w:cs="Times New Roman"/>
                <w:color w:val="auto"/>
                <w:szCs w:val="21"/>
                <w:highlight w:val="none"/>
              </w:rPr>
              <w:t>单位</w:t>
            </w:r>
          </w:p>
        </w:tc>
        <w:tc>
          <w:tcPr>
            <w:tcW w:w="913" w:type="dxa"/>
            <w:tcBorders>
              <w:top w:val="single" w:color="auto" w:sz="4" w:space="0"/>
              <w:left w:val="single" w:color="auto" w:sz="4" w:space="0"/>
              <w:bottom w:val="single" w:color="auto" w:sz="4" w:space="0"/>
              <w:right w:val="single" w:color="auto" w:sz="4" w:space="0"/>
            </w:tcBorders>
            <w:noWrap w:val="0"/>
            <w:vAlign w:val="center"/>
          </w:tcPr>
          <w:p w14:paraId="0BFF7C91">
            <w:pPr>
              <w:keepNext w:val="0"/>
              <w:keepLines w:val="0"/>
              <w:suppressLineNumbers w:val="0"/>
              <w:snapToGrid w:val="0"/>
              <w:spacing w:before="0" w:beforeAutospacing="0" w:after="0" w:afterAutospacing="0" w:line="360" w:lineRule="auto"/>
              <w:ind w:left="0" w:right="0"/>
              <w:jc w:val="center"/>
              <w:rPr>
                <w:rFonts w:hint="default" w:ascii="宋体" w:hAnsi="宋体" w:cs="Times New Roman"/>
                <w:color w:val="auto"/>
                <w:szCs w:val="21"/>
                <w:highlight w:val="none"/>
              </w:rPr>
            </w:pPr>
            <w:r>
              <w:rPr>
                <w:rFonts w:hint="eastAsia" w:ascii="宋体" w:hAnsi="宋体" w:cs="Times New Roman"/>
                <w:color w:val="auto"/>
                <w:szCs w:val="21"/>
                <w:highlight w:val="none"/>
              </w:rPr>
              <w:t>数量</w:t>
            </w:r>
          </w:p>
        </w:tc>
        <w:tc>
          <w:tcPr>
            <w:tcW w:w="5041" w:type="dxa"/>
            <w:tcBorders>
              <w:top w:val="single" w:color="auto" w:sz="4" w:space="0"/>
              <w:left w:val="single" w:color="auto" w:sz="4" w:space="0"/>
              <w:bottom w:val="single" w:color="auto" w:sz="4" w:space="0"/>
              <w:right w:val="single" w:color="auto" w:sz="4" w:space="0"/>
            </w:tcBorders>
            <w:noWrap w:val="0"/>
            <w:vAlign w:val="center"/>
          </w:tcPr>
          <w:p w14:paraId="01998632">
            <w:pPr>
              <w:keepNext w:val="0"/>
              <w:keepLines w:val="0"/>
              <w:suppressLineNumbers w:val="0"/>
              <w:snapToGrid w:val="0"/>
              <w:spacing w:before="0" w:beforeAutospacing="0" w:after="0" w:afterAutospacing="0" w:line="360" w:lineRule="auto"/>
              <w:ind w:left="0" w:right="0"/>
              <w:jc w:val="center"/>
              <w:rPr>
                <w:rFonts w:hint="default" w:ascii="宋体" w:hAnsi="宋体" w:cs="Times New Roman"/>
                <w:color w:val="auto"/>
                <w:szCs w:val="21"/>
                <w:highlight w:val="none"/>
              </w:rPr>
            </w:pPr>
            <w:r>
              <w:rPr>
                <w:rFonts w:hint="eastAsia" w:ascii="宋体" w:hAnsi="宋体" w:cs="Times New Roman"/>
                <w:color w:val="auto"/>
                <w:szCs w:val="21"/>
                <w:highlight w:val="none"/>
              </w:rPr>
              <w:t>简要技术需求或者服务要求</w:t>
            </w:r>
          </w:p>
        </w:tc>
      </w:tr>
      <w:tr w14:paraId="432FEB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01" w:hRule="atLeast"/>
        </w:trPr>
        <w:tc>
          <w:tcPr>
            <w:tcW w:w="691" w:type="dxa"/>
            <w:tcBorders>
              <w:top w:val="single" w:color="auto" w:sz="4" w:space="0"/>
              <w:left w:val="single" w:color="auto" w:sz="4" w:space="0"/>
              <w:bottom w:val="single" w:color="auto" w:sz="4" w:space="0"/>
              <w:right w:val="single" w:color="auto" w:sz="4" w:space="0"/>
            </w:tcBorders>
            <w:noWrap w:val="0"/>
            <w:vAlign w:val="center"/>
          </w:tcPr>
          <w:p w14:paraId="3B014238">
            <w:pPr>
              <w:keepNext w:val="0"/>
              <w:keepLines w:val="0"/>
              <w:suppressLineNumbers w:val="0"/>
              <w:snapToGrid w:val="0"/>
              <w:spacing w:before="0" w:beforeAutospacing="0" w:after="0" w:afterAutospacing="0" w:line="360" w:lineRule="auto"/>
              <w:ind w:left="0" w:right="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01</w:t>
            </w:r>
          </w:p>
        </w:tc>
        <w:tc>
          <w:tcPr>
            <w:tcW w:w="1905" w:type="dxa"/>
            <w:tcBorders>
              <w:top w:val="single" w:color="auto" w:sz="4" w:space="0"/>
              <w:left w:val="single" w:color="auto" w:sz="4" w:space="0"/>
              <w:bottom w:val="single" w:color="auto" w:sz="4" w:space="0"/>
              <w:right w:val="single" w:color="auto" w:sz="4" w:space="0"/>
            </w:tcBorders>
            <w:noWrap w:val="0"/>
            <w:vAlign w:val="center"/>
          </w:tcPr>
          <w:p w14:paraId="3320D98D">
            <w:pPr>
              <w:keepNext w:val="0"/>
              <w:keepLines w:val="0"/>
              <w:suppressLineNumbers w:val="0"/>
              <w:snapToGrid w:val="0"/>
              <w:spacing w:before="0" w:beforeAutospacing="0" w:after="0" w:afterAutospacing="0" w:line="360" w:lineRule="auto"/>
              <w:ind w:left="0" w:right="0"/>
              <w:jc w:val="center"/>
              <w:rPr>
                <w:rFonts w:hint="eastAsia" w:ascii="宋体" w:hAnsi="宋体" w:eastAsia="宋体" w:cs="宋体"/>
                <w:color w:val="auto"/>
                <w:szCs w:val="21"/>
                <w:highlight w:val="none"/>
                <w:lang w:eastAsia="zh-CN"/>
              </w:rPr>
            </w:pPr>
            <w:r>
              <w:rPr>
                <w:rFonts w:hint="eastAsia" w:ascii="宋体" w:hAnsi="宋体" w:eastAsia="宋体" w:cs="宋体"/>
                <w:color w:val="auto"/>
                <w:highlight w:val="none"/>
                <w:lang w:eastAsia="zh-CN"/>
              </w:rPr>
              <w:t>隆安县电子政务外网一期线路租用及设备升级服务项目</w:t>
            </w:r>
          </w:p>
        </w:tc>
        <w:tc>
          <w:tcPr>
            <w:tcW w:w="928" w:type="dxa"/>
            <w:tcBorders>
              <w:top w:val="single" w:color="auto" w:sz="4" w:space="0"/>
              <w:left w:val="single" w:color="auto" w:sz="4" w:space="0"/>
              <w:bottom w:val="single" w:color="auto" w:sz="4" w:space="0"/>
              <w:right w:val="single" w:color="auto" w:sz="4" w:space="0"/>
            </w:tcBorders>
            <w:noWrap w:val="0"/>
            <w:vAlign w:val="center"/>
          </w:tcPr>
          <w:p w14:paraId="0516015E">
            <w:pPr>
              <w:keepNext w:val="0"/>
              <w:keepLines w:val="0"/>
              <w:suppressLineNumbers w:val="0"/>
              <w:snapToGrid w:val="0"/>
              <w:spacing w:before="0" w:beforeAutospacing="0" w:after="0" w:afterAutospacing="0" w:line="360" w:lineRule="auto"/>
              <w:ind w:left="0" w:right="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w:t>
            </w:r>
          </w:p>
        </w:tc>
        <w:tc>
          <w:tcPr>
            <w:tcW w:w="913" w:type="dxa"/>
            <w:tcBorders>
              <w:top w:val="single" w:color="auto" w:sz="4" w:space="0"/>
              <w:left w:val="single" w:color="auto" w:sz="4" w:space="0"/>
              <w:bottom w:val="single" w:color="auto" w:sz="4" w:space="0"/>
              <w:right w:val="single" w:color="auto" w:sz="4" w:space="0"/>
            </w:tcBorders>
            <w:noWrap w:val="0"/>
            <w:vAlign w:val="center"/>
          </w:tcPr>
          <w:p w14:paraId="7B1307FC">
            <w:pPr>
              <w:keepNext w:val="0"/>
              <w:keepLines w:val="0"/>
              <w:suppressLineNumbers w:val="0"/>
              <w:snapToGrid w:val="0"/>
              <w:spacing w:before="0" w:beforeAutospacing="0" w:after="0" w:afterAutospacing="0" w:line="360" w:lineRule="auto"/>
              <w:ind w:left="0" w:right="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5041" w:type="dxa"/>
            <w:tcBorders>
              <w:top w:val="single" w:color="auto" w:sz="4" w:space="0"/>
              <w:left w:val="single" w:color="auto" w:sz="4" w:space="0"/>
              <w:bottom w:val="single" w:color="auto" w:sz="4" w:space="0"/>
              <w:right w:val="single" w:color="auto" w:sz="4" w:space="0"/>
            </w:tcBorders>
            <w:noWrap w:val="0"/>
            <w:vAlign w:val="center"/>
          </w:tcPr>
          <w:p w14:paraId="1B254357">
            <w:pPr>
              <w:keepNext w:val="0"/>
              <w:keepLines w:val="0"/>
              <w:numPr>
                <w:ilvl w:val="0"/>
                <w:numId w:val="0"/>
              </w:numPr>
              <w:suppressLineNumbers w:val="0"/>
              <w:snapToGrid w:val="0"/>
              <w:spacing w:before="0" w:beforeAutospacing="0" w:after="0" w:afterAutospacing="0" w:line="360" w:lineRule="auto"/>
              <w:ind w:left="0" w:right="0"/>
              <w:jc w:val="left"/>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具体详见竞争性磋商文件。</w:t>
            </w:r>
          </w:p>
        </w:tc>
      </w:tr>
    </w:tbl>
    <w:p w14:paraId="10262474">
      <w:pPr>
        <w:spacing w:line="360" w:lineRule="auto"/>
        <w:ind w:firstLine="420" w:firstLineChars="200"/>
        <w:rPr>
          <w:rFonts w:ascii="宋体" w:hAnsi="宋体"/>
          <w:color w:val="auto"/>
          <w:szCs w:val="21"/>
          <w:highlight w:val="none"/>
          <w:u w:val="single"/>
        </w:rPr>
      </w:pPr>
      <w:r>
        <w:rPr>
          <w:rFonts w:hint="eastAsia" w:ascii="宋体" w:hAnsi="宋体"/>
          <w:color w:val="auto"/>
          <w:szCs w:val="21"/>
          <w:highlight w:val="none"/>
        </w:rPr>
        <w:t>7</w:t>
      </w:r>
      <w:r>
        <w:rPr>
          <w:rFonts w:ascii="宋体" w:hAnsi="宋体"/>
          <w:color w:val="auto"/>
          <w:szCs w:val="21"/>
          <w:highlight w:val="none"/>
        </w:rPr>
        <w:t>.</w:t>
      </w:r>
      <w:r>
        <w:rPr>
          <w:rFonts w:hint="eastAsia" w:ascii="宋体" w:hAnsi="宋体"/>
          <w:color w:val="auto"/>
          <w:szCs w:val="21"/>
          <w:highlight w:val="none"/>
        </w:rPr>
        <w:t>合同履行期限：</w:t>
      </w:r>
      <w:r>
        <w:rPr>
          <w:rFonts w:hint="eastAsia"/>
          <w:color w:val="auto"/>
          <w:sz w:val="21"/>
          <w:szCs w:val="21"/>
          <w:lang w:val="en-US" w:eastAsia="zh-CN"/>
        </w:rPr>
        <w:t>三</w:t>
      </w:r>
      <w:r>
        <w:rPr>
          <w:rFonts w:hint="eastAsia"/>
          <w:color w:val="auto"/>
          <w:sz w:val="21"/>
          <w:szCs w:val="21"/>
          <w:lang w:eastAsia="zh-CN"/>
        </w:rPr>
        <w:t>年</w:t>
      </w:r>
      <w:r>
        <w:rPr>
          <w:rFonts w:hint="eastAsia" w:ascii="宋体" w:hAnsi="宋体" w:eastAsia="宋体" w:cs="宋体"/>
          <w:b w:val="0"/>
          <w:color w:val="auto"/>
          <w:spacing w:val="0"/>
          <w:kern w:val="2"/>
          <w:sz w:val="21"/>
          <w:szCs w:val="21"/>
          <w:highlight w:val="none"/>
        </w:rPr>
        <w:t>。</w:t>
      </w:r>
    </w:p>
    <w:p w14:paraId="75EEA437">
      <w:pPr>
        <w:spacing w:line="360" w:lineRule="auto"/>
        <w:ind w:firstLine="420" w:firstLineChars="200"/>
        <w:rPr>
          <w:rFonts w:ascii="宋体" w:hAnsi="宋体"/>
          <w:color w:val="auto"/>
          <w:szCs w:val="21"/>
          <w:highlight w:val="none"/>
        </w:rPr>
      </w:pPr>
      <w:r>
        <w:rPr>
          <w:rFonts w:ascii="宋体" w:hAnsi="宋体"/>
          <w:color w:val="auto"/>
          <w:szCs w:val="21"/>
          <w:highlight w:val="none"/>
        </w:rPr>
        <w:t>8.</w:t>
      </w:r>
      <w:r>
        <w:rPr>
          <w:rFonts w:hint="eastAsia" w:ascii="宋体" w:hAnsi="宋体"/>
          <w:color w:val="auto"/>
          <w:szCs w:val="21"/>
          <w:highlight w:val="none"/>
        </w:rPr>
        <w:t>本项目是否接受联合体：否</w:t>
      </w:r>
    </w:p>
    <w:p w14:paraId="3EA1C807">
      <w:pPr>
        <w:spacing w:line="360" w:lineRule="auto"/>
        <w:ind w:firstLine="482" w:firstLineChars="200"/>
        <w:rPr>
          <w:rFonts w:ascii="黑体" w:hAnsi="黑体" w:eastAsia="黑体" w:cs="宋体"/>
          <w:bCs/>
          <w:color w:val="auto"/>
          <w:sz w:val="24"/>
          <w:highlight w:val="none"/>
          <w:u w:val="none"/>
        </w:rPr>
      </w:pPr>
      <w:bookmarkStart w:id="12" w:name="_Toc28359090"/>
      <w:bookmarkStart w:id="13" w:name="_Toc28359013"/>
      <w:bookmarkStart w:id="14" w:name="_Toc35393630"/>
      <w:bookmarkStart w:id="15" w:name="_Toc44229879"/>
      <w:bookmarkStart w:id="16" w:name="_Toc35393799"/>
      <w:r>
        <w:rPr>
          <w:rFonts w:hint="eastAsia" w:ascii="黑体" w:hAnsi="黑体" w:eastAsia="黑体" w:cs="宋体"/>
          <w:b/>
          <w:color w:val="auto"/>
          <w:kern w:val="44"/>
          <w:sz w:val="24"/>
          <w:highlight w:val="none"/>
        </w:rPr>
        <w:t>二、供应商的资格条件</w:t>
      </w:r>
      <w:bookmarkEnd w:id="12"/>
      <w:bookmarkEnd w:id="13"/>
      <w:bookmarkEnd w:id="14"/>
      <w:bookmarkEnd w:id="15"/>
      <w:bookmarkEnd w:id="16"/>
    </w:p>
    <w:p w14:paraId="3749AEC7">
      <w:pPr>
        <w:spacing w:line="360" w:lineRule="auto"/>
        <w:ind w:firstLine="420" w:firstLineChars="200"/>
        <w:rPr>
          <w:rFonts w:hint="eastAsia" w:ascii="宋体" w:hAnsi="宋体" w:eastAsia="宋体"/>
          <w:color w:val="auto"/>
          <w:szCs w:val="21"/>
          <w:highlight w:val="none"/>
          <w:u w:val="none"/>
          <w:lang w:eastAsia="zh-CN"/>
        </w:rPr>
      </w:pPr>
      <w:r>
        <w:rPr>
          <w:rFonts w:hint="eastAsia" w:ascii="宋体" w:hAnsi="宋体"/>
          <w:color w:val="auto"/>
          <w:szCs w:val="21"/>
          <w:highlight w:val="none"/>
          <w:u w:val="none"/>
        </w:rPr>
        <w:t>1.满足《中华人民共和国政府采购法》第二十二条规定</w:t>
      </w:r>
      <w:r>
        <w:rPr>
          <w:rFonts w:hint="eastAsia" w:ascii="宋体" w:hAnsi="宋体"/>
          <w:color w:val="auto"/>
          <w:szCs w:val="21"/>
          <w:highlight w:val="none"/>
          <w:u w:val="none"/>
          <w:lang w:eastAsia="zh-CN"/>
        </w:rPr>
        <w:t>。</w:t>
      </w:r>
    </w:p>
    <w:p w14:paraId="4784BB45">
      <w:pPr>
        <w:spacing w:line="360" w:lineRule="auto"/>
        <w:ind w:firstLine="420" w:firstLineChars="200"/>
        <w:rPr>
          <w:rFonts w:ascii="宋体" w:hAnsi="宋体"/>
          <w:color w:val="auto"/>
          <w:szCs w:val="21"/>
          <w:highlight w:val="none"/>
          <w:u w:val="none"/>
        </w:rPr>
      </w:pPr>
      <w:r>
        <w:rPr>
          <w:rFonts w:ascii="宋体" w:hAnsi="宋体"/>
          <w:color w:val="auto"/>
          <w:szCs w:val="21"/>
          <w:highlight w:val="none"/>
          <w:u w:val="none"/>
        </w:rPr>
        <w:t>2</w:t>
      </w:r>
      <w:r>
        <w:rPr>
          <w:rFonts w:hint="eastAsia" w:ascii="宋体" w:hAnsi="宋体"/>
          <w:color w:val="auto"/>
          <w:szCs w:val="21"/>
          <w:highlight w:val="none"/>
          <w:u w:val="none"/>
        </w:rPr>
        <w:t>.落实政府采购政策需满足的资格要求：</w:t>
      </w:r>
    </w:p>
    <w:p w14:paraId="69F74146">
      <w:pPr>
        <w:spacing w:line="360" w:lineRule="auto"/>
        <w:ind w:firstLine="420" w:firstLineChars="200"/>
        <w:rPr>
          <w:rFonts w:ascii="宋体" w:hAnsi="宋体"/>
          <w:color w:val="auto"/>
          <w:szCs w:val="21"/>
          <w:highlight w:val="none"/>
          <w:u w:val="none"/>
        </w:rPr>
      </w:pPr>
      <w:r>
        <w:rPr>
          <w:rFonts w:hint="eastAsia" w:ascii="宋体" w:hAnsi="宋体"/>
          <w:color w:val="auto"/>
          <w:szCs w:val="21"/>
          <w:highlight w:val="none"/>
          <w:u w:val="none"/>
        </w:rPr>
        <w:t>□专门面向中小企业采购的项目（供应商应为中小微企业、监狱企业、残疾人福利性单位)</w:t>
      </w:r>
    </w:p>
    <w:p w14:paraId="323BD166">
      <w:pPr>
        <w:spacing w:line="360" w:lineRule="auto"/>
        <w:ind w:firstLine="420" w:firstLineChars="200"/>
        <w:rPr>
          <w:rFonts w:ascii="宋体" w:hAnsi="宋体"/>
          <w:color w:val="auto"/>
          <w:szCs w:val="21"/>
          <w:highlight w:val="none"/>
          <w:u w:val="none"/>
        </w:rPr>
      </w:pPr>
      <w:r>
        <w:rPr>
          <w:rFonts w:hint="eastAsia" w:ascii="MS Mincho" w:hAnsi="MS Mincho" w:eastAsia="MS Mincho" w:cs="MS Mincho"/>
          <w:color w:val="auto"/>
          <w:szCs w:val="21"/>
          <w:highlight w:val="none"/>
          <w:u w:val="none"/>
        </w:rPr>
        <w:t>☑</w:t>
      </w:r>
      <w:r>
        <w:rPr>
          <w:rFonts w:hint="eastAsia" w:ascii="宋体" w:hAnsi="宋体"/>
          <w:color w:val="auto"/>
          <w:szCs w:val="21"/>
          <w:highlight w:val="none"/>
          <w:u w:val="none"/>
        </w:rPr>
        <w:t>非专门面向中小企业采购的项目</w:t>
      </w:r>
    </w:p>
    <w:p w14:paraId="700D82E7">
      <w:pPr>
        <w:spacing w:line="360" w:lineRule="auto"/>
        <w:ind w:firstLine="420" w:firstLineChars="200"/>
        <w:rPr>
          <w:rFonts w:hint="eastAsia" w:ascii="宋体" w:hAnsi="宋体" w:eastAsia="宋体"/>
          <w:color w:val="auto"/>
          <w:szCs w:val="21"/>
          <w:highlight w:val="none"/>
          <w:u w:val="none"/>
          <w:lang w:val="en-US" w:eastAsia="zh-CN"/>
        </w:rPr>
      </w:pPr>
      <w:r>
        <w:rPr>
          <w:rFonts w:hint="eastAsia" w:ascii="宋体" w:hAnsi="宋体"/>
          <w:color w:val="auto"/>
          <w:szCs w:val="21"/>
          <w:highlight w:val="none"/>
          <w:u w:val="none"/>
        </w:rPr>
        <w:t>3.本项目的特定资格要求：</w:t>
      </w:r>
      <w:r>
        <w:rPr>
          <w:rFonts w:hint="eastAsia" w:ascii="宋体" w:hAnsi="宋体"/>
          <w:color w:val="auto"/>
          <w:szCs w:val="21"/>
          <w:highlight w:val="none"/>
          <w:u w:val="none"/>
          <w:lang w:val="en-US" w:eastAsia="zh-CN"/>
        </w:rPr>
        <w:t>无</w:t>
      </w:r>
    </w:p>
    <w:p w14:paraId="0CDB65B2">
      <w:pPr>
        <w:spacing w:line="360" w:lineRule="auto"/>
        <w:ind w:firstLine="420" w:firstLineChars="200"/>
        <w:rPr>
          <w:rFonts w:ascii="宋体" w:hAnsi="宋体"/>
          <w:color w:val="auto"/>
          <w:szCs w:val="21"/>
          <w:highlight w:val="none"/>
          <w:u w:val="none"/>
        </w:rPr>
      </w:pPr>
      <w:r>
        <w:rPr>
          <w:rFonts w:ascii="宋体" w:hAnsi="宋体"/>
          <w:color w:val="auto"/>
          <w:szCs w:val="21"/>
          <w:highlight w:val="none"/>
          <w:u w:val="none"/>
        </w:rPr>
        <w:t>4.</w:t>
      </w:r>
      <w:r>
        <w:rPr>
          <w:rFonts w:hint="eastAsia" w:ascii="宋体" w:hAnsi="宋体"/>
          <w:color w:val="auto"/>
          <w:szCs w:val="21"/>
          <w:highlight w:val="none"/>
          <w:u w:val="none"/>
        </w:rPr>
        <w:t>本项目的特定条件：无</w:t>
      </w:r>
    </w:p>
    <w:p w14:paraId="2D4D3BD5">
      <w:pPr>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w:t>
      </w:r>
      <w:r>
        <w:rPr>
          <w:rFonts w:ascii="宋体" w:hAnsi="宋体"/>
          <w:color w:val="auto"/>
          <w:szCs w:val="21"/>
          <w:highlight w:val="none"/>
        </w:rPr>
        <w:t>.</w:t>
      </w:r>
      <w:r>
        <w:rPr>
          <w:rFonts w:hint="eastAsia" w:ascii="宋体" w:hAnsi="宋体"/>
          <w:color w:val="auto"/>
          <w:szCs w:val="21"/>
          <w:highlight w:val="none"/>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0455A389">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w:t>
      </w:r>
      <w:r>
        <w:rPr>
          <w:rFonts w:ascii="宋体" w:hAnsi="宋体"/>
          <w:color w:val="auto"/>
          <w:szCs w:val="21"/>
          <w:highlight w:val="none"/>
        </w:rPr>
        <w:t>.</w:t>
      </w:r>
      <w:r>
        <w:rPr>
          <w:rFonts w:hint="eastAsia" w:ascii="宋体" w:hAnsi="宋体"/>
          <w:color w:val="auto"/>
          <w:szCs w:val="21"/>
          <w:highlight w:val="none"/>
        </w:rPr>
        <w:t>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不得参与政府采购活动。</w:t>
      </w:r>
    </w:p>
    <w:p w14:paraId="6E6EE2B6">
      <w:pPr>
        <w:spacing w:line="360" w:lineRule="auto"/>
        <w:ind w:firstLine="482" w:firstLineChars="200"/>
        <w:rPr>
          <w:rFonts w:ascii="黑体" w:hAnsi="黑体" w:eastAsia="黑体"/>
          <w:b/>
          <w:bCs/>
          <w:color w:val="auto"/>
          <w:sz w:val="24"/>
          <w:highlight w:val="none"/>
        </w:rPr>
      </w:pPr>
      <w:r>
        <w:rPr>
          <w:rFonts w:hint="eastAsia" w:ascii="黑体" w:hAnsi="黑体" w:eastAsia="黑体"/>
          <w:b/>
          <w:bCs/>
          <w:color w:val="auto"/>
          <w:sz w:val="24"/>
          <w:highlight w:val="none"/>
        </w:rPr>
        <w:t>三、获取竞争性磋商文件</w:t>
      </w:r>
      <w:bookmarkEnd w:id="7"/>
      <w:bookmarkEnd w:id="8"/>
      <w:bookmarkEnd w:id="9"/>
      <w:bookmarkEnd w:id="10"/>
    </w:p>
    <w:p w14:paraId="3780E787">
      <w:pPr>
        <w:spacing w:line="360" w:lineRule="auto"/>
        <w:ind w:firstLine="420" w:firstLineChars="200"/>
        <w:rPr>
          <w:rFonts w:hint="eastAsia" w:ascii="宋体" w:hAnsi="宋体"/>
          <w:color w:val="auto"/>
          <w:szCs w:val="21"/>
          <w:highlight w:val="none"/>
        </w:rPr>
      </w:pPr>
      <w:bookmarkStart w:id="17" w:name="_Toc35393793"/>
      <w:bookmarkStart w:id="18" w:name="_Toc35393624"/>
      <w:bookmarkStart w:id="19" w:name="_Toc28359005"/>
      <w:bookmarkStart w:id="20" w:name="_Toc28359082"/>
      <w:r>
        <w:rPr>
          <w:rFonts w:hint="eastAsia" w:ascii="宋体" w:hAnsi="宋体"/>
          <w:color w:val="auto"/>
          <w:szCs w:val="21"/>
          <w:highlight w:val="none"/>
        </w:rPr>
        <w:t>时间：自公告发布之日起。</w:t>
      </w:r>
    </w:p>
    <w:p w14:paraId="238F95AF">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地点（网址）：广西政府采购云平台（https://www.gcy.zfcg.gxzf.gov.cn/）</w:t>
      </w:r>
    </w:p>
    <w:p w14:paraId="0EC2414B">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方式:供应商登录广西政府采购云平台https://www.gcy.zfcg.gxzf.gov.cn/在线申请获取采购文件（进入“项目采购”应用，在获取采购文件菜单中选择项目，申请获取采购文件）。</w:t>
      </w:r>
    </w:p>
    <w:p w14:paraId="6239CA09">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售价：0元。</w:t>
      </w:r>
    </w:p>
    <w:p w14:paraId="400FDEF6">
      <w:pPr>
        <w:spacing w:line="360" w:lineRule="auto"/>
        <w:ind w:firstLine="482" w:firstLineChars="200"/>
        <w:rPr>
          <w:rFonts w:hint="eastAsia" w:ascii="宋体" w:hAnsi="宋体" w:eastAsia="宋体" w:cs="Times New Roman"/>
          <w:color w:val="auto"/>
          <w:szCs w:val="21"/>
          <w:highlight w:val="none"/>
        </w:rPr>
      </w:pPr>
      <w:r>
        <w:rPr>
          <w:rFonts w:hint="eastAsia" w:ascii="黑体" w:hAnsi="黑体" w:eastAsia="黑体"/>
          <w:b/>
          <w:bCs/>
          <w:color w:val="auto"/>
          <w:sz w:val="24"/>
          <w:highlight w:val="none"/>
        </w:rPr>
        <w:t>四、</w:t>
      </w:r>
      <w:bookmarkEnd w:id="17"/>
      <w:bookmarkEnd w:id="18"/>
      <w:bookmarkEnd w:id="19"/>
      <w:bookmarkEnd w:id="20"/>
      <w:r>
        <w:rPr>
          <w:rFonts w:hint="eastAsia" w:ascii="黑体" w:hAnsi="黑体" w:eastAsia="黑体"/>
          <w:b/>
          <w:bCs/>
          <w:color w:val="auto"/>
          <w:sz w:val="24"/>
          <w:highlight w:val="none"/>
        </w:rPr>
        <w:t>响应文件提交</w:t>
      </w:r>
    </w:p>
    <w:p w14:paraId="31A06CCA">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响应文件提交截止时间（北京时间）：</w:t>
      </w:r>
      <w:bookmarkStart w:id="21" w:name="PO_3000001866_PM015_1"/>
      <w:r>
        <w:rPr>
          <w:rFonts w:hint="eastAsia" w:ascii="宋体" w:hAnsi="宋体" w:eastAsia="宋体" w:cs="Times New Roman"/>
          <w:color w:val="auto"/>
          <w:szCs w:val="21"/>
          <w:highlight w:val="none"/>
          <w:lang w:eastAsia="zh-CN"/>
        </w:rPr>
        <w:t>202</w:t>
      </w:r>
      <w:r>
        <w:rPr>
          <w:rFonts w:hint="eastAsia" w:ascii="宋体" w:hAnsi="宋体" w:eastAsia="宋体" w:cs="Times New Roman"/>
          <w:color w:val="auto"/>
          <w:szCs w:val="21"/>
          <w:highlight w:val="none"/>
          <w:lang w:val="en-US" w:eastAsia="zh-CN"/>
        </w:rPr>
        <w:t>6</w:t>
      </w:r>
      <w:r>
        <w:rPr>
          <w:rFonts w:hint="eastAsia" w:ascii="宋体" w:hAnsi="宋体" w:eastAsia="宋体" w:cs="Times New Roman"/>
          <w:color w:val="auto"/>
          <w:szCs w:val="21"/>
          <w:highlight w:val="none"/>
          <w:lang w:eastAsia="zh-CN"/>
        </w:rPr>
        <w:t>年</w:t>
      </w:r>
      <w:r>
        <w:rPr>
          <w:rFonts w:hint="eastAsia" w:ascii="宋体" w:hAnsi="宋体" w:eastAsia="宋体" w:cs="Times New Roman"/>
          <w:color w:val="auto"/>
          <w:szCs w:val="21"/>
          <w:highlight w:val="none"/>
          <w:lang w:val="en-US" w:eastAsia="zh-CN"/>
        </w:rPr>
        <w:t>7</w:t>
      </w:r>
      <w:r>
        <w:rPr>
          <w:rFonts w:hint="eastAsia" w:ascii="宋体" w:hAnsi="宋体" w:eastAsia="宋体" w:cs="Times New Roman"/>
          <w:color w:val="auto"/>
          <w:szCs w:val="21"/>
          <w:highlight w:val="none"/>
          <w:lang w:eastAsia="zh-CN"/>
        </w:rPr>
        <w:t>月</w:t>
      </w:r>
      <w:r>
        <w:rPr>
          <w:rFonts w:hint="eastAsia" w:ascii="宋体" w:hAnsi="宋体" w:eastAsia="宋体" w:cs="Times New Roman"/>
          <w:color w:val="auto"/>
          <w:szCs w:val="21"/>
          <w:highlight w:val="none"/>
          <w:lang w:val="en-US" w:eastAsia="zh-CN"/>
        </w:rPr>
        <w:t>1</w:t>
      </w:r>
      <w:r>
        <w:rPr>
          <w:rFonts w:hint="eastAsia" w:ascii="宋体" w:hAnsi="宋体" w:cs="Times New Roman"/>
          <w:color w:val="auto"/>
          <w:szCs w:val="21"/>
          <w:highlight w:val="none"/>
          <w:lang w:val="en-US" w:eastAsia="zh-CN"/>
        </w:rPr>
        <w:t>4</w:t>
      </w:r>
      <w:r>
        <w:rPr>
          <w:rFonts w:hint="eastAsia" w:ascii="宋体" w:hAnsi="宋体" w:eastAsia="宋体" w:cs="Times New Roman"/>
          <w:color w:val="auto"/>
          <w:szCs w:val="21"/>
          <w:highlight w:val="none"/>
          <w:lang w:eastAsia="zh-CN"/>
        </w:rPr>
        <w:t>日</w:t>
      </w:r>
      <w:r>
        <w:rPr>
          <w:rFonts w:hint="eastAsia" w:ascii="宋体" w:hAnsi="宋体" w:eastAsia="宋体" w:cs="Times New Roman"/>
          <w:color w:val="auto"/>
          <w:szCs w:val="21"/>
          <w:highlight w:val="none"/>
          <w:lang w:val="en-US" w:eastAsia="zh-CN"/>
        </w:rPr>
        <w:t>10</w:t>
      </w: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val="en-US" w:eastAsia="zh-CN"/>
        </w:rPr>
        <w:t>0</w:t>
      </w:r>
      <w:r>
        <w:rPr>
          <w:rFonts w:hint="eastAsia" w:ascii="宋体" w:hAnsi="宋体" w:eastAsia="宋体" w:cs="Times New Roman"/>
          <w:color w:val="auto"/>
          <w:szCs w:val="21"/>
          <w:highlight w:val="none"/>
        </w:rPr>
        <w:t xml:space="preserve">0 </w:t>
      </w:r>
      <w:bookmarkEnd w:id="21"/>
      <w:r>
        <w:rPr>
          <w:rFonts w:hint="eastAsia" w:ascii="宋体" w:hAnsi="宋体" w:eastAsia="宋体" w:cs="Times New Roman"/>
          <w:color w:val="auto"/>
          <w:szCs w:val="21"/>
          <w:highlight w:val="none"/>
        </w:rPr>
        <w:t>（北京时间）。</w:t>
      </w:r>
    </w:p>
    <w:p w14:paraId="60630FE1">
      <w:pPr>
        <w:snapToGrid w:val="0"/>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地点（网址）：请登录广西政府采购云平台投标客户端投标</w:t>
      </w:r>
    </w:p>
    <w:p w14:paraId="472D41E1">
      <w:pPr>
        <w:snapToGrid w:val="0"/>
        <w:spacing w:line="360" w:lineRule="auto"/>
        <w:ind w:firstLine="482" w:firstLineChars="200"/>
        <w:rPr>
          <w:rFonts w:hint="eastAsia" w:ascii="宋体" w:hAnsi="宋体" w:eastAsia="宋体" w:cs="宋体"/>
          <w:color w:val="auto"/>
          <w:kern w:val="0"/>
          <w:szCs w:val="21"/>
          <w:highlight w:val="none"/>
        </w:rPr>
      </w:pPr>
      <w:r>
        <w:rPr>
          <w:rFonts w:hint="eastAsia" w:ascii="黑体" w:hAnsi="黑体" w:eastAsia="黑体"/>
          <w:b/>
          <w:bCs/>
          <w:color w:val="auto"/>
          <w:sz w:val="24"/>
          <w:highlight w:val="none"/>
        </w:rPr>
        <w:t>五、响应文件开启</w:t>
      </w:r>
    </w:p>
    <w:p w14:paraId="517193F0">
      <w:pPr>
        <w:snapToGrid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时间（北京时间）：</w:t>
      </w:r>
      <w:r>
        <w:rPr>
          <w:rFonts w:hint="eastAsia" w:ascii="宋体" w:hAnsi="宋体" w:eastAsia="宋体" w:cs="宋体"/>
          <w:color w:val="auto"/>
          <w:kern w:val="0"/>
          <w:szCs w:val="21"/>
          <w:highlight w:val="none"/>
          <w:lang w:eastAsia="zh-CN"/>
        </w:rPr>
        <w:t>202</w:t>
      </w:r>
      <w:r>
        <w:rPr>
          <w:rFonts w:hint="eastAsia" w:ascii="宋体" w:hAnsi="宋体" w:eastAsia="宋体" w:cs="宋体"/>
          <w:color w:val="auto"/>
          <w:kern w:val="0"/>
          <w:szCs w:val="21"/>
          <w:highlight w:val="none"/>
          <w:lang w:val="en-US" w:eastAsia="zh-CN"/>
        </w:rPr>
        <w:t>6</w:t>
      </w:r>
      <w:r>
        <w:rPr>
          <w:rFonts w:hint="eastAsia" w:ascii="宋体" w:hAnsi="宋体" w:eastAsia="宋体" w:cs="宋体"/>
          <w:color w:val="auto"/>
          <w:kern w:val="0"/>
          <w:szCs w:val="21"/>
          <w:highlight w:val="none"/>
          <w:lang w:eastAsia="zh-CN"/>
        </w:rPr>
        <w:t>年</w:t>
      </w:r>
      <w:r>
        <w:rPr>
          <w:rFonts w:hint="eastAsia" w:ascii="宋体" w:hAnsi="宋体" w:eastAsia="宋体" w:cs="宋体"/>
          <w:color w:val="auto"/>
          <w:kern w:val="0"/>
          <w:szCs w:val="21"/>
          <w:highlight w:val="none"/>
          <w:lang w:val="en-US" w:eastAsia="zh-CN"/>
        </w:rPr>
        <w:t>7</w:t>
      </w:r>
      <w:r>
        <w:rPr>
          <w:rFonts w:hint="eastAsia" w:ascii="宋体" w:hAnsi="宋体" w:eastAsia="宋体" w:cs="宋体"/>
          <w:color w:val="auto"/>
          <w:kern w:val="0"/>
          <w:szCs w:val="21"/>
          <w:highlight w:val="none"/>
          <w:lang w:eastAsia="zh-CN"/>
        </w:rPr>
        <w:t>月</w:t>
      </w:r>
      <w:r>
        <w:rPr>
          <w:rFonts w:hint="eastAsia" w:ascii="宋体" w:hAnsi="宋体" w:eastAsia="宋体" w:cs="宋体"/>
          <w:color w:val="auto"/>
          <w:kern w:val="0"/>
          <w:szCs w:val="21"/>
          <w:highlight w:val="none"/>
          <w:lang w:val="en-US" w:eastAsia="zh-CN"/>
        </w:rPr>
        <w:t>1</w:t>
      </w:r>
      <w:r>
        <w:rPr>
          <w:rFonts w:hint="eastAsia" w:ascii="宋体" w:hAnsi="宋体" w:cs="宋体"/>
          <w:color w:val="auto"/>
          <w:kern w:val="0"/>
          <w:szCs w:val="21"/>
          <w:highlight w:val="none"/>
          <w:lang w:val="en-US" w:eastAsia="zh-CN"/>
        </w:rPr>
        <w:t>4</w:t>
      </w:r>
      <w:r>
        <w:rPr>
          <w:rFonts w:hint="eastAsia" w:ascii="宋体" w:hAnsi="宋体" w:eastAsia="宋体" w:cs="宋体"/>
          <w:color w:val="auto"/>
          <w:kern w:val="0"/>
          <w:szCs w:val="21"/>
          <w:highlight w:val="none"/>
          <w:lang w:eastAsia="zh-CN"/>
        </w:rPr>
        <w:t>日</w:t>
      </w:r>
      <w:r>
        <w:rPr>
          <w:rFonts w:hint="eastAsia" w:ascii="宋体" w:hAnsi="宋体" w:eastAsia="宋体" w:cs="宋体"/>
          <w:color w:val="auto"/>
          <w:kern w:val="0"/>
          <w:szCs w:val="21"/>
          <w:highlight w:val="none"/>
          <w:lang w:val="en-US" w:eastAsia="zh-CN"/>
        </w:rPr>
        <w:t>10</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lang w:val="en-US" w:eastAsia="zh-CN"/>
        </w:rPr>
        <w:t>0</w:t>
      </w:r>
      <w:r>
        <w:rPr>
          <w:rFonts w:hint="eastAsia" w:ascii="宋体" w:hAnsi="宋体" w:eastAsia="宋体" w:cs="宋体"/>
          <w:color w:val="auto"/>
          <w:kern w:val="0"/>
          <w:szCs w:val="21"/>
          <w:highlight w:val="none"/>
          <w:lang w:eastAsia="zh-CN"/>
        </w:rPr>
        <w:t>0</w:t>
      </w:r>
      <w:r>
        <w:rPr>
          <w:rFonts w:hint="eastAsia" w:ascii="宋体" w:hAnsi="宋体" w:eastAsia="宋体" w:cs="宋体"/>
          <w:color w:val="auto"/>
          <w:kern w:val="0"/>
          <w:szCs w:val="21"/>
          <w:highlight w:val="none"/>
        </w:rPr>
        <w:t>后</w:t>
      </w:r>
    </w:p>
    <w:p w14:paraId="1087BD00">
      <w:pPr>
        <w:spacing w:line="360" w:lineRule="auto"/>
        <w:ind w:firstLine="420" w:firstLineChars="200"/>
        <w:rPr>
          <w:rFonts w:hint="eastAsia" w:ascii="宋体" w:hAnsi="宋体"/>
          <w:color w:val="auto"/>
          <w:szCs w:val="21"/>
          <w:highlight w:val="none"/>
        </w:rPr>
      </w:pPr>
      <w:bookmarkStart w:id="22" w:name="_Toc35393625"/>
      <w:bookmarkStart w:id="23" w:name="_Toc28359084"/>
      <w:bookmarkStart w:id="24" w:name="_Toc35393794"/>
      <w:bookmarkStart w:id="25" w:name="_Toc28359007"/>
      <w:r>
        <w:rPr>
          <w:rFonts w:hint="eastAsia" w:ascii="宋体" w:hAnsi="宋体"/>
          <w:color w:val="auto"/>
          <w:szCs w:val="21"/>
          <w:highlight w:val="none"/>
        </w:rPr>
        <w:t xml:space="preserve">地点：广西政府采购云平台电子开标大厅 </w:t>
      </w:r>
    </w:p>
    <w:p w14:paraId="73F4F96F">
      <w:pPr>
        <w:spacing w:line="360" w:lineRule="auto"/>
        <w:ind w:firstLine="482" w:firstLineChars="200"/>
        <w:rPr>
          <w:rFonts w:ascii="黑体" w:hAnsi="黑体" w:eastAsia="黑体"/>
          <w:b/>
          <w:bCs/>
          <w:color w:val="auto"/>
          <w:sz w:val="24"/>
          <w:highlight w:val="none"/>
        </w:rPr>
      </w:pPr>
      <w:r>
        <w:rPr>
          <w:rFonts w:hint="eastAsia" w:ascii="黑体" w:hAnsi="黑体" w:eastAsia="黑体"/>
          <w:b/>
          <w:bCs/>
          <w:color w:val="auto"/>
          <w:sz w:val="24"/>
          <w:highlight w:val="none"/>
        </w:rPr>
        <w:t>六、公告期限</w:t>
      </w:r>
      <w:bookmarkEnd w:id="22"/>
      <w:bookmarkEnd w:id="23"/>
      <w:bookmarkEnd w:id="24"/>
      <w:bookmarkEnd w:id="25"/>
    </w:p>
    <w:p w14:paraId="24CD5F6B">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自本公告发布之日起5个工作日。</w:t>
      </w:r>
    </w:p>
    <w:p w14:paraId="62ABD9F7">
      <w:pPr>
        <w:spacing w:line="360" w:lineRule="auto"/>
        <w:ind w:firstLine="482" w:firstLineChars="200"/>
        <w:rPr>
          <w:rFonts w:ascii="黑体" w:hAnsi="黑体" w:eastAsia="黑体"/>
          <w:b/>
          <w:bCs/>
          <w:color w:val="auto"/>
          <w:sz w:val="24"/>
          <w:highlight w:val="none"/>
        </w:rPr>
      </w:pPr>
      <w:bookmarkStart w:id="26" w:name="_Toc35393795"/>
      <w:bookmarkStart w:id="27" w:name="_Toc35393626"/>
      <w:r>
        <w:rPr>
          <w:rFonts w:hint="eastAsia" w:ascii="黑体" w:hAnsi="黑体" w:eastAsia="黑体"/>
          <w:b/>
          <w:bCs/>
          <w:color w:val="auto"/>
          <w:sz w:val="24"/>
          <w:highlight w:val="none"/>
        </w:rPr>
        <w:t>七、其他补充事宜</w:t>
      </w:r>
      <w:bookmarkEnd w:id="26"/>
      <w:bookmarkEnd w:id="27"/>
    </w:p>
    <w:p w14:paraId="2A5B6B22">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1</w:t>
      </w:r>
      <w:r>
        <w:rPr>
          <w:rFonts w:ascii="宋体" w:hAnsi="宋体" w:cs="宋体"/>
          <w:color w:val="auto"/>
          <w:kern w:val="0"/>
          <w:szCs w:val="21"/>
          <w:highlight w:val="none"/>
        </w:rPr>
        <w:t>.</w:t>
      </w:r>
      <w:r>
        <w:rPr>
          <w:rFonts w:hint="eastAsia" w:ascii="宋体" w:hAnsi="宋体" w:cs="宋体"/>
          <w:color w:val="auto"/>
          <w:kern w:val="0"/>
          <w:szCs w:val="21"/>
          <w:highlight w:val="none"/>
        </w:rPr>
        <w:t>磋商保证金：本项目不收取磋商保证金</w:t>
      </w:r>
    </w:p>
    <w:p w14:paraId="19EA7155">
      <w:pPr>
        <w:wordWrap w:val="0"/>
        <w:spacing w:line="360" w:lineRule="auto"/>
        <w:ind w:firstLine="420" w:firstLineChars="200"/>
        <w:rPr>
          <w:rFonts w:ascii="宋体" w:hAnsi="宋体" w:cs="宋体"/>
          <w:color w:val="auto"/>
          <w:kern w:val="0"/>
          <w:szCs w:val="21"/>
          <w:highlight w:val="none"/>
          <w:u w:val="single"/>
        </w:rPr>
      </w:pPr>
      <w:r>
        <w:rPr>
          <w:rFonts w:hint="eastAsia" w:ascii="宋体" w:hAnsi="宋体" w:cs="宋体"/>
          <w:color w:val="auto"/>
          <w:kern w:val="0"/>
          <w:szCs w:val="21"/>
          <w:highlight w:val="none"/>
        </w:rPr>
        <w:t>2.采购意向公开链接：</w:t>
      </w:r>
      <w:bookmarkStart w:id="28" w:name="OLE_LINK3"/>
      <w:r>
        <w:rPr>
          <w:rFonts w:hint="eastAsia" w:ascii="宋体" w:hAnsi="宋体" w:cs="宋体"/>
          <w:color w:val="auto"/>
          <w:kern w:val="0"/>
          <w:szCs w:val="21"/>
          <w:highlight w:val="none"/>
        </w:rPr>
        <w:t>https://zfcg.gxzf.gov.cn/luban/detail?parentId=66485&amp;articleId=ann_oH6USgm6vZHgidUlmATmQdD5ndTMr3NGt5TILBJnhQo=&amp;utm=web-micro-app-back-front.454dd5fb.cPlanInfo.2.ac6e1a00709911f1abf60533424b15f1</w:t>
      </w:r>
      <w:bookmarkEnd w:id="28"/>
    </w:p>
    <w:p w14:paraId="7110938C">
      <w:pPr>
        <w:spacing w:line="360" w:lineRule="auto"/>
        <w:ind w:firstLine="420" w:firstLineChars="200"/>
        <w:rPr>
          <w:rFonts w:ascii="宋体" w:hAnsi="宋体" w:cs="宋体"/>
          <w:color w:val="auto"/>
          <w:kern w:val="0"/>
          <w:szCs w:val="21"/>
          <w:highlight w:val="none"/>
        </w:rPr>
      </w:pPr>
      <w:bookmarkStart w:id="29" w:name="_Hlk37429585"/>
      <w:r>
        <w:rPr>
          <w:rFonts w:hint="eastAsia" w:ascii="宋体" w:hAnsi="宋体" w:cs="宋体"/>
          <w:color w:val="auto"/>
          <w:kern w:val="0"/>
          <w:szCs w:val="21"/>
          <w:highlight w:val="none"/>
        </w:rPr>
        <w:t>3</w:t>
      </w:r>
      <w:r>
        <w:rPr>
          <w:rFonts w:ascii="宋体" w:hAnsi="宋体" w:cs="宋体"/>
          <w:color w:val="auto"/>
          <w:kern w:val="0"/>
          <w:szCs w:val="21"/>
          <w:highlight w:val="none"/>
        </w:rPr>
        <w:t>.</w:t>
      </w:r>
      <w:bookmarkStart w:id="30" w:name="_Hlk37429595"/>
      <w:r>
        <w:rPr>
          <w:rFonts w:hint="eastAsia" w:ascii="宋体" w:hAnsi="宋体" w:cs="宋体"/>
          <w:color w:val="auto"/>
          <w:kern w:val="0"/>
          <w:szCs w:val="21"/>
          <w:highlight w:val="none"/>
        </w:rPr>
        <w:t>网上查询地址</w:t>
      </w:r>
    </w:p>
    <w:bookmarkEnd w:id="29"/>
    <w:bookmarkEnd w:id="30"/>
    <w:p w14:paraId="7B7CFD76">
      <w:pPr>
        <w:wordWrap w:val="0"/>
        <w:spacing w:line="360" w:lineRule="auto"/>
        <w:ind w:firstLine="420" w:firstLineChars="200"/>
        <w:rPr>
          <w:rFonts w:ascii="宋体" w:hAnsi="宋体" w:cs="宋体"/>
          <w:color w:val="auto"/>
          <w:kern w:val="0"/>
          <w:szCs w:val="21"/>
          <w:highlight w:val="none"/>
        </w:rPr>
      </w:pPr>
      <w:bookmarkStart w:id="31" w:name="_Hlk37429674"/>
      <w:r>
        <w:rPr>
          <w:rFonts w:hint="eastAsia" w:ascii="宋体" w:hAnsi="宋体" w:cs="宋体"/>
          <w:color w:val="auto"/>
          <w:kern w:val="0"/>
          <w:szCs w:val="21"/>
          <w:highlight w:val="none"/>
        </w:rPr>
        <w:t>广西壮族自治区政府采购网（http://zfcg.gxzf.gov.cn/）、南宁市公共资源交易中心网(http://ggzy.jgswj.gxzf.gov.cn/nnggzy/)公开查询；</w:t>
      </w:r>
    </w:p>
    <w:p w14:paraId="3C974063">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4</w:t>
      </w:r>
      <w:r>
        <w:rPr>
          <w:rFonts w:ascii="宋体" w:hAnsi="宋体"/>
          <w:color w:val="auto"/>
          <w:szCs w:val="21"/>
          <w:highlight w:val="none"/>
        </w:rPr>
        <w:t>.</w:t>
      </w:r>
      <w:r>
        <w:rPr>
          <w:rFonts w:hint="eastAsia" w:ascii="宋体" w:hAnsi="宋体" w:cs="宋体"/>
          <w:color w:val="auto"/>
          <w:kern w:val="0"/>
          <w:szCs w:val="21"/>
          <w:highlight w:val="none"/>
        </w:rPr>
        <w:t>本项目需要落实的政府采购政策</w:t>
      </w:r>
    </w:p>
    <w:bookmarkEnd w:id="31"/>
    <w:p w14:paraId="6842CE1E">
      <w:pPr>
        <w:spacing w:line="360" w:lineRule="auto"/>
        <w:ind w:firstLine="315" w:firstLineChars="150"/>
        <w:rPr>
          <w:rFonts w:ascii="宋体" w:hAnsi="宋体" w:cs="宋体"/>
          <w:color w:val="auto"/>
          <w:kern w:val="0"/>
          <w:szCs w:val="21"/>
          <w:highlight w:val="none"/>
        </w:rPr>
      </w:pPr>
      <w:r>
        <w:rPr>
          <w:rFonts w:hint="eastAsia" w:ascii="宋体" w:hAnsi="宋体" w:cs="宋体"/>
          <w:color w:val="auto"/>
          <w:kern w:val="0"/>
          <w:szCs w:val="21"/>
          <w:highlight w:val="none"/>
        </w:rPr>
        <w:t>（1）政府采购促进中小企业发展。</w:t>
      </w:r>
    </w:p>
    <w:p w14:paraId="2C9FC51F">
      <w:pPr>
        <w:spacing w:line="360" w:lineRule="auto"/>
        <w:ind w:firstLine="315" w:firstLineChars="150"/>
        <w:rPr>
          <w:rFonts w:ascii="宋体" w:hAnsi="宋体" w:cs="宋体"/>
          <w:color w:val="auto"/>
          <w:kern w:val="0"/>
          <w:szCs w:val="21"/>
          <w:highlight w:val="none"/>
        </w:rPr>
      </w:pPr>
      <w:r>
        <w:rPr>
          <w:rFonts w:hint="eastAsia" w:ascii="宋体" w:hAnsi="宋体" w:cs="宋体"/>
          <w:color w:val="auto"/>
          <w:kern w:val="0"/>
          <w:szCs w:val="21"/>
          <w:highlight w:val="none"/>
        </w:rPr>
        <w:t>（2）政府采购支持采用本国产品的政策。</w:t>
      </w:r>
    </w:p>
    <w:p w14:paraId="29844B27">
      <w:pPr>
        <w:spacing w:line="360" w:lineRule="auto"/>
        <w:ind w:firstLine="315" w:firstLineChars="150"/>
        <w:rPr>
          <w:rFonts w:ascii="宋体" w:hAnsi="宋体" w:cs="宋体"/>
          <w:color w:val="auto"/>
          <w:kern w:val="0"/>
          <w:szCs w:val="21"/>
          <w:highlight w:val="none"/>
        </w:rPr>
      </w:pPr>
      <w:r>
        <w:rPr>
          <w:rFonts w:hint="eastAsia" w:ascii="宋体" w:hAnsi="宋体" w:cs="宋体"/>
          <w:color w:val="auto"/>
          <w:kern w:val="0"/>
          <w:szCs w:val="21"/>
          <w:highlight w:val="none"/>
        </w:rPr>
        <w:t>（3）强制采购节能产品；优先采购节能产品、环境标志产品。</w:t>
      </w:r>
    </w:p>
    <w:p w14:paraId="42AD319D">
      <w:pPr>
        <w:spacing w:line="360" w:lineRule="auto"/>
        <w:ind w:firstLine="315" w:firstLineChars="150"/>
        <w:rPr>
          <w:rFonts w:ascii="宋体" w:hAnsi="宋体" w:cs="宋体"/>
          <w:color w:val="auto"/>
          <w:kern w:val="0"/>
          <w:szCs w:val="21"/>
          <w:highlight w:val="none"/>
        </w:rPr>
      </w:pPr>
      <w:r>
        <w:rPr>
          <w:rFonts w:hint="eastAsia" w:ascii="宋体" w:hAnsi="宋体" w:cs="宋体"/>
          <w:color w:val="auto"/>
          <w:kern w:val="0"/>
          <w:szCs w:val="21"/>
          <w:highlight w:val="none"/>
        </w:rPr>
        <w:t>（4）政府采购促进残疾人就业政策。</w:t>
      </w:r>
    </w:p>
    <w:p w14:paraId="3745FF71">
      <w:pPr>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（5）政府采购支持监狱企业发展。</w:t>
      </w:r>
    </w:p>
    <w:p w14:paraId="78308FA5">
      <w:pPr>
        <w:spacing w:line="360" w:lineRule="auto"/>
        <w:ind w:firstLine="420" w:firstLineChars="200"/>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lang w:val="en-US" w:eastAsia="zh-CN"/>
        </w:rPr>
        <w:t>5.</w:t>
      </w:r>
      <w:r>
        <w:rPr>
          <w:rFonts w:hint="eastAsia" w:ascii="宋体" w:hAnsi="宋体" w:eastAsia="宋体" w:cs="宋体"/>
          <w:color w:val="auto"/>
          <w:kern w:val="0"/>
          <w:szCs w:val="21"/>
          <w:highlight w:val="none"/>
        </w:rPr>
        <w:t>根据《〈政府采购法实施条例〉释义》，银行、保险、石油石化、电力、电信等有行业特殊情况的，取得营业执照的分支机构可以分公司名义参与投标，采购文件中涉及的“法定代表人”在前述特殊行业中即对应为“分支机构负责人”</w:t>
      </w:r>
      <w:r>
        <w:rPr>
          <w:rFonts w:hint="eastAsia" w:ascii="宋体" w:hAnsi="宋体" w:eastAsia="宋体" w:cs="宋体"/>
          <w:color w:val="auto"/>
          <w:kern w:val="0"/>
          <w:szCs w:val="21"/>
          <w:highlight w:val="none"/>
          <w:lang w:eastAsia="zh-CN"/>
        </w:rPr>
        <w:t>。</w:t>
      </w:r>
    </w:p>
    <w:p w14:paraId="73B7C596">
      <w:pPr>
        <w:spacing w:line="360" w:lineRule="auto"/>
        <w:ind w:firstLine="420" w:firstLineChars="200"/>
        <w:rPr>
          <w:rFonts w:ascii="宋体" w:hAnsi="宋体" w:cs="宋体"/>
          <w:color w:val="auto"/>
          <w:kern w:val="0"/>
          <w:szCs w:val="21"/>
          <w:highlight w:val="none"/>
        </w:rPr>
      </w:pPr>
      <w:r>
        <w:rPr>
          <w:rFonts w:hint="eastAsia" w:ascii="宋体" w:hAnsi="宋体" w:eastAsia="宋体" w:cs="宋体"/>
          <w:color w:val="auto"/>
          <w:kern w:val="0"/>
          <w:szCs w:val="21"/>
          <w:highlight w:val="none"/>
          <w:lang w:val="en-US" w:eastAsia="zh-CN"/>
        </w:rPr>
        <w:t>6</w:t>
      </w:r>
      <w:r>
        <w:rPr>
          <w:rFonts w:hint="eastAsia" w:ascii="宋体" w:hAnsi="宋体" w:eastAsia="宋体" w:cs="宋体"/>
          <w:color w:val="auto"/>
          <w:kern w:val="0"/>
          <w:szCs w:val="21"/>
          <w:highlight w:val="none"/>
        </w:rPr>
        <w:t>.供应商认为采购文件使自己的权益受到损害的，可以自获取采购文件之日或者采购文件公告期限届满</w:t>
      </w:r>
      <w:r>
        <w:rPr>
          <w:rFonts w:hint="eastAsia" w:ascii="宋体" w:hAnsi="宋体" w:cs="宋体"/>
          <w:color w:val="auto"/>
          <w:kern w:val="0"/>
          <w:szCs w:val="21"/>
          <w:highlight w:val="none"/>
        </w:rPr>
        <w:t>之日（公告期限届满后获取采购文件的，以公告期限届满之日为准）起7个工作日内以书面形式一次性向采购人和采购代理机构提出同一环节的质疑。否则，逾期的质疑采购人及招标代理机构可不予接受。质疑供应商对采购人、采购代理机构的答复不满意或者采购人、采购代理机构未在规定的时间内作出答复的，可以在答复期满后十五个工作日内向同级政府采购监督管理部门投诉。</w:t>
      </w:r>
    </w:p>
    <w:p w14:paraId="50A36D18">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lang w:val="en-US" w:eastAsia="zh-CN"/>
        </w:rPr>
        <w:t>7</w:t>
      </w:r>
      <w:r>
        <w:rPr>
          <w:rFonts w:ascii="宋体" w:hAnsi="宋体" w:cs="宋体"/>
          <w:color w:val="auto"/>
          <w:kern w:val="0"/>
          <w:szCs w:val="21"/>
          <w:highlight w:val="none"/>
        </w:rPr>
        <w:t>.</w:t>
      </w:r>
      <w:r>
        <w:rPr>
          <w:rFonts w:hint="eastAsia" w:ascii="宋体" w:hAnsi="宋体" w:cs="宋体"/>
          <w:color w:val="auto"/>
          <w:kern w:val="0"/>
          <w:szCs w:val="21"/>
          <w:highlight w:val="none"/>
        </w:rPr>
        <w:t>若对项目采购电子交易系统操作有疑问，可登录“</w:t>
      </w:r>
      <w:r>
        <w:rPr>
          <w:rFonts w:hint="eastAsia" w:ascii="宋体" w:hAnsi="宋体" w:cs="宋体"/>
          <w:color w:val="auto"/>
          <w:kern w:val="0"/>
          <w:szCs w:val="21"/>
          <w:highlight w:val="none"/>
          <w:lang w:val="en-US" w:eastAsia="zh-CN"/>
        </w:rPr>
        <w:t>广西政府采购云平台</w:t>
      </w:r>
      <w:r>
        <w:rPr>
          <w:rFonts w:hint="eastAsia" w:ascii="宋体" w:hAnsi="宋体" w:cs="宋体"/>
          <w:color w:val="auto"/>
          <w:kern w:val="0"/>
          <w:szCs w:val="21"/>
          <w:highlight w:val="none"/>
        </w:rPr>
        <w:t xml:space="preserve">”平台（https://www.gcy.zfcg.gxzf.gov.cn/），点击右侧咨询小采，获取采小蜜智能服务管家帮助，或拨打政采云服务热线95763获取热线服务帮助。 </w:t>
      </w:r>
    </w:p>
    <w:p w14:paraId="4C8ADB0F">
      <w:pPr>
        <w:spacing w:line="360" w:lineRule="auto"/>
        <w:ind w:firstLine="482" w:firstLineChars="200"/>
        <w:rPr>
          <w:rFonts w:ascii="黑体" w:hAnsi="黑体" w:eastAsia="黑体" w:cs="宋体"/>
          <w:bCs/>
          <w:color w:val="auto"/>
          <w:sz w:val="24"/>
          <w:highlight w:val="none"/>
        </w:rPr>
      </w:pPr>
      <w:r>
        <w:rPr>
          <w:rFonts w:hint="eastAsia" w:ascii="黑体" w:hAnsi="黑体" w:eastAsia="黑体" w:cs="宋体"/>
          <w:b/>
          <w:color w:val="auto"/>
          <w:kern w:val="44"/>
          <w:sz w:val="24"/>
          <w:highlight w:val="none"/>
        </w:rPr>
        <w:t>八、凡对本次采购提出询问，请按</w:t>
      </w:r>
      <w:r>
        <w:rPr>
          <w:rFonts w:ascii="黑体" w:hAnsi="黑体" w:eastAsia="黑体" w:cs="宋体"/>
          <w:b/>
          <w:color w:val="auto"/>
          <w:kern w:val="44"/>
          <w:sz w:val="24"/>
          <w:highlight w:val="none"/>
        </w:rPr>
        <w:t>以下方式</w:t>
      </w:r>
      <w:r>
        <w:rPr>
          <w:rFonts w:hint="eastAsia" w:ascii="黑体" w:hAnsi="黑体" w:eastAsia="黑体" w:cs="宋体"/>
          <w:b/>
          <w:color w:val="auto"/>
          <w:kern w:val="44"/>
          <w:sz w:val="24"/>
          <w:highlight w:val="none"/>
        </w:rPr>
        <w:t>联系</w:t>
      </w:r>
    </w:p>
    <w:p w14:paraId="5DD033A3">
      <w:pPr>
        <w:autoSpaceDE/>
        <w:autoSpaceDN/>
        <w:spacing w:line="360" w:lineRule="auto"/>
        <w:ind w:firstLine="630" w:firstLineChars="300"/>
        <w:outlineLvl w:val="1"/>
        <w:rPr>
          <w:sz w:val="21"/>
          <w:szCs w:val="21"/>
        </w:rPr>
      </w:pPr>
      <w:bookmarkStart w:id="32" w:name="_Toc3881"/>
      <w:bookmarkStart w:id="33" w:name="_Toc26110"/>
      <w:bookmarkStart w:id="34" w:name="_Toc2694"/>
      <w:bookmarkStart w:id="35" w:name="_Toc17746"/>
      <w:bookmarkStart w:id="36" w:name="_Toc28359096"/>
      <w:bookmarkStart w:id="37" w:name="_Toc35393637"/>
      <w:bookmarkStart w:id="38" w:name="_Toc17619"/>
      <w:bookmarkStart w:id="39" w:name="_Toc35393806"/>
      <w:bookmarkStart w:id="40" w:name="_Toc28359019"/>
      <w:r>
        <w:rPr>
          <w:rFonts w:hint="eastAsia"/>
          <w:sz w:val="21"/>
          <w:szCs w:val="21"/>
        </w:rPr>
        <w:t>1.采购人信息</w:t>
      </w:r>
      <w:bookmarkEnd w:id="32"/>
      <w:bookmarkEnd w:id="33"/>
      <w:bookmarkEnd w:id="34"/>
      <w:bookmarkEnd w:id="35"/>
      <w:bookmarkEnd w:id="36"/>
      <w:bookmarkEnd w:id="37"/>
      <w:bookmarkEnd w:id="38"/>
      <w:bookmarkEnd w:id="39"/>
      <w:bookmarkEnd w:id="40"/>
    </w:p>
    <w:p w14:paraId="659469FF">
      <w:pPr>
        <w:autoSpaceDE/>
        <w:autoSpaceDN/>
        <w:spacing w:line="360" w:lineRule="auto"/>
        <w:ind w:left="1041" w:leftChars="371" w:hanging="262" w:hangingChars="125"/>
        <w:rPr>
          <w:rFonts w:hint="eastAsia" w:eastAsia="宋体"/>
          <w:sz w:val="21"/>
          <w:szCs w:val="21"/>
          <w:lang w:val="en-US" w:eastAsia="zh-CN"/>
        </w:rPr>
      </w:pPr>
      <w:r>
        <w:rPr>
          <w:rFonts w:hint="eastAsia"/>
          <w:sz w:val="21"/>
          <w:szCs w:val="21"/>
        </w:rPr>
        <w:t>名    称：</w:t>
      </w:r>
      <w:r>
        <w:rPr>
          <w:rFonts w:hint="eastAsia"/>
          <w:sz w:val="21"/>
          <w:szCs w:val="21"/>
          <w:lang w:val="en-US" w:eastAsia="zh-CN"/>
        </w:rPr>
        <w:t>隆安县数据局</w:t>
      </w:r>
    </w:p>
    <w:p w14:paraId="28318255">
      <w:pPr>
        <w:autoSpaceDE/>
        <w:autoSpaceDN/>
        <w:spacing w:line="360" w:lineRule="auto"/>
        <w:ind w:left="1041" w:leftChars="371" w:hanging="262" w:hangingChars="125"/>
        <w:rPr>
          <w:rFonts w:hint="eastAsia" w:eastAsia="宋体"/>
          <w:color w:val="auto"/>
          <w:sz w:val="21"/>
          <w:szCs w:val="21"/>
          <w:lang w:eastAsia="zh-CN"/>
        </w:rPr>
      </w:pPr>
      <w:r>
        <w:rPr>
          <w:rFonts w:hint="eastAsia"/>
          <w:color w:val="auto"/>
          <w:sz w:val="21"/>
          <w:szCs w:val="21"/>
        </w:rPr>
        <w:t>地    址：</w:t>
      </w:r>
      <w:r>
        <w:rPr>
          <w:rFonts w:hint="eastAsia"/>
          <w:color w:val="auto"/>
          <w:sz w:val="21"/>
          <w:szCs w:val="21"/>
          <w:lang w:val="en-US" w:eastAsia="zh-CN"/>
        </w:rPr>
        <w:t>隆安县蝶城路201号</w:t>
      </w:r>
    </w:p>
    <w:p w14:paraId="233E5CFF">
      <w:pPr>
        <w:autoSpaceDE/>
        <w:autoSpaceDN/>
        <w:spacing w:line="360" w:lineRule="auto"/>
        <w:ind w:left="1041" w:leftChars="371" w:hanging="262" w:hangingChars="125"/>
        <w:rPr>
          <w:rFonts w:hint="default" w:eastAsia="宋体"/>
          <w:color w:val="auto"/>
          <w:sz w:val="21"/>
          <w:szCs w:val="21"/>
          <w:lang w:val="en-US" w:eastAsia="zh-CN"/>
        </w:rPr>
      </w:pPr>
      <w:r>
        <w:rPr>
          <w:rFonts w:hint="eastAsia"/>
          <w:color w:val="auto"/>
          <w:sz w:val="21"/>
          <w:szCs w:val="21"/>
        </w:rPr>
        <w:t>联系方式：</w:t>
      </w:r>
      <w:r>
        <w:rPr>
          <w:rFonts w:hint="eastAsia"/>
          <w:color w:val="auto"/>
          <w:sz w:val="21"/>
          <w:szCs w:val="21"/>
          <w:lang w:val="en-US" w:eastAsia="zh-CN"/>
        </w:rPr>
        <w:t>覃工  0771-6507752</w:t>
      </w:r>
    </w:p>
    <w:p w14:paraId="61674C08">
      <w:pPr>
        <w:autoSpaceDE/>
        <w:autoSpaceDN/>
        <w:spacing w:line="360" w:lineRule="auto"/>
        <w:ind w:firstLine="630" w:firstLineChars="300"/>
        <w:outlineLvl w:val="1"/>
        <w:rPr>
          <w:sz w:val="21"/>
          <w:szCs w:val="21"/>
        </w:rPr>
      </w:pPr>
      <w:bookmarkStart w:id="41" w:name="_Toc7592"/>
      <w:bookmarkStart w:id="42" w:name="_Toc6576"/>
      <w:bookmarkStart w:id="43" w:name="_Toc35393807"/>
      <w:bookmarkStart w:id="44" w:name="_Toc13720"/>
      <w:bookmarkStart w:id="45" w:name="_Toc21799"/>
      <w:bookmarkStart w:id="46" w:name="_Toc2150"/>
      <w:bookmarkStart w:id="47" w:name="_Toc28359020"/>
      <w:bookmarkStart w:id="48" w:name="_Toc35393638"/>
      <w:bookmarkStart w:id="49" w:name="_Toc28359097"/>
      <w:r>
        <w:rPr>
          <w:rFonts w:hint="eastAsia"/>
          <w:sz w:val="21"/>
          <w:szCs w:val="21"/>
        </w:rPr>
        <w:t>2.采购代理机构信息</w:t>
      </w:r>
      <w:bookmarkEnd w:id="41"/>
      <w:bookmarkEnd w:id="42"/>
      <w:bookmarkEnd w:id="43"/>
      <w:bookmarkEnd w:id="44"/>
      <w:bookmarkEnd w:id="45"/>
      <w:bookmarkEnd w:id="46"/>
      <w:bookmarkEnd w:id="47"/>
      <w:bookmarkEnd w:id="48"/>
      <w:bookmarkEnd w:id="49"/>
    </w:p>
    <w:p w14:paraId="7E7D63DD">
      <w:pPr>
        <w:autoSpaceDE/>
        <w:autoSpaceDN/>
        <w:snapToGrid w:val="0"/>
        <w:spacing w:line="360" w:lineRule="auto"/>
        <w:ind w:right="-50" w:rightChars="-24" w:firstLine="630" w:firstLineChars="300"/>
        <w:rPr>
          <w:rFonts w:hint="eastAsia" w:eastAsia="宋体"/>
          <w:sz w:val="21"/>
          <w:szCs w:val="21"/>
          <w:lang w:eastAsia="zh-CN"/>
        </w:rPr>
      </w:pPr>
      <w:r>
        <w:rPr>
          <w:rFonts w:hint="eastAsia"/>
          <w:sz w:val="21"/>
          <w:szCs w:val="21"/>
        </w:rPr>
        <w:t>名    称：</w:t>
      </w:r>
      <w:r>
        <w:rPr>
          <w:rFonts w:hint="eastAsia"/>
          <w:sz w:val="21"/>
          <w:szCs w:val="21"/>
          <w:lang w:eastAsia="zh-CN"/>
        </w:rPr>
        <w:t>隆安县政府集中采购中心</w:t>
      </w:r>
    </w:p>
    <w:p w14:paraId="55B7AF59">
      <w:pPr>
        <w:autoSpaceDE/>
        <w:autoSpaceDN/>
        <w:spacing w:line="360" w:lineRule="auto"/>
        <w:ind w:firstLine="630" w:firstLineChars="300"/>
        <w:rPr>
          <w:rFonts w:hint="default" w:eastAsia="宋体"/>
          <w:sz w:val="21"/>
          <w:szCs w:val="21"/>
          <w:lang w:val="en-US" w:eastAsia="zh-CN"/>
        </w:rPr>
      </w:pPr>
      <w:r>
        <w:rPr>
          <w:rFonts w:hint="eastAsia"/>
          <w:sz w:val="21"/>
          <w:szCs w:val="21"/>
        </w:rPr>
        <w:t>地　　址：</w:t>
      </w:r>
      <w:r>
        <w:rPr>
          <w:rFonts w:hint="eastAsia"/>
          <w:sz w:val="21"/>
          <w:szCs w:val="21"/>
          <w:lang w:val="en-US" w:eastAsia="zh-CN"/>
        </w:rPr>
        <w:t>隆安县城南路14号</w:t>
      </w:r>
    </w:p>
    <w:p w14:paraId="18262B3C">
      <w:pPr>
        <w:autoSpaceDE/>
        <w:autoSpaceDN/>
        <w:spacing w:line="360" w:lineRule="auto"/>
        <w:ind w:firstLine="630" w:firstLineChars="300"/>
        <w:rPr>
          <w:rFonts w:hint="eastAsia"/>
          <w:sz w:val="21"/>
          <w:szCs w:val="21"/>
          <w:lang w:val="en-US" w:eastAsia="zh-CN"/>
        </w:rPr>
      </w:pPr>
      <w:r>
        <w:rPr>
          <w:rFonts w:hint="eastAsia"/>
          <w:sz w:val="21"/>
          <w:szCs w:val="21"/>
        </w:rPr>
        <w:t>联系方式：</w:t>
      </w:r>
      <w:r>
        <w:rPr>
          <w:rFonts w:hint="eastAsia"/>
          <w:sz w:val="21"/>
          <w:szCs w:val="21"/>
          <w:lang w:val="en-US" w:eastAsia="zh-CN"/>
        </w:rPr>
        <w:t>卢</w:t>
      </w:r>
      <w:r>
        <w:rPr>
          <w:rFonts w:hint="eastAsia"/>
          <w:sz w:val="21"/>
          <w:szCs w:val="21"/>
        </w:rPr>
        <w:t>工   0771-</w:t>
      </w:r>
      <w:r>
        <w:rPr>
          <w:rFonts w:hint="eastAsia"/>
          <w:sz w:val="21"/>
          <w:szCs w:val="21"/>
          <w:lang w:val="en-US" w:eastAsia="zh-CN"/>
        </w:rPr>
        <w:t>6529585</w:t>
      </w:r>
    </w:p>
    <w:p w14:paraId="13592FB8">
      <w:pPr>
        <w:pStyle w:val="14"/>
        <w:numPr>
          <w:ilvl w:val="0"/>
          <w:numId w:val="0"/>
        </w:numPr>
        <w:ind w:left="630" w:leftChars="0"/>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rPr>
        <w:t>采购监督管理部门</w:t>
      </w:r>
    </w:p>
    <w:p w14:paraId="614B9DC1">
      <w:pPr>
        <w:numPr>
          <w:ilvl w:val="0"/>
          <w:numId w:val="0"/>
        </w:numPr>
        <w:ind w:left="630" w:leftChars="0"/>
        <w:rPr>
          <w:rFonts w:hint="eastAsia"/>
          <w:lang w:val="en-US" w:eastAsia="zh-CN"/>
        </w:rPr>
      </w:pPr>
      <w:r>
        <w:rPr>
          <w:rFonts w:hint="eastAsia"/>
          <w:lang w:val="en-US" w:eastAsia="zh-CN"/>
        </w:rPr>
        <w:t>名称：隆安县</w:t>
      </w:r>
      <w:bookmarkStart w:id="50" w:name="OLE_LINK2"/>
      <w:r>
        <w:rPr>
          <w:rFonts w:hint="eastAsia"/>
          <w:lang w:val="en-US" w:eastAsia="zh-CN"/>
        </w:rPr>
        <w:t>财政局</w:t>
      </w:r>
      <w:bookmarkEnd w:id="50"/>
    </w:p>
    <w:p w14:paraId="3A40CAB7">
      <w:pPr>
        <w:pStyle w:val="14"/>
        <w:rPr>
          <w:rFonts w:hint="eastAsia"/>
          <w:lang w:val="en-US" w:eastAsia="zh-CN"/>
        </w:rPr>
      </w:pPr>
      <w:r>
        <w:rPr>
          <w:rFonts w:hint="eastAsia"/>
          <w:lang w:val="en-US" w:eastAsia="zh-CN"/>
        </w:rPr>
        <w:t xml:space="preserve">      地  址：隆安县广场路8号</w:t>
      </w:r>
    </w:p>
    <w:p w14:paraId="3B7D7BDD">
      <w:pPr>
        <w:rPr>
          <w:rFonts w:hint="default"/>
          <w:lang w:val="en-US" w:eastAsia="zh-CN"/>
        </w:rPr>
      </w:pPr>
      <w:r>
        <w:rPr>
          <w:rFonts w:hint="eastAsia"/>
          <w:lang w:val="en-US" w:eastAsia="zh-CN"/>
        </w:rPr>
        <w:t xml:space="preserve">      联系方式：0771-6531019</w:t>
      </w:r>
    </w:p>
    <w:p w14:paraId="5F40ADCF">
      <w:pPr>
        <w:spacing w:line="360" w:lineRule="auto"/>
        <w:ind w:firstLine="640" w:firstLineChars="200"/>
        <w:jc w:val="right"/>
        <w:rPr>
          <w:rFonts w:ascii="宋体" w:hAnsi="宋体"/>
          <w:color w:val="auto"/>
          <w:sz w:val="32"/>
          <w:szCs w:val="32"/>
          <w:highlight w:val="none"/>
        </w:rPr>
      </w:pPr>
    </w:p>
    <w:p w14:paraId="366104AF">
      <w:pPr>
        <w:spacing w:line="360" w:lineRule="auto"/>
        <w:ind w:firstLine="420" w:firstLineChars="200"/>
        <w:jc w:val="right"/>
        <w:rPr>
          <w:rFonts w:hint="eastAsia" w:ascii="宋体" w:hAnsi="宋体"/>
          <w:color w:val="auto"/>
          <w:szCs w:val="21"/>
          <w:highlight w:val="none"/>
          <w:u w:val="single"/>
          <w:lang w:eastAsia="zh-CN"/>
        </w:rPr>
      </w:pP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lang w:eastAsia="zh-CN"/>
        </w:rPr>
        <w:t>隆安县政府集中采购中心</w:t>
      </w:r>
    </w:p>
    <w:p w14:paraId="52A53FAB">
      <w:pPr>
        <w:spacing w:line="360" w:lineRule="auto"/>
        <w:ind w:firstLine="420" w:firstLineChars="200"/>
        <w:jc w:val="center"/>
        <w:rPr>
          <w:rFonts w:hint="eastAsia" w:ascii="宋体" w:hAnsi="宋体" w:eastAsia="宋体" w:cs="Times New Roman"/>
          <w:color w:val="auto"/>
          <w:szCs w:val="21"/>
          <w:highlight w:val="none"/>
          <w:lang w:eastAsia="zh-CN"/>
        </w:rPr>
      </w:pPr>
      <w:r>
        <w:rPr>
          <w:rFonts w:hint="eastAsia" w:ascii="宋体" w:hAnsi="宋体"/>
          <w:color w:val="auto"/>
          <w:szCs w:val="21"/>
          <w:highlight w:val="none"/>
          <w:lang w:val="en-US" w:eastAsia="zh-CN"/>
        </w:rPr>
        <w:t xml:space="preserve">                                      </w:t>
      </w:r>
      <w:r>
        <w:rPr>
          <w:rFonts w:hint="eastAsia" w:ascii="Times New Roman" w:hAnsi="Times New Roman" w:eastAsia="宋体" w:cs="Times New Roman"/>
          <w:color w:val="auto"/>
          <w:highlight w:val="none"/>
          <w:lang w:val="en-US" w:eastAsia="zh-CN"/>
        </w:rPr>
        <w:t xml:space="preserve">      </w:t>
      </w:r>
      <w:r>
        <w:rPr>
          <w:rFonts w:hint="eastAsia" w:ascii="宋体" w:hAnsi="宋体" w:eastAsia="宋体" w:cs="Times New Roman"/>
          <w:color w:val="auto"/>
          <w:szCs w:val="21"/>
          <w:highlight w:val="none"/>
          <w:lang w:val="en-US" w:eastAsia="zh-CN"/>
        </w:rPr>
        <w:t xml:space="preserve">                    </w:t>
      </w:r>
      <w:r>
        <w:rPr>
          <w:rFonts w:hint="eastAsia" w:ascii="宋体" w:hAnsi="宋体" w:eastAsia="宋体" w:cs="Times New Roman"/>
          <w:color w:val="auto"/>
          <w:szCs w:val="21"/>
          <w:highlight w:val="none"/>
          <w:lang w:eastAsia="zh-CN"/>
        </w:rPr>
        <w:t>202</w:t>
      </w:r>
      <w:r>
        <w:rPr>
          <w:rFonts w:hint="eastAsia" w:ascii="宋体" w:hAnsi="宋体" w:eastAsia="宋体" w:cs="Times New Roman"/>
          <w:color w:val="auto"/>
          <w:szCs w:val="21"/>
          <w:highlight w:val="none"/>
          <w:lang w:val="en-US" w:eastAsia="zh-CN"/>
        </w:rPr>
        <w:t>6</w:t>
      </w:r>
      <w:r>
        <w:rPr>
          <w:rFonts w:hint="eastAsia" w:ascii="宋体" w:hAnsi="宋体" w:eastAsia="宋体" w:cs="Times New Roman"/>
          <w:color w:val="auto"/>
          <w:szCs w:val="21"/>
          <w:highlight w:val="none"/>
          <w:lang w:eastAsia="zh-CN"/>
        </w:rPr>
        <w:t>年</w:t>
      </w:r>
      <w:r>
        <w:rPr>
          <w:rFonts w:hint="eastAsia" w:ascii="宋体" w:hAnsi="宋体" w:cs="Times New Roman"/>
          <w:color w:val="auto"/>
          <w:szCs w:val="21"/>
          <w:highlight w:val="none"/>
          <w:lang w:val="en-US" w:eastAsia="zh-CN"/>
        </w:rPr>
        <w:t>7</w:t>
      </w:r>
      <w:r>
        <w:rPr>
          <w:rFonts w:hint="eastAsia" w:ascii="宋体" w:hAnsi="宋体" w:eastAsia="宋体" w:cs="Times New Roman"/>
          <w:color w:val="auto"/>
          <w:szCs w:val="21"/>
          <w:highlight w:val="none"/>
          <w:lang w:eastAsia="zh-CN"/>
        </w:rPr>
        <w:t>月</w:t>
      </w:r>
      <w:r>
        <w:rPr>
          <w:rFonts w:hint="eastAsia" w:ascii="宋体" w:hAnsi="宋体" w:cs="Times New Roman"/>
          <w:color w:val="auto"/>
          <w:szCs w:val="21"/>
          <w:highlight w:val="none"/>
          <w:lang w:val="en-US" w:eastAsia="zh-CN"/>
        </w:rPr>
        <w:t>3</w:t>
      </w:r>
      <w:r>
        <w:rPr>
          <w:rFonts w:hint="eastAsia" w:ascii="宋体" w:hAnsi="宋体" w:eastAsia="宋体" w:cs="Times New Roman"/>
          <w:color w:val="auto"/>
          <w:szCs w:val="21"/>
          <w:highlight w:val="none"/>
          <w:lang w:eastAsia="zh-CN"/>
        </w:rPr>
        <w:t>日</w:t>
      </w:r>
    </w:p>
    <w:p w14:paraId="5083115C">
      <w:pPr>
        <w:outlineLvl w:val="9"/>
        <w:rPr>
          <w:rFonts w:hint="eastAsia" w:ascii="宋体" w:hAnsi="宋体"/>
          <w:color w:val="auto"/>
          <w:szCs w:val="21"/>
          <w:highlight w:val="none"/>
        </w:rPr>
      </w:pPr>
    </w:p>
    <w:p w14:paraId="4D7EA9B8">
      <w:pPr>
        <w:outlineLvl w:val="9"/>
        <w:rPr>
          <w:color w:val="auto"/>
          <w:highlight w:val="none"/>
        </w:rPr>
      </w:pPr>
    </w:p>
    <w:p w14:paraId="05357543">
      <w:pPr>
        <w:rPr>
          <w:rFonts w:hint="eastAsia"/>
        </w:rPr>
      </w:pPr>
    </w:p>
    <w:p w14:paraId="69AA4E87">
      <w:pPr>
        <w:keepNext/>
        <w:keepLines/>
        <w:spacing w:before="340" w:after="330" w:line="578" w:lineRule="auto"/>
        <w:jc w:val="center"/>
        <w:outlineLvl w:val="0"/>
        <w:rPr>
          <w:b/>
          <w:bCs/>
          <w:color w:val="auto"/>
          <w:kern w:val="44"/>
          <w:sz w:val="44"/>
          <w:szCs w:val="44"/>
          <w:highlight w:val="none"/>
        </w:rPr>
      </w:pPr>
      <w:bookmarkStart w:id="51" w:name="_Toc6470"/>
      <w:r>
        <w:rPr>
          <w:rFonts w:hint="eastAsia" w:ascii="Cambria" w:hAnsi="Cambria"/>
          <w:b/>
          <w:color w:val="auto"/>
          <w:kern w:val="44"/>
          <w:sz w:val="32"/>
          <w:szCs w:val="32"/>
          <w:highlight w:val="none"/>
        </w:rPr>
        <w:t>第二章</w:t>
      </w:r>
      <w:r>
        <w:rPr>
          <w:rFonts w:hint="eastAsia" w:ascii="Cambria" w:hAnsi="Cambria"/>
          <w:b/>
          <w:color w:val="auto"/>
          <w:kern w:val="44"/>
          <w:sz w:val="32"/>
          <w:szCs w:val="32"/>
          <w:highlight w:val="none"/>
          <w:lang w:val="en-US" w:eastAsia="zh-CN"/>
        </w:rPr>
        <w:t xml:space="preserve"> </w:t>
      </w:r>
      <w:r>
        <w:rPr>
          <w:rFonts w:hint="eastAsia" w:ascii="Cambria" w:hAnsi="Cambria"/>
          <w:b/>
          <w:color w:val="auto"/>
          <w:kern w:val="44"/>
          <w:sz w:val="32"/>
          <w:szCs w:val="32"/>
          <w:highlight w:val="none"/>
        </w:rPr>
        <w:t>采购需求</w:t>
      </w:r>
      <w:bookmarkEnd w:id="51"/>
    </w:p>
    <w:p w14:paraId="48176AB4">
      <w:pPr>
        <w:spacing w:line="420" w:lineRule="exact"/>
        <w:jc w:val="left"/>
        <w:rPr>
          <w:rFonts w:ascii="宋体" w:hAnsi="宋体" w:cs="宋体"/>
          <w:color w:val="auto"/>
          <w:szCs w:val="21"/>
          <w:highlight w:val="none"/>
        </w:rPr>
      </w:pPr>
      <w:r>
        <w:rPr>
          <w:rFonts w:hint="eastAsia" w:ascii="宋体" w:hAnsi="宋体" w:cs="宋体"/>
          <w:color w:val="auto"/>
          <w:szCs w:val="21"/>
          <w:highlight w:val="none"/>
        </w:rPr>
        <w:t>说明：</w:t>
      </w:r>
    </w:p>
    <w:p w14:paraId="63A24C56">
      <w:pPr>
        <w:numPr>
          <w:ilvl w:val="0"/>
          <w:numId w:val="2"/>
        </w:numPr>
        <w:spacing w:line="420" w:lineRule="exact"/>
        <w:ind w:firstLine="420" w:firstLineChars="200"/>
        <w:jc w:val="left"/>
        <w:rPr>
          <w:rFonts w:hint="eastAsia"/>
          <w:color w:val="auto"/>
          <w:highlight w:val="none"/>
        </w:rPr>
      </w:pPr>
      <w:r>
        <w:rPr>
          <w:rFonts w:hint="eastAsia"/>
          <w:color w:val="auto"/>
          <w:highlight w:val="none"/>
        </w:rPr>
        <w:t>为落实政府采购政策需满足的要求</w:t>
      </w:r>
    </w:p>
    <w:p w14:paraId="27A5BABD">
      <w:pPr>
        <w:numPr>
          <w:ilvl w:val="0"/>
          <w:numId w:val="0"/>
        </w:numPr>
        <w:spacing w:line="42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（1）本竞争性磋商采购文件所称中小企业必须符合《政府采购促进中小企业发展管理办法》（财库〔2020〕46号）的规定。</w:t>
      </w:r>
    </w:p>
    <w:p w14:paraId="6D63C922">
      <w:pPr>
        <w:tabs>
          <w:tab w:val="left" w:pos="180"/>
          <w:tab w:val="left" w:pos="1620"/>
        </w:tabs>
        <w:spacing w:line="420" w:lineRule="exact"/>
        <w:ind w:firstLine="420" w:firstLineChars="200"/>
        <w:rPr>
          <w:rFonts w:ascii="宋体" w:hAnsi="宋体" w:cs="宋体"/>
          <w:b/>
          <w:bCs/>
          <w:color w:val="auto"/>
          <w:szCs w:val="21"/>
          <w:highlight w:val="none"/>
        </w:rPr>
      </w:pPr>
      <w:r>
        <w:rPr>
          <w:rFonts w:hint="eastAsia" w:ascii="宋体" w:hAnsi="宋体" w:cs="宋体"/>
          <w:color w:val="auto"/>
          <w:szCs w:val="21"/>
          <w:highlight w:val="none"/>
        </w:rPr>
        <w:t>（2）服务项目中包含货物的，根据《财政部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供应商必须在响应文件中提供所竞标产品的节能产品认证证书复印件（加盖供应商公章），否则响应文件作无效处理。如本项目包含的配套货物属于品目清单内非标注“★”的产品时，应优先采购，具体详见“第四章 评审程序和评定成交的标准”。</w:t>
      </w:r>
    </w:p>
    <w:p w14:paraId="195555D7">
      <w:pPr>
        <w:pageBreakBefore w:val="0"/>
        <w:wordWrap w:val="0"/>
        <w:overflowPunct/>
        <w:topLinePunct w:val="0"/>
        <w:bidi w:val="0"/>
        <w:spacing w:line="348" w:lineRule="auto"/>
        <w:ind w:firstLine="424" w:firstLineChars="202"/>
        <w:jc w:val="left"/>
        <w:outlineLvl w:val="9"/>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3）服务项目中伴随的货物包含列入《网络关键设备和网络安全专用产品目录》的网络安全专用产品，应当按照《信息安全技术网络安全专用产品安全技术要求》等相关国家标准的强制性要求，提供具备资格的机构安全认证合格或者安全检测证明材料（加盖投标人公章），否则投标文件作无效处理。</w:t>
      </w:r>
    </w:p>
    <w:p w14:paraId="47D1070C">
      <w:pPr>
        <w:pageBreakBefore w:val="0"/>
        <w:wordWrap w:val="0"/>
        <w:overflowPunct/>
        <w:topLinePunct w:val="0"/>
        <w:bidi w:val="0"/>
        <w:spacing w:line="348" w:lineRule="auto"/>
        <w:ind w:firstLine="426" w:firstLineChars="202"/>
        <w:jc w:val="left"/>
        <w:outlineLvl w:val="9"/>
        <w:rPr>
          <w:rFonts w:ascii="宋体" w:hAnsi="宋体" w:cs="宋体"/>
          <w:b/>
          <w:bCs/>
          <w:color w:val="auto"/>
          <w:szCs w:val="21"/>
          <w:highlight w:val="none"/>
        </w:rPr>
      </w:pPr>
      <w:r>
        <w:rPr>
          <w:rFonts w:hint="eastAsia" w:ascii="宋体" w:hAnsi="宋体" w:cs="宋体"/>
          <w:b/>
          <w:bCs/>
          <w:color w:val="auto"/>
          <w:szCs w:val="21"/>
          <w:highlight w:val="none"/>
        </w:rPr>
        <w:t>2.“实质性要求”是指采购需求中带“▲”的条款或者不能负偏离的条款或者已经指明不满足按响应文件作无效处理的条款。</w:t>
      </w:r>
    </w:p>
    <w:p w14:paraId="2DD3891D">
      <w:pPr>
        <w:spacing w:line="420" w:lineRule="exact"/>
        <w:ind w:firstLine="420" w:firstLineChars="200"/>
        <w:jc w:val="left"/>
        <w:rPr>
          <w:rFonts w:hint="eastAsia"/>
          <w:color w:val="auto"/>
          <w:highlight w:val="none"/>
        </w:rPr>
      </w:pPr>
      <w:r>
        <w:rPr>
          <w:rFonts w:hint="eastAsia" w:ascii="宋体" w:hAnsi="宋体" w:cs="宋体"/>
          <w:color w:val="auto"/>
          <w:szCs w:val="21"/>
          <w:highlight w:val="none"/>
        </w:rPr>
        <w:t xml:space="preserve">3. </w:t>
      </w:r>
      <w:r>
        <w:rPr>
          <w:rFonts w:hint="eastAsia"/>
          <w:color w:val="auto"/>
          <w:highlight w:val="none"/>
        </w:rPr>
        <w:t>如投标人投标</w:t>
      </w:r>
      <w:r>
        <w:rPr>
          <w:color w:val="auto"/>
          <w:highlight w:val="none"/>
        </w:rPr>
        <w:t>产品</w:t>
      </w:r>
      <w:r>
        <w:rPr>
          <w:rFonts w:hint="eastAsia"/>
          <w:color w:val="auto"/>
          <w:highlight w:val="none"/>
        </w:rPr>
        <w:t>存在</w:t>
      </w:r>
      <w:r>
        <w:rPr>
          <w:color w:val="auto"/>
          <w:highlight w:val="none"/>
        </w:rPr>
        <w:t>侵犯</w:t>
      </w:r>
      <w:r>
        <w:rPr>
          <w:rFonts w:hint="eastAsia"/>
          <w:color w:val="auto"/>
          <w:highlight w:val="none"/>
        </w:rPr>
        <w:t>他人的知识产权或者专利成果行为的，应</w:t>
      </w:r>
      <w:r>
        <w:rPr>
          <w:color w:val="auto"/>
          <w:highlight w:val="none"/>
        </w:rPr>
        <w:t>承担相应法律责任</w:t>
      </w:r>
      <w:r>
        <w:rPr>
          <w:rFonts w:hint="eastAsia"/>
          <w:color w:val="auto"/>
          <w:highlight w:val="none"/>
        </w:rPr>
        <w:t>。</w:t>
      </w:r>
    </w:p>
    <w:p w14:paraId="2D3F307C">
      <w:pPr>
        <w:pStyle w:val="21"/>
        <w:rPr>
          <w:rFonts w:hint="eastAsia"/>
          <w:color w:val="auto"/>
          <w:highlight w:val="none"/>
        </w:rPr>
      </w:pPr>
    </w:p>
    <w:tbl>
      <w:tblPr>
        <w:tblStyle w:val="30"/>
        <w:tblW w:w="5153"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69"/>
        <w:gridCol w:w="352"/>
        <w:gridCol w:w="695"/>
        <w:gridCol w:w="469"/>
        <w:gridCol w:w="738"/>
        <w:gridCol w:w="4424"/>
        <w:gridCol w:w="1432"/>
        <w:gridCol w:w="1578"/>
      </w:tblGrid>
      <w:tr w14:paraId="66E4A4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5000" w:type="pct"/>
            <w:gridSpan w:val="8"/>
            <w:tcBorders>
              <w:top w:val="single" w:color="auto" w:sz="4" w:space="0"/>
              <w:left w:val="single" w:color="auto" w:sz="4" w:space="0"/>
              <w:bottom w:val="nil"/>
              <w:right w:val="single" w:color="auto" w:sz="4" w:space="0"/>
            </w:tcBorders>
            <w:noWrap w:val="0"/>
            <w:vAlign w:val="center"/>
          </w:tcPr>
          <w:p w14:paraId="06099C55">
            <w:pPr>
              <w:keepNext w:val="0"/>
              <w:keepLines w:val="0"/>
              <w:suppressLineNumbers w:val="0"/>
              <w:spacing w:before="0" w:beforeAutospacing="0" w:after="0" w:afterAutospacing="0" w:line="360" w:lineRule="auto"/>
              <w:ind w:left="0" w:right="0"/>
              <w:jc w:val="center"/>
              <w:rPr>
                <w:rFonts w:hint="eastAsia" w:ascii="宋体" w:hAnsi="宋体" w:cs="宋体"/>
                <w:b/>
                <w:color w:val="000000"/>
                <w:szCs w:val="21"/>
                <w:highlight w:val="none"/>
              </w:rPr>
            </w:pPr>
            <w:r>
              <w:rPr>
                <w:rFonts w:hint="eastAsia" w:ascii="宋体" w:hAnsi="宋体" w:cs="宋体"/>
                <w:b/>
                <w:color w:val="000000"/>
                <w:szCs w:val="21"/>
                <w:highlight w:val="none"/>
              </w:rPr>
              <w:t>服务需求一览表</w:t>
            </w:r>
          </w:p>
        </w:tc>
      </w:tr>
      <w:tr w14:paraId="41B3C6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6" w:hRule="atLeast"/>
          <w:jc w:val="center"/>
        </w:trPr>
        <w:tc>
          <w:tcPr>
            <w:tcW w:w="746" w:type="pct"/>
            <w:gridSpan w:val="3"/>
            <w:tcBorders>
              <w:top w:val="single" w:color="auto" w:sz="4" w:space="0"/>
              <w:left w:val="single" w:color="auto" w:sz="4" w:space="0"/>
              <w:bottom w:val="nil"/>
              <w:right w:val="single" w:color="auto" w:sz="4" w:space="0"/>
            </w:tcBorders>
            <w:noWrap w:val="0"/>
            <w:vAlign w:val="center"/>
          </w:tcPr>
          <w:p w14:paraId="60F2798A">
            <w:pPr>
              <w:keepNext w:val="0"/>
              <w:keepLines w:val="0"/>
              <w:suppressLineNumbers w:val="0"/>
              <w:spacing w:before="0" w:beforeAutospacing="0" w:after="0" w:afterAutospacing="0" w:line="360" w:lineRule="auto"/>
              <w:ind w:left="0" w:right="0"/>
              <w:jc w:val="center"/>
              <w:rPr>
                <w:rFonts w:hint="eastAsia" w:ascii="宋体" w:hAnsi="宋体" w:cs="宋体"/>
                <w:color w:val="000000"/>
                <w:szCs w:val="21"/>
                <w:highlight w:val="none"/>
              </w:rPr>
            </w:pPr>
            <w:r>
              <w:rPr>
                <w:rFonts w:hint="eastAsia" w:ascii="宋体" w:hAnsi="宋体" w:cs="宋体"/>
                <w:color w:val="000000"/>
                <w:szCs w:val="21"/>
                <w:highlight w:val="none"/>
              </w:rPr>
              <w:t>标段</w:t>
            </w:r>
          </w:p>
        </w:tc>
        <w:tc>
          <w:tcPr>
            <w:tcW w:w="4253" w:type="pct"/>
            <w:gridSpan w:val="5"/>
            <w:tcBorders>
              <w:top w:val="single" w:color="auto" w:sz="4" w:space="0"/>
              <w:left w:val="nil"/>
              <w:bottom w:val="nil"/>
              <w:right w:val="single" w:color="auto" w:sz="4" w:space="0"/>
            </w:tcBorders>
            <w:noWrap w:val="0"/>
            <w:vAlign w:val="center"/>
          </w:tcPr>
          <w:p w14:paraId="4671776F">
            <w:pPr>
              <w:keepNext w:val="0"/>
              <w:keepLines w:val="0"/>
              <w:suppressLineNumbers w:val="0"/>
              <w:spacing w:before="0" w:beforeAutospacing="0" w:after="0" w:afterAutospacing="0" w:line="360" w:lineRule="auto"/>
              <w:ind w:left="0" w:right="0"/>
              <w:jc w:val="left"/>
              <w:rPr>
                <w:rFonts w:hint="eastAsia" w:ascii="宋体" w:hAnsi="宋体" w:cs="宋体"/>
                <w:b/>
                <w:bCs/>
                <w:szCs w:val="21"/>
                <w:highlight w:val="none"/>
                <w:lang w:val="en-US" w:eastAsia="zh-CN"/>
              </w:rPr>
            </w:pPr>
            <w:r>
              <w:rPr>
                <w:rFonts w:hint="eastAsia" w:ascii="宋体" w:hAnsi="宋体" w:cs="宋体"/>
                <w:b/>
                <w:bCs/>
                <w:szCs w:val="21"/>
                <w:highlight w:val="none"/>
                <w:lang w:val="en-US" w:eastAsia="zh-CN"/>
              </w:rPr>
              <w:t>无分标</w:t>
            </w:r>
          </w:p>
        </w:tc>
      </w:tr>
      <w:tr w14:paraId="3CECD3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230" w:type="pct"/>
            <w:vMerge w:val="restart"/>
            <w:tcBorders>
              <w:top w:val="single" w:color="auto" w:sz="4" w:space="0"/>
              <w:left w:val="single" w:color="auto" w:sz="4" w:space="0"/>
              <w:bottom w:val="nil"/>
              <w:right w:val="single" w:color="auto" w:sz="4" w:space="0"/>
            </w:tcBorders>
            <w:noWrap w:val="0"/>
            <w:vAlign w:val="top"/>
          </w:tcPr>
          <w:p w14:paraId="537E8405">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szCs w:val="21"/>
                <w:highlight w:val="none"/>
              </w:rPr>
              <w:t>采购清单及服务参数</w:t>
            </w:r>
          </w:p>
        </w:tc>
        <w:tc>
          <w:tcPr>
            <w:tcW w:w="173" w:type="pct"/>
            <w:tcBorders>
              <w:top w:val="single" w:color="auto" w:sz="4" w:space="0"/>
              <w:left w:val="nil"/>
              <w:bottom w:val="single" w:color="auto" w:sz="4" w:space="0"/>
              <w:right w:val="single" w:color="auto" w:sz="4" w:space="0"/>
            </w:tcBorders>
            <w:noWrap w:val="0"/>
            <w:tcMar>
              <w:top w:w="0" w:type="dxa"/>
              <w:left w:w="0" w:type="dxa"/>
              <w:bottom w:w="0" w:type="dxa"/>
              <w:right w:w="0" w:type="dxa"/>
            </w:tcMar>
            <w:vAlign w:val="center"/>
          </w:tcPr>
          <w:p w14:paraId="519DCDCE">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szCs w:val="21"/>
                <w:highlight w:val="none"/>
              </w:rPr>
              <w:t>序号</w:t>
            </w:r>
          </w:p>
        </w:tc>
        <w:tc>
          <w:tcPr>
            <w:tcW w:w="342" w:type="pct"/>
            <w:tcBorders>
              <w:top w:val="single" w:color="auto" w:sz="4" w:space="0"/>
              <w:left w:val="nil"/>
              <w:bottom w:val="single" w:color="auto" w:sz="4" w:space="0"/>
              <w:right w:val="single" w:color="auto" w:sz="4" w:space="0"/>
            </w:tcBorders>
            <w:noWrap w:val="0"/>
            <w:vAlign w:val="center"/>
          </w:tcPr>
          <w:p w14:paraId="6C379560">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szCs w:val="21"/>
                <w:highlight w:val="none"/>
              </w:rPr>
              <w:t>采购服务名称</w:t>
            </w:r>
          </w:p>
        </w:tc>
        <w:tc>
          <w:tcPr>
            <w:tcW w:w="230" w:type="pct"/>
            <w:tcBorders>
              <w:top w:val="single" w:color="auto" w:sz="4" w:space="0"/>
              <w:left w:val="nil"/>
              <w:bottom w:val="single" w:color="auto" w:sz="4" w:space="0"/>
              <w:right w:val="single" w:color="auto" w:sz="4" w:space="0"/>
            </w:tcBorders>
            <w:noWrap w:val="0"/>
            <w:vAlign w:val="center"/>
          </w:tcPr>
          <w:p w14:paraId="5D47B3C5">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szCs w:val="21"/>
                <w:highlight w:val="none"/>
              </w:rPr>
              <w:t>单位</w:t>
            </w:r>
          </w:p>
        </w:tc>
        <w:tc>
          <w:tcPr>
            <w:tcW w:w="363" w:type="pct"/>
            <w:tcBorders>
              <w:top w:val="single" w:color="auto" w:sz="4" w:space="0"/>
              <w:left w:val="nil"/>
              <w:bottom w:val="single" w:color="auto" w:sz="4" w:space="0"/>
              <w:right w:val="single" w:color="auto" w:sz="4" w:space="0"/>
            </w:tcBorders>
            <w:noWrap w:val="0"/>
            <w:vAlign w:val="center"/>
          </w:tcPr>
          <w:p w14:paraId="34A9D529">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szCs w:val="21"/>
                <w:highlight w:val="none"/>
              </w:rPr>
              <w:t>数量</w:t>
            </w:r>
          </w:p>
        </w:tc>
        <w:tc>
          <w:tcPr>
            <w:tcW w:w="2177" w:type="pct"/>
            <w:tcBorders>
              <w:top w:val="single" w:color="auto" w:sz="4" w:space="0"/>
              <w:left w:val="nil"/>
              <w:bottom w:val="single" w:color="auto" w:sz="4" w:space="0"/>
              <w:right w:val="single" w:color="auto" w:sz="4" w:space="0"/>
            </w:tcBorders>
            <w:noWrap w:val="0"/>
            <w:vAlign w:val="center"/>
          </w:tcPr>
          <w:p w14:paraId="09739BDA">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szCs w:val="21"/>
                <w:highlight w:val="none"/>
              </w:rPr>
              <w:t>服务参数</w:t>
            </w:r>
          </w:p>
        </w:tc>
        <w:tc>
          <w:tcPr>
            <w:tcW w:w="704" w:type="pct"/>
            <w:tcBorders>
              <w:top w:val="single" w:color="auto" w:sz="4" w:space="0"/>
              <w:left w:val="nil"/>
              <w:bottom w:val="single" w:color="auto" w:sz="4" w:space="0"/>
              <w:right w:val="single" w:color="auto" w:sz="4" w:space="0"/>
            </w:tcBorders>
            <w:noWrap w:val="0"/>
            <w:vAlign w:val="center"/>
          </w:tcPr>
          <w:p w14:paraId="1E8EA26A">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color w:val="000000"/>
                <w:szCs w:val="21"/>
              </w:rPr>
              <w:t>分项预算合计（元）</w:t>
            </w:r>
          </w:p>
        </w:tc>
        <w:tc>
          <w:tcPr>
            <w:tcW w:w="776" w:type="pct"/>
            <w:tcBorders>
              <w:top w:val="single" w:color="auto" w:sz="4" w:space="0"/>
              <w:left w:val="nil"/>
              <w:bottom w:val="single" w:color="auto" w:sz="4" w:space="0"/>
              <w:right w:val="single" w:color="auto" w:sz="4" w:space="0"/>
            </w:tcBorders>
            <w:noWrap w:val="0"/>
            <w:vAlign w:val="center"/>
          </w:tcPr>
          <w:p w14:paraId="7DCD5039">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Times New Roman"/>
                <w:color w:val="000000"/>
                <w:szCs w:val="21"/>
              </w:rPr>
              <w:t>中小企业划分标准所属行业名称（行业名称及划分见本章附件）</w:t>
            </w:r>
          </w:p>
        </w:tc>
      </w:tr>
      <w:tr w14:paraId="2E145F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230" w:type="pct"/>
            <w:vMerge w:val="continue"/>
            <w:tcBorders>
              <w:top w:val="single" w:color="auto" w:sz="4" w:space="0"/>
              <w:left w:val="single" w:color="auto" w:sz="4" w:space="0"/>
              <w:bottom w:val="nil"/>
              <w:right w:val="single" w:color="auto" w:sz="4" w:space="0"/>
            </w:tcBorders>
            <w:noWrap w:val="0"/>
            <w:vAlign w:val="center"/>
          </w:tcPr>
          <w:p w14:paraId="077336AF">
            <w:pPr>
              <w:keepNext w:val="0"/>
              <w:keepLines w:val="0"/>
              <w:widowControl/>
              <w:suppressLineNumbers w:val="0"/>
              <w:spacing w:before="0" w:beforeAutospacing="0" w:after="0" w:afterAutospacing="0" w:line="360" w:lineRule="auto"/>
              <w:ind w:left="0" w:right="0"/>
              <w:jc w:val="left"/>
              <w:rPr>
                <w:rFonts w:hint="eastAsia" w:ascii="宋体" w:hAnsi="宋体" w:cs="宋体"/>
                <w:szCs w:val="21"/>
                <w:highlight w:val="none"/>
              </w:rPr>
            </w:pPr>
          </w:p>
        </w:tc>
        <w:tc>
          <w:tcPr>
            <w:tcW w:w="173" w:type="pct"/>
            <w:tcBorders>
              <w:top w:val="single" w:color="auto" w:sz="4" w:space="0"/>
              <w:left w:val="nil"/>
              <w:bottom w:val="single" w:color="auto" w:sz="4" w:space="0"/>
              <w:right w:val="single" w:color="auto" w:sz="4" w:space="0"/>
            </w:tcBorders>
            <w:noWrap w:val="0"/>
            <w:vAlign w:val="center"/>
          </w:tcPr>
          <w:p w14:paraId="74ED3053">
            <w:pPr>
              <w:keepNext w:val="0"/>
              <w:keepLines w:val="0"/>
              <w:widowControl/>
              <w:suppressLineNumbers w:val="0"/>
              <w:wordWrap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szCs w:val="21"/>
                <w:highlight w:val="none"/>
              </w:rPr>
              <w:t>1</w:t>
            </w:r>
          </w:p>
        </w:tc>
        <w:tc>
          <w:tcPr>
            <w:tcW w:w="342" w:type="pct"/>
            <w:tcBorders>
              <w:top w:val="single" w:color="auto" w:sz="4" w:space="0"/>
              <w:left w:val="nil"/>
              <w:bottom w:val="single" w:color="auto" w:sz="4" w:space="0"/>
              <w:right w:val="single" w:color="auto" w:sz="4" w:space="0"/>
            </w:tcBorders>
            <w:noWrap w:val="0"/>
            <w:vAlign w:val="center"/>
          </w:tcPr>
          <w:p w14:paraId="798E0A01">
            <w:pPr>
              <w:keepNext w:val="0"/>
              <w:keepLines w:val="0"/>
              <w:widowControl/>
              <w:suppressLineNumbers w:val="0"/>
              <w:spacing w:before="0" w:beforeAutospacing="0" w:after="0" w:afterAutospacing="0"/>
              <w:ind w:left="0" w:right="0"/>
              <w:jc w:val="center"/>
              <w:textAlignment w:val="center"/>
              <w:rPr>
                <w:rFonts w:hint="default" w:ascii="宋体" w:hAnsi="宋体" w:cs="宋体"/>
                <w:sz w:val="21"/>
                <w:szCs w:val="21"/>
                <w:highlight w:val="none"/>
                <w:lang w:val="en-US"/>
              </w:rPr>
            </w:pPr>
            <w:r>
              <w:rPr>
                <w:rFonts w:hint="eastAsia" w:ascii="宋体" w:hAnsi="宋体" w:eastAsia="宋体" w:cs="宋体"/>
                <w:i w:val="0"/>
                <w:iCs w:val="0"/>
                <w:color w:val="000000"/>
                <w:kern w:val="0"/>
                <w:sz w:val="21"/>
                <w:szCs w:val="21"/>
                <w:u w:val="none"/>
                <w:lang w:val="en-US" w:eastAsia="zh-CN" w:bidi="ar"/>
              </w:rPr>
              <w:t>点对点光纤线路</w:t>
            </w:r>
          </w:p>
        </w:tc>
        <w:tc>
          <w:tcPr>
            <w:tcW w:w="230" w:type="pct"/>
            <w:tcBorders>
              <w:top w:val="single" w:color="auto" w:sz="4" w:space="0"/>
              <w:left w:val="nil"/>
              <w:bottom w:val="single" w:color="auto" w:sz="4" w:space="0"/>
              <w:right w:val="single" w:color="auto" w:sz="4" w:space="0"/>
            </w:tcBorders>
            <w:noWrap w:val="0"/>
            <w:vAlign w:val="center"/>
          </w:tcPr>
          <w:p w14:paraId="052706C6">
            <w:pPr>
              <w:keepNext w:val="0"/>
              <w:keepLines w:val="0"/>
              <w:widowControl/>
              <w:suppressLineNumbers w:val="0"/>
              <w:spacing w:before="0" w:beforeAutospacing="0" w:after="0" w:afterAutospacing="0"/>
              <w:ind w:left="0" w:right="0"/>
              <w:jc w:val="center"/>
              <w:textAlignment w:val="center"/>
              <w:rPr>
                <w:rFonts w:hint="eastAsia" w:ascii="宋体" w:hAnsi="宋体" w:cs="宋体"/>
                <w:sz w:val="21"/>
                <w:szCs w:val="21"/>
                <w:highlight w:val="none"/>
              </w:rPr>
            </w:pPr>
            <w:r>
              <w:rPr>
                <w:rFonts w:hint="eastAsia" w:ascii="宋体" w:hAnsi="宋体" w:eastAsia="宋体" w:cs="宋体"/>
                <w:i w:val="0"/>
                <w:iCs w:val="0"/>
                <w:color w:val="000000"/>
                <w:kern w:val="0"/>
                <w:sz w:val="21"/>
                <w:szCs w:val="21"/>
                <w:u w:val="none"/>
                <w:lang w:val="en-US" w:eastAsia="zh-CN" w:bidi="ar"/>
              </w:rPr>
              <w:t>条</w:t>
            </w:r>
          </w:p>
        </w:tc>
        <w:tc>
          <w:tcPr>
            <w:tcW w:w="363" w:type="pct"/>
            <w:tcBorders>
              <w:top w:val="single" w:color="auto" w:sz="4" w:space="0"/>
              <w:left w:val="nil"/>
              <w:bottom w:val="single" w:color="auto" w:sz="4" w:space="0"/>
              <w:right w:val="single" w:color="auto" w:sz="4" w:space="0"/>
            </w:tcBorders>
            <w:noWrap w:val="0"/>
            <w:vAlign w:val="center"/>
          </w:tcPr>
          <w:p w14:paraId="668B03BF">
            <w:pPr>
              <w:keepNext w:val="0"/>
              <w:keepLines w:val="0"/>
              <w:widowControl/>
              <w:suppressLineNumbers w:val="0"/>
              <w:spacing w:before="0" w:beforeAutospacing="0" w:after="0" w:afterAutospacing="0"/>
              <w:ind w:left="0" w:right="0"/>
              <w:jc w:val="center"/>
              <w:textAlignment w:val="center"/>
              <w:rPr>
                <w:rFonts w:hint="eastAsia" w:ascii="宋体" w:hAnsi="宋体" w:cs="宋体"/>
                <w:sz w:val="21"/>
                <w:szCs w:val="21"/>
                <w:highlight w:val="none"/>
              </w:rPr>
            </w:pPr>
            <w:r>
              <w:rPr>
                <w:rFonts w:hint="eastAsia" w:ascii="宋体" w:hAnsi="宋体" w:eastAsia="宋体" w:cs="宋体"/>
                <w:i w:val="0"/>
                <w:iCs w:val="0"/>
                <w:color w:val="000000"/>
                <w:kern w:val="0"/>
                <w:sz w:val="21"/>
                <w:szCs w:val="21"/>
                <w:u w:val="none"/>
                <w:lang w:val="en-US" w:eastAsia="zh-CN" w:bidi="ar"/>
              </w:rPr>
              <w:t>73</w:t>
            </w:r>
          </w:p>
        </w:tc>
        <w:tc>
          <w:tcPr>
            <w:tcW w:w="2177" w:type="pct"/>
            <w:tcBorders>
              <w:top w:val="single" w:color="auto" w:sz="4" w:space="0"/>
              <w:left w:val="nil"/>
              <w:bottom w:val="single" w:color="auto" w:sz="4" w:space="0"/>
              <w:right w:val="single" w:color="auto" w:sz="4" w:space="0"/>
            </w:tcBorders>
            <w:noWrap w:val="0"/>
            <w:vAlign w:val="center"/>
          </w:tcPr>
          <w:p w14:paraId="77767D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right="0"/>
              <w:jc w:val="left"/>
              <w:textAlignment w:val="center"/>
              <w:rPr>
                <w:rFonts w:hint="eastAsia" w:ascii="宋体" w:hAnsi="宋体" w:cs="宋体"/>
                <w:sz w:val="21"/>
                <w:szCs w:val="21"/>
                <w:highlight w:val="none"/>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cs="宋体"/>
                <w:b/>
                <w:bCs/>
                <w:color w:val="auto"/>
                <w:sz w:val="21"/>
                <w:szCs w:val="21"/>
                <w:highlight w:val="none"/>
              </w:rPr>
              <w:t>▲</w:t>
            </w:r>
            <w:r>
              <w:rPr>
                <w:rFonts w:hint="eastAsia" w:ascii="宋体" w:hAnsi="宋体" w:eastAsia="宋体" w:cs="宋体"/>
                <w:i w:val="0"/>
                <w:iCs w:val="0"/>
                <w:color w:val="000000"/>
                <w:kern w:val="0"/>
                <w:sz w:val="21"/>
                <w:szCs w:val="21"/>
                <w:u w:val="none"/>
                <w:lang w:val="en-US" w:eastAsia="zh-CN" w:bidi="ar"/>
              </w:rPr>
              <w:t>提供电子政务外网各接入单位到中心机房的68条100M、5条300M的点对点光纤专线，要求专线速率上、 下行对称，与互联网物理隔离，保证数据传输的安全和稳定；</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采用基于MSTP或更优接入技术，可应对电子政务网络内突发的带宽增长需求，具备最小保障带宽设置机制和QOS机制，支持通过设置最小带宽和最大带宽实现带宽平滑升级的要求。网络接入侧的最小业务颗粒为FE/GE,线路侧为 GE-40GE。</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要求投标人所采用的网络，汇聚层至骨干层具有自愈环保护功能，具备≤50ms保护倒换能力，保证专线不会因光缆的意外阻断或部分设备故障而中断。传输设备要求具有全网网管监控功能，并实行7*24小时实时监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4.要求投标人提供各种主流物理光、电接口，如RJ45/LC/FC等供采购人使用。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5.每年至少提供5次免费线路迁移点位服务。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6.线路技术指标：</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(1)网络可用率≥99.9%;</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(2)端到端电路平均网络延时≤50ms;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(3)端到端电路丢包率≤1%。</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7.本采购报价为3年网络线路租用费。</w:t>
            </w:r>
          </w:p>
        </w:tc>
        <w:tc>
          <w:tcPr>
            <w:tcW w:w="704" w:type="pct"/>
            <w:vMerge w:val="restart"/>
            <w:tcBorders>
              <w:top w:val="single" w:color="auto" w:sz="4" w:space="0"/>
              <w:left w:val="nil"/>
              <w:right w:val="single" w:color="auto" w:sz="4" w:space="0"/>
            </w:tcBorders>
            <w:noWrap w:val="0"/>
            <w:vAlign w:val="center"/>
          </w:tcPr>
          <w:p w14:paraId="09D73882">
            <w:pPr>
              <w:keepNext w:val="0"/>
              <w:keepLines w:val="0"/>
              <w:suppressLineNumbers w:val="0"/>
              <w:spacing w:before="0" w:beforeAutospacing="0" w:after="0" w:afterAutospacing="0" w:line="360" w:lineRule="auto"/>
              <w:ind w:left="0" w:right="0"/>
              <w:jc w:val="center"/>
              <w:rPr>
                <w:rFonts w:hint="default" w:ascii="宋体" w:hAnsi="Courier New" w:eastAsia="宋体" w:cs="Times New Roman"/>
                <w:kern w:val="0"/>
                <w:sz w:val="20"/>
                <w:szCs w:val="21"/>
                <w:highlight w:val="none"/>
                <w:lang w:val="en-US" w:eastAsia="zh-CN" w:bidi="ar-SA"/>
              </w:rPr>
            </w:pPr>
            <w:r>
              <w:rPr>
                <w:rFonts w:hint="eastAsia" w:ascii="宋体" w:hAnsi="宋体" w:cs="Times New Roman"/>
                <w:color w:val="auto"/>
                <w:szCs w:val="21"/>
                <w:highlight w:val="none"/>
                <w:lang w:val="en-US" w:eastAsia="zh-CN"/>
              </w:rPr>
              <w:t>2,981,200</w:t>
            </w:r>
          </w:p>
        </w:tc>
        <w:tc>
          <w:tcPr>
            <w:tcW w:w="776" w:type="pct"/>
            <w:vMerge w:val="restart"/>
            <w:tcBorders>
              <w:top w:val="single" w:color="auto" w:sz="4" w:space="0"/>
              <w:left w:val="nil"/>
              <w:right w:val="single" w:color="auto" w:sz="4" w:space="0"/>
            </w:tcBorders>
            <w:noWrap w:val="0"/>
            <w:vAlign w:val="center"/>
          </w:tcPr>
          <w:p w14:paraId="4B1930F7">
            <w:pPr>
              <w:keepNext w:val="0"/>
              <w:keepLines w:val="0"/>
              <w:suppressLineNumbers w:val="0"/>
              <w:spacing w:before="0" w:beforeAutospacing="0" w:after="0" w:afterAutospacing="0" w:line="360" w:lineRule="auto"/>
              <w:ind w:left="0" w:right="0"/>
              <w:jc w:val="left"/>
              <w:rPr>
                <w:rFonts w:hint="eastAsia" w:ascii="宋体" w:hAnsi="Courier New" w:eastAsia="宋体" w:cs="Times New Roman"/>
                <w:kern w:val="0"/>
                <w:sz w:val="20"/>
                <w:szCs w:val="21"/>
                <w:highlight w:val="none"/>
                <w:lang w:val="en-US" w:eastAsia="zh-CN" w:bidi="ar-SA"/>
              </w:rPr>
            </w:pPr>
            <w:r>
              <w:rPr>
                <w:rFonts w:hint="eastAsia" w:ascii="宋体" w:hAnsi="宋体" w:cs="Times New Roman"/>
                <w:color w:val="000000"/>
                <w:szCs w:val="21"/>
              </w:rPr>
              <w:t>信息传输业</w:t>
            </w:r>
          </w:p>
        </w:tc>
      </w:tr>
      <w:tr w14:paraId="258A0C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230" w:type="pct"/>
            <w:tcBorders>
              <w:top w:val="single" w:color="auto" w:sz="4" w:space="0"/>
              <w:left w:val="single" w:color="auto" w:sz="4" w:space="0"/>
              <w:bottom w:val="nil"/>
              <w:right w:val="single" w:color="auto" w:sz="4" w:space="0"/>
            </w:tcBorders>
            <w:noWrap w:val="0"/>
            <w:vAlign w:val="center"/>
          </w:tcPr>
          <w:p w14:paraId="5B5B229B">
            <w:pPr>
              <w:keepNext w:val="0"/>
              <w:keepLines w:val="0"/>
              <w:widowControl/>
              <w:suppressLineNumbers w:val="0"/>
              <w:spacing w:before="0" w:beforeAutospacing="0" w:after="0" w:afterAutospacing="0" w:line="360" w:lineRule="auto"/>
              <w:ind w:left="0" w:right="0"/>
              <w:jc w:val="left"/>
              <w:rPr>
                <w:rFonts w:hint="eastAsia" w:ascii="宋体" w:hAnsi="宋体" w:cs="宋体"/>
                <w:szCs w:val="21"/>
                <w:highlight w:val="none"/>
              </w:rPr>
            </w:pPr>
          </w:p>
        </w:tc>
        <w:tc>
          <w:tcPr>
            <w:tcW w:w="173" w:type="pct"/>
            <w:tcBorders>
              <w:top w:val="single" w:color="auto" w:sz="4" w:space="0"/>
              <w:left w:val="nil"/>
              <w:bottom w:val="single" w:color="auto" w:sz="4" w:space="0"/>
              <w:right w:val="single" w:color="auto" w:sz="4" w:space="0"/>
            </w:tcBorders>
            <w:noWrap w:val="0"/>
            <w:vAlign w:val="center"/>
          </w:tcPr>
          <w:p w14:paraId="277FF934">
            <w:pPr>
              <w:keepNext w:val="0"/>
              <w:keepLines w:val="0"/>
              <w:widowControl/>
              <w:suppressLineNumbers w:val="0"/>
              <w:wordWrap w:val="0"/>
              <w:spacing w:before="0" w:beforeAutospacing="0" w:after="0" w:afterAutospacing="0" w:line="360" w:lineRule="auto"/>
              <w:ind w:left="0" w:right="0"/>
              <w:jc w:val="center"/>
              <w:rPr>
                <w:rFonts w:hint="eastAsia" w:ascii="宋体" w:hAnsi="宋体" w:eastAsia="宋体" w:cs="宋体"/>
                <w:szCs w:val="21"/>
                <w:highlight w:val="none"/>
                <w:lang w:eastAsia="zh-CN"/>
              </w:rPr>
            </w:pPr>
            <w:r>
              <w:rPr>
                <w:rFonts w:hint="eastAsia" w:ascii="宋体" w:hAnsi="宋体" w:cs="宋体"/>
                <w:szCs w:val="21"/>
                <w:highlight w:val="none"/>
                <w:lang w:val="en-US" w:eastAsia="zh-CN"/>
              </w:rPr>
              <w:t>2</w:t>
            </w:r>
          </w:p>
        </w:tc>
        <w:tc>
          <w:tcPr>
            <w:tcW w:w="342" w:type="pct"/>
            <w:tcBorders>
              <w:top w:val="single" w:color="auto" w:sz="4" w:space="0"/>
              <w:left w:val="nil"/>
              <w:bottom w:val="single" w:color="auto" w:sz="4" w:space="0"/>
              <w:right w:val="single" w:color="auto" w:sz="4" w:space="0"/>
            </w:tcBorders>
            <w:noWrap w:val="0"/>
            <w:vAlign w:val="center"/>
          </w:tcPr>
          <w:p w14:paraId="390E157A">
            <w:pPr>
              <w:keepNext w:val="0"/>
              <w:keepLines w:val="0"/>
              <w:widowControl/>
              <w:suppressLineNumbers w:val="0"/>
              <w:spacing w:before="0" w:beforeAutospacing="0" w:after="0" w:afterAutospacing="0"/>
              <w:ind w:left="0" w:right="0"/>
              <w:jc w:val="center"/>
              <w:textAlignment w:val="center"/>
              <w:rPr>
                <w:rFonts w:hint="default" w:ascii="宋体" w:hAnsi="宋体" w:cs="宋体"/>
                <w:color w:val="000000"/>
                <w:kern w:val="1"/>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互联网出口专线</w:t>
            </w:r>
          </w:p>
        </w:tc>
        <w:tc>
          <w:tcPr>
            <w:tcW w:w="230" w:type="pct"/>
            <w:tcBorders>
              <w:top w:val="single" w:color="auto" w:sz="4" w:space="0"/>
              <w:left w:val="nil"/>
              <w:bottom w:val="single" w:color="auto" w:sz="4" w:space="0"/>
              <w:right w:val="single" w:color="auto" w:sz="4" w:space="0"/>
            </w:tcBorders>
            <w:noWrap w:val="0"/>
            <w:vAlign w:val="center"/>
          </w:tcPr>
          <w:p w14:paraId="06CB098B">
            <w:pPr>
              <w:keepNext w:val="0"/>
              <w:keepLines w:val="0"/>
              <w:widowControl/>
              <w:suppressLineNumbers w:val="0"/>
              <w:spacing w:before="0" w:beforeAutospacing="0" w:after="0" w:afterAutospacing="0"/>
              <w:ind w:left="0" w:right="0"/>
              <w:jc w:val="center"/>
              <w:textAlignment w:val="center"/>
              <w:rPr>
                <w:rFonts w:hint="eastAsia" w:ascii="宋体" w:hAnsi="宋体" w:cs="宋体"/>
                <w:sz w:val="21"/>
                <w:szCs w:val="21"/>
                <w:highlight w:val="none"/>
              </w:rPr>
            </w:pPr>
            <w:r>
              <w:rPr>
                <w:rFonts w:hint="eastAsia" w:ascii="宋体" w:hAnsi="宋体" w:eastAsia="宋体" w:cs="宋体"/>
                <w:i w:val="0"/>
                <w:iCs w:val="0"/>
                <w:color w:val="000000"/>
                <w:kern w:val="0"/>
                <w:sz w:val="21"/>
                <w:szCs w:val="21"/>
                <w:u w:val="none"/>
                <w:lang w:val="en-US" w:eastAsia="zh-CN" w:bidi="ar"/>
              </w:rPr>
              <w:t>条</w:t>
            </w:r>
          </w:p>
        </w:tc>
        <w:tc>
          <w:tcPr>
            <w:tcW w:w="363" w:type="pct"/>
            <w:tcBorders>
              <w:top w:val="single" w:color="auto" w:sz="4" w:space="0"/>
              <w:left w:val="nil"/>
              <w:bottom w:val="single" w:color="auto" w:sz="4" w:space="0"/>
              <w:right w:val="single" w:color="auto" w:sz="4" w:space="0"/>
            </w:tcBorders>
            <w:noWrap w:val="0"/>
            <w:vAlign w:val="center"/>
          </w:tcPr>
          <w:p w14:paraId="5A17C816">
            <w:pPr>
              <w:keepNext w:val="0"/>
              <w:keepLines w:val="0"/>
              <w:widowControl/>
              <w:suppressLineNumbers w:val="0"/>
              <w:spacing w:before="0" w:beforeAutospacing="0" w:after="0" w:afterAutospacing="0"/>
              <w:ind w:left="0" w:right="0"/>
              <w:jc w:val="center"/>
              <w:textAlignment w:val="center"/>
              <w:rPr>
                <w:rFonts w:hint="eastAsia" w:ascii="宋体" w:hAnsi="宋体" w:cs="宋体"/>
                <w:sz w:val="21"/>
                <w:szCs w:val="21"/>
                <w:highlight w:val="none"/>
              </w:rPr>
            </w:pPr>
            <w:r>
              <w:rPr>
                <w:rFonts w:hint="eastAsia" w:ascii="宋体" w:hAnsi="宋体" w:eastAsia="宋体" w:cs="宋体"/>
                <w:i w:val="0"/>
                <w:iCs w:val="0"/>
                <w:color w:val="000000"/>
                <w:kern w:val="0"/>
                <w:sz w:val="21"/>
                <w:szCs w:val="21"/>
                <w:u w:val="none"/>
                <w:lang w:val="en-US" w:eastAsia="zh-CN" w:bidi="ar"/>
              </w:rPr>
              <w:t>1</w:t>
            </w:r>
          </w:p>
        </w:tc>
        <w:tc>
          <w:tcPr>
            <w:tcW w:w="2177" w:type="pct"/>
            <w:tcBorders>
              <w:top w:val="single" w:color="auto" w:sz="4" w:space="0"/>
              <w:left w:val="nil"/>
              <w:bottom w:val="single" w:color="auto" w:sz="4" w:space="0"/>
              <w:right w:val="single" w:color="auto" w:sz="4" w:space="0"/>
            </w:tcBorders>
            <w:noWrap w:val="0"/>
            <w:vAlign w:val="center"/>
          </w:tcPr>
          <w:p w14:paraId="14F349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right="0"/>
              <w:jc w:val="left"/>
              <w:textAlignment w:val="center"/>
              <w:rPr>
                <w:rFonts w:hint="eastAsia" w:ascii="宋体" w:hAnsi="宋体" w:cs="宋体"/>
                <w:sz w:val="21"/>
                <w:szCs w:val="21"/>
                <w:highlight w:val="none"/>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cs="宋体"/>
                <w:b/>
                <w:bCs/>
                <w:color w:val="auto"/>
                <w:sz w:val="21"/>
                <w:szCs w:val="21"/>
                <w:highlight w:val="none"/>
              </w:rPr>
              <w:t>▲</w:t>
            </w:r>
            <w:r>
              <w:rPr>
                <w:rFonts w:hint="eastAsia" w:ascii="宋体" w:hAnsi="宋体" w:eastAsia="宋体" w:cs="宋体"/>
                <w:i w:val="0"/>
                <w:iCs w:val="0"/>
                <w:color w:val="000000"/>
                <w:kern w:val="0"/>
                <w:sz w:val="21"/>
                <w:szCs w:val="21"/>
                <w:u w:val="none"/>
                <w:lang w:val="en-US" w:eastAsia="zh-CN" w:bidi="ar"/>
              </w:rPr>
              <w:t>提供1条不小于2000M独享带宽的互联网出口光纤专线，要求专线速率上、下行对称，同时提供≥8个公网静态IP地址。</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采用基于MSTP或更优接入技术，投标人网络支持面向分组的弹性网络，可应对电子政务网络内突发的带宽增长需求，具备最小保障带宽设置机制和QOS机制，支持通过设置最小带宽和最大带宽实现带宽平滑升级的要求。网络接入侧的最小业务颗粒为 FE/GE,线路侧为GE-40GE。</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3.投标人核心层、汇聚层全网采用自愈环保护方式组网，保证整个网络的安全可靠。</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4.要求投标人提供各种主流物理光、电接口，如RJ45/LC/FC等供采购人使用。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w:t>
            </w:r>
            <w:r>
              <w:rPr>
                <w:rFonts w:hint="eastAsia" w:ascii="宋体" w:hAnsi="宋体" w:cs="宋体"/>
                <w:b/>
                <w:bCs/>
                <w:color w:val="auto"/>
                <w:sz w:val="21"/>
                <w:szCs w:val="21"/>
                <w:highlight w:val="none"/>
              </w:rPr>
              <w:t>▲</w:t>
            </w:r>
            <w:r>
              <w:rPr>
                <w:rFonts w:hint="eastAsia" w:ascii="宋体" w:hAnsi="宋体" w:eastAsia="宋体" w:cs="宋体"/>
                <w:i w:val="0"/>
                <w:iCs w:val="0"/>
                <w:color w:val="000000"/>
                <w:kern w:val="0"/>
                <w:sz w:val="21"/>
                <w:szCs w:val="21"/>
                <w:u w:val="none"/>
                <w:lang w:val="en-US" w:eastAsia="zh-CN" w:bidi="ar"/>
              </w:rPr>
              <w:t>线路技术指标：</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2000M互联网带宽裸机测试，上、下行速率对称，且稳定在2000Mbit/s。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6.本采购报价为3年网络线路租用费。</w:t>
            </w:r>
          </w:p>
        </w:tc>
        <w:tc>
          <w:tcPr>
            <w:tcW w:w="704" w:type="pct"/>
            <w:vMerge w:val="continue"/>
            <w:tcBorders>
              <w:left w:val="nil"/>
              <w:right w:val="single" w:color="auto" w:sz="4" w:space="0"/>
            </w:tcBorders>
            <w:noWrap w:val="0"/>
            <w:vAlign w:val="center"/>
          </w:tcPr>
          <w:p w14:paraId="7063F1F0">
            <w:pPr>
              <w:keepNext w:val="0"/>
              <w:keepLines w:val="0"/>
              <w:suppressLineNumbers w:val="0"/>
              <w:spacing w:before="0" w:beforeAutospacing="0" w:after="0" w:afterAutospacing="0" w:line="360" w:lineRule="auto"/>
              <w:ind w:left="0" w:right="0"/>
              <w:jc w:val="left"/>
              <w:rPr>
                <w:rFonts w:hint="eastAsia" w:ascii="宋体" w:hAnsi="Courier New" w:eastAsia="宋体" w:cs="Times New Roman"/>
                <w:kern w:val="0"/>
                <w:sz w:val="20"/>
                <w:szCs w:val="21"/>
                <w:highlight w:val="none"/>
                <w:lang w:val="en-US" w:eastAsia="zh-CN" w:bidi="ar-SA"/>
              </w:rPr>
            </w:pPr>
          </w:p>
        </w:tc>
        <w:tc>
          <w:tcPr>
            <w:tcW w:w="776" w:type="pct"/>
            <w:vMerge w:val="continue"/>
            <w:tcBorders>
              <w:left w:val="nil"/>
              <w:right w:val="single" w:color="auto" w:sz="4" w:space="0"/>
            </w:tcBorders>
            <w:noWrap w:val="0"/>
            <w:vAlign w:val="center"/>
          </w:tcPr>
          <w:p w14:paraId="028F7634">
            <w:pPr>
              <w:keepNext w:val="0"/>
              <w:keepLines w:val="0"/>
              <w:suppressLineNumbers w:val="0"/>
              <w:spacing w:before="0" w:beforeAutospacing="0" w:after="0" w:afterAutospacing="0" w:line="360" w:lineRule="auto"/>
              <w:ind w:left="0" w:right="0"/>
              <w:jc w:val="left"/>
              <w:rPr>
                <w:rFonts w:hint="eastAsia" w:ascii="宋体" w:hAnsi="Courier New" w:eastAsia="宋体" w:cs="Times New Roman"/>
                <w:kern w:val="0"/>
                <w:sz w:val="20"/>
                <w:szCs w:val="21"/>
                <w:highlight w:val="none"/>
                <w:lang w:val="en-US" w:eastAsia="zh-CN" w:bidi="ar-SA"/>
              </w:rPr>
            </w:pPr>
          </w:p>
        </w:tc>
      </w:tr>
      <w:tr w14:paraId="50FFDC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230" w:type="pct"/>
            <w:tcBorders>
              <w:top w:val="single" w:color="auto" w:sz="4" w:space="0"/>
              <w:left w:val="single" w:color="auto" w:sz="4" w:space="0"/>
              <w:bottom w:val="nil"/>
              <w:right w:val="single" w:color="auto" w:sz="4" w:space="0"/>
            </w:tcBorders>
            <w:noWrap w:val="0"/>
            <w:vAlign w:val="center"/>
          </w:tcPr>
          <w:p w14:paraId="1A6C5044">
            <w:pPr>
              <w:keepNext w:val="0"/>
              <w:keepLines w:val="0"/>
              <w:widowControl/>
              <w:suppressLineNumbers w:val="0"/>
              <w:spacing w:before="0" w:beforeAutospacing="0" w:after="0" w:afterAutospacing="0" w:line="360" w:lineRule="auto"/>
              <w:ind w:left="0" w:right="0"/>
              <w:jc w:val="left"/>
              <w:rPr>
                <w:rFonts w:hint="eastAsia" w:ascii="宋体" w:hAnsi="宋体" w:cs="宋体"/>
                <w:szCs w:val="21"/>
                <w:highlight w:val="none"/>
              </w:rPr>
            </w:pPr>
          </w:p>
        </w:tc>
        <w:tc>
          <w:tcPr>
            <w:tcW w:w="173" w:type="pct"/>
            <w:tcBorders>
              <w:top w:val="single" w:color="auto" w:sz="4" w:space="0"/>
              <w:left w:val="nil"/>
              <w:bottom w:val="single" w:color="auto" w:sz="4" w:space="0"/>
              <w:right w:val="single" w:color="auto" w:sz="4" w:space="0"/>
            </w:tcBorders>
            <w:noWrap w:val="0"/>
            <w:vAlign w:val="center"/>
          </w:tcPr>
          <w:p w14:paraId="1D6FE88B">
            <w:pPr>
              <w:keepNext w:val="0"/>
              <w:keepLines w:val="0"/>
              <w:widowControl/>
              <w:suppressLineNumbers w:val="0"/>
              <w:wordWrap w:val="0"/>
              <w:spacing w:before="0" w:beforeAutospacing="0" w:after="0" w:afterAutospacing="0" w:line="360" w:lineRule="auto"/>
              <w:ind w:left="0" w:right="0"/>
              <w:jc w:val="center"/>
              <w:rPr>
                <w:rFonts w:hint="eastAsia" w:ascii="宋体" w:hAnsi="宋体" w:eastAsia="宋体" w:cs="宋体"/>
                <w:szCs w:val="21"/>
                <w:highlight w:val="none"/>
                <w:lang w:val="en-US" w:eastAsia="zh-CN"/>
              </w:rPr>
            </w:pPr>
            <w:r>
              <w:rPr>
                <w:rFonts w:hint="eastAsia" w:ascii="宋体" w:hAnsi="宋体" w:cs="宋体"/>
                <w:szCs w:val="21"/>
                <w:highlight w:val="none"/>
                <w:lang w:val="en-US" w:eastAsia="zh-CN"/>
              </w:rPr>
              <w:t>3</w:t>
            </w:r>
          </w:p>
        </w:tc>
        <w:tc>
          <w:tcPr>
            <w:tcW w:w="342" w:type="pct"/>
            <w:tcBorders>
              <w:top w:val="single" w:color="auto" w:sz="4" w:space="0"/>
              <w:left w:val="nil"/>
              <w:bottom w:val="single" w:color="auto" w:sz="4" w:space="0"/>
              <w:right w:val="single" w:color="auto" w:sz="4" w:space="0"/>
            </w:tcBorders>
            <w:noWrap w:val="0"/>
            <w:vAlign w:val="center"/>
          </w:tcPr>
          <w:p w14:paraId="59D7A0B2">
            <w:pPr>
              <w:keepNext w:val="0"/>
              <w:keepLines w:val="0"/>
              <w:widowControl/>
              <w:suppressLineNumbers w:val="0"/>
              <w:spacing w:before="0" w:beforeAutospacing="0" w:after="0" w:afterAutospacing="0"/>
              <w:ind w:left="0" w:right="0"/>
              <w:jc w:val="center"/>
              <w:textAlignment w:val="center"/>
              <w:rPr>
                <w:rFonts w:hint="default" w:ascii="宋体" w:hAnsi="宋体" w:cs="宋体"/>
                <w:color w:val="000000"/>
                <w:kern w:val="1"/>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FTTH光纤宽带</w:t>
            </w:r>
          </w:p>
        </w:tc>
        <w:tc>
          <w:tcPr>
            <w:tcW w:w="230" w:type="pct"/>
            <w:tcBorders>
              <w:top w:val="single" w:color="auto" w:sz="4" w:space="0"/>
              <w:left w:val="nil"/>
              <w:bottom w:val="single" w:color="auto" w:sz="4" w:space="0"/>
              <w:right w:val="single" w:color="auto" w:sz="4" w:space="0"/>
            </w:tcBorders>
            <w:noWrap w:val="0"/>
            <w:vAlign w:val="center"/>
          </w:tcPr>
          <w:p w14:paraId="427C832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条</w:t>
            </w:r>
          </w:p>
        </w:tc>
        <w:tc>
          <w:tcPr>
            <w:tcW w:w="363" w:type="pct"/>
            <w:tcBorders>
              <w:top w:val="single" w:color="auto" w:sz="4" w:space="0"/>
              <w:left w:val="nil"/>
              <w:bottom w:val="single" w:color="auto" w:sz="4" w:space="0"/>
              <w:right w:val="single" w:color="auto" w:sz="4" w:space="0"/>
            </w:tcBorders>
            <w:noWrap w:val="0"/>
            <w:vAlign w:val="center"/>
          </w:tcPr>
          <w:p w14:paraId="2934EEC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1</w:t>
            </w:r>
          </w:p>
        </w:tc>
        <w:tc>
          <w:tcPr>
            <w:tcW w:w="2177" w:type="pct"/>
            <w:tcBorders>
              <w:top w:val="single" w:color="auto" w:sz="4" w:space="0"/>
              <w:left w:val="nil"/>
              <w:bottom w:val="single" w:color="auto" w:sz="4" w:space="0"/>
              <w:right w:val="single" w:color="auto" w:sz="4" w:space="0"/>
            </w:tcBorders>
            <w:noWrap w:val="0"/>
            <w:vAlign w:val="center"/>
          </w:tcPr>
          <w:p w14:paraId="79DBEC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right="0"/>
              <w:jc w:val="left"/>
              <w:textAlignment w:val="center"/>
              <w:rPr>
                <w:rFonts w:hint="eastAsia" w:ascii="宋体" w:hAnsi="宋体" w:cs="宋体"/>
                <w:sz w:val="21"/>
                <w:szCs w:val="21"/>
                <w:highlight w:val="none"/>
              </w:rPr>
            </w:pPr>
            <w:r>
              <w:rPr>
                <w:rFonts w:hint="eastAsia" w:ascii="宋体" w:hAnsi="宋体" w:eastAsia="宋体" w:cs="宋体"/>
                <w:i w:val="0"/>
                <w:iCs w:val="0"/>
                <w:color w:val="000000"/>
                <w:kern w:val="0"/>
                <w:sz w:val="21"/>
                <w:szCs w:val="21"/>
                <w:u w:val="none"/>
                <w:lang w:val="en-US" w:eastAsia="zh-CN" w:bidi="ar"/>
              </w:rPr>
              <w:t>1.提供1条1000M光纤宽带（FTTH入户），下行1000M，实测≥900Mbps，上行≥200M；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2.免费提供千兆光猫、含全部安装布线费用，7×24小时故障报修，5小时内上门抢修；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3.配套提供1主2副手机融合卡（语音通话≥2000分钟，5G流量≥300GB），含1路IPTV；</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4.配套提供1台三网通5G插卡Wi-Fi6路由器，支持移动/联通/电信5G/4G插卡，千兆有线网口，支持有线宽带与5G蜂窝双链路备份；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5.套餐无隐形收费，高峰不限速，支持多终端同时使用，服务期内设备故障免费更换维修。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6.本采购报价为3年费用。</w:t>
            </w:r>
          </w:p>
        </w:tc>
        <w:tc>
          <w:tcPr>
            <w:tcW w:w="704" w:type="pct"/>
            <w:vMerge w:val="continue"/>
            <w:tcBorders>
              <w:left w:val="nil"/>
              <w:right w:val="single" w:color="auto" w:sz="4" w:space="0"/>
            </w:tcBorders>
            <w:noWrap w:val="0"/>
            <w:vAlign w:val="center"/>
          </w:tcPr>
          <w:p w14:paraId="13580983">
            <w:pPr>
              <w:pStyle w:val="18"/>
              <w:keepNext w:val="0"/>
              <w:keepLines w:val="0"/>
              <w:suppressLineNumbers w:val="0"/>
              <w:spacing w:before="0" w:beforeAutospacing="0" w:after="0" w:afterAutospacing="0" w:line="400" w:lineRule="exact"/>
              <w:ind w:left="0" w:right="0"/>
              <w:jc w:val="left"/>
              <w:outlineLvl w:val="0"/>
              <w:rPr>
                <w:rFonts w:hint="default" w:ascii="宋体" w:hAnsi="Courier New" w:eastAsia="宋体" w:cs="Times New Roman"/>
                <w:highlight w:val="none"/>
              </w:rPr>
            </w:pPr>
          </w:p>
        </w:tc>
        <w:tc>
          <w:tcPr>
            <w:tcW w:w="776" w:type="pct"/>
            <w:vMerge w:val="continue"/>
            <w:tcBorders>
              <w:left w:val="nil"/>
              <w:right w:val="single" w:color="auto" w:sz="4" w:space="0"/>
            </w:tcBorders>
            <w:noWrap w:val="0"/>
            <w:vAlign w:val="center"/>
          </w:tcPr>
          <w:p w14:paraId="733569B6">
            <w:pPr>
              <w:pStyle w:val="18"/>
              <w:keepNext w:val="0"/>
              <w:keepLines w:val="0"/>
              <w:suppressLineNumbers w:val="0"/>
              <w:spacing w:before="0" w:beforeAutospacing="0" w:after="0" w:afterAutospacing="0" w:line="400" w:lineRule="exact"/>
              <w:ind w:left="0" w:right="0"/>
              <w:jc w:val="left"/>
              <w:outlineLvl w:val="0"/>
              <w:rPr>
                <w:rFonts w:hint="default" w:ascii="宋体" w:hAnsi="Courier New" w:eastAsia="宋体" w:cs="Times New Roman"/>
                <w:highlight w:val="none"/>
              </w:rPr>
            </w:pPr>
          </w:p>
        </w:tc>
      </w:tr>
      <w:tr w14:paraId="5EC7BA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230" w:type="pct"/>
            <w:tcBorders>
              <w:top w:val="single" w:color="auto" w:sz="4" w:space="0"/>
              <w:left w:val="single" w:color="auto" w:sz="4" w:space="0"/>
              <w:bottom w:val="nil"/>
              <w:right w:val="single" w:color="auto" w:sz="4" w:space="0"/>
            </w:tcBorders>
            <w:noWrap w:val="0"/>
            <w:vAlign w:val="center"/>
          </w:tcPr>
          <w:p w14:paraId="4C1B6B6F">
            <w:pPr>
              <w:keepNext w:val="0"/>
              <w:keepLines w:val="0"/>
              <w:widowControl/>
              <w:suppressLineNumbers w:val="0"/>
              <w:spacing w:before="0" w:beforeAutospacing="0" w:after="0" w:afterAutospacing="0" w:line="360" w:lineRule="auto"/>
              <w:ind w:left="0" w:right="0"/>
              <w:jc w:val="left"/>
              <w:rPr>
                <w:rFonts w:hint="eastAsia" w:ascii="宋体" w:hAnsi="宋体" w:cs="宋体"/>
                <w:szCs w:val="21"/>
                <w:highlight w:val="none"/>
              </w:rPr>
            </w:pPr>
          </w:p>
        </w:tc>
        <w:tc>
          <w:tcPr>
            <w:tcW w:w="173" w:type="pct"/>
            <w:tcBorders>
              <w:top w:val="single" w:color="auto" w:sz="4" w:space="0"/>
              <w:left w:val="nil"/>
              <w:bottom w:val="single" w:color="auto" w:sz="4" w:space="0"/>
              <w:right w:val="single" w:color="auto" w:sz="4" w:space="0"/>
            </w:tcBorders>
            <w:noWrap w:val="0"/>
            <w:vAlign w:val="center"/>
          </w:tcPr>
          <w:p w14:paraId="1A09FA17">
            <w:pPr>
              <w:keepNext w:val="0"/>
              <w:keepLines w:val="0"/>
              <w:widowControl/>
              <w:suppressLineNumbers w:val="0"/>
              <w:wordWrap w:val="0"/>
              <w:spacing w:before="0" w:beforeAutospacing="0" w:after="0" w:afterAutospacing="0" w:line="360" w:lineRule="auto"/>
              <w:ind w:left="0" w:right="0"/>
              <w:jc w:val="center"/>
              <w:rPr>
                <w:rFonts w:hint="default" w:ascii="宋体" w:hAnsi="宋体" w:cs="宋体"/>
                <w:szCs w:val="21"/>
                <w:highlight w:val="none"/>
                <w:lang w:val="en-US" w:eastAsia="zh-CN"/>
              </w:rPr>
            </w:pPr>
            <w:r>
              <w:rPr>
                <w:rFonts w:hint="eastAsia" w:ascii="宋体" w:hAnsi="宋体" w:cs="宋体"/>
                <w:szCs w:val="21"/>
                <w:highlight w:val="none"/>
                <w:lang w:val="en-US" w:eastAsia="zh-CN"/>
              </w:rPr>
              <w:t>4</w:t>
            </w:r>
          </w:p>
        </w:tc>
        <w:tc>
          <w:tcPr>
            <w:tcW w:w="342" w:type="pct"/>
            <w:tcBorders>
              <w:top w:val="single" w:color="auto" w:sz="4" w:space="0"/>
              <w:left w:val="nil"/>
              <w:bottom w:val="single" w:color="auto" w:sz="4" w:space="0"/>
              <w:right w:val="single" w:color="auto" w:sz="4" w:space="0"/>
            </w:tcBorders>
            <w:noWrap w:val="0"/>
            <w:vAlign w:val="center"/>
          </w:tcPr>
          <w:p w14:paraId="2AB9D40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信息化维保服务</w:t>
            </w:r>
          </w:p>
        </w:tc>
        <w:tc>
          <w:tcPr>
            <w:tcW w:w="230" w:type="pct"/>
            <w:tcBorders>
              <w:top w:val="single" w:color="auto" w:sz="4" w:space="0"/>
              <w:left w:val="nil"/>
              <w:bottom w:val="single" w:color="auto" w:sz="4" w:space="0"/>
              <w:right w:val="single" w:color="auto" w:sz="4" w:space="0"/>
            </w:tcBorders>
            <w:noWrap w:val="0"/>
            <w:vAlign w:val="center"/>
          </w:tcPr>
          <w:p w14:paraId="2159BBE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项</w:t>
            </w:r>
          </w:p>
        </w:tc>
        <w:tc>
          <w:tcPr>
            <w:tcW w:w="363" w:type="pct"/>
            <w:tcBorders>
              <w:top w:val="single" w:color="auto" w:sz="4" w:space="0"/>
              <w:left w:val="nil"/>
              <w:bottom w:val="single" w:color="auto" w:sz="4" w:space="0"/>
              <w:right w:val="single" w:color="auto" w:sz="4" w:space="0"/>
            </w:tcBorders>
            <w:noWrap w:val="0"/>
            <w:vAlign w:val="center"/>
          </w:tcPr>
          <w:p w14:paraId="0A21D0C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2177" w:type="pct"/>
            <w:tcBorders>
              <w:top w:val="single" w:color="auto" w:sz="4" w:space="0"/>
              <w:left w:val="nil"/>
              <w:bottom w:val="single" w:color="auto" w:sz="4" w:space="0"/>
              <w:right w:val="single" w:color="auto" w:sz="4" w:space="0"/>
            </w:tcBorders>
            <w:noWrap w:val="0"/>
            <w:vAlign w:val="top"/>
          </w:tcPr>
          <w:p w14:paraId="53419BF2">
            <w:pPr>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340" w:lineRule="exact"/>
              <w:ind w:left="0" w:right="0"/>
              <w:rPr>
                <w:rFonts w:hint="eastAsia" w:ascii="宋体" w:hAnsi="宋体" w:eastAsia="宋体" w:cs="宋体"/>
                <w:sz w:val="21"/>
                <w:szCs w:val="21"/>
                <w:highlight w:val="yellow"/>
              </w:rPr>
            </w:pPr>
            <w:r>
              <w:rPr>
                <w:rFonts w:hint="eastAsia" w:ascii="宋体" w:hAnsi="宋体" w:eastAsia="宋体" w:cs="宋体"/>
                <w:i w:val="0"/>
                <w:iCs w:val="0"/>
                <w:color w:val="000000"/>
                <w:kern w:val="0"/>
                <w:sz w:val="21"/>
                <w:szCs w:val="21"/>
                <w:u w:val="none"/>
                <w:lang w:val="en-US" w:eastAsia="zh-CN" w:bidi="ar"/>
              </w:rPr>
              <w:t>一、信息安全服务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（一）上网行为管理（2套）</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w:t>
            </w:r>
            <w:r>
              <w:rPr>
                <w:rFonts w:hint="eastAsia" w:ascii="宋体" w:hAnsi="宋体" w:cs="宋体"/>
                <w:b/>
                <w:bCs/>
                <w:color w:val="auto"/>
                <w:sz w:val="21"/>
                <w:szCs w:val="21"/>
                <w:highlight w:val="none"/>
              </w:rPr>
              <w:t>▲</w:t>
            </w:r>
            <w:r>
              <w:rPr>
                <w:rFonts w:hint="eastAsia" w:ascii="宋体" w:hAnsi="宋体" w:eastAsia="宋体" w:cs="宋体"/>
                <w:i w:val="0"/>
                <w:iCs w:val="0"/>
                <w:color w:val="000000"/>
                <w:kern w:val="0"/>
                <w:sz w:val="21"/>
                <w:szCs w:val="21"/>
                <w:u w:val="none"/>
                <w:lang w:val="en-US" w:eastAsia="zh-CN" w:bidi="ar"/>
              </w:rPr>
              <w:t>标准2U设备产品，冗余电源，不少于4个千兆电口、4个千兆光口SF</w:t>
            </w:r>
            <w:r>
              <w:rPr>
                <w:rFonts w:hint="eastAsia" w:ascii="宋体" w:hAnsi="宋体" w:eastAsia="宋体" w:cs="宋体"/>
                <w:i w:val="0"/>
                <w:iCs w:val="0"/>
                <w:color w:val="auto"/>
                <w:kern w:val="0"/>
                <w:sz w:val="21"/>
                <w:szCs w:val="21"/>
                <w:u w:val="none"/>
                <w:lang w:val="en-US" w:eastAsia="zh-CN" w:bidi="ar"/>
              </w:rPr>
              <w:t>P</w:t>
            </w:r>
            <w:r>
              <w:rPr>
                <w:rFonts w:hint="eastAsia" w:ascii="宋体" w:hAnsi="宋体" w:eastAsia="宋体" w:cs="宋体"/>
                <w:i w:val="0"/>
                <w:iCs w:val="0"/>
                <w:color w:val="000000"/>
                <w:kern w:val="0"/>
                <w:sz w:val="21"/>
                <w:szCs w:val="21"/>
                <w:u w:val="none"/>
                <w:lang w:val="en-US" w:eastAsia="zh-CN" w:bidi="ar"/>
              </w:rPr>
              <w:t>（满配千兆多模模块）</w:t>
            </w:r>
            <w:r>
              <w:rPr>
                <w:rFonts w:hint="eastAsia" w:ascii="宋体" w:hAnsi="宋体" w:eastAsia="宋体" w:cs="宋体"/>
                <w:i w:val="0"/>
                <w:iCs w:val="0"/>
                <w:color w:val="auto"/>
                <w:kern w:val="0"/>
                <w:sz w:val="21"/>
                <w:szCs w:val="21"/>
                <w:u w:val="none"/>
                <w:lang w:val="en-US" w:eastAsia="zh-CN" w:bidi="ar"/>
              </w:rPr>
              <w:t>、4个万兆光口SFP+</w:t>
            </w:r>
            <w:r>
              <w:rPr>
                <w:rFonts w:hint="eastAsia" w:ascii="宋体" w:hAnsi="宋体" w:eastAsia="宋体" w:cs="宋体"/>
                <w:i w:val="0"/>
                <w:iCs w:val="0"/>
                <w:color w:val="000000"/>
                <w:kern w:val="0"/>
                <w:sz w:val="21"/>
                <w:szCs w:val="21"/>
                <w:u w:val="none"/>
                <w:lang w:val="en-US" w:eastAsia="zh-CN" w:bidi="ar"/>
              </w:rPr>
              <w:t>（满配万兆多模模块）</w:t>
            </w:r>
            <w:r>
              <w:rPr>
                <w:rFonts w:hint="eastAsia" w:ascii="宋体" w:hAnsi="宋体" w:eastAsia="宋体" w:cs="宋体"/>
                <w:i w:val="0"/>
                <w:iCs w:val="0"/>
                <w:color w:val="auto"/>
                <w:kern w:val="0"/>
                <w:sz w:val="21"/>
                <w:szCs w:val="21"/>
                <w:u w:val="none"/>
                <w:lang w:val="en-US" w:eastAsia="zh-CN" w:bidi="ar"/>
              </w:rPr>
              <w:t>，并提供≥960G SSD或4T机械硬盘，支持IPV6；</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w:t>
            </w:r>
            <w:r>
              <w:rPr>
                <w:rFonts w:hint="eastAsia" w:ascii="宋体" w:hAnsi="宋体" w:cs="宋体"/>
                <w:b/>
                <w:bCs/>
                <w:color w:val="auto"/>
                <w:sz w:val="21"/>
                <w:szCs w:val="21"/>
                <w:highlight w:val="none"/>
              </w:rPr>
              <w:t>▲</w:t>
            </w:r>
            <w:r>
              <w:rPr>
                <w:rFonts w:hint="eastAsia" w:ascii="宋体" w:hAnsi="宋体" w:eastAsia="宋体" w:cs="宋体"/>
                <w:i w:val="0"/>
                <w:iCs w:val="0"/>
                <w:color w:val="000000"/>
                <w:kern w:val="0"/>
                <w:sz w:val="21"/>
                <w:szCs w:val="21"/>
                <w:u w:val="none"/>
                <w:lang w:val="en-US" w:eastAsia="zh-CN" w:bidi="ar"/>
              </w:rPr>
              <w:t>支持双机热备会话同步，故障自动切换，切换期间用户上网业务不中断，无需终端重连；</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w:t>
            </w:r>
            <w:r>
              <w:rPr>
                <w:rFonts w:hint="eastAsia" w:ascii="宋体" w:hAnsi="宋体" w:cs="宋体"/>
                <w:b/>
                <w:bCs/>
                <w:color w:val="auto"/>
                <w:sz w:val="21"/>
                <w:szCs w:val="21"/>
                <w:highlight w:val="none"/>
              </w:rPr>
              <w:t>▲</w:t>
            </w:r>
            <w:r>
              <w:rPr>
                <w:rFonts w:hint="eastAsia" w:ascii="宋体" w:hAnsi="宋体" w:eastAsia="宋体" w:cs="宋体"/>
                <w:i w:val="0"/>
                <w:iCs w:val="0"/>
                <w:color w:val="000000"/>
                <w:kern w:val="0"/>
                <w:sz w:val="21"/>
                <w:szCs w:val="21"/>
                <w:u w:val="none"/>
                <w:lang w:val="en-US" w:eastAsia="zh-CN" w:bidi="ar"/>
              </w:rPr>
              <w:t>为确保政务公共服务和关键业务在高并发高风险场景下持续稳定，产品需具备网络层吞吐量≥20Gbps、应用层吞吐量≥9Gbps，带宽性能≥5Gbps，并支持用户数≥5万、新建连接数≥8万、并发连接数≥300万，全面保障电子政务的业务连续性，符合等保保护要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4、设备需内置应用识别规则库，支持多种应用规则数，帮助行政部门批量、分级精准管控互联网与内网应用行为，提升业务策略合规实施效率;</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w:t>
            </w:r>
            <w:r>
              <w:rPr>
                <w:rFonts w:hint="eastAsia" w:ascii="宋体" w:hAnsi="宋体" w:cs="宋体"/>
                <w:b/>
                <w:bCs/>
                <w:color w:val="auto"/>
                <w:sz w:val="21"/>
                <w:szCs w:val="21"/>
                <w:highlight w:val="none"/>
              </w:rPr>
              <w:t>▲</w:t>
            </w:r>
            <w:r>
              <w:rPr>
                <w:rFonts w:hint="eastAsia" w:ascii="宋体" w:hAnsi="宋体" w:eastAsia="宋体" w:cs="宋体"/>
                <w:i w:val="0"/>
                <w:iCs w:val="0"/>
                <w:color w:val="000000"/>
                <w:kern w:val="0"/>
                <w:sz w:val="21"/>
                <w:szCs w:val="21"/>
                <w:u w:val="none"/>
                <w:lang w:val="en-US" w:eastAsia="zh-CN" w:bidi="ar"/>
              </w:rPr>
              <w:t>具备防翻墙管控功能，可有效阻止用户的翻墙行为，实现审计和管控上网用户的翻墙行为，并具备直观的翻墙行为数据展示界面，提供翻墙行为溯源培训服务；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w:t>
            </w:r>
            <w:r>
              <w:rPr>
                <w:rFonts w:hint="eastAsia" w:ascii="宋体" w:hAnsi="宋体" w:cs="宋体"/>
                <w:b/>
                <w:bCs/>
                <w:color w:val="auto"/>
                <w:sz w:val="21"/>
                <w:szCs w:val="21"/>
                <w:highlight w:val="none"/>
              </w:rPr>
              <w:t>▲</w:t>
            </w:r>
            <w:r>
              <w:rPr>
                <w:rFonts w:hint="eastAsia" w:ascii="宋体" w:hAnsi="宋体" w:eastAsia="宋体" w:cs="宋体"/>
                <w:i w:val="0"/>
                <w:iCs w:val="0"/>
                <w:color w:val="000000"/>
                <w:kern w:val="0"/>
                <w:sz w:val="21"/>
                <w:szCs w:val="21"/>
                <w:u w:val="none"/>
                <w:lang w:val="en-US" w:eastAsia="zh-CN" w:bidi="ar"/>
              </w:rPr>
              <w:t>支持IP/MAC绑定认证并支持通过SNMP服务器跨三层获取MAC地址，实现终端身份合规准入，最大承载实名认证用户数≥20000，杜绝非法终端伪冒接入及敏感信息外流，提升政务资产管理效率；</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7、为防范数据违规外联和关键系统被非法访问，产品需支持终端应用联网管控，可设置禁止或允许访问互联网、指定IP地址；</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为消除网络中的资产盲区，产品可自动发现并获取网络内所有终端IP、Mac、厂商、操作系统等信息，全面支持PC（Windows、Linux、MAC、瘦客户机等）、移动设备、网络设备（服务器、交换机、无线控制器等）、哑终端（打印机、投影仪、电视、摄像头、门禁系统等）的发现和型号识别，并支持自定义终端类型，保障资产动态管理和合规审计全覆盖；</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支持终端外联行为检查，包括拨号、双网卡、有无线网卡、连接非法WIFI、4G网卡、使用非法网关、连接外网、自定义外联行为，对违规终端强制断网、弹窗提示，有力阻断咨询、自服务等敏感数据“内流外泄”风险，提升桌面终端监管合规效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10.支持记录全部或指定类别URL、网页标题、网页内容信息，提供网页内容审计与快照留痕，全面支撑政务数据溯源、监管核查和敏感内容事件后责任倒查，保障政策合规闭环；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为便于IT运维人员高效履行安全事件通报、整改追踪等责任，系统需支持在线用户、流量分析、行为日志分析、应用流量排名、用户流量排名，并聚合终端接入、系统状态等行为风险分析，实现政务业务资产和安全风险全景可视，支持向安全监管平台同步日志及网络行为，助力快速响应合规检查和日常核查工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w:t>
            </w:r>
            <w:r>
              <w:rPr>
                <w:rFonts w:hint="eastAsia" w:ascii="宋体" w:hAnsi="宋体" w:cs="宋体"/>
                <w:b/>
                <w:bCs/>
                <w:color w:val="auto"/>
                <w:sz w:val="21"/>
                <w:szCs w:val="21"/>
                <w:highlight w:val="none"/>
              </w:rPr>
              <w:t>▲</w:t>
            </w:r>
            <w:r>
              <w:rPr>
                <w:rFonts w:hint="eastAsia" w:ascii="宋体" w:hAnsi="宋体" w:eastAsia="宋体" w:cs="宋体"/>
                <w:i w:val="0"/>
                <w:iCs w:val="0"/>
                <w:color w:val="000000"/>
                <w:kern w:val="0"/>
                <w:sz w:val="21"/>
                <w:szCs w:val="21"/>
                <w:u w:val="none"/>
                <w:lang w:val="en-US" w:eastAsia="zh-CN" w:bidi="ar"/>
              </w:rPr>
              <w:t>为确保公共服务持续可靠及合规整改闭环，产品需提供产品质保和软件升级不少于3年；提供原厂三年售后服务。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（二）下一代防火墙（2套）</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w:t>
            </w:r>
            <w:r>
              <w:rPr>
                <w:rFonts w:hint="eastAsia" w:ascii="宋体" w:hAnsi="宋体" w:cs="宋体"/>
                <w:b/>
                <w:bCs/>
                <w:color w:val="auto"/>
                <w:sz w:val="21"/>
                <w:szCs w:val="21"/>
                <w:highlight w:val="none"/>
              </w:rPr>
              <w:t>▲</w:t>
            </w:r>
            <w:r>
              <w:rPr>
                <w:rFonts w:hint="eastAsia" w:ascii="宋体" w:hAnsi="宋体" w:eastAsia="宋体" w:cs="宋体"/>
                <w:i w:val="0"/>
                <w:iCs w:val="0"/>
                <w:color w:val="000000"/>
                <w:kern w:val="0"/>
                <w:sz w:val="21"/>
                <w:szCs w:val="21"/>
                <w:u w:val="none"/>
                <w:lang w:val="en-US" w:eastAsia="zh-CN" w:bidi="ar"/>
              </w:rPr>
              <w:t>产品应采用“高性能多核并行架构”，国产芯片结构，国产操作系统，配置不少于1</w:t>
            </w:r>
            <w:r>
              <w:rPr>
                <w:rFonts w:hint="eastAsia" w:ascii="宋体" w:hAnsi="宋体" w:cs="宋体"/>
                <w:i w:val="0"/>
                <w:iCs w:val="0"/>
                <w:color w:val="000000"/>
                <w:kern w:val="0"/>
                <w:sz w:val="21"/>
                <w:szCs w:val="21"/>
                <w:u w:val="none"/>
                <w:lang w:val="en-US" w:eastAsia="zh-CN" w:bidi="ar"/>
              </w:rPr>
              <w:t>4</w:t>
            </w:r>
            <w:r>
              <w:rPr>
                <w:rFonts w:hint="eastAsia" w:ascii="宋体" w:hAnsi="宋体" w:eastAsia="宋体" w:cs="宋体"/>
                <w:i w:val="0"/>
                <w:iCs w:val="0"/>
                <w:color w:val="000000"/>
                <w:kern w:val="0"/>
                <w:sz w:val="21"/>
                <w:szCs w:val="21"/>
                <w:u w:val="none"/>
                <w:lang w:val="en-US" w:eastAsia="zh-CN" w:bidi="ar"/>
              </w:rPr>
              <w:t>个千兆电口、</w:t>
            </w:r>
            <w:r>
              <w:rPr>
                <w:rFonts w:hint="eastAsia" w:ascii="宋体" w:hAnsi="宋体" w:cs="宋体"/>
                <w:i w:val="0"/>
                <w:iCs w:val="0"/>
                <w:color w:val="000000"/>
                <w:kern w:val="0"/>
                <w:sz w:val="21"/>
                <w:szCs w:val="21"/>
                <w:u w:val="none"/>
                <w:lang w:val="en-US" w:eastAsia="zh-CN" w:bidi="ar"/>
              </w:rPr>
              <w:t>4个千兆光口SFP（满配千兆多模模块）、</w:t>
            </w:r>
            <w:r>
              <w:rPr>
                <w:rFonts w:hint="eastAsia" w:ascii="宋体" w:hAnsi="宋体" w:eastAsia="宋体" w:cs="宋体"/>
                <w:i w:val="0"/>
                <w:iCs w:val="0"/>
                <w:color w:val="000000"/>
                <w:kern w:val="0"/>
                <w:sz w:val="21"/>
                <w:szCs w:val="21"/>
                <w:u w:val="none"/>
                <w:lang w:val="en-US" w:eastAsia="zh-CN" w:bidi="ar"/>
              </w:rPr>
              <w:t>4个万兆光口SFP+（满配万兆多模模块），并配备冗余电源、2U机箱；</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w:t>
            </w:r>
            <w:r>
              <w:rPr>
                <w:rFonts w:hint="eastAsia" w:ascii="宋体" w:hAnsi="宋体" w:cs="宋体"/>
                <w:b/>
                <w:bCs/>
                <w:color w:val="auto"/>
                <w:sz w:val="21"/>
                <w:szCs w:val="21"/>
                <w:highlight w:val="none"/>
              </w:rPr>
              <w:t>▲</w:t>
            </w:r>
            <w:r>
              <w:rPr>
                <w:rFonts w:hint="eastAsia" w:ascii="宋体" w:hAnsi="宋体" w:eastAsia="宋体" w:cs="宋体"/>
                <w:i w:val="0"/>
                <w:iCs w:val="0"/>
                <w:color w:val="000000"/>
                <w:kern w:val="0"/>
                <w:sz w:val="21"/>
                <w:szCs w:val="21"/>
                <w:u w:val="none"/>
                <w:lang w:val="en-US" w:eastAsia="zh-CN" w:bidi="ar"/>
              </w:rPr>
              <w:t>需确保政务业务高峰期间持续稳定运行，产品需具备网络层吞吐量≥40Gbps、应用层吞吐量≥25Gbps，全威胁吞吐量≥3G，并发连接数≥400万，每秒新建连接数≥15万，支持IPV6，高性能保障政务业务系统连续在线；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3、系统支持主机故障时双机切换不丢包，全面保障党政业务不中断，满足等级保护连续性要求；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为快速响应新型网络攻击、提升信息基础设施智能防护能力，产品应支持云威胁情报网关技术，实现对威胁流量就近实时检测&amp;拦截，支持失陷外联实时阻断，保障党政单位业务资产安全、助力自动化通报流程闭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产品内置多种漏洞规则，支持在控制台界面通过漏洞ID、漏洞名称、危险等级、漏洞CVE标识、漏洞描述等条件快速查询漏洞特征信息，同时支持用户自定义IPS规则，助力单位主动应对漏洞通报，满足自定义管控和等保整改需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6、产品支持僵尸主机检测功能，内置多种僵尸网络特征库，实时识别主机异常外联行为，辅助满足监督检查及突发事件快速定位处置要求；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7、支持虚拟防火墙功能，可对虚拟防火墙进行创建与删除，具备独立接口、会话管理、应用控制策略、NAT等资源，便于多部门安全分区管理，提高重要信息系统的隔离粒度和合规分权；</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w:t>
            </w:r>
            <w:r>
              <w:rPr>
                <w:rFonts w:hint="eastAsia" w:ascii="宋体" w:hAnsi="宋体" w:cs="宋体"/>
                <w:b/>
                <w:bCs/>
                <w:color w:val="auto"/>
                <w:sz w:val="21"/>
                <w:szCs w:val="21"/>
                <w:highlight w:val="none"/>
              </w:rPr>
              <w:t>▲</w:t>
            </w:r>
            <w:r>
              <w:rPr>
                <w:rFonts w:hint="eastAsia" w:ascii="宋体" w:hAnsi="宋体" w:eastAsia="宋体" w:cs="宋体"/>
                <w:i w:val="0"/>
                <w:iCs w:val="0"/>
                <w:color w:val="000000"/>
                <w:kern w:val="0"/>
                <w:sz w:val="21"/>
                <w:szCs w:val="21"/>
                <w:u w:val="none"/>
                <w:lang w:val="en-US" w:eastAsia="zh-CN" w:bidi="ar"/>
              </w:rPr>
              <w:t>产品支持链路连通性检查功能，基于多种协议进行链路探测，并支持多种策略路由的负载均衡算法选择，有效支持多政务专线、高可用网络的自动化健康监控，提高响应效率、降低链路中断故障扣分风险；</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w:t>
            </w:r>
            <w:r>
              <w:rPr>
                <w:rFonts w:hint="eastAsia" w:ascii="宋体" w:hAnsi="宋体" w:cs="宋体"/>
                <w:b/>
                <w:bCs/>
                <w:color w:val="auto"/>
                <w:sz w:val="21"/>
                <w:szCs w:val="21"/>
                <w:highlight w:val="none"/>
              </w:rPr>
              <w:t>▲</w:t>
            </w:r>
            <w:r>
              <w:rPr>
                <w:rFonts w:hint="eastAsia" w:ascii="宋体" w:hAnsi="宋体" w:eastAsia="宋体" w:cs="宋体"/>
                <w:i w:val="0"/>
                <w:iCs w:val="0"/>
                <w:color w:val="000000"/>
                <w:kern w:val="0"/>
                <w:sz w:val="21"/>
                <w:szCs w:val="21"/>
                <w:u w:val="none"/>
                <w:lang w:val="en-US" w:eastAsia="zh-CN" w:bidi="ar"/>
              </w:rPr>
              <w:t>产品质保和软件升级年限应不少于3年，为政务信息系统稳定运行和持续安全能力演进提供坚实运维保障。提供原厂三年售后服务。</w:t>
            </w:r>
          </w:p>
          <w:p w14:paraId="25C4B59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40" w:lineRule="exact"/>
              <w:ind w:left="0" w:right="0"/>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（三）网络安全态势感知与威胁检测系统（1台态势感知、1台检测系统）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w:t>
            </w:r>
            <w:r>
              <w:rPr>
                <w:rFonts w:hint="eastAsia" w:ascii="宋体" w:hAnsi="宋体" w:cs="宋体"/>
                <w:b/>
                <w:bCs/>
                <w:color w:val="auto"/>
                <w:sz w:val="21"/>
                <w:szCs w:val="21"/>
                <w:highlight w:val="none"/>
              </w:rPr>
              <w:t>▲</w:t>
            </w:r>
            <w:r>
              <w:rPr>
                <w:rFonts w:hint="eastAsia" w:ascii="宋体" w:hAnsi="宋体" w:eastAsia="宋体" w:cs="宋体"/>
                <w:i w:val="0"/>
                <w:iCs w:val="0"/>
                <w:color w:val="000000"/>
                <w:kern w:val="0"/>
                <w:sz w:val="21"/>
                <w:szCs w:val="21"/>
                <w:u w:val="none"/>
                <w:lang w:val="en-US" w:eastAsia="zh-CN" w:bidi="ar"/>
              </w:rPr>
              <w:t>态势感知具备标准2U机箱，配置不小于4个千兆电口，≥4个千兆光口（满配千兆多模模块）</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≥2个万兆光口SFP+（满配万兆多模模块），不小于14T硬盘，符合信创要求，冗余电源。</w:t>
            </w:r>
          </w:p>
          <w:p w14:paraId="5872BD5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40" w:lineRule="exact"/>
              <w:ind w:left="0" w:right="0"/>
              <w:rPr>
                <w:rFonts w:hint="eastAsia" w:ascii="宋体" w:hAnsi="宋体" w:eastAsia="宋体" w:cs="宋体"/>
                <w:sz w:val="21"/>
                <w:szCs w:val="21"/>
                <w:highlight w:val="yellow"/>
              </w:rPr>
            </w:pPr>
            <w:r>
              <w:rPr>
                <w:rFonts w:hint="eastAsia" w:ascii="宋体" w:hAnsi="宋体" w:eastAsia="宋体" w:cs="宋体"/>
                <w:i w:val="0"/>
                <w:iCs w:val="0"/>
                <w:color w:val="000000"/>
                <w:kern w:val="0"/>
                <w:sz w:val="21"/>
                <w:szCs w:val="21"/>
                <w:u w:val="none"/>
                <w:lang w:val="en-US" w:eastAsia="zh-CN" w:bidi="ar"/>
              </w:rPr>
              <w:t>2.▲威胁检测系统产品配置不少于6个千兆电口，≥4个千兆光口（满配千兆多模模块）</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≥2个万兆光口SFP+（满配万兆多模模块），符合信创要求，冗余电源。</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3</w:t>
            </w:r>
            <w:r>
              <w:rPr>
                <w:rFonts w:hint="eastAsia" w:ascii="宋体" w:hAnsi="宋体" w:eastAsia="宋体" w:cs="宋体"/>
                <w:i w:val="0"/>
                <w:iCs w:val="0"/>
                <w:color w:val="000000"/>
                <w:kern w:val="0"/>
                <w:sz w:val="21"/>
                <w:szCs w:val="21"/>
                <w:u w:val="none"/>
                <w:lang w:val="en-US" w:eastAsia="zh-CN" w:bidi="ar"/>
              </w:rPr>
              <w:t xml:space="preserve">、▲平台具备全域日志汇聚能力，可统一采集下一代防火墙、上网行为管理、安全监测系统、EDR交换机、服务器、业务系统、终端安全等多类设备日志，日志留存时长满足等保要求不少于 6 个月，支持日志检索、导出、归档，支撑安全审计、溯源核查工作。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4</w:t>
            </w:r>
            <w:r>
              <w:rPr>
                <w:rFonts w:hint="eastAsia" w:ascii="宋体" w:hAnsi="宋体" w:eastAsia="宋体" w:cs="宋体"/>
                <w:i w:val="0"/>
                <w:iCs w:val="0"/>
                <w:color w:val="000000"/>
                <w:kern w:val="0"/>
                <w:sz w:val="21"/>
                <w:szCs w:val="21"/>
                <w:u w:val="none"/>
                <w:lang w:val="en-US" w:eastAsia="zh-CN" w:bidi="ar"/>
              </w:rPr>
              <w:t>.</w:t>
            </w:r>
            <w:r>
              <w:rPr>
                <w:rFonts w:hint="eastAsia" w:ascii="宋体" w:hAnsi="宋体" w:cs="宋体"/>
                <w:b/>
                <w:bCs/>
                <w:color w:val="auto"/>
                <w:sz w:val="21"/>
                <w:szCs w:val="21"/>
                <w:highlight w:val="none"/>
              </w:rPr>
              <w:t>▲</w:t>
            </w:r>
            <w:r>
              <w:rPr>
                <w:rFonts w:hint="eastAsia" w:ascii="宋体" w:hAnsi="宋体" w:eastAsia="宋体" w:cs="宋体"/>
                <w:i w:val="0"/>
                <w:iCs w:val="0"/>
                <w:color w:val="000000"/>
                <w:kern w:val="0"/>
                <w:sz w:val="21"/>
                <w:szCs w:val="21"/>
                <w:u w:val="none"/>
                <w:lang w:val="en-US" w:eastAsia="zh-CN" w:bidi="ar"/>
              </w:rPr>
              <w:t>检测系统APT性能≥2G，探针性能≥5G,并发连接≥40W,新建连接≥2W/S,静态检测≥10万样本/天。</w:t>
            </w:r>
          </w:p>
          <w:p w14:paraId="3180635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40" w:lineRule="exact"/>
              <w:ind w:left="0" w:right="0"/>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w:t>
            </w:r>
            <w:r>
              <w:rPr>
                <w:rFonts w:hint="eastAsia" w:ascii="宋体" w:hAnsi="宋体" w:eastAsia="宋体" w:cs="宋体"/>
                <w:i w:val="0"/>
                <w:iCs w:val="0"/>
                <w:color w:val="000000"/>
                <w:kern w:val="0"/>
                <w:sz w:val="21"/>
                <w:szCs w:val="21"/>
                <w:u w:val="none"/>
                <w:lang w:val="en-US" w:eastAsia="zh-CN" w:bidi="ar"/>
              </w:rPr>
              <w:t>.检测系统至少含3年升级许可,包含攻击检测规则库、应用识别库、地理信息库、威胁情报库等。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6</w:t>
            </w:r>
            <w:r>
              <w:rPr>
                <w:rFonts w:hint="eastAsia" w:ascii="宋体" w:hAnsi="宋体" w:eastAsia="宋体" w:cs="宋体"/>
                <w:i w:val="0"/>
                <w:iCs w:val="0"/>
                <w:color w:val="000000"/>
                <w:kern w:val="0"/>
                <w:sz w:val="21"/>
                <w:szCs w:val="21"/>
                <w:u w:val="none"/>
                <w:lang w:val="en-US" w:eastAsia="zh-CN" w:bidi="ar"/>
              </w:rPr>
              <w:t xml:space="preserve">、系统内置海量威胁特征库、漏洞库、僵尸网络库、恶意域名库，搭载云端实时威胁情报，可快速识别勒索病毒、挖矿木马、远控后门、暴力破解、APT 潜伏攻击等新型威胁，自动生成分级告警，区分高危、中危、低危安全事件。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7</w:t>
            </w:r>
            <w:r>
              <w:rPr>
                <w:rFonts w:hint="eastAsia" w:ascii="宋体" w:hAnsi="宋体" w:eastAsia="宋体" w:cs="宋体"/>
                <w:i w:val="0"/>
                <w:iCs w:val="0"/>
                <w:color w:val="000000"/>
                <w:kern w:val="0"/>
                <w:sz w:val="21"/>
                <w:szCs w:val="21"/>
                <w:u w:val="none"/>
                <w:lang w:val="en-US" w:eastAsia="zh-CN" w:bidi="ar"/>
              </w:rPr>
              <w:t>、支持资产探测任务管理，支持任务添加、修改、删除、开始扫描、重新扫描等操作，支持任务列表展示，展示信息包括任务名称、扫描范围、类型、状态、更新时间等，扫描范围支持单个IP、IP段、子网范围，支持查看扫描结果，结果信息包括所属任务、设备名称、设备IP、MAC、操作系统、时间、端口服务，支持按照任务名称、任务类型进行查询。</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8</w:t>
            </w:r>
            <w:r>
              <w:rPr>
                <w:rFonts w:hint="eastAsia" w:ascii="宋体" w:hAnsi="宋体" w:eastAsia="宋体" w:cs="宋体"/>
                <w:i w:val="0"/>
                <w:iCs w:val="0"/>
                <w:color w:val="000000"/>
                <w:kern w:val="0"/>
                <w:sz w:val="21"/>
                <w:szCs w:val="21"/>
                <w:u w:val="none"/>
                <w:lang w:val="en-US" w:eastAsia="zh-CN" w:bidi="ar"/>
              </w:rPr>
              <w:t>、内置等保合规自查模块，可自动梳理网络安全风险项，生成等保测评自查报告，覆盖访问控制、入侵防范、日志审计、恶意代码防范等等保测评要点，辅助单位常态化等保整改、风险自查工作。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9</w:t>
            </w:r>
            <w:r>
              <w:rPr>
                <w:rFonts w:hint="eastAsia" w:ascii="宋体" w:hAnsi="宋体" w:eastAsia="宋体" w:cs="宋体"/>
                <w:i w:val="0"/>
                <w:iCs w:val="0"/>
                <w:color w:val="000000"/>
                <w:kern w:val="0"/>
                <w:sz w:val="21"/>
                <w:szCs w:val="21"/>
                <w:u w:val="none"/>
                <w:lang w:val="en-US" w:eastAsia="zh-CN" w:bidi="ar"/>
              </w:rPr>
              <w:t>、</w:t>
            </w:r>
            <w:r>
              <w:rPr>
                <w:rFonts w:hint="eastAsia" w:ascii="宋体" w:hAnsi="宋体" w:cs="宋体"/>
                <w:b/>
                <w:bCs/>
                <w:color w:val="auto"/>
                <w:sz w:val="21"/>
                <w:szCs w:val="21"/>
                <w:highlight w:val="none"/>
              </w:rPr>
              <w:t>▲</w:t>
            </w:r>
            <w:r>
              <w:rPr>
                <w:rFonts w:hint="eastAsia" w:ascii="宋体" w:hAnsi="宋体" w:eastAsia="宋体" w:cs="宋体"/>
                <w:i w:val="0"/>
                <w:iCs w:val="0"/>
                <w:color w:val="000000"/>
                <w:kern w:val="0"/>
                <w:sz w:val="21"/>
                <w:szCs w:val="21"/>
                <w:u w:val="none"/>
                <w:lang w:val="en-US" w:eastAsia="zh-CN" w:bidi="ar"/>
              </w:rPr>
              <w:t>平台及配套探针硬件质保、特征库升级、软件版本升级、云端威胁情报服务期限均不少于 3 年。</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（四）日志分析管理系统（1套）</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w:t>
            </w:r>
            <w:r>
              <w:rPr>
                <w:rFonts w:hint="eastAsia" w:ascii="宋体" w:hAnsi="宋体" w:cs="宋体"/>
                <w:b/>
                <w:bCs/>
                <w:color w:val="auto"/>
                <w:sz w:val="21"/>
                <w:szCs w:val="21"/>
                <w:highlight w:val="none"/>
              </w:rPr>
              <w:t>▲</w:t>
            </w:r>
            <w:r>
              <w:rPr>
                <w:rFonts w:hint="eastAsia" w:ascii="宋体" w:hAnsi="宋体" w:eastAsia="宋体" w:cs="宋体"/>
                <w:i w:val="0"/>
                <w:iCs w:val="0"/>
                <w:color w:val="000000"/>
                <w:kern w:val="0"/>
                <w:sz w:val="21"/>
                <w:szCs w:val="21"/>
                <w:u w:val="none"/>
                <w:lang w:val="en-US" w:eastAsia="zh-CN" w:bidi="ar"/>
              </w:rPr>
              <w:t>标准2U设备产品,国产CPU和国产操作系统，≥64G内存，数据盘≥16T。≥6个千兆电口和≥2个万兆光插槽（满配万兆多模模块）,冗余电源。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2、可存储6个月及以上日志信息。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3、支持安全设备、网络设备、中间件、服务器、数据库、操作系统、业务系统等日志数据采集。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4、支持Syslog、SNMP Trap、Netflow、JDBC、WMI、FTP、SFTP、SCP、文件等方式进行数据采集；支持通过Agent采集日志数据。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5、支持日志转发给第三方系统平台，支持设置多个日志转发IP地址，支持转发格式化日志或仅转发原始日志。</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6、支持原始日志全文检索，查询结果可将归一化日志和原始日志同屏对比显示。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7、支持安全告警概况、安全告警趋势的统一展示，实时告警可根据级别、规则类型等进行分类。</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8、支持展示日志查询情况，包括查询条件命中数、日志总量、查询耗时等信息。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9、支持邮件、声音、声光、短信、数据库响应等多种告警方式。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10、支持自定义统计日志数据形成报表，支持统计分析报表以PDF、word、excle、html等方式导出；支持实时报表、计划报表。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11、提供产品质保和软件升级应不少于3年。</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（五）端点安全软件（7000点）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w:t>
            </w:r>
            <w:r>
              <w:rPr>
                <w:rFonts w:hint="eastAsia" w:ascii="宋体" w:hAnsi="宋体" w:cs="宋体"/>
                <w:b/>
                <w:bCs/>
                <w:color w:val="auto"/>
                <w:sz w:val="21"/>
                <w:szCs w:val="21"/>
                <w:highlight w:val="none"/>
              </w:rPr>
              <w:t>▲</w:t>
            </w:r>
            <w:r>
              <w:rPr>
                <w:rFonts w:hint="eastAsia" w:ascii="宋体" w:hAnsi="宋体" w:eastAsia="宋体" w:cs="宋体"/>
                <w:i w:val="0"/>
                <w:iCs w:val="0"/>
                <w:color w:val="000000"/>
                <w:kern w:val="0"/>
                <w:sz w:val="21"/>
                <w:szCs w:val="21"/>
                <w:u w:val="none"/>
                <w:lang w:val="en-US" w:eastAsia="zh-CN" w:bidi="ar"/>
              </w:rPr>
              <w:t>本次提供PC版端点安全软件不少于7000点，含授权三年，支持多种操作系统，包括但不限于windows系统、主流国产化操作系统，如中标麒麟、银河麒麟、统信等；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w:t>
            </w:r>
            <w:r>
              <w:rPr>
                <w:rFonts w:hint="eastAsia" w:ascii="宋体" w:hAnsi="宋体" w:cs="宋体"/>
                <w:b/>
                <w:bCs/>
                <w:color w:val="auto"/>
                <w:sz w:val="21"/>
                <w:szCs w:val="21"/>
                <w:highlight w:val="none"/>
              </w:rPr>
              <w:t>▲</w:t>
            </w:r>
            <w:r>
              <w:rPr>
                <w:rFonts w:hint="eastAsia" w:ascii="宋体" w:hAnsi="宋体" w:eastAsia="宋体" w:cs="宋体"/>
                <w:i w:val="0"/>
                <w:iCs w:val="0"/>
                <w:color w:val="auto"/>
                <w:kern w:val="0"/>
                <w:sz w:val="21"/>
                <w:szCs w:val="21"/>
                <w:u w:val="none"/>
                <w:lang w:val="en-US" w:eastAsia="zh-CN" w:bidi="ar"/>
              </w:rPr>
              <w:t>配套安全软件管理平台，配套提供对应管理服务器硬件，平台可承载 7000 台终端同时在线，支持在平台统一下发漏洞扫描、安全查杀等安全类任务至各终端设备；</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3、每季度不少于一次定期开展对现有网络安全设备的巡检服务、提供原厂技术支持服务，提供7*24小时电话技术咨询支持。服务要求：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1）原厂技术支持服务：提供7*24小时电话技术咨询支持（包含电话、邮件、远程桌面支持）；远程无法处理的问题，将提供原厂现场支持服务。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2）软件版本升级服务：维保期间，提供维保网络设备的免费软件升级服务，如软件补丁、更新软件，进行软件版本的评估和风险分析，并保证升级后的系统能够稳定的运行；</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3）故障响应服务：提供7*24小时远程技术支持服务，服务包含但不限于：热线故障受理，远程问题处理，在线技术支持；维保设备出现故障时,30分钟内响应,4小时内到达现场进行故障诊断及处理。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（六）三层交换机（8台）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1、端口类型：≥48个千兆电口</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≥4个</w:t>
            </w:r>
            <w:r>
              <w:rPr>
                <w:rFonts w:hint="eastAsia" w:ascii="宋体" w:hAnsi="宋体" w:cs="宋体"/>
                <w:i w:val="0"/>
                <w:iCs w:val="0"/>
                <w:color w:val="000000"/>
                <w:kern w:val="0"/>
                <w:sz w:val="21"/>
                <w:szCs w:val="21"/>
                <w:u w:val="none"/>
                <w:lang w:val="en-US" w:eastAsia="zh-CN" w:bidi="ar"/>
              </w:rPr>
              <w:t>千</w:t>
            </w:r>
            <w:r>
              <w:rPr>
                <w:rFonts w:hint="eastAsia" w:ascii="宋体" w:hAnsi="宋体" w:eastAsia="宋体" w:cs="宋体"/>
                <w:i w:val="0"/>
                <w:iCs w:val="0"/>
                <w:color w:val="000000"/>
                <w:kern w:val="0"/>
                <w:sz w:val="21"/>
                <w:szCs w:val="21"/>
                <w:u w:val="none"/>
                <w:lang w:val="en-US" w:eastAsia="zh-CN" w:bidi="ar"/>
              </w:rPr>
              <w:t>兆光</w:t>
            </w:r>
            <w:r>
              <w:rPr>
                <w:rFonts w:hint="eastAsia" w:ascii="宋体" w:hAnsi="宋体" w:eastAsia="宋体" w:cs="宋体"/>
                <w:i w:val="0"/>
                <w:iCs w:val="0"/>
                <w:color w:val="auto"/>
                <w:kern w:val="0"/>
                <w:sz w:val="21"/>
                <w:szCs w:val="21"/>
                <w:u w:val="none"/>
                <w:lang w:val="en-US" w:eastAsia="zh-CN" w:bidi="ar"/>
              </w:rPr>
              <w:t>口（满配</w:t>
            </w:r>
            <w:r>
              <w:rPr>
                <w:rFonts w:hint="eastAsia" w:ascii="宋体" w:hAnsi="宋体" w:cs="宋体"/>
                <w:i w:val="0"/>
                <w:iCs w:val="0"/>
                <w:color w:val="auto"/>
                <w:kern w:val="0"/>
                <w:sz w:val="21"/>
                <w:szCs w:val="21"/>
                <w:u w:val="none"/>
                <w:lang w:val="en-US" w:eastAsia="zh-CN" w:bidi="ar"/>
              </w:rPr>
              <w:t>千</w:t>
            </w:r>
            <w:r>
              <w:rPr>
                <w:rFonts w:hint="eastAsia" w:ascii="宋体" w:hAnsi="宋体" w:eastAsia="宋体" w:cs="宋体"/>
                <w:i w:val="0"/>
                <w:iCs w:val="0"/>
                <w:color w:val="auto"/>
                <w:kern w:val="0"/>
                <w:sz w:val="21"/>
                <w:szCs w:val="21"/>
                <w:u w:val="none"/>
                <w:lang w:val="en-US" w:eastAsia="zh-CN" w:bidi="ar"/>
              </w:rPr>
              <w:t>兆多模模块）；</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2、交换容量≥758Gbps/7.58Tbps，最大包转发率≥148Mpps/222Mpps；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3、支持6KV业务端口防雷能力</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4、以太网功能：静态MAC配置、支持端口镜像和流镜像功能、支持端口聚合(聚合组端口最大8个端口)、支持10GE口聚合、支持端口隔离、支持STP/RSTP/MSTP、支持IEEE 802.3ad（动态链路聚合）、静态端口聚合；</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5、VLAN：支持基于端口的VLAN、支持MAC VLAN、支持Guest VLAN</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6、QoS/ACL：支持包过滤功能、支持SP/WRR/SP+WRR队列调度、支持双向ACL、支持基于端口的限速、支持基于流的重定向；</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7、支持IPv4/IPv6静态路由、双协议栈，支持RIPv1、RIPv2、支持OSPF；支持DHCPv6 Client、DHCPv6 Snooping；</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8、支持用户分级管理和口令保护、支持SSH2.0、支持端口隔离、支持 802.1X、支持MAC地址认证、支持IP Source Guard、支持HTTPs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9、支持命令行接口（CLI）配置、支持SNMP、支持WEB网管、支持智能网管系统；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（七）运维工具集合（1套）</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1、运维笔记本1台：</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14寸/Ultra5-125H/24GB/1TB固态/高刷新率/分辨率≥2K/高色域屏/</w:t>
            </w:r>
            <w:r>
              <w:rPr>
                <w:rFonts w:hint="eastAsia" w:ascii="宋体" w:hAnsi="宋体" w:cs="宋体"/>
                <w:i w:val="0"/>
                <w:iCs w:val="0"/>
                <w:color w:val="auto"/>
                <w:kern w:val="0"/>
                <w:sz w:val="21"/>
                <w:szCs w:val="21"/>
                <w:u w:val="none"/>
                <w:lang w:val="en-US" w:eastAsia="zh-CN" w:bidi="ar"/>
              </w:rPr>
              <w:t>提供</w:t>
            </w:r>
            <w:r>
              <w:rPr>
                <w:rFonts w:hint="eastAsia" w:ascii="宋体" w:hAnsi="宋体" w:eastAsia="宋体" w:cs="宋体"/>
                <w:i w:val="0"/>
                <w:iCs w:val="0"/>
                <w:color w:val="000000"/>
                <w:kern w:val="0"/>
                <w:sz w:val="21"/>
                <w:szCs w:val="21"/>
                <w:u w:val="none"/>
                <w:lang w:val="en-US" w:eastAsia="zh-CN" w:bidi="ar"/>
              </w:rPr>
              <w:t>3年正版WPS大会员授权；</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2、寻线仪1台：具备网线寻线、对线、通断测试、长度测试功能，支持POE带电测试且具备防烧保护，可抗干扰寻线，搭配红光测试与光功率检测功能，内置可充电电源，适用于综合布线运维场景。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3、标签打印机1台：支持不干胶标签打印，可连接电脑 / 移动设备使用，适配线缆、设备、面板等多种标识打印，字体清晰、粘贴牢固，满足机房与布线标识管理需求。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4、千兆SFP单模光模块10套：传输速率≥1.25G，中心波长 1310nm，LC 双工接口，传输距离≥10km，支持数字诊断功能，兼容主流网络设备。</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5、千兆SFP多模光模块5套：传输速率≥1.25G，中心波长 850nm，LC 双工接口，传输距离≥500m，支持数字诊断功能，兼容主流网络设备。</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6、机房监控显示大屏：屏幕大小≥75英寸，分辨率≥4K,屏幕刷新率≥60hz，并提供上墙支架，15米HDMI线缆。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7、A3复印机1台：提供1台A3黑色复印机，含DADF双面输稿器，具备网络打印、复印、扫描功能，提供A4和A3两个纸盒，配原装落地底柜，A4复印打印速度≥40页。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8、POE交换机1台：提供1台24口千兆POE交换机，满足吸顶式路由器POE供电及网络传输需求，支持IEEE802.3af/at 标准POE供电，整机POE功率充足，可稳定带动多台吸顶路由器同时工作。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二、动环系统监测服务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w:t>
            </w:r>
            <w:r>
              <w:rPr>
                <w:rFonts w:hint="eastAsia" w:ascii="宋体" w:hAnsi="宋体" w:cs="宋体"/>
                <w:b/>
                <w:bCs/>
                <w:color w:val="auto"/>
                <w:sz w:val="21"/>
                <w:szCs w:val="21"/>
                <w:highlight w:val="none"/>
              </w:rPr>
              <w:t>▲</w:t>
            </w:r>
            <w:r>
              <w:rPr>
                <w:rFonts w:hint="eastAsia" w:ascii="宋体" w:hAnsi="宋体" w:eastAsia="宋体" w:cs="宋体"/>
                <w:i w:val="0"/>
                <w:iCs w:val="0"/>
                <w:color w:val="000000"/>
                <w:kern w:val="0"/>
                <w:sz w:val="21"/>
                <w:szCs w:val="21"/>
                <w:u w:val="none"/>
                <w:lang w:val="en-US" w:eastAsia="zh-CN" w:bidi="ar"/>
              </w:rPr>
              <w:t>提供1套能够对机房的基础设施运行状态和机房环境进行7*24小时不间断实时监控、报警与数据记录，包含门禁、漏水、电压、湿温度、火灾等功能的环境监控系统。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2、提供1 台专用报警接收移动终端，配置国产麒麟芯片，运行内存≥8G，机身内存≥256G,用于全天候接收动环监控系统短信告警信息，保障告警消息实时送达。</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三、UPS不间断电源系统服务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（一）UPS主机（1套）</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w:t>
            </w:r>
            <w:r>
              <w:rPr>
                <w:rFonts w:hint="eastAsia" w:ascii="宋体" w:hAnsi="宋体" w:cs="宋体"/>
                <w:b/>
                <w:bCs/>
                <w:color w:val="auto"/>
                <w:sz w:val="21"/>
                <w:szCs w:val="21"/>
                <w:highlight w:val="none"/>
              </w:rPr>
              <w:t>▲</w:t>
            </w:r>
            <w:r>
              <w:rPr>
                <w:rFonts w:hint="eastAsia" w:ascii="宋体" w:hAnsi="宋体" w:eastAsia="宋体" w:cs="宋体"/>
                <w:i w:val="0"/>
                <w:iCs w:val="0"/>
                <w:color w:val="000000"/>
                <w:kern w:val="0"/>
                <w:sz w:val="21"/>
                <w:szCs w:val="21"/>
                <w:u w:val="none"/>
                <w:lang w:val="en-US" w:eastAsia="zh-CN" w:bidi="ar"/>
              </w:rPr>
              <w:t>功率20KVA，机架式或塔式可互换，满足单进单出/三进单出/三进三出模式运行，适用多种供电模式。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2.双变换在线式设计,使UPS的输出为频率跟踪、锁相稳压、滤除噪声、低失真度、不受电网波动干扰的纯净正弦波电源,使UPS对用户设备提供更为全面和完美的保护。</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w:t>
            </w:r>
            <w:r>
              <w:rPr>
                <w:rFonts w:hint="eastAsia" w:ascii="宋体" w:hAnsi="宋体" w:cs="宋体"/>
                <w:b/>
                <w:bCs/>
                <w:color w:val="auto"/>
                <w:sz w:val="21"/>
                <w:szCs w:val="21"/>
                <w:highlight w:val="none"/>
              </w:rPr>
              <w:t>▲</w:t>
            </w:r>
            <w:r>
              <w:rPr>
                <w:rFonts w:hint="eastAsia" w:ascii="宋体" w:hAnsi="宋体" w:eastAsia="宋体" w:cs="宋体"/>
                <w:i w:val="0"/>
                <w:iCs w:val="0"/>
                <w:color w:val="000000"/>
                <w:kern w:val="0"/>
                <w:sz w:val="21"/>
                <w:szCs w:val="21"/>
                <w:u w:val="none"/>
                <w:lang w:val="en-US" w:eastAsia="zh-CN" w:bidi="ar"/>
              </w:rPr>
              <w:t>电池电压: 360-600vdc(30-50节可选))灵活配置，以保证在其中有单节电池故障时可以将故障电池单独取出，其它电池可正常工作，提高电池的利用率。</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w:t>
            </w:r>
            <w:r>
              <w:rPr>
                <w:rFonts w:hint="eastAsia" w:ascii="宋体" w:hAnsi="宋体" w:cs="宋体"/>
                <w:b/>
                <w:bCs/>
                <w:color w:val="auto"/>
                <w:sz w:val="21"/>
                <w:szCs w:val="21"/>
                <w:highlight w:val="none"/>
              </w:rPr>
              <w:t>▲</w:t>
            </w:r>
            <w:r>
              <w:rPr>
                <w:rFonts w:hint="eastAsia" w:ascii="宋体" w:hAnsi="宋体" w:eastAsia="宋体" w:cs="宋体"/>
                <w:i w:val="0"/>
                <w:iCs w:val="0"/>
                <w:color w:val="000000"/>
                <w:kern w:val="0"/>
                <w:sz w:val="21"/>
                <w:szCs w:val="21"/>
                <w:u w:val="none"/>
                <w:lang w:val="en-US" w:eastAsia="zh-CN" w:bidi="ar"/>
              </w:rPr>
              <w:t>具备输出短路、过载保护、过温保护、电池低压保护、输出过欠压保护、风扇故障保护、防雷保护等保护功能；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4.支持两路电源接入，提高系统可靠性。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6.LCD显示输入输出电压、频率、电池电压、输出功率、温度。</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7.EPO功能：紧急情况下可实现紧急关机。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8.输入电压范围 ：208-478Vac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9.输入功率因数：≥0.99</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10.输入电压频率范围:40HZ～70HZ</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b/>
                <w:bCs/>
                <w:color w:val="auto"/>
                <w:sz w:val="21"/>
                <w:szCs w:val="21"/>
                <w:highlight w:val="none"/>
              </w:rPr>
              <w:t>▲</w:t>
            </w:r>
            <w:r>
              <w:rPr>
                <w:rFonts w:hint="eastAsia" w:ascii="宋体" w:hAnsi="宋体" w:eastAsia="宋体" w:cs="宋体"/>
                <w:i w:val="0"/>
                <w:iCs w:val="0"/>
                <w:color w:val="000000"/>
                <w:kern w:val="0"/>
                <w:sz w:val="21"/>
                <w:szCs w:val="21"/>
                <w:u w:val="none"/>
                <w:lang w:val="en-US" w:eastAsia="zh-CN" w:bidi="ar"/>
              </w:rPr>
              <w:t>11.为了保证服务与产品兼容性，不间断电源和蓄电池为同一品牌，拒绝OEM贴牌产品。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（二）铅酸蓄电池（32套）</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w:t>
            </w:r>
            <w:r>
              <w:rPr>
                <w:rFonts w:hint="eastAsia" w:ascii="宋体" w:hAnsi="宋体" w:cs="宋体"/>
                <w:b/>
                <w:bCs/>
                <w:color w:val="auto"/>
                <w:sz w:val="21"/>
                <w:szCs w:val="21"/>
                <w:highlight w:val="none"/>
              </w:rPr>
              <w:t>▲</w:t>
            </w:r>
            <w:r>
              <w:rPr>
                <w:rFonts w:hint="eastAsia" w:ascii="宋体" w:hAnsi="宋体" w:eastAsia="宋体" w:cs="宋体"/>
                <w:i w:val="0"/>
                <w:iCs w:val="0"/>
                <w:color w:val="000000"/>
                <w:kern w:val="0"/>
                <w:sz w:val="21"/>
                <w:szCs w:val="21"/>
                <w:u w:val="none"/>
                <w:lang w:val="en-US" w:eastAsia="zh-CN" w:bidi="ar"/>
              </w:rPr>
              <w:t>配置12V200AH铅酸蓄电池≥32节，并配置响应的电池柜及连接线；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w:t>
            </w:r>
            <w:r>
              <w:rPr>
                <w:rFonts w:hint="eastAsia" w:ascii="宋体" w:hAnsi="宋体" w:cs="宋体"/>
                <w:b/>
                <w:bCs/>
                <w:color w:val="auto"/>
                <w:sz w:val="21"/>
                <w:szCs w:val="21"/>
                <w:highlight w:val="none"/>
              </w:rPr>
              <w:t>▲</w:t>
            </w:r>
            <w:r>
              <w:rPr>
                <w:rFonts w:hint="eastAsia" w:ascii="宋体" w:hAnsi="宋体" w:eastAsia="宋体" w:cs="宋体"/>
                <w:i w:val="0"/>
                <w:iCs w:val="0"/>
                <w:color w:val="000000"/>
                <w:kern w:val="0"/>
                <w:sz w:val="21"/>
                <w:szCs w:val="21"/>
                <w:u w:val="none"/>
                <w:lang w:val="en-US" w:eastAsia="zh-CN" w:bidi="ar"/>
              </w:rPr>
              <w:t>为了施工安装及后期维护方便，要求蓄电池与UPS同一品牌；</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3、蓄电池采用高可靠阀控密封式设计，确保电池不漏（渗）液、无酸雾、不腐蚀，并在充电时产生的气体基本被吸收还原成电解液，在使用时无需加水、补液；</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4、蓄电池外观应无变形、漏液、裂纹及污迹；标识应清晰；正负端子有明显标志，便于连接；</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w:t>
            </w:r>
            <w:r>
              <w:rPr>
                <w:rFonts w:hint="eastAsia" w:ascii="宋体" w:hAnsi="宋体" w:eastAsia="宋体" w:cs="宋体"/>
                <w:i w:val="0"/>
                <w:iCs w:val="0"/>
                <w:color w:val="000000"/>
                <w:kern w:val="0"/>
                <w:sz w:val="21"/>
                <w:szCs w:val="21"/>
                <w:highlight w:val="none"/>
                <w:u w:val="none"/>
                <w:lang w:val="en-US" w:eastAsia="zh-CN" w:bidi="ar"/>
              </w:rPr>
              <w:t>电池容量保存率应≥99%，电池密封反应效率应≥98%，</w:t>
            </w:r>
            <w:r>
              <w:rPr>
                <w:rFonts w:hint="eastAsia" w:ascii="宋体" w:hAnsi="宋体" w:eastAsia="宋体" w:cs="宋体"/>
                <w:i w:val="0"/>
                <w:iCs w:val="0"/>
                <w:color w:val="000000"/>
                <w:kern w:val="0"/>
                <w:sz w:val="21"/>
                <w:szCs w:val="21"/>
                <w:u w:val="none"/>
                <w:lang w:val="en-US" w:eastAsia="zh-CN" w:bidi="ar"/>
              </w:rPr>
              <w:t>蓄电池具有阻燃性，其壳、盖、连接条保护罩应符合GB/T2408-2008中第8.3.2条FH-1（水平级）和第9.3.2条FV-0（垂直级）的要求，正常工作条件下不出现鼓胀或收缩变形；</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6、安全阀应具有自动开启和自动关闭的功能；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7、蓄电池应具备良好的防爆性能，蓄电池内部产生的可燃性气体逸出后，遇到蓄电池外部的明火时在蓄电池内部不引燃、不引爆。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8、</w:t>
            </w:r>
            <w:r>
              <w:rPr>
                <w:rFonts w:hint="eastAsia" w:ascii="宋体" w:hAnsi="宋体" w:cs="宋体"/>
                <w:b/>
                <w:bCs/>
                <w:color w:val="auto"/>
                <w:sz w:val="21"/>
                <w:szCs w:val="21"/>
                <w:highlight w:val="none"/>
              </w:rPr>
              <w:t>▲</w:t>
            </w:r>
            <w:r>
              <w:rPr>
                <w:rFonts w:hint="eastAsia" w:ascii="宋体" w:hAnsi="宋体" w:eastAsia="宋体" w:cs="宋体"/>
                <w:i w:val="0"/>
                <w:iCs w:val="0"/>
                <w:color w:val="000000"/>
                <w:kern w:val="0"/>
                <w:sz w:val="21"/>
                <w:szCs w:val="21"/>
                <w:highlight w:val="none"/>
                <w:u w:val="none"/>
                <w:lang w:val="en-US" w:eastAsia="zh-CN" w:bidi="ar"/>
              </w:rPr>
              <w:t>提供蓄电池产品的泰尔认证证书或中国国家强制性产品认证（3C认证）证书（两者满足其一即可），并加盖所投品牌厂商公章；</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（三）ATS设备（1套）</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w:t>
            </w:r>
            <w:r>
              <w:rPr>
                <w:rFonts w:hint="eastAsia" w:ascii="宋体" w:hAnsi="宋体" w:cs="宋体"/>
                <w:b/>
                <w:bCs/>
                <w:color w:val="auto"/>
                <w:sz w:val="21"/>
                <w:szCs w:val="21"/>
                <w:highlight w:val="none"/>
              </w:rPr>
              <w:t>▲</w:t>
            </w:r>
            <w:r>
              <w:rPr>
                <w:rFonts w:hint="eastAsia" w:ascii="宋体" w:hAnsi="宋体" w:eastAsia="宋体" w:cs="宋体"/>
                <w:i w:val="0"/>
                <w:iCs w:val="0"/>
                <w:color w:val="000000"/>
                <w:kern w:val="0"/>
                <w:sz w:val="21"/>
                <w:szCs w:val="21"/>
                <w:u w:val="none"/>
                <w:lang w:val="en-US" w:eastAsia="zh-CN" w:bidi="ar"/>
              </w:rPr>
              <w:t>设备采用PC型一体式双电源自动转换开关，符合GB/T14048.11国家标准，适配机房UPS系统配套使用，严禁CB型拼装、简易切换装置及贴牌翻新设备，保障机房供电稳定可靠。</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w:t>
            </w:r>
            <w:r>
              <w:rPr>
                <w:rFonts w:hint="eastAsia" w:ascii="宋体" w:hAnsi="宋体" w:cs="宋体"/>
                <w:b/>
                <w:bCs/>
                <w:color w:val="auto"/>
                <w:sz w:val="21"/>
                <w:szCs w:val="21"/>
                <w:highlight w:val="none"/>
              </w:rPr>
              <w:t>▲</w:t>
            </w:r>
            <w:r>
              <w:rPr>
                <w:rFonts w:hint="eastAsia" w:ascii="宋体" w:hAnsi="宋体" w:eastAsia="宋体" w:cs="宋体"/>
                <w:i w:val="0"/>
                <w:iCs w:val="0"/>
                <w:color w:val="000000"/>
                <w:kern w:val="0"/>
                <w:sz w:val="21"/>
                <w:szCs w:val="21"/>
                <w:u w:val="none"/>
                <w:lang w:val="en-US" w:eastAsia="zh-CN" w:bidi="ar"/>
              </w:rPr>
              <w:t>额定规格适配20KVA UPS系统，采用4P三相四线制式，额定电流不低于100A，短时耐受电流≥10kA，预留1.2倍以上负载冗余，满足机房长期满载运行需求。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3、具备双路电源实时监测功能，可精准识别常用电源欠压、过压、缺相、断电、频率异常等故障，自动切换至备用电源，电源恢复后可自动复位，切换延时时间可自定义调节，适配市电与发电机双供电场景。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w:t>
            </w:r>
            <w:r>
              <w:rPr>
                <w:rFonts w:hint="eastAsia" w:ascii="宋体" w:hAnsi="宋体" w:cs="宋体"/>
                <w:b/>
                <w:bCs/>
                <w:color w:val="auto"/>
                <w:sz w:val="21"/>
                <w:szCs w:val="21"/>
                <w:highlight w:val="none"/>
              </w:rPr>
              <w:t>▲</w:t>
            </w:r>
            <w:r>
              <w:rPr>
                <w:rFonts w:hint="eastAsia" w:ascii="宋体" w:hAnsi="宋体" w:eastAsia="宋体" w:cs="宋体"/>
                <w:i w:val="0"/>
                <w:iCs w:val="0"/>
                <w:color w:val="000000"/>
                <w:kern w:val="0"/>
                <w:sz w:val="21"/>
                <w:szCs w:val="21"/>
                <w:u w:val="none"/>
                <w:lang w:val="en-US" w:eastAsia="zh-CN" w:bidi="ar"/>
              </w:rPr>
              <w:t>具备机械、电气双重互锁保护功能，彻底杜绝双电源并网、反送电、短路事故，具备断电自锁、防误操作功能，全面保障机房配电安全。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5、搭载高清液晶显示屏，可实时显示两路电源电压、频率、设备运行状态、故障代码，配备声光故障报警功能，便于现场运维监测。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w:t>
            </w:r>
            <w:r>
              <w:rPr>
                <w:rFonts w:hint="eastAsia" w:ascii="宋体" w:hAnsi="宋体" w:cs="宋体"/>
                <w:b/>
                <w:bCs/>
                <w:color w:val="auto"/>
                <w:sz w:val="21"/>
                <w:szCs w:val="21"/>
                <w:highlight w:val="none"/>
              </w:rPr>
              <w:t>▲</w:t>
            </w:r>
            <w:r>
              <w:rPr>
                <w:rFonts w:hint="eastAsia" w:ascii="宋体" w:hAnsi="宋体" w:eastAsia="宋体" w:cs="宋体"/>
                <w:i w:val="0"/>
                <w:iCs w:val="0"/>
                <w:color w:val="000000"/>
                <w:kern w:val="0"/>
                <w:sz w:val="21"/>
                <w:szCs w:val="21"/>
                <w:u w:val="none"/>
                <w:lang w:val="en-US" w:eastAsia="zh-CN" w:bidi="ar"/>
              </w:rPr>
              <w:t>标配RS485/Modbus通讯协议，支持远程状态监测、数据上传、故障记录，可无缝对接机房动环监控系统，适配无人值守智能化运维场景。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7、设备外壳采用阻燃防腐材质，防尘防潮防锈，室内防护等级不低于IP54，核心触头采用银合金材质，耐电弧、抗老化、使用寿命长，适配机房恒温恒湿运行环境。</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8、具备完善保护功能，包含过载保护、短路保护、过温保护、欠压过压保护等多重防护，可有效规避设备故障引发的供电中断问题。</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w:t>
            </w:r>
            <w:r>
              <w:rPr>
                <w:rFonts w:hint="eastAsia" w:ascii="宋体" w:hAnsi="宋体" w:cs="宋体"/>
                <w:b/>
                <w:bCs/>
                <w:color w:val="auto"/>
                <w:sz w:val="21"/>
                <w:szCs w:val="21"/>
                <w:highlight w:val="none"/>
              </w:rPr>
              <w:t>▲</w:t>
            </w:r>
            <w:r>
              <w:rPr>
                <w:rFonts w:hint="eastAsia" w:ascii="宋体" w:hAnsi="宋体" w:eastAsia="宋体" w:cs="宋体"/>
                <w:i w:val="0"/>
                <w:iCs w:val="0"/>
                <w:color w:val="000000"/>
                <w:kern w:val="0"/>
                <w:sz w:val="21"/>
                <w:szCs w:val="21"/>
                <w:u w:val="none"/>
                <w:lang w:val="en-US" w:eastAsia="zh-CN" w:bidi="ar"/>
              </w:rPr>
              <w:t>在机房外部设置专用柴油发电机应急电源接入点，接入端子及接线区域采用防水、防尘、防溅水防护结构，防护等级不低于IP54，具备防水盖板与安全闭锁装置，支持室外移动式柴油发电机快速安全接入，适配雨天等恶劣环境应急供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10、设备具备3C强制认证、ISO9001质量体系认证，出厂附带全套合格证，资料齐全可查验。</w:t>
            </w:r>
          </w:p>
        </w:tc>
        <w:tc>
          <w:tcPr>
            <w:tcW w:w="704" w:type="pct"/>
            <w:vMerge w:val="continue"/>
            <w:tcBorders>
              <w:left w:val="nil"/>
              <w:bottom w:val="single" w:color="auto" w:sz="4" w:space="0"/>
              <w:right w:val="single" w:color="auto" w:sz="4" w:space="0"/>
            </w:tcBorders>
            <w:noWrap w:val="0"/>
            <w:vAlign w:val="center"/>
          </w:tcPr>
          <w:p w14:paraId="2AA51EFC">
            <w:pPr>
              <w:pStyle w:val="18"/>
              <w:keepNext w:val="0"/>
              <w:keepLines w:val="0"/>
              <w:suppressLineNumbers w:val="0"/>
              <w:spacing w:before="0" w:beforeAutospacing="0" w:after="0" w:afterAutospacing="0" w:line="400" w:lineRule="exact"/>
              <w:ind w:left="0" w:right="0"/>
              <w:jc w:val="left"/>
              <w:outlineLvl w:val="0"/>
              <w:rPr>
                <w:rFonts w:hint="default" w:ascii="宋体" w:hAnsi="Courier New" w:eastAsia="宋体" w:cs="Times New Roman"/>
                <w:highlight w:val="none"/>
              </w:rPr>
            </w:pPr>
          </w:p>
        </w:tc>
        <w:tc>
          <w:tcPr>
            <w:tcW w:w="776" w:type="pct"/>
            <w:vMerge w:val="continue"/>
            <w:tcBorders>
              <w:left w:val="nil"/>
              <w:bottom w:val="single" w:color="auto" w:sz="4" w:space="0"/>
              <w:right w:val="single" w:color="auto" w:sz="4" w:space="0"/>
            </w:tcBorders>
            <w:noWrap w:val="0"/>
            <w:vAlign w:val="center"/>
          </w:tcPr>
          <w:p w14:paraId="4EF3B112">
            <w:pPr>
              <w:pStyle w:val="18"/>
              <w:keepNext w:val="0"/>
              <w:keepLines w:val="0"/>
              <w:suppressLineNumbers w:val="0"/>
              <w:spacing w:before="0" w:beforeAutospacing="0" w:after="0" w:afterAutospacing="0" w:line="400" w:lineRule="exact"/>
              <w:ind w:left="0" w:right="0"/>
              <w:jc w:val="left"/>
              <w:outlineLvl w:val="0"/>
              <w:rPr>
                <w:rFonts w:hint="default" w:ascii="宋体" w:hAnsi="Courier New" w:eastAsia="宋体" w:cs="Times New Roman"/>
                <w:highlight w:val="none"/>
              </w:rPr>
            </w:pPr>
          </w:p>
        </w:tc>
      </w:tr>
      <w:tr w14:paraId="351870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47" w:hRule="atLeast"/>
          <w:jc w:val="center"/>
        </w:trPr>
        <w:tc>
          <w:tcPr>
            <w:tcW w:w="230" w:type="pct"/>
            <w:tcBorders>
              <w:top w:val="single" w:color="auto" w:sz="4" w:space="0"/>
              <w:left w:val="single" w:color="auto" w:sz="4" w:space="0"/>
              <w:bottom w:val="single" w:color="auto" w:sz="4" w:space="0"/>
              <w:right w:val="single" w:color="auto" w:sz="4" w:space="0"/>
            </w:tcBorders>
            <w:noWrap w:val="0"/>
            <w:vAlign w:val="center"/>
          </w:tcPr>
          <w:p w14:paraId="38EFF0E7">
            <w:pPr>
              <w:keepNext w:val="0"/>
              <w:keepLines w:val="0"/>
              <w:suppressLineNumbers w:val="0"/>
              <w:wordWrap w:val="0"/>
              <w:spacing w:before="0" w:beforeAutospacing="0" w:after="0" w:afterAutospacing="0" w:line="360" w:lineRule="auto"/>
              <w:ind w:left="0" w:right="0"/>
              <w:jc w:val="center"/>
              <w:rPr>
                <w:rFonts w:hint="eastAsia" w:ascii="宋体" w:hAnsi="宋体" w:cs="宋体"/>
                <w:b/>
                <w:bCs/>
                <w:szCs w:val="21"/>
                <w:highlight w:val="none"/>
              </w:rPr>
            </w:pPr>
            <w:r>
              <w:rPr>
                <w:rFonts w:hint="eastAsia" w:ascii="宋体" w:hAnsi="宋体" w:cs="宋体"/>
                <w:b/>
                <w:bCs/>
                <w:szCs w:val="21"/>
                <w:highlight w:val="none"/>
              </w:rPr>
              <w:t>商</w:t>
            </w:r>
          </w:p>
          <w:p w14:paraId="6605CA94">
            <w:pPr>
              <w:keepNext w:val="0"/>
              <w:keepLines w:val="0"/>
              <w:suppressLineNumbers w:val="0"/>
              <w:wordWrap w:val="0"/>
              <w:spacing w:before="0" w:beforeAutospacing="0" w:after="0" w:afterAutospacing="0" w:line="360" w:lineRule="auto"/>
              <w:ind w:left="0" w:right="0"/>
              <w:jc w:val="center"/>
              <w:rPr>
                <w:rFonts w:hint="eastAsia" w:ascii="宋体" w:hAnsi="宋体" w:cs="宋体"/>
                <w:b/>
                <w:bCs/>
                <w:szCs w:val="21"/>
                <w:highlight w:val="none"/>
              </w:rPr>
            </w:pPr>
            <w:r>
              <w:rPr>
                <w:rFonts w:hint="eastAsia" w:ascii="宋体" w:hAnsi="宋体" w:cs="宋体"/>
                <w:b/>
                <w:bCs/>
                <w:szCs w:val="21"/>
                <w:highlight w:val="none"/>
              </w:rPr>
              <w:t>务</w:t>
            </w:r>
          </w:p>
          <w:p w14:paraId="4177AE9A">
            <w:pPr>
              <w:keepNext w:val="0"/>
              <w:keepLines w:val="0"/>
              <w:suppressLineNumbers w:val="0"/>
              <w:wordWrap w:val="0"/>
              <w:spacing w:before="0" w:beforeAutospacing="0" w:after="0" w:afterAutospacing="0" w:line="360" w:lineRule="auto"/>
              <w:ind w:left="0" w:right="0"/>
              <w:jc w:val="center"/>
              <w:rPr>
                <w:rFonts w:hint="eastAsia" w:ascii="宋体" w:hAnsi="宋体" w:cs="宋体"/>
                <w:b/>
                <w:bCs/>
                <w:szCs w:val="21"/>
                <w:highlight w:val="none"/>
              </w:rPr>
            </w:pPr>
            <w:r>
              <w:rPr>
                <w:rFonts w:hint="eastAsia" w:ascii="宋体" w:hAnsi="宋体" w:cs="宋体"/>
                <w:b/>
                <w:bCs/>
                <w:szCs w:val="21"/>
                <w:highlight w:val="none"/>
              </w:rPr>
              <w:t>条</w:t>
            </w:r>
          </w:p>
          <w:p w14:paraId="03549203">
            <w:pPr>
              <w:keepNext w:val="0"/>
              <w:keepLines w:val="0"/>
              <w:suppressLineNumbers w:val="0"/>
              <w:wordWrap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b/>
                <w:bCs/>
                <w:szCs w:val="21"/>
                <w:highlight w:val="none"/>
              </w:rPr>
              <w:t>款</w:t>
            </w:r>
          </w:p>
        </w:tc>
        <w:tc>
          <w:tcPr>
            <w:tcW w:w="4769" w:type="pct"/>
            <w:gridSpan w:val="7"/>
            <w:tcBorders>
              <w:top w:val="single" w:color="auto" w:sz="4" w:space="0"/>
              <w:left w:val="nil"/>
              <w:bottom w:val="single" w:color="auto" w:sz="4" w:space="0"/>
              <w:right w:val="single" w:color="auto" w:sz="4" w:space="0"/>
            </w:tcBorders>
            <w:noWrap w:val="0"/>
            <w:vAlign w:val="center"/>
          </w:tcPr>
          <w:p w14:paraId="7E1AF2B8">
            <w:pPr>
              <w:keepNext w:val="0"/>
              <w:keepLines w:val="0"/>
              <w:widowControl/>
              <w:suppressLineNumbers w:val="0"/>
              <w:spacing w:before="0" w:beforeAutospacing="0" w:after="260" w:afterAutospacing="0"/>
              <w:ind w:left="0" w:right="0"/>
              <w:jc w:val="left"/>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一、合同签订期：自中标通知书发出之日起7个日历日内。</w:t>
            </w:r>
          </w:p>
          <w:p w14:paraId="51649309">
            <w:pPr>
              <w:keepNext w:val="0"/>
              <w:keepLines w:val="0"/>
              <w:widowControl/>
              <w:suppressLineNumbers w:val="0"/>
              <w:spacing w:before="0" w:beforeAutospacing="0" w:after="260" w:afterAutospacing="0"/>
              <w:ind w:left="0" w:right="0"/>
              <w:jc w:val="left"/>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▲二、提交服务成果时间：自合同签订之日起计算，10个日历日内开通所有线路，30个日历日内完成所有设备的安装调试。</w:t>
            </w:r>
          </w:p>
          <w:p w14:paraId="63ADAFC2">
            <w:pPr>
              <w:keepNext w:val="0"/>
              <w:keepLines w:val="0"/>
              <w:widowControl/>
              <w:suppressLineNumbers w:val="0"/>
              <w:spacing w:before="0" w:beforeAutospacing="0" w:after="260" w:afterAutospacing="0"/>
              <w:ind w:left="0" w:right="0"/>
              <w:jc w:val="left"/>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三、提交服务成果地点：采购人指定地点。</w:t>
            </w:r>
          </w:p>
          <w:p w14:paraId="558B0F24">
            <w:pPr>
              <w:keepNext w:val="0"/>
              <w:keepLines w:val="0"/>
              <w:widowControl/>
              <w:suppressLineNumbers w:val="0"/>
              <w:spacing w:before="0" w:beforeAutospacing="0" w:after="260" w:afterAutospacing="0"/>
              <w:ind w:left="0" w:right="0"/>
              <w:jc w:val="left"/>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▲四、合同期限：自本次采购全部线路及设备交付采购人使用之日起3年。</w:t>
            </w:r>
          </w:p>
          <w:p w14:paraId="39575FBA">
            <w:pPr>
              <w:keepNext w:val="0"/>
              <w:keepLines w:val="0"/>
              <w:widowControl/>
              <w:suppressLineNumbers w:val="0"/>
              <w:spacing w:before="0" w:beforeAutospacing="0" w:after="260" w:afterAutospacing="0"/>
              <w:ind w:left="0" w:right="0"/>
              <w:jc w:val="left"/>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▲五、售后服务要求：</w:t>
            </w:r>
          </w:p>
          <w:p w14:paraId="2353E36D">
            <w:pPr>
              <w:keepNext w:val="0"/>
              <w:keepLines w:val="0"/>
              <w:widowControl/>
              <w:suppressLineNumbers w:val="0"/>
              <w:spacing w:before="0" w:beforeAutospacing="0" w:after="260" w:afterAutospacing="0"/>
              <w:ind w:left="0" w:right="0"/>
              <w:jc w:val="left"/>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1.质量保证期:除了在技术参数及要求中对质量保修期另有规定的货物及服务外，其余货物及服务的质量保质期均为3年（自交货并验收合格之日起计)。</w:t>
            </w:r>
          </w:p>
          <w:p w14:paraId="136AD62E">
            <w:pPr>
              <w:keepNext w:val="0"/>
              <w:keepLines w:val="0"/>
              <w:widowControl/>
              <w:suppressLineNumbers w:val="0"/>
              <w:spacing w:before="0" w:beforeAutospacing="0" w:after="260" w:afterAutospacing="0"/>
              <w:ind w:left="0" w:right="0"/>
              <w:jc w:val="left"/>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2.免费送货上门，免费安装调试。</w:t>
            </w:r>
          </w:p>
          <w:p w14:paraId="28330015">
            <w:pPr>
              <w:keepNext w:val="0"/>
              <w:keepLines w:val="0"/>
              <w:widowControl/>
              <w:suppressLineNumbers w:val="0"/>
              <w:spacing w:before="0" w:beforeAutospacing="0" w:after="260" w:afterAutospacing="0"/>
              <w:ind w:left="0" w:right="0"/>
              <w:jc w:val="left"/>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供应商提供的所有产品必须是具备厂家合法渠道的全新的原装正品，设备按厂家承诺实行“三包”,质保期内成交人必须免费提供维修服务：必须提供7*24小时电话支持服务，保修期内设备出现故障，要求30分钟内做出响应，2个小时内赶往现场，8个小时内解决问题。8个小时内无法修复的，成交人必须提供同品牌备用设备及必要的零配件或备件进行替换，以免影响整套系统的正常运行。</w:t>
            </w:r>
          </w:p>
          <w:p w14:paraId="777BF0D4">
            <w:pPr>
              <w:keepNext w:val="0"/>
              <w:keepLines w:val="0"/>
              <w:widowControl/>
              <w:suppressLineNumbers w:val="0"/>
              <w:spacing w:before="0" w:beforeAutospacing="0" w:after="260" w:afterAutospacing="0"/>
              <w:ind w:left="0" w:right="0"/>
              <w:jc w:val="left"/>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4.免费提供完善的操作培训或技术培训方案,保证熟练掌握全部功能为止。</w:t>
            </w:r>
          </w:p>
          <w:p w14:paraId="0AFFBB7E">
            <w:pPr>
              <w:keepNext w:val="0"/>
              <w:keepLines w:val="0"/>
              <w:widowControl/>
              <w:suppressLineNumbers w:val="0"/>
              <w:spacing w:before="0" w:beforeAutospacing="0" w:after="260" w:afterAutospacing="0"/>
              <w:ind w:left="0" w:right="0"/>
              <w:jc w:val="left"/>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5.当用户网络需要扩展或升级时，负责免费提供相应解决方案。</w:t>
            </w:r>
          </w:p>
          <w:p w14:paraId="4B77A6E8">
            <w:pPr>
              <w:keepNext w:val="0"/>
              <w:keepLines w:val="0"/>
              <w:widowControl/>
              <w:suppressLineNumbers w:val="0"/>
              <w:spacing w:before="0" w:beforeAutospacing="0" w:after="260" w:afterAutospacing="0"/>
              <w:ind w:left="0" w:right="0"/>
              <w:jc w:val="left"/>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6.本服务项目配套部署的全部软硬件设备所有权归采购人，合同服务期满，供应商须在合同终止前 7 日内将完好无损的全部设备及全套技术资料无偿移交采购人，拆机、运输费用由供应商自理，双方签署移交清单确认。</w:t>
            </w:r>
          </w:p>
          <w:p w14:paraId="258585E4">
            <w:pPr>
              <w:keepNext w:val="0"/>
              <w:keepLines w:val="0"/>
              <w:widowControl/>
              <w:suppressLineNumbers w:val="0"/>
              <w:spacing w:before="0" w:beforeAutospacing="0" w:after="260" w:afterAutospacing="0"/>
              <w:ind w:left="0" w:right="0"/>
              <w:jc w:val="left"/>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▲六、其他要求：</w:t>
            </w:r>
          </w:p>
          <w:p w14:paraId="548C43F4">
            <w:pPr>
              <w:keepNext w:val="0"/>
              <w:keepLines w:val="0"/>
              <w:widowControl/>
              <w:suppressLineNumbers w:val="0"/>
              <w:spacing w:before="0" w:beforeAutospacing="0" w:after="260" w:afterAutospacing="0"/>
              <w:ind w:left="0" w:right="0"/>
              <w:jc w:val="left"/>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1.本项目为服务成果整体交付应用项目,按服务总价包干,为交钥匙工程,采购人不对项目达到成果水平的服务、货物、施工等一切内容追加支付费用，而由成交人在合同价内全部提供或解决，磋商报价为采购人指定</w:t>
            </w:r>
            <w:r>
              <w:rPr>
                <w:rFonts w:hint="eastAsia" w:ascii="宋体" w:hAnsi="宋体" w:cs="宋体"/>
                <w:i w:val="0"/>
                <w:iCs w:val="0"/>
                <w:color w:val="000000"/>
                <w:kern w:val="0"/>
                <w:sz w:val="21"/>
                <w:szCs w:val="21"/>
                <w:u w:val="none"/>
                <w:lang w:val="en-US" w:eastAsia="zh-CN" w:bidi="ar"/>
              </w:rPr>
              <w:t>地</w:t>
            </w:r>
            <w:r>
              <w:rPr>
                <w:rFonts w:hint="eastAsia" w:ascii="宋体" w:hAnsi="宋体" w:eastAsia="宋体" w:cs="宋体"/>
                <w:i w:val="0"/>
                <w:iCs w:val="0"/>
                <w:color w:val="000000"/>
                <w:kern w:val="0"/>
                <w:sz w:val="21"/>
                <w:szCs w:val="21"/>
                <w:u w:val="none"/>
                <w:lang w:val="en-US" w:eastAsia="zh-CN" w:bidi="ar"/>
              </w:rPr>
              <w:t>点的现场交付价，包括但不限于：</w:t>
            </w:r>
          </w:p>
          <w:p w14:paraId="3A9185F2">
            <w:pPr>
              <w:keepNext w:val="0"/>
              <w:keepLines w:val="0"/>
              <w:widowControl/>
              <w:suppressLineNumbers w:val="0"/>
              <w:spacing w:before="0" w:beforeAutospacing="0" w:after="260" w:afterAutospacing="0"/>
              <w:ind w:left="0" w:right="0"/>
              <w:jc w:val="left"/>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 服务的价格；</w:t>
            </w:r>
          </w:p>
          <w:p w14:paraId="48D98615">
            <w:pPr>
              <w:keepNext w:val="0"/>
              <w:keepLines w:val="0"/>
              <w:widowControl/>
              <w:suppressLineNumbers w:val="0"/>
              <w:spacing w:before="0" w:beforeAutospacing="0" w:after="260" w:afterAutospacing="0"/>
              <w:ind w:left="0" w:right="0"/>
              <w:jc w:val="left"/>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(2）相关标准附件、备品备件、专用工具的价格；</w:t>
            </w:r>
          </w:p>
          <w:p w14:paraId="2977C997">
            <w:pPr>
              <w:keepNext w:val="0"/>
              <w:keepLines w:val="0"/>
              <w:widowControl/>
              <w:suppressLineNumbers w:val="0"/>
              <w:spacing w:before="0" w:beforeAutospacing="0" w:after="260" w:afterAutospacing="0"/>
              <w:ind w:left="0" w:right="0"/>
              <w:jc w:val="left"/>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（3）运输、装卸、调试、培训、技术支持、售后服务等费用；</w:t>
            </w:r>
          </w:p>
          <w:p w14:paraId="131A1B75">
            <w:pPr>
              <w:keepNext w:val="0"/>
              <w:keepLines w:val="0"/>
              <w:widowControl/>
              <w:suppressLineNumbers w:val="0"/>
              <w:spacing w:before="0" w:beforeAutospacing="0" w:after="260" w:afterAutospacing="0"/>
              <w:ind w:left="0" w:right="0"/>
              <w:jc w:val="left"/>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（4）必要的保险费用和各项税费；</w:t>
            </w:r>
          </w:p>
          <w:p w14:paraId="5F2CEC15">
            <w:pPr>
              <w:keepNext w:val="0"/>
              <w:keepLines w:val="0"/>
              <w:widowControl/>
              <w:suppressLineNumbers w:val="0"/>
              <w:spacing w:before="0" w:beforeAutospacing="0" w:after="260" w:afterAutospacing="0"/>
              <w:ind w:left="0" w:right="0"/>
              <w:jc w:val="left"/>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(5)包括安装费用；</w:t>
            </w:r>
          </w:p>
          <w:p w14:paraId="611DF556">
            <w:pPr>
              <w:keepNext w:val="0"/>
              <w:keepLines w:val="0"/>
              <w:widowControl/>
              <w:suppressLineNumbers w:val="0"/>
              <w:spacing w:before="0" w:beforeAutospacing="0" w:after="260" w:afterAutospacing="0"/>
              <w:ind w:left="0" w:right="0"/>
              <w:jc w:val="left"/>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(6）验收的费用。</w:t>
            </w:r>
          </w:p>
          <w:p w14:paraId="339834D0">
            <w:pPr>
              <w:keepNext w:val="0"/>
              <w:keepLines w:val="0"/>
              <w:widowControl/>
              <w:suppressLineNumbers w:val="0"/>
              <w:spacing w:before="0" w:beforeAutospacing="0" w:after="260" w:afterAutospacing="0"/>
              <w:ind w:left="0" w:right="0"/>
              <w:jc w:val="left"/>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付款方式:合同签订后,10个工作日内采购人预付合同金额的30%给中标人(2026年)；2026-2027年支付情况：项目通过验收合格后15个工作日内采购人累计支付合同金额的2/3给中标人；2028年支付情况：剩余款项于2028年支付。(支付日期以财政拨款后15个工作日内）。</w:t>
            </w:r>
          </w:p>
          <w:p w14:paraId="0DC65666">
            <w:pPr>
              <w:keepNext w:val="0"/>
              <w:keepLines w:val="0"/>
              <w:widowControl/>
              <w:suppressLineNumbers w:val="0"/>
              <w:spacing w:before="0" w:beforeAutospacing="0" w:after="260" w:afterAutospacing="0"/>
              <w:ind w:left="0" w:right="0"/>
              <w:jc w:val="left"/>
              <w:textAlignment w:val="top"/>
              <w:rPr>
                <w:rFonts w:hint="eastAsia" w:ascii="Times New Roman" w:hAnsi="Times New Roman" w:eastAsia="宋体" w:cs="Times New Roman"/>
                <w:highlight w:val="none"/>
                <w:lang w:val="en-US" w:eastAsia="zh-CN"/>
              </w:rPr>
            </w:pPr>
            <w:r>
              <w:rPr>
                <w:rFonts w:hint="eastAsia" w:ascii="宋体" w:hAnsi="宋体" w:eastAsia="宋体" w:cs="宋体"/>
                <w:i w:val="0"/>
                <w:iCs w:val="0"/>
                <w:color w:val="000000"/>
                <w:kern w:val="0"/>
                <w:sz w:val="21"/>
                <w:szCs w:val="21"/>
                <w:u w:val="none"/>
                <w:lang w:val="en-US" w:eastAsia="zh-CN" w:bidi="ar"/>
              </w:rPr>
              <w:t>3.对合同条款的调整:由于成交人的原因，未能按合同规定的内容、时间及相关要求向采购人交付服务成果的，成交人承担违约责任，支付违约金。</w:t>
            </w:r>
          </w:p>
        </w:tc>
      </w:tr>
      <w:tr w14:paraId="485DA9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31" w:hRule="atLeast"/>
          <w:jc w:val="center"/>
        </w:trPr>
        <w:tc>
          <w:tcPr>
            <w:tcW w:w="230" w:type="pct"/>
            <w:tcBorders>
              <w:top w:val="single" w:color="auto" w:sz="4" w:space="0"/>
              <w:left w:val="single" w:color="auto" w:sz="4" w:space="0"/>
              <w:bottom w:val="single" w:color="auto" w:sz="4" w:space="0"/>
              <w:right w:val="single" w:color="auto" w:sz="4" w:space="0"/>
            </w:tcBorders>
            <w:noWrap w:val="0"/>
            <w:vAlign w:val="center"/>
          </w:tcPr>
          <w:p w14:paraId="7638B4EE">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szCs w:val="21"/>
                <w:highlight w:val="none"/>
              </w:rPr>
              <w:t>其他说明</w:t>
            </w:r>
          </w:p>
        </w:tc>
        <w:tc>
          <w:tcPr>
            <w:tcW w:w="4769" w:type="pct"/>
            <w:gridSpan w:val="7"/>
            <w:tcBorders>
              <w:top w:val="single" w:color="auto" w:sz="4" w:space="0"/>
              <w:left w:val="nil"/>
              <w:bottom w:val="single" w:color="auto" w:sz="4" w:space="0"/>
              <w:right w:val="single" w:color="auto" w:sz="4" w:space="0"/>
            </w:tcBorders>
            <w:noWrap w:val="0"/>
            <w:vAlign w:val="top"/>
          </w:tcPr>
          <w:p w14:paraId="2E1800CB">
            <w:pPr>
              <w:keepNext w:val="0"/>
              <w:keepLines w:val="0"/>
              <w:widowControl/>
              <w:suppressLineNumbers w:val="0"/>
              <w:shd w:val="clear" w:color="auto" w:fill="FFFFFF"/>
              <w:spacing w:before="0" w:beforeAutospacing="0" w:after="0" w:afterAutospacing="0" w:line="360" w:lineRule="auto"/>
              <w:ind w:left="0" w:right="0"/>
              <w:rPr>
                <w:rFonts w:hint="eastAsia" w:ascii="宋体" w:hAnsi="宋体" w:cs="Times New Roman"/>
                <w:highlight w:val="none"/>
              </w:rPr>
            </w:pPr>
            <w:r>
              <w:rPr>
                <w:rFonts w:hint="eastAsia" w:ascii="宋体" w:hAnsi="宋体" w:cs="Times New Roman"/>
                <w:highlight w:val="none"/>
              </w:rPr>
              <w:t>一、进口产品说明:本项目为服务类项目无要求。</w:t>
            </w:r>
          </w:p>
          <w:p w14:paraId="2EEC7DC4">
            <w:pPr>
              <w:keepNext w:val="0"/>
              <w:keepLines w:val="0"/>
              <w:widowControl/>
              <w:suppressLineNumbers w:val="0"/>
              <w:shd w:val="clear" w:color="auto" w:fill="FFFFFF"/>
              <w:spacing w:before="0" w:beforeAutospacing="0" w:after="0" w:afterAutospacing="0" w:line="360" w:lineRule="auto"/>
              <w:ind w:left="0" w:right="0"/>
              <w:rPr>
                <w:rFonts w:hint="eastAsia" w:ascii="宋体" w:hAnsi="宋体" w:cs="Times New Roman"/>
                <w:highlight w:val="none"/>
              </w:rPr>
            </w:pPr>
            <w:r>
              <w:rPr>
                <w:rFonts w:hint="eastAsia" w:ascii="宋体" w:hAnsi="宋体" w:cs="Times New Roman"/>
                <w:highlight w:val="none"/>
              </w:rPr>
              <w:t>二、核心产品：本项目为服务采购项目，无核心产品。</w:t>
            </w:r>
          </w:p>
          <w:p w14:paraId="7F689B5B">
            <w:pPr>
              <w:keepNext w:val="0"/>
              <w:keepLines w:val="0"/>
              <w:widowControl/>
              <w:suppressLineNumbers w:val="0"/>
              <w:shd w:val="clear" w:color="auto" w:fill="FFFFFF"/>
              <w:spacing w:before="0" w:beforeAutospacing="0" w:after="0" w:afterAutospacing="0" w:line="360" w:lineRule="auto"/>
              <w:ind w:left="0" w:right="0"/>
              <w:rPr>
                <w:rFonts w:hint="eastAsia" w:ascii="宋体" w:hAnsi="宋体" w:cs="Times New Roman"/>
                <w:highlight w:val="none"/>
              </w:rPr>
            </w:pPr>
            <w:r>
              <w:rPr>
                <w:rFonts w:hint="eastAsia" w:ascii="宋体" w:hAnsi="宋体" w:cs="Times New Roman"/>
                <w:highlight w:val="none"/>
              </w:rPr>
              <w:t>三、其他：本项目采购标的需执行国家相关标准、行业标准、地方标准或其他强制性标准、规范等要求。</w:t>
            </w:r>
          </w:p>
        </w:tc>
      </w:tr>
    </w:tbl>
    <w:p w14:paraId="051CBCC8">
      <w:pPr>
        <w:spacing w:line="320" w:lineRule="exact"/>
        <w:rPr>
          <w:rFonts w:ascii="宋体" w:hAnsi="宋体"/>
          <w:color w:val="auto"/>
          <w:highlight w:val="none"/>
        </w:rPr>
      </w:pPr>
    </w:p>
    <w:p w14:paraId="7547F695">
      <w:pPr>
        <w:jc w:val="left"/>
        <w:rPr>
          <w:rFonts w:hint="default"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rPr>
        <w:t>附表</w:t>
      </w:r>
      <w:r>
        <w:rPr>
          <w:rFonts w:hint="eastAsia" w:ascii="宋体" w:hAnsi="宋体" w:eastAsia="宋体" w:cs="宋体"/>
          <w:b/>
          <w:bCs/>
          <w:color w:val="auto"/>
          <w:sz w:val="21"/>
          <w:szCs w:val="21"/>
          <w:highlight w:val="none"/>
          <w:lang w:val="en-US" w:eastAsia="zh-CN"/>
        </w:rPr>
        <w:t>1</w:t>
      </w:r>
      <w:r>
        <w:rPr>
          <w:rFonts w:hint="eastAsia" w:ascii="宋体" w:hAnsi="宋体" w:eastAsia="宋体" w:cs="宋体"/>
          <w:b/>
          <w:bCs/>
          <w:color w:val="auto"/>
          <w:sz w:val="21"/>
          <w:szCs w:val="21"/>
          <w:highlight w:val="none"/>
        </w:rPr>
        <w:t>：数据专线点位清单</w:t>
      </w:r>
      <w:r>
        <w:rPr>
          <w:rFonts w:hint="eastAsia" w:ascii="宋体" w:hAnsi="宋体" w:cs="宋体"/>
          <w:b/>
          <w:bCs/>
          <w:color w:val="auto"/>
          <w:sz w:val="21"/>
          <w:szCs w:val="21"/>
          <w:highlight w:val="none"/>
          <w:lang w:val="en-US" w:eastAsia="zh-CN"/>
        </w:rPr>
        <w:t>接入点及速率清单</w:t>
      </w:r>
    </w:p>
    <w:tbl>
      <w:tblPr>
        <w:tblStyle w:val="30"/>
        <w:tblW w:w="100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29"/>
        <w:gridCol w:w="1964"/>
        <w:gridCol w:w="941"/>
        <w:gridCol w:w="2659"/>
        <w:gridCol w:w="3588"/>
      </w:tblGrid>
      <w:tr w14:paraId="24C3E6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8084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333333"/>
                <w:kern w:val="0"/>
                <w:sz w:val="21"/>
                <w:szCs w:val="21"/>
                <w:u w:val="none"/>
                <w:lang w:val="en-US" w:eastAsia="zh-CN" w:bidi="ar"/>
              </w:rPr>
            </w:pPr>
            <w:r>
              <w:rPr>
                <w:rFonts w:hint="eastAsia" w:ascii="宋体" w:hAnsi="宋体" w:cs="宋体"/>
                <w:b/>
                <w:bCs/>
                <w:i w:val="0"/>
                <w:iCs w:val="0"/>
                <w:color w:val="333333"/>
                <w:kern w:val="0"/>
                <w:sz w:val="21"/>
                <w:szCs w:val="21"/>
                <w:u w:val="none"/>
                <w:lang w:val="en-US" w:eastAsia="zh-CN" w:bidi="ar"/>
              </w:rPr>
              <w:t>序号</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DDB3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333333"/>
                <w:kern w:val="0"/>
                <w:sz w:val="21"/>
                <w:szCs w:val="21"/>
                <w:u w:val="none"/>
                <w:lang w:val="en-US" w:eastAsia="zh-CN" w:bidi="ar"/>
              </w:rPr>
            </w:pPr>
            <w:r>
              <w:rPr>
                <w:rFonts w:hint="eastAsia" w:ascii="宋体" w:hAnsi="宋体" w:cs="宋体"/>
                <w:b/>
                <w:bCs/>
                <w:i w:val="0"/>
                <w:iCs w:val="0"/>
                <w:color w:val="333333"/>
                <w:kern w:val="0"/>
                <w:sz w:val="21"/>
                <w:szCs w:val="21"/>
                <w:u w:val="none"/>
                <w:lang w:val="en-US" w:eastAsia="zh-CN" w:bidi="ar"/>
              </w:rPr>
              <w:t>线路类型</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E396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333333"/>
                <w:kern w:val="0"/>
                <w:sz w:val="21"/>
                <w:szCs w:val="21"/>
                <w:u w:val="none"/>
                <w:lang w:val="en-US" w:eastAsia="zh-CN" w:bidi="ar"/>
              </w:rPr>
            </w:pPr>
            <w:r>
              <w:rPr>
                <w:rFonts w:hint="eastAsia" w:ascii="宋体" w:hAnsi="宋体" w:cs="宋体"/>
                <w:b/>
                <w:bCs/>
                <w:i w:val="0"/>
                <w:iCs w:val="0"/>
                <w:color w:val="333333"/>
                <w:kern w:val="0"/>
                <w:sz w:val="21"/>
                <w:szCs w:val="21"/>
                <w:u w:val="none"/>
                <w:lang w:val="en-US" w:eastAsia="zh-CN" w:bidi="ar"/>
              </w:rPr>
              <w:t>速率（M）</w:t>
            </w:r>
          </w:p>
        </w:tc>
        <w:tc>
          <w:tcPr>
            <w:tcW w:w="2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7023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bCs/>
                <w:i w:val="0"/>
                <w:iCs w:val="0"/>
                <w:color w:val="333333"/>
                <w:kern w:val="0"/>
                <w:sz w:val="21"/>
                <w:szCs w:val="21"/>
                <w:u w:val="none"/>
                <w:lang w:val="en-US" w:eastAsia="zh-CN" w:bidi="ar"/>
              </w:rPr>
            </w:pPr>
            <w:r>
              <w:rPr>
                <w:rFonts w:hint="eastAsia" w:ascii="宋体" w:hAnsi="宋体" w:cs="宋体"/>
                <w:b/>
                <w:bCs/>
                <w:i w:val="0"/>
                <w:iCs w:val="0"/>
                <w:color w:val="333333"/>
                <w:kern w:val="0"/>
                <w:sz w:val="21"/>
                <w:szCs w:val="21"/>
                <w:u w:val="none"/>
                <w:lang w:val="en-US" w:eastAsia="zh-CN" w:bidi="ar"/>
              </w:rPr>
              <w:t>使用单位名称</w:t>
            </w:r>
          </w:p>
        </w:tc>
        <w:tc>
          <w:tcPr>
            <w:tcW w:w="3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5A93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333333"/>
                <w:kern w:val="0"/>
                <w:sz w:val="21"/>
                <w:szCs w:val="21"/>
                <w:u w:val="none"/>
                <w:lang w:val="en-US" w:eastAsia="zh-CN" w:bidi="ar"/>
              </w:rPr>
            </w:pPr>
            <w:r>
              <w:rPr>
                <w:rFonts w:hint="eastAsia" w:ascii="宋体" w:hAnsi="宋体" w:cs="宋体"/>
                <w:b/>
                <w:bCs/>
                <w:i w:val="0"/>
                <w:iCs w:val="0"/>
                <w:color w:val="333333"/>
                <w:kern w:val="0"/>
                <w:sz w:val="21"/>
                <w:szCs w:val="21"/>
                <w:u w:val="none"/>
                <w:lang w:val="en-US" w:eastAsia="zh-CN" w:bidi="ar"/>
              </w:rPr>
              <w:t>使用单位地址</w:t>
            </w:r>
          </w:p>
        </w:tc>
      </w:tr>
      <w:tr w14:paraId="23EBC8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7311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1</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77EF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互联网出口</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E0D4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2000</w:t>
            </w:r>
          </w:p>
        </w:tc>
        <w:tc>
          <w:tcPr>
            <w:tcW w:w="2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C00B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政府办公大楼</w:t>
            </w:r>
          </w:p>
        </w:tc>
        <w:tc>
          <w:tcPr>
            <w:tcW w:w="3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2E14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隆安县城厢镇广场路8号</w:t>
            </w:r>
          </w:p>
        </w:tc>
      </w:tr>
      <w:tr w14:paraId="3FF8D7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156C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2</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A753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光纤点到点线路</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764D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300</w:t>
            </w:r>
          </w:p>
        </w:tc>
        <w:tc>
          <w:tcPr>
            <w:tcW w:w="2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DAE9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隆安县市场监督管理局</w:t>
            </w:r>
          </w:p>
        </w:tc>
        <w:tc>
          <w:tcPr>
            <w:tcW w:w="3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1CD2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隆安县城厢镇蝶城路748号</w:t>
            </w:r>
          </w:p>
        </w:tc>
      </w:tr>
      <w:tr w14:paraId="4546AE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0A21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3</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4EF7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光纤点到点线路</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8C8C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300</w:t>
            </w:r>
          </w:p>
        </w:tc>
        <w:tc>
          <w:tcPr>
            <w:tcW w:w="2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E2E3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隆安县农业农村局</w:t>
            </w:r>
          </w:p>
        </w:tc>
        <w:tc>
          <w:tcPr>
            <w:tcW w:w="3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C966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隆安县城厢镇国泰街复兴巷38号</w:t>
            </w:r>
          </w:p>
        </w:tc>
      </w:tr>
      <w:tr w14:paraId="60C12B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2F66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4</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A8FD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光纤点到点线路</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0BFD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300</w:t>
            </w:r>
          </w:p>
        </w:tc>
        <w:tc>
          <w:tcPr>
            <w:tcW w:w="2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EE0B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隆安县数据局</w:t>
            </w:r>
          </w:p>
        </w:tc>
        <w:tc>
          <w:tcPr>
            <w:tcW w:w="3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0E6B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隆安县蝶城路201号</w:t>
            </w:r>
          </w:p>
        </w:tc>
      </w:tr>
      <w:tr w14:paraId="566795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1DA2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5</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B511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光纤点到点线路</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FBFA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300</w:t>
            </w:r>
          </w:p>
        </w:tc>
        <w:tc>
          <w:tcPr>
            <w:tcW w:w="2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1E7D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隆安县公共资源交易中心</w:t>
            </w:r>
          </w:p>
        </w:tc>
        <w:tc>
          <w:tcPr>
            <w:tcW w:w="3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F78E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隆安县城厢镇城南路14号</w:t>
            </w:r>
          </w:p>
        </w:tc>
      </w:tr>
      <w:tr w14:paraId="0C22B4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4C61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6</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68D6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光纤点到点线路</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E5C1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300</w:t>
            </w:r>
          </w:p>
        </w:tc>
        <w:tc>
          <w:tcPr>
            <w:tcW w:w="2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8252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隆安县政务服务中心</w:t>
            </w:r>
          </w:p>
        </w:tc>
        <w:tc>
          <w:tcPr>
            <w:tcW w:w="3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EB91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隆安县蝶城路201号</w:t>
            </w:r>
          </w:p>
        </w:tc>
      </w:tr>
      <w:tr w14:paraId="6EA857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3D28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7</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352B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光纤点到点线路</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1042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100</w:t>
            </w:r>
          </w:p>
        </w:tc>
        <w:tc>
          <w:tcPr>
            <w:tcW w:w="2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FFF3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隆安县司法局</w:t>
            </w:r>
          </w:p>
        </w:tc>
        <w:tc>
          <w:tcPr>
            <w:tcW w:w="3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8EDE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隆安县城厢镇宝塔大道12号</w:t>
            </w:r>
          </w:p>
        </w:tc>
      </w:tr>
      <w:tr w14:paraId="692D4F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7D15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8</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2C9F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光纤点到点线路</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C0CA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100</w:t>
            </w:r>
          </w:p>
        </w:tc>
        <w:tc>
          <w:tcPr>
            <w:tcW w:w="2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CF79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隆安县住房和城乡规划建设局</w:t>
            </w:r>
          </w:p>
        </w:tc>
        <w:tc>
          <w:tcPr>
            <w:tcW w:w="3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496F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隆安县城厢镇蝶城路383号</w:t>
            </w:r>
          </w:p>
        </w:tc>
      </w:tr>
      <w:tr w14:paraId="5EAD82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BB38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9</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3527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光纤点到点线路</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0E57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100</w:t>
            </w:r>
          </w:p>
        </w:tc>
        <w:tc>
          <w:tcPr>
            <w:tcW w:w="2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428F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隆安县卫生健康局</w:t>
            </w:r>
          </w:p>
        </w:tc>
        <w:tc>
          <w:tcPr>
            <w:tcW w:w="3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A601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隆安县城厢镇蝶城路403号</w:t>
            </w:r>
          </w:p>
        </w:tc>
      </w:tr>
      <w:tr w14:paraId="2A0A28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B830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10</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5839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光纤点到点线路</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F07A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100</w:t>
            </w:r>
          </w:p>
        </w:tc>
        <w:tc>
          <w:tcPr>
            <w:tcW w:w="2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DDDD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隆安县人力资源和社会保障局</w:t>
            </w:r>
          </w:p>
        </w:tc>
        <w:tc>
          <w:tcPr>
            <w:tcW w:w="3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7187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隆安县城厢镇城南路14号</w:t>
            </w:r>
          </w:p>
        </w:tc>
      </w:tr>
      <w:tr w14:paraId="1D4C20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E1DF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11</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43E3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光纤点到点线路</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A0AF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100</w:t>
            </w:r>
          </w:p>
        </w:tc>
        <w:tc>
          <w:tcPr>
            <w:tcW w:w="2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94C2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隆安县林业局</w:t>
            </w:r>
          </w:p>
        </w:tc>
        <w:tc>
          <w:tcPr>
            <w:tcW w:w="3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1D75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隆安县城厢镇蝶城路545-1号</w:t>
            </w:r>
          </w:p>
        </w:tc>
      </w:tr>
      <w:tr w14:paraId="77E715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3E29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12</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A59E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光纤点到点线路</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CFA1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100</w:t>
            </w:r>
          </w:p>
        </w:tc>
        <w:tc>
          <w:tcPr>
            <w:tcW w:w="2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E021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隆安县自然资源局</w:t>
            </w:r>
          </w:p>
        </w:tc>
        <w:tc>
          <w:tcPr>
            <w:tcW w:w="3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F688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隆安县城厢镇蝶城路456号</w:t>
            </w:r>
          </w:p>
        </w:tc>
      </w:tr>
      <w:tr w14:paraId="77FE70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1149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13</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BCD2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光纤点到点线路</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7C50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100</w:t>
            </w:r>
          </w:p>
        </w:tc>
        <w:tc>
          <w:tcPr>
            <w:tcW w:w="2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CDFE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隆安县水利局</w:t>
            </w:r>
          </w:p>
        </w:tc>
        <w:tc>
          <w:tcPr>
            <w:tcW w:w="3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EE4D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隆安县城厢镇蝶城路405号</w:t>
            </w:r>
          </w:p>
        </w:tc>
      </w:tr>
      <w:tr w14:paraId="29E91F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2BD9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14</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6F7D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光纤点到点线路</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A94F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100</w:t>
            </w:r>
          </w:p>
        </w:tc>
        <w:tc>
          <w:tcPr>
            <w:tcW w:w="2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247A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隆安县生态环境局</w:t>
            </w:r>
          </w:p>
        </w:tc>
        <w:tc>
          <w:tcPr>
            <w:tcW w:w="3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4D30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隆安县城厢镇文塔路91号</w:t>
            </w:r>
          </w:p>
        </w:tc>
      </w:tr>
      <w:tr w14:paraId="2018AD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1E6B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15</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2AEC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光纤点到点线路</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361A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100</w:t>
            </w:r>
          </w:p>
        </w:tc>
        <w:tc>
          <w:tcPr>
            <w:tcW w:w="2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F188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隆安县教育局</w:t>
            </w:r>
          </w:p>
        </w:tc>
        <w:tc>
          <w:tcPr>
            <w:tcW w:w="3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8CB5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隆安县城厢镇江滨路22号</w:t>
            </w:r>
          </w:p>
        </w:tc>
      </w:tr>
      <w:tr w14:paraId="025104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21CF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16</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4179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光纤点到点线路</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04A4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100</w:t>
            </w:r>
          </w:p>
        </w:tc>
        <w:tc>
          <w:tcPr>
            <w:tcW w:w="2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7B32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隆安县公安局</w:t>
            </w:r>
          </w:p>
        </w:tc>
        <w:tc>
          <w:tcPr>
            <w:tcW w:w="3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882F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隆安县城厢镇城南路6号</w:t>
            </w:r>
          </w:p>
        </w:tc>
      </w:tr>
      <w:tr w14:paraId="6B8990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E593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17</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7219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光纤点到点线路</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7EA4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100</w:t>
            </w:r>
          </w:p>
        </w:tc>
        <w:tc>
          <w:tcPr>
            <w:tcW w:w="2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238A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隆安县中共隆安县纪委监委</w:t>
            </w:r>
          </w:p>
        </w:tc>
        <w:tc>
          <w:tcPr>
            <w:tcW w:w="3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749F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隆安县文塔路65号</w:t>
            </w:r>
          </w:p>
        </w:tc>
      </w:tr>
      <w:tr w14:paraId="36CA70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CE20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18</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2DC9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光纤点到点线路</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183F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100</w:t>
            </w:r>
          </w:p>
        </w:tc>
        <w:tc>
          <w:tcPr>
            <w:tcW w:w="2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BBEA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隆安县人民检察院</w:t>
            </w:r>
          </w:p>
        </w:tc>
        <w:tc>
          <w:tcPr>
            <w:tcW w:w="3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117B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隆安县城厢镇文塔路137-2号</w:t>
            </w:r>
          </w:p>
        </w:tc>
      </w:tr>
      <w:tr w14:paraId="35BE56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2B7A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19</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C597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光纤点到点线路</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63B6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100</w:t>
            </w:r>
          </w:p>
        </w:tc>
        <w:tc>
          <w:tcPr>
            <w:tcW w:w="2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0ED5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隆安县人民法院</w:t>
            </w:r>
          </w:p>
        </w:tc>
        <w:tc>
          <w:tcPr>
            <w:tcW w:w="3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0E20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隆安县宝塔大道8号</w:t>
            </w:r>
          </w:p>
        </w:tc>
      </w:tr>
      <w:tr w14:paraId="4EC0EA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8110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20</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ED07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光纤点到点线路</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FEDC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100</w:t>
            </w:r>
          </w:p>
        </w:tc>
        <w:tc>
          <w:tcPr>
            <w:tcW w:w="2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C789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隆安县粮食与物资储备局</w:t>
            </w:r>
          </w:p>
        </w:tc>
        <w:tc>
          <w:tcPr>
            <w:tcW w:w="3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D6B0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隆安县民安街52号</w:t>
            </w:r>
          </w:p>
        </w:tc>
      </w:tr>
      <w:tr w14:paraId="644074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435F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21</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D7D5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光纤点到点线路</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9712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100</w:t>
            </w:r>
          </w:p>
        </w:tc>
        <w:tc>
          <w:tcPr>
            <w:tcW w:w="2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170C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隆安县民政局</w:t>
            </w:r>
          </w:p>
        </w:tc>
        <w:tc>
          <w:tcPr>
            <w:tcW w:w="3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86CE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隆安县城厢镇兴隆路11号</w:t>
            </w:r>
          </w:p>
        </w:tc>
      </w:tr>
      <w:tr w14:paraId="145372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362C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22</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0A7E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光纤点到点线路</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DE58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100</w:t>
            </w:r>
          </w:p>
        </w:tc>
        <w:tc>
          <w:tcPr>
            <w:tcW w:w="2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4626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隆安县退役军人事务局(红十字会)</w:t>
            </w:r>
          </w:p>
        </w:tc>
        <w:tc>
          <w:tcPr>
            <w:tcW w:w="3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7A06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隆安县仁和街40号</w:t>
            </w:r>
          </w:p>
        </w:tc>
      </w:tr>
      <w:tr w14:paraId="25053B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44FB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23</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8783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光纤点到点线路</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25D2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100</w:t>
            </w:r>
          </w:p>
        </w:tc>
        <w:tc>
          <w:tcPr>
            <w:tcW w:w="2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D4E8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隆安县文化广电体育和旅游局</w:t>
            </w:r>
          </w:p>
        </w:tc>
        <w:tc>
          <w:tcPr>
            <w:tcW w:w="3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BAC6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隆安县城厢镇宝塔大道9号</w:t>
            </w:r>
          </w:p>
        </w:tc>
      </w:tr>
      <w:tr w14:paraId="352F41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AA1A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24</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04B0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光纤点到点线路</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E8BE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100</w:t>
            </w:r>
          </w:p>
        </w:tc>
        <w:tc>
          <w:tcPr>
            <w:tcW w:w="2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20D3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隆安县交通运输局</w:t>
            </w:r>
          </w:p>
        </w:tc>
        <w:tc>
          <w:tcPr>
            <w:tcW w:w="3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27CB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隆安县城厢镇榕华街3号</w:t>
            </w:r>
          </w:p>
        </w:tc>
      </w:tr>
      <w:tr w14:paraId="0F6F56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7F8B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25</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8E60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光纤点到点线路</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9512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100</w:t>
            </w:r>
          </w:p>
        </w:tc>
        <w:tc>
          <w:tcPr>
            <w:tcW w:w="2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E2C1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隆安县城厢镇人民政府</w:t>
            </w:r>
          </w:p>
        </w:tc>
        <w:tc>
          <w:tcPr>
            <w:tcW w:w="3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FE60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隆安县城厢镇文胜街88号</w:t>
            </w:r>
          </w:p>
        </w:tc>
      </w:tr>
      <w:tr w14:paraId="221A9B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28C7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26</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7721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光纤点到点线路</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2AFE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100</w:t>
            </w:r>
          </w:p>
        </w:tc>
        <w:tc>
          <w:tcPr>
            <w:tcW w:w="2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D3DB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隆安县南圩镇人民政府</w:t>
            </w:r>
          </w:p>
        </w:tc>
        <w:tc>
          <w:tcPr>
            <w:tcW w:w="3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6223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隆安县南圩镇新宁街101号</w:t>
            </w:r>
          </w:p>
        </w:tc>
      </w:tr>
      <w:tr w14:paraId="68620B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7669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27</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D6FA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光纤点到点线路</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61DA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100</w:t>
            </w:r>
          </w:p>
        </w:tc>
        <w:tc>
          <w:tcPr>
            <w:tcW w:w="2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EBB4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隆安县那桐镇人民政府</w:t>
            </w:r>
          </w:p>
        </w:tc>
        <w:tc>
          <w:tcPr>
            <w:tcW w:w="3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242D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隆安县那桐镇古龙街19号</w:t>
            </w:r>
          </w:p>
        </w:tc>
      </w:tr>
      <w:tr w14:paraId="1BBD74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886C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28</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7B5A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光纤点到点线路</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A88B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100</w:t>
            </w:r>
          </w:p>
        </w:tc>
        <w:tc>
          <w:tcPr>
            <w:tcW w:w="2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E729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隆安县乔建镇人民政府</w:t>
            </w:r>
          </w:p>
        </w:tc>
        <w:tc>
          <w:tcPr>
            <w:tcW w:w="3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B845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隆安县乔建镇环城街168号</w:t>
            </w:r>
          </w:p>
        </w:tc>
      </w:tr>
      <w:tr w14:paraId="5F965C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6245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29</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8365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光纤点到点线路</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FF97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100</w:t>
            </w:r>
          </w:p>
        </w:tc>
        <w:tc>
          <w:tcPr>
            <w:tcW w:w="2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551B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隆安县古潭乡人民政府</w:t>
            </w:r>
          </w:p>
        </w:tc>
        <w:tc>
          <w:tcPr>
            <w:tcW w:w="3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9745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隆安县古潭乡水果街17号</w:t>
            </w:r>
          </w:p>
        </w:tc>
      </w:tr>
      <w:tr w14:paraId="4FCBB8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0B82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30</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20F2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光纤点到点线路</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612A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100</w:t>
            </w:r>
          </w:p>
        </w:tc>
        <w:tc>
          <w:tcPr>
            <w:tcW w:w="2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DE3A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隆安县屏山乡人民政府</w:t>
            </w:r>
          </w:p>
        </w:tc>
        <w:tc>
          <w:tcPr>
            <w:tcW w:w="3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450A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隆安县屏山乡屏山街50号</w:t>
            </w:r>
          </w:p>
        </w:tc>
      </w:tr>
      <w:tr w14:paraId="33E722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980E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31</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2822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光纤点到点线路</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265C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100</w:t>
            </w:r>
          </w:p>
        </w:tc>
        <w:tc>
          <w:tcPr>
            <w:tcW w:w="2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4C2B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隆安县都结乡人民政府</w:t>
            </w:r>
          </w:p>
        </w:tc>
        <w:tc>
          <w:tcPr>
            <w:tcW w:w="3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CF8A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隆安县都结乡都结街255号</w:t>
            </w:r>
          </w:p>
        </w:tc>
      </w:tr>
      <w:tr w14:paraId="2E1BC4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B493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32</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1A04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光纤点到点线路</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6996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100</w:t>
            </w:r>
          </w:p>
        </w:tc>
        <w:tc>
          <w:tcPr>
            <w:tcW w:w="2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AD8D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隆安县雁江镇人民政府</w:t>
            </w:r>
          </w:p>
        </w:tc>
        <w:tc>
          <w:tcPr>
            <w:tcW w:w="3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A8F7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隆安县雁江镇富兴街196号</w:t>
            </w:r>
          </w:p>
        </w:tc>
      </w:tr>
      <w:tr w14:paraId="6A1054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9327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33</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3364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光纤点到点线路</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3A88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100</w:t>
            </w:r>
          </w:p>
        </w:tc>
        <w:tc>
          <w:tcPr>
            <w:tcW w:w="2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AE3A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隆安县丁当镇人民政府</w:t>
            </w:r>
          </w:p>
        </w:tc>
        <w:tc>
          <w:tcPr>
            <w:tcW w:w="3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9D6C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隆安县丁当镇朝阳街24号</w:t>
            </w:r>
          </w:p>
        </w:tc>
      </w:tr>
      <w:tr w14:paraId="75D6E9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8CAB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34</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CA2D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光纤点到点线路</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9488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100</w:t>
            </w:r>
          </w:p>
        </w:tc>
        <w:tc>
          <w:tcPr>
            <w:tcW w:w="2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F9D6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隆安县布泉乡人民政府</w:t>
            </w:r>
          </w:p>
        </w:tc>
        <w:tc>
          <w:tcPr>
            <w:tcW w:w="3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16D4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隆安县布泉乡正街128号</w:t>
            </w:r>
          </w:p>
        </w:tc>
      </w:tr>
      <w:tr w14:paraId="15CC7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1160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35</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7756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光纤点到点线路</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A437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100</w:t>
            </w:r>
          </w:p>
        </w:tc>
        <w:tc>
          <w:tcPr>
            <w:tcW w:w="2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45C1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隆安县隆安华侨管理区管理委员会</w:t>
            </w:r>
          </w:p>
        </w:tc>
        <w:tc>
          <w:tcPr>
            <w:tcW w:w="3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B42F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隆安县华侨管理区龙华路1号</w:t>
            </w:r>
          </w:p>
        </w:tc>
      </w:tr>
      <w:tr w14:paraId="0AE3EE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9094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36</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AC53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光纤点到点线路</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39E2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100</w:t>
            </w:r>
          </w:p>
        </w:tc>
        <w:tc>
          <w:tcPr>
            <w:tcW w:w="2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0420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隆安县总工会</w:t>
            </w:r>
          </w:p>
        </w:tc>
        <w:tc>
          <w:tcPr>
            <w:tcW w:w="3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4B2A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隆安县城厢镇民安街61号</w:t>
            </w:r>
          </w:p>
        </w:tc>
      </w:tr>
      <w:tr w14:paraId="0B42BA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3ECA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37</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D2C7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光纤点到点线路</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A963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100</w:t>
            </w:r>
          </w:p>
        </w:tc>
        <w:tc>
          <w:tcPr>
            <w:tcW w:w="2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D7C7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隆安公路管理局</w:t>
            </w:r>
          </w:p>
        </w:tc>
        <w:tc>
          <w:tcPr>
            <w:tcW w:w="3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12BD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隆安县城厢镇城南路3号</w:t>
            </w:r>
          </w:p>
        </w:tc>
      </w:tr>
      <w:tr w14:paraId="20822D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C57A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38</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CB80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光纤点到点线路</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62BA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100</w:t>
            </w:r>
          </w:p>
        </w:tc>
        <w:tc>
          <w:tcPr>
            <w:tcW w:w="2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01A9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隆安县残疾人联合会</w:t>
            </w:r>
          </w:p>
        </w:tc>
        <w:tc>
          <w:tcPr>
            <w:tcW w:w="3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6665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隆安县城厢镇拱阁街67号</w:t>
            </w:r>
          </w:p>
        </w:tc>
      </w:tr>
      <w:tr w14:paraId="7A4803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30DD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39</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717B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光纤点到点线路</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02E2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100</w:t>
            </w:r>
          </w:p>
        </w:tc>
        <w:tc>
          <w:tcPr>
            <w:tcW w:w="2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966F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隆安县集中安置区建设服务中心</w:t>
            </w:r>
          </w:p>
        </w:tc>
        <w:tc>
          <w:tcPr>
            <w:tcW w:w="3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56BC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隆安县扶贫生态移民建设指挥部</w:t>
            </w:r>
          </w:p>
        </w:tc>
      </w:tr>
      <w:tr w14:paraId="19BB9A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9C65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40</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165C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光纤点到点线路</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660E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100</w:t>
            </w:r>
          </w:p>
        </w:tc>
        <w:tc>
          <w:tcPr>
            <w:tcW w:w="2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A8E3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中共隆安县委党校</w:t>
            </w:r>
          </w:p>
        </w:tc>
        <w:tc>
          <w:tcPr>
            <w:tcW w:w="3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D53E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隆安县城厢镇城西路49号</w:t>
            </w:r>
          </w:p>
        </w:tc>
      </w:tr>
      <w:tr w14:paraId="38B5F0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4302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41</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F966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光纤点到点线路</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781B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100</w:t>
            </w:r>
          </w:p>
        </w:tc>
        <w:tc>
          <w:tcPr>
            <w:tcW w:w="2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D6FE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隆安县水库和扶贫易地安置中心</w:t>
            </w:r>
          </w:p>
        </w:tc>
        <w:tc>
          <w:tcPr>
            <w:tcW w:w="3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F729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隆安县蝶城路405号</w:t>
            </w:r>
          </w:p>
        </w:tc>
      </w:tr>
      <w:tr w14:paraId="42B485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4EC0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42</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2C5B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光纤点到点线路</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90F6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100</w:t>
            </w:r>
          </w:p>
        </w:tc>
        <w:tc>
          <w:tcPr>
            <w:tcW w:w="2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8A54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隆安县气象局</w:t>
            </w:r>
          </w:p>
        </w:tc>
        <w:tc>
          <w:tcPr>
            <w:tcW w:w="3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B29B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隆安县城厢镇宝塔村马六山</w:t>
            </w:r>
          </w:p>
        </w:tc>
      </w:tr>
      <w:tr w14:paraId="613373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8B80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43</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3591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光纤点到点线路</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C1B3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100</w:t>
            </w:r>
          </w:p>
        </w:tc>
        <w:tc>
          <w:tcPr>
            <w:tcW w:w="2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45E8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隆安县税务局</w:t>
            </w:r>
          </w:p>
        </w:tc>
        <w:tc>
          <w:tcPr>
            <w:tcW w:w="3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DC18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隆安县城厢镇蝶城路548号</w:t>
            </w:r>
          </w:p>
        </w:tc>
      </w:tr>
      <w:tr w14:paraId="7DFBC1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31CA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44</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9C85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光纤点到点线路</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D17E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100</w:t>
            </w:r>
          </w:p>
        </w:tc>
        <w:tc>
          <w:tcPr>
            <w:tcW w:w="2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E23D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隆安县供销合作联社</w:t>
            </w:r>
          </w:p>
        </w:tc>
        <w:tc>
          <w:tcPr>
            <w:tcW w:w="3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24BC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隆安县城厢镇镇江街84号</w:t>
            </w:r>
          </w:p>
        </w:tc>
      </w:tr>
      <w:tr w14:paraId="271F0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jc w:val="center"/>
        </w:trPr>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3D7D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45</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7416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光纤点到点线路</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45CA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100</w:t>
            </w:r>
          </w:p>
        </w:tc>
        <w:tc>
          <w:tcPr>
            <w:tcW w:w="2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FC16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隆安县宝塔医药产业园区管理委员会</w:t>
            </w:r>
          </w:p>
        </w:tc>
        <w:tc>
          <w:tcPr>
            <w:tcW w:w="3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472A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隆安县电子商务活动中心对面活动</w:t>
            </w:r>
            <w:r>
              <w:rPr>
                <w:rFonts w:hint="eastAsia" w:ascii="宋体" w:hAnsi="宋体" w:eastAsia="宋体" w:cs="宋体"/>
                <w:i w:val="0"/>
                <w:iCs w:val="0"/>
                <w:color w:val="333333"/>
                <w:kern w:val="0"/>
                <w:sz w:val="20"/>
                <w:szCs w:val="20"/>
                <w:u w:val="none"/>
                <w:lang w:val="en-US" w:eastAsia="zh-CN" w:bidi="ar"/>
              </w:rPr>
              <w:br w:type="textWrapping"/>
            </w:r>
            <w:r>
              <w:rPr>
                <w:rFonts w:hint="eastAsia" w:ascii="宋体" w:hAnsi="宋体" w:eastAsia="宋体" w:cs="宋体"/>
                <w:i w:val="0"/>
                <w:iCs w:val="0"/>
                <w:color w:val="333333"/>
                <w:kern w:val="0"/>
                <w:sz w:val="20"/>
                <w:szCs w:val="20"/>
                <w:u w:val="none"/>
                <w:lang w:val="en-US" w:eastAsia="zh-CN" w:bidi="ar"/>
              </w:rPr>
              <w:t>板房</w:t>
            </w:r>
          </w:p>
        </w:tc>
      </w:tr>
      <w:tr w14:paraId="6184F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7869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46</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C2A0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光纤点到点线路</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71D0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100</w:t>
            </w:r>
          </w:p>
        </w:tc>
        <w:tc>
          <w:tcPr>
            <w:tcW w:w="2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AB22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隆安县市场监管局新兴所</w:t>
            </w:r>
          </w:p>
        </w:tc>
        <w:tc>
          <w:tcPr>
            <w:tcW w:w="3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53EB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隆安县城厢镇蝶城路312号</w:t>
            </w:r>
          </w:p>
        </w:tc>
      </w:tr>
      <w:tr w14:paraId="16503C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5AD7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47</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F5D9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光纤点到点线路</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FB75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100</w:t>
            </w:r>
          </w:p>
        </w:tc>
        <w:tc>
          <w:tcPr>
            <w:tcW w:w="2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51C8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隆安县市场监管局震东所</w:t>
            </w:r>
          </w:p>
        </w:tc>
        <w:tc>
          <w:tcPr>
            <w:tcW w:w="3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C382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隆安县城厢镇农民工创业园1号楼1层</w:t>
            </w:r>
          </w:p>
        </w:tc>
      </w:tr>
      <w:tr w14:paraId="24F6BD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jc w:val="center"/>
        </w:trPr>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EB53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48</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850C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光纤点到点线路</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FF28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100</w:t>
            </w:r>
          </w:p>
        </w:tc>
        <w:tc>
          <w:tcPr>
            <w:tcW w:w="2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3EF4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隆安县市场监管局华侨所</w:t>
            </w:r>
          </w:p>
        </w:tc>
        <w:tc>
          <w:tcPr>
            <w:tcW w:w="3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BB4F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隆安县那桐镇华侨管理区廉租房一期配套市政道路上人力资源办公楼</w:t>
            </w:r>
          </w:p>
        </w:tc>
      </w:tr>
      <w:tr w14:paraId="7F35B0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D4ED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49</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E4AB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光纤点到点线路</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8A2A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100</w:t>
            </w:r>
          </w:p>
        </w:tc>
        <w:tc>
          <w:tcPr>
            <w:tcW w:w="2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0FD8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隆安县市场监管局屏山所</w:t>
            </w:r>
          </w:p>
        </w:tc>
        <w:tc>
          <w:tcPr>
            <w:tcW w:w="3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4F42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隆安县屏山乡屏山街168号</w:t>
            </w:r>
          </w:p>
        </w:tc>
      </w:tr>
      <w:tr w14:paraId="288DFF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5319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50</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01C2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光纤点到点线路</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8DF3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100</w:t>
            </w:r>
          </w:p>
        </w:tc>
        <w:tc>
          <w:tcPr>
            <w:tcW w:w="2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8ABF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隆安县城厢镇农业水利站</w:t>
            </w:r>
          </w:p>
        </w:tc>
        <w:tc>
          <w:tcPr>
            <w:tcW w:w="3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4DDF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隆安县城厢镇民安街36号</w:t>
            </w:r>
          </w:p>
        </w:tc>
      </w:tr>
      <w:tr w14:paraId="28D331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C92E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51</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E5E2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光纤点到点线路</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02B5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100</w:t>
            </w:r>
          </w:p>
        </w:tc>
        <w:tc>
          <w:tcPr>
            <w:tcW w:w="2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DBBA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隆安县信访局</w:t>
            </w:r>
          </w:p>
        </w:tc>
        <w:tc>
          <w:tcPr>
            <w:tcW w:w="3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4B90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隆安县城厢镇白云街38号</w:t>
            </w:r>
          </w:p>
        </w:tc>
      </w:tr>
      <w:tr w14:paraId="3CF757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D658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52</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CB3B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光纤点到点线路</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0DE9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100</w:t>
            </w:r>
          </w:p>
        </w:tc>
        <w:tc>
          <w:tcPr>
            <w:tcW w:w="2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672D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老年活动中心</w:t>
            </w:r>
          </w:p>
        </w:tc>
        <w:tc>
          <w:tcPr>
            <w:tcW w:w="3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5BB6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隆安县金蝶街15号</w:t>
            </w:r>
          </w:p>
        </w:tc>
      </w:tr>
      <w:tr w14:paraId="27BFB0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7D53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53</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F774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光纤点到点线路</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B992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100</w:t>
            </w:r>
          </w:p>
        </w:tc>
        <w:tc>
          <w:tcPr>
            <w:tcW w:w="2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8EA5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应急局</w:t>
            </w:r>
          </w:p>
        </w:tc>
        <w:tc>
          <w:tcPr>
            <w:tcW w:w="3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F316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隆安县城厢镇城西路18号</w:t>
            </w:r>
          </w:p>
        </w:tc>
      </w:tr>
      <w:tr w14:paraId="6ED5CD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9D8A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54</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E7C2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光纤点到点线路</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9B96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100</w:t>
            </w:r>
          </w:p>
        </w:tc>
        <w:tc>
          <w:tcPr>
            <w:tcW w:w="2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2057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征拆中心</w:t>
            </w:r>
          </w:p>
        </w:tc>
        <w:tc>
          <w:tcPr>
            <w:tcW w:w="3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D3B9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隆安县城厢镇城西路18号</w:t>
            </w:r>
          </w:p>
        </w:tc>
      </w:tr>
      <w:tr w14:paraId="337BBC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518D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55</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8FF3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光纤点到点线路</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937B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100</w:t>
            </w:r>
          </w:p>
        </w:tc>
        <w:tc>
          <w:tcPr>
            <w:tcW w:w="2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4E1C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调处办</w:t>
            </w:r>
          </w:p>
        </w:tc>
        <w:tc>
          <w:tcPr>
            <w:tcW w:w="3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6DB1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隆安县城厢镇城西路18号</w:t>
            </w:r>
          </w:p>
        </w:tc>
      </w:tr>
      <w:tr w14:paraId="3B2CFB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3107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56</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A652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光纤点到点线路</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206E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100</w:t>
            </w:r>
          </w:p>
        </w:tc>
        <w:tc>
          <w:tcPr>
            <w:tcW w:w="2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4A48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科学技术协会</w:t>
            </w:r>
          </w:p>
        </w:tc>
        <w:tc>
          <w:tcPr>
            <w:tcW w:w="3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AB39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隆安县城厢镇城西路18号</w:t>
            </w:r>
          </w:p>
        </w:tc>
      </w:tr>
      <w:tr w14:paraId="6DB2D7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1C54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57</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67FE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光纤点到点线路</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0392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100</w:t>
            </w:r>
          </w:p>
        </w:tc>
        <w:tc>
          <w:tcPr>
            <w:tcW w:w="2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254C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档案局</w:t>
            </w:r>
          </w:p>
        </w:tc>
        <w:tc>
          <w:tcPr>
            <w:tcW w:w="3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8E5A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隆安县城厢镇城西路18号</w:t>
            </w:r>
          </w:p>
        </w:tc>
      </w:tr>
      <w:tr w14:paraId="452B28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FF3D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58</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F280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光纤点到点线路</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893A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100</w:t>
            </w:r>
          </w:p>
        </w:tc>
        <w:tc>
          <w:tcPr>
            <w:tcW w:w="2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7344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党史办</w:t>
            </w:r>
          </w:p>
        </w:tc>
        <w:tc>
          <w:tcPr>
            <w:tcW w:w="3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2991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隆安县城厢镇城西路18号</w:t>
            </w:r>
          </w:p>
        </w:tc>
      </w:tr>
      <w:tr w14:paraId="5A7CA5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5A0A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59</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682F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光纤点到点线路</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51AA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100</w:t>
            </w:r>
          </w:p>
        </w:tc>
        <w:tc>
          <w:tcPr>
            <w:tcW w:w="2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28AB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县志办</w:t>
            </w:r>
          </w:p>
        </w:tc>
        <w:tc>
          <w:tcPr>
            <w:tcW w:w="3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BFD5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隆安县城厢镇城西路18号</w:t>
            </w:r>
          </w:p>
        </w:tc>
      </w:tr>
      <w:tr w14:paraId="6B2E11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3CCE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60</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67EC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光纤点到点线路</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72C6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100</w:t>
            </w:r>
          </w:p>
        </w:tc>
        <w:tc>
          <w:tcPr>
            <w:tcW w:w="2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8827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隆安县礼智林场</w:t>
            </w:r>
          </w:p>
        </w:tc>
        <w:tc>
          <w:tcPr>
            <w:tcW w:w="3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606F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隆安县屏山乡城</w:t>
            </w:r>
            <w:r>
              <w:rPr>
                <w:rFonts w:hint="eastAsia" w:ascii="宋体" w:hAnsi="宋体" w:eastAsia="宋体" w:cs="宋体"/>
                <w:i w:val="0"/>
                <w:iCs w:val="0"/>
                <w:color w:val="333333"/>
                <w:kern w:val="0"/>
                <w:sz w:val="20"/>
                <w:szCs w:val="20"/>
                <w:u w:val="none"/>
                <w:lang w:val="en-US" w:eastAsia="zh-CN" w:bidi="ar"/>
              </w:rPr>
              <w:br w:type="textWrapping"/>
            </w:r>
            <w:r>
              <w:rPr>
                <w:rFonts w:hint="eastAsia" w:ascii="宋体" w:hAnsi="宋体" w:eastAsia="宋体" w:cs="宋体"/>
                <w:i w:val="0"/>
                <w:iCs w:val="0"/>
                <w:color w:val="333333"/>
                <w:kern w:val="0"/>
                <w:sz w:val="20"/>
                <w:szCs w:val="20"/>
                <w:u w:val="none"/>
                <w:lang w:val="en-US" w:eastAsia="zh-CN" w:bidi="ar"/>
              </w:rPr>
              <w:t>西街7号</w:t>
            </w:r>
          </w:p>
        </w:tc>
      </w:tr>
      <w:tr w14:paraId="622DA0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F357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61</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C710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光纤点到点线路</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BFBF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100</w:t>
            </w:r>
          </w:p>
        </w:tc>
        <w:tc>
          <w:tcPr>
            <w:tcW w:w="2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187F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隆安县税务局南圩</w:t>
            </w:r>
            <w:r>
              <w:rPr>
                <w:rFonts w:hint="eastAsia" w:ascii="宋体" w:hAnsi="宋体" w:eastAsia="宋体" w:cs="宋体"/>
                <w:i w:val="0"/>
                <w:iCs w:val="0"/>
                <w:color w:val="333333"/>
                <w:kern w:val="0"/>
                <w:sz w:val="20"/>
                <w:szCs w:val="20"/>
                <w:u w:val="none"/>
                <w:lang w:val="en-US" w:eastAsia="zh-CN" w:bidi="ar"/>
              </w:rPr>
              <w:br w:type="textWrapping"/>
            </w:r>
            <w:r>
              <w:rPr>
                <w:rFonts w:hint="eastAsia" w:ascii="宋体" w:hAnsi="宋体" w:eastAsia="宋体" w:cs="宋体"/>
                <w:i w:val="0"/>
                <w:iCs w:val="0"/>
                <w:color w:val="333333"/>
                <w:kern w:val="0"/>
                <w:sz w:val="20"/>
                <w:szCs w:val="20"/>
                <w:u w:val="none"/>
                <w:lang w:val="en-US" w:eastAsia="zh-CN" w:bidi="ar"/>
              </w:rPr>
              <w:t>税务分局</w:t>
            </w:r>
          </w:p>
        </w:tc>
        <w:tc>
          <w:tcPr>
            <w:tcW w:w="3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C240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隆安县南圩镇卫</w:t>
            </w:r>
            <w:r>
              <w:rPr>
                <w:rFonts w:hint="eastAsia" w:ascii="宋体" w:hAnsi="宋体" w:eastAsia="宋体" w:cs="宋体"/>
                <w:i w:val="0"/>
                <w:iCs w:val="0"/>
                <w:color w:val="333333"/>
                <w:kern w:val="0"/>
                <w:sz w:val="20"/>
                <w:szCs w:val="20"/>
                <w:u w:val="none"/>
                <w:lang w:val="en-US" w:eastAsia="zh-CN" w:bidi="ar"/>
              </w:rPr>
              <w:br w:type="textWrapping"/>
            </w:r>
            <w:r>
              <w:rPr>
                <w:rFonts w:hint="eastAsia" w:ascii="宋体" w:hAnsi="宋体" w:eastAsia="宋体" w:cs="宋体"/>
                <w:i w:val="0"/>
                <w:iCs w:val="0"/>
                <w:color w:val="333333"/>
                <w:kern w:val="0"/>
                <w:sz w:val="20"/>
                <w:szCs w:val="20"/>
                <w:u w:val="none"/>
                <w:lang w:val="en-US" w:eastAsia="zh-CN" w:bidi="ar"/>
              </w:rPr>
              <w:t>南街18号</w:t>
            </w:r>
          </w:p>
        </w:tc>
      </w:tr>
      <w:tr w14:paraId="473160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3E93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62</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723A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光纤点到点线路</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060E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100</w:t>
            </w:r>
          </w:p>
        </w:tc>
        <w:tc>
          <w:tcPr>
            <w:tcW w:w="2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12DB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隆安县城厢镇水产</w:t>
            </w:r>
            <w:r>
              <w:rPr>
                <w:rFonts w:hint="eastAsia" w:ascii="宋体" w:hAnsi="宋体" w:eastAsia="宋体" w:cs="宋体"/>
                <w:i w:val="0"/>
                <w:iCs w:val="0"/>
                <w:color w:val="333333"/>
                <w:kern w:val="0"/>
                <w:sz w:val="20"/>
                <w:szCs w:val="20"/>
                <w:u w:val="none"/>
                <w:lang w:val="en-US" w:eastAsia="zh-CN" w:bidi="ar"/>
              </w:rPr>
              <w:br w:type="textWrapping"/>
            </w:r>
            <w:r>
              <w:rPr>
                <w:rFonts w:hint="eastAsia" w:ascii="宋体" w:hAnsi="宋体" w:eastAsia="宋体" w:cs="宋体"/>
                <w:i w:val="0"/>
                <w:iCs w:val="0"/>
                <w:color w:val="333333"/>
                <w:kern w:val="0"/>
                <w:sz w:val="20"/>
                <w:szCs w:val="20"/>
                <w:u w:val="none"/>
                <w:lang w:val="en-US" w:eastAsia="zh-CN" w:bidi="ar"/>
              </w:rPr>
              <w:t>畜牧兽医站</w:t>
            </w:r>
          </w:p>
        </w:tc>
        <w:tc>
          <w:tcPr>
            <w:tcW w:w="3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F013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隆安县城厢镇国</w:t>
            </w:r>
            <w:r>
              <w:rPr>
                <w:rFonts w:hint="eastAsia" w:ascii="宋体" w:hAnsi="宋体" w:eastAsia="宋体" w:cs="宋体"/>
                <w:i w:val="0"/>
                <w:iCs w:val="0"/>
                <w:color w:val="333333"/>
                <w:kern w:val="0"/>
                <w:sz w:val="20"/>
                <w:szCs w:val="20"/>
                <w:u w:val="none"/>
                <w:lang w:val="en-US" w:eastAsia="zh-CN" w:bidi="ar"/>
              </w:rPr>
              <w:br w:type="textWrapping"/>
            </w:r>
            <w:r>
              <w:rPr>
                <w:rFonts w:hint="eastAsia" w:ascii="宋体" w:hAnsi="宋体" w:eastAsia="宋体" w:cs="宋体"/>
                <w:i w:val="0"/>
                <w:iCs w:val="0"/>
                <w:color w:val="333333"/>
                <w:kern w:val="0"/>
                <w:sz w:val="20"/>
                <w:szCs w:val="20"/>
                <w:u w:val="none"/>
                <w:lang w:val="en-US" w:eastAsia="zh-CN" w:bidi="ar"/>
              </w:rPr>
              <w:t>泰街152号</w:t>
            </w:r>
          </w:p>
        </w:tc>
      </w:tr>
      <w:tr w14:paraId="0F44C0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AF27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63</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97A3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光纤点到点线路</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5CA3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100</w:t>
            </w:r>
          </w:p>
        </w:tc>
        <w:tc>
          <w:tcPr>
            <w:tcW w:w="2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9614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隆安县南圩镇水产</w:t>
            </w:r>
            <w:r>
              <w:rPr>
                <w:rFonts w:hint="eastAsia" w:ascii="宋体" w:hAnsi="宋体" w:eastAsia="宋体" w:cs="宋体"/>
                <w:i w:val="0"/>
                <w:iCs w:val="0"/>
                <w:color w:val="333333"/>
                <w:kern w:val="0"/>
                <w:sz w:val="20"/>
                <w:szCs w:val="20"/>
                <w:u w:val="none"/>
                <w:lang w:val="en-US" w:eastAsia="zh-CN" w:bidi="ar"/>
              </w:rPr>
              <w:br w:type="textWrapping"/>
            </w:r>
            <w:r>
              <w:rPr>
                <w:rFonts w:hint="eastAsia" w:ascii="宋体" w:hAnsi="宋体" w:eastAsia="宋体" w:cs="宋体"/>
                <w:i w:val="0"/>
                <w:iCs w:val="0"/>
                <w:color w:val="333333"/>
                <w:kern w:val="0"/>
                <w:sz w:val="20"/>
                <w:szCs w:val="20"/>
                <w:u w:val="none"/>
                <w:lang w:val="en-US" w:eastAsia="zh-CN" w:bidi="ar"/>
              </w:rPr>
              <w:t>畜牧兽医站</w:t>
            </w:r>
          </w:p>
        </w:tc>
        <w:tc>
          <w:tcPr>
            <w:tcW w:w="3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C02F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隆安县南圩镇新</w:t>
            </w:r>
            <w:r>
              <w:rPr>
                <w:rFonts w:hint="eastAsia" w:ascii="宋体" w:hAnsi="宋体" w:eastAsia="宋体" w:cs="宋体"/>
                <w:i w:val="0"/>
                <w:iCs w:val="0"/>
                <w:color w:val="333333"/>
                <w:kern w:val="0"/>
                <w:sz w:val="20"/>
                <w:szCs w:val="20"/>
                <w:u w:val="none"/>
                <w:lang w:val="en-US" w:eastAsia="zh-CN" w:bidi="ar"/>
              </w:rPr>
              <w:br w:type="textWrapping"/>
            </w:r>
            <w:r>
              <w:rPr>
                <w:rFonts w:hint="eastAsia" w:ascii="宋体" w:hAnsi="宋体" w:eastAsia="宋体" w:cs="宋体"/>
                <w:i w:val="0"/>
                <w:iCs w:val="0"/>
                <w:color w:val="333333"/>
                <w:kern w:val="0"/>
                <w:sz w:val="20"/>
                <w:szCs w:val="20"/>
                <w:u w:val="none"/>
                <w:lang w:val="en-US" w:eastAsia="zh-CN" w:bidi="ar"/>
              </w:rPr>
              <w:t>发街48号</w:t>
            </w:r>
          </w:p>
        </w:tc>
      </w:tr>
      <w:tr w14:paraId="763F57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4A5C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64</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7AA4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光纤点到点线路</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88BE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100</w:t>
            </w:r>
          </w:p>
        </w:tc>
        <w:tc>
          <w:tcPr>
            <w:tcW w:w="2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FE73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隆安县那桐镇水产</w:t>
            </w:r>
            <w:r>
              <w:rPr>
                <w:rFonts w:hint="eastAsia" w:ascii="宋体" w:hAnsi="宋体" w:eastAsia="宋体" w:cs="宋体"/>
                <w:i w:val="0"/>
                <w:iCs w:val="0"/>
                <w:color w:val="333333"/>
                <w:kern w:val="0"/>
                <w:sz w:val="20"/>
                <w:szCs w:val="20"/>
                <w:u w:val="none"/>
                <w:lang w:val="en-US" w:eastAsia="zh-CN" w:bidi="ar"/>
              </w:rPr>
              <w:br w:type="textWrapping"/>
            </w:r>
            <w:r>
              <w:rPr>
                <w:rFonts w:hint="eastAsia" w:ascii="宋体" w:hAnsi="宋体" w:eastAsia="宋体" w:cs="宋体"/>
                <w:i w:val="0"/>
                <w:iCs w:val="0"/>
                <w:color w:val="333333"/>
                <w:kern w:val="0"/>
                <w:sz w:val="20"/>
                <w:szCs w:val="20"/>
                <w:u w:val="none"/>
                <w:lang w:val="en-US" w:eastAsia="zh-CN" w:bidi="ar"/>
              </w:rPr>
              <w:t>畜牧兽医站</w:t>
            </w:r>
          </w:p>
        </w:tc>
        <w:tc>
          <w:tcPr>
            <w:tcW w:w="3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E911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隆安县那桐镇向</w:t>
            </w:r>
            <w:r>
              <w:rPr>
                <w:rFonts w:hint="eastAsia" w:ascii="宋体" w:hAnsi="宋体" w:eastAsia="宋体" w:cs="宋体"/>
                <w:i w:val="0"/>
                <w:iCs w:val="0"/>
                <w:color w:val="333333"/>
                <w:kern w:val="0"/>
                <w:sz w:val="20"/>
                <w:szCs w:val="20"/>
                <w:u w:val="none"/>
                <w:lang w:val="en-US" w:eastAsia="zh-CN" w:bidi="ar"/>
              </w:rPr>
              <w:br w:type="textWrapping"/>
            </w:r>
            <w:r>
              <w:rPr>
                <w:rFonts w:hint="eastAsia" w:ascii="宋体" w:hAnsi="宋体" w:eastAsia="宋体" w:cs="宋体"/>
                <w:i w:val="0"/>
                <w:iCs w:val="0"/>
                <w:color w:val="333333"/>
                <w:kern w:val="0"/>
                <w:sz w:val="20"/>
                <w:szCs w:val="20"/>
                <w:u w:val="none"/>
                <w:lang w:val="en-US" w:eastAsia="zh-CN" w:bidi="ar"/>
              </w:rPr>
              <w:t>阳街46号</w:t>
            </w:r>
          </w:p>
        </w:tc>
      </w:tr>
      <w:tr w14:paraId="64619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F172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65</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5EE0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光纤点到点线路</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7F1C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100</w:t>
            </w:r>
          </w:p>
        </w:tc>
        <w:tc>
          <w:tcPr>
            <w:tcW w:w="2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8C7A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隆安县雁江镇水产</w:t>
            </w:r>
            <w:r>
              <w:rPr>
                <w:rFonts w:hint="eastAsia" w:ascii="宋体" w:hAnsi="宋体" w:eastAsia="宋体" w:cs="宋体"/>
                <w:i w:val="0"/>
                <w:iCs w:val="0"/>
                <w:color w:val="333333"/>
                <w:kern w:val="0"/>
                <w:sz w:val="20"/>
                <w:szCs w:val="20"/>
                <w:u w:val="none"/>
                <w:lang w:val="en-US" w:eastAsia="zh-CN" w:bidi="ar"/>
              </w:rPr>
              <w:br w:type="textWrapping"/>
            </w:r>
            <w:r>
              <w:rPr>
                <w:rFonts w:hint="eastAsia" w:ascii="宋体" w:hAnsi="宋体" w:eastAsia="宋体" w:cs="宋体"/>
                <w:i w:val="0"/>
                <w:iCs w:val="0"/>
                <w:color w:val="333333"/>
                <w:kern w:val="0"/>
                <w:sz w:val="20"/>
                <w:szCs w:val="20"/>
                <w:u w:val="none"/>
                <w:lang w:val="en-US" w:eastAsia="zh-CN" w:bidi="ar"/>
              </w:rPr>
              <w:t>畜牧兽医站</w:t>
            </w:r>
          </w:p>
        </w:tc>
        <w:tc>
          <w:tcPr>
            <w:tcW w:w="3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77B7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隆安县雁江镇富</w:t>
            </w:r>
            <w:r>
              <w:rPr>
                <w:rFonts w:hint="eastAsia" w:ascii="宋体" w:hAnsi="宋体" w:eastAsia="宋体" w:cs="宋体"/>
                <w:i w:val="0"/>
                <w:iCs w:val="0"/>
                <w:color w:val="333333"/>
                <w:kern w:val="0"/>
                <w:sz w:val="20"/>
                <w:szCs w:val="20"/>
                <w:u w:val="none"/>
                <w:lang w:val="en-US" w:eastAsia="zh-CN" w:bidi="ar"/>
              </w:rPr>
              <w:br w:type="textWrapping"/>
            </w:r>
            <w:r>
              <w:rPr>
                <w:rFonts w:hint="eastAsia" w:ascii="宋体" w:hAnsi="宋体" w:eastAsia="宋体" w:cs="宋体"/>
                <w:i w:val="0"/>
                <w:iCs w:val="0"/>
                <w:color w:val="333333"/>
                <w:kern w:val="0"/>
                <w:sz w:val="20"/>
                <w:szCs w:val="20"/>
                <w:u w:val="none"/>
                <w:lang w:val="en-US" w:eastAsia="zh-CN" w:bidi="ar"/>
              </w:rPr>
              <w:t>兴街228号</w:t>
            </w:r>
          </w:p>
        </w:tc>
      </w:tr>
      <w:tr w14:paraId="1ACE6F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C0B3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66</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B6B0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光纤点到点线路</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9AE2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100</w:t>
            </w:r>
          </w:p>
        </w:tc>
        <w:tc>
          <w:tcPr>
            <w:tcW w:w="2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9528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隆安县乔建镇水产</w:t>
            </w:r>
            <w:r>
              <w:rPr>
                <w:rFonts w:hint="eastAsia" w:ascii="宋体" w:hAnsi="宋体" w:eastAsia="宋体" w:cs="宋体"/>
                <w:i w:val="0"/>
                <w:iCs w:val="0"/>
                <w:color w:val="333333"/>
                <w:kern w:val="0"/>
                <w:sz w:val="20"/>
                <w:szCs w:val="20"/>
                <w:u w:val="none"/>
                <w:lang w:val="en-US" w:eastAsia="zh-CN" w:bidi="ar"/>
              </w:rPr>
              <w:br w:type="textWrapping"/>
            </w:r>
            <w:r>
              <w:rPr>
                <w:rFonts w:hint="eastAsia" w:ascii="宋体" w:hAnsi="宋体" w:eastAsia="宋体" w:cs="宋体"/>
                <w:i w:val="0"/>
                <w:iCs w:val="0"/>
                <w:color w:val="333333"/>
                <w:kern w:val="0"/>
                <w:sz w:val="20"/>
                <w:szCs w:val="20"/>
                <w:u w:val="none"/>
                <w:lang w:val="en-US" w:eastAsia="zh-CN" w:bidi="ar"/>
              </w:rPr>
              <w:t>畜牧兽医站</w:t>
            </w:r>
          </w:p>
        </w:tc>
        <w:tc>
          <w:tcPr>
            <w:tcW w:w="3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633F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隆安县乔建镇环城街</w:t>
            </w:r>
          </w:p>
        </w:tc>
      </w:tr>
      <w:tr w14:paraId="4D0444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AB03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67</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8464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光纤点到点线路</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68D0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100</w:t>
            </w:r>
          </w:p>
        </w:tc>
        <w:tc>
          <w:tcPr>
            <w:tcW w:w="2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1EAE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隆安县古潭乡水产</w:t>
            </w:r>
            <w:r>
              <w:rPr>
                <w:rFonts w:hint="eastAsia" w:ascii="宋体" w:hAnsi="宋体" w:eastAsia="宋体" w:cs="宋体"/>
                <w:i w:val="0"/>
                <w:iCs w:val="0"/>
                <w:color w:val="333333"/>
                <w:kern w:val="0"/>
                <w:sz w:val="20"/>
                <w:szCs w:val="20"/>
                <w:u w:val="none"/>
                <w:lang w:val="en-US" w:eastAsia="zh-CN" w:bidi="ar"/>
              </w:rPr>
              <w:br w:type="textWrapping"/>
            </w:r>
            <w:r>
              <w:rPr>
                <w:rFonts w:hint="eastAsia" w:ascii="宋体" w:hAnsi="宋体" w:eastAsia="宋体" w:cs="宋体"/>
                <w:i w:val="0"/>
                <w:iCs w:val="0"/>
                <w:color w:val="333333"/>
                <w:kern w:val="0"/>
                <w:sz w:val="20"/>
                <w:szCs w:val="20"/>
                <w:u w:val="none"/>
                <w:lang w:val="en-US" w:eastAsia="zh-CN" w:bidi="ar"/>
              </w:rPr>
              <w:t>畜牧兽医站</w:t>
            </w:r>
          </w:p>
        </w:tc>
        <w:tc>
          <w:tcPr>
            <w:tcW w:w="3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3ED9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隆安县古潭乡水</w:t>
            </w:r>
            <w:r>
              <w:rPr>
                <w:rFonts w:hint="eastAsia" w:ascii="宋体" w:hAnsi="宋体" w:eastAsia="宋体" w:cs="宋体"/>
                <w:i w:val="0"/>
                <w:iCs w:val="0"/>
                <w:color w:val="333333"/>
                <w:kern w:val="0"/>
                <w:sz w:val="20"/>
                <w:szCs w:val="20"/>
                <w:u w:val="none"/>
                <w:lang w:val="en-US" w:eastAsia="zh-CN" w:bidi="ar"/>
              </w:rPr>
              <w:br w:type="textWrapping"/>
            </w:r>
            <w:r>
              <w:rPr>
                <w:rFonts w:hint="eastAsia" w:ascii="宋体" w:hAnsi="宋体" w:eastAsia="宋体" w:cs="宋体"/>
                <w:i w:val="0"/>
                <w:iCs w:val="0"/>
                <w:color w:val="333333"/>
                <w:kern w:val="0"/>
                <w:sz w:val="20"/>
                <w:szCs w:val="20"/>
                <w:u w:val="none"/>
                <w:lang w:val="en-US" w:eastAsia="zh-CN" w:bidi="ar"/>
              </w:rPr>
              <w:t>果街27号</w:t>
            </w:r>
          </w:p>
        </w:tc>
      </w:tr>
      <w:tr w14:paraId="496AA4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8045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68</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A4DE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光纤点到点线路</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C7DE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100</w:t>
            </w:r>
          </w:p>
        </w:tc>
        <w:tc>
          <w:tcPr>
            <w:tcW w:w="2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59C9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隆安县都结乡水产</w:t>
            </w:r>
            <w:r>
              <w:rPr>
                <w:rFonts w:hint="eastAsia" w:ascii="宋体" w:hAnsi="宋体" w:eastAsia="宋体" w:cs="宋体"/>
                <w:i w:val="0"/>
                <w:iCs w:val="0"/>
                <w:color w:val="333333"/>
                <w:kern w:val="0"/>
                <w:sz w:val="20"/>
                <w:szCs w:val="20"/>
                <w:u w:val="none"/>
                <w:lang w:val="en-US" w:eastAsia="zh-CN" w:bidi="ar"/>
              </w:rPr>
              <w:br w:type="textWrapping"/>
            </w:r>
            <w:r>
              <w:rPr>
                <w:rFonts w:hint="eastAsia" w:ascii="宋体" w:hAnsi="宋体" w:eastAsia="宋体" w:cs="宋体"/>
                <w:i w:val="0"/>
                <w:iCs w:val="0"/>
                <w:color w:val="333333"/>
                <w:kern w:val="0"/>
                <w:sz w:val="20"/>
                <w:szCs w:val="20"/>
                <w:u w:val="none"/>
                <w:lang w:val="en-US" w:eastAsia="zh-CN" w:bidi="ar"/>
              </w:rPr>
              <w:t>畜牧兽医站</w:t>
            </w:r>
          </w:p>
        </w:tc>
        <w:tc>
          <w:tcPr>
            <w:tcW w:w="3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B11D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隆安县都结乡都</w:t>
            </w:r>
            <w:r>
              <w:rPr>
                <w:rFonts w:hint="eastAsia" w:ascii="宋体" w:hAnsi="宋体" w:eastAsia="宋体" w:cs="宋体"/>
                <w:i w:val="0"/>
                <w:iCs w:val="0"/>
                <w:color w:val="333333"/>
                <w:kern w:val="0"/>
                <w:sz w:val="20"/>
                <w:szCs w:val="20"/>
                <w:u w:val="none"/>
                <w:lang w:val="en-US" w:eastAsia="zh-CN" w:bidi="ar"/>
              </w:rPr>
              <w:br w:type="textWrapping"/>
            </w:r>
            <w:r>
              <w:rPr>
                <w:rFonts w:hint="eastAsia" w:ascii="宋体" w:hAnsi="宋体" w:eastAsia="宋体" w:cs="宋体"/>
                <w:i w:val="0"/>
                <w:iCs w:val="0"/>
                <w:color w:val="333333"/>
                <w:kern w:val="0"/>
                <w:sz w:val="20"/>
                <w:szCs w:val="20"/>
                <w:u w:val="none"/>
                <w:lang w:val="en-US" w:eastAsia="zh-CN" w:bidi="ar"/>
              </w:rPr>
              <w:t>结街431号</w:t>
            </w:r>
          </w:p>
        </w:tc>
      </w:tr>
      <w:tr w14:paraId="5263BB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AC9A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69</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5707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光纤点到点线路</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54C2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100</w:t>
            </w:r>
          </w:p>
        </w:tc>
        <w:tc>
          <w:tcPr>
            <w:tcW w:w="2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DE9E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隆安县布泉乡水产</w:t>
            </w:r>
            <w:r>
              <w:rPr>
                <w:rFonts w:hint="eastAsia" w:ascii="宋体" w:hAnsi="宋体" w:eastAsia="宋体" w:cs="宋体"/>
                <w:i w:val="0"/>
                <w:iCs w:val="0"/>
                <w:color w:val="333333"/>
                <w:kern w:val="0"/>
                <w:sz w:val="20"/>
                <w:szCs w:val="20"/>
                <w:u w:val="none"/>
                <w:lang w:val="en-US" w:eastAsia="zh-CN" w:bidi="ar"/>
              </w:rPr>
              <w:br w:type="textWrapping"/>
            </w:r>
            <w:r>
              <w:rPr>
                <w:rFonts w:hint="eastAsia" w:ascii="宋体" w:hAnsi="宋体" w:eastAsia="宋体" w:cs="宋体"/>
                <w:i w:val="0"/>
                <w:iCs w:val="0"/>
                <w:color w:val="333333"/>
                <w:kern w:val="0"/>
                <w:sz w:val="20"/>
                <w:szCs w:val="20"/>
                <w:u w:val="none"/>
                <w:lang w:val="en-US" w:eastAsia="zh-CN" w:bidi="ar"/>
              </w:rPr>
              <w:t>畜牧兽医站</w:t>
            </w:r>
          </w:p>
        </w:tc>
        <w:tc>
          <w:tcPr>
            <w:tcW w:w="3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E23D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隆安县布泉乡正</w:t>
            </w:r>
            <w:r>
              <w:rPr>
                <w:rFonts w:hint="eastAsia" w:ascii="宋体" w:hAnsi="宋体" w:eastAsia="宋体" w:cs="宋体"/>
                <w:i w:val="0"/>
                <w:iCs w:val="0"/>
                <w:color w:val="333333"/>
                <w:kern w:val="0"/>
                <w:sz w:val="20"/>
                <w:szCs w:val="20"/>
                <w:u w:val="none"/>
                <w:lang w:val="en-US" w:eastAsia="zh-CN" w:bidi="ar"/>
              </w:rPr>
              <w:br w:type="textWrapping"/>
            </w:r>
            <w:r>
              <w:rPr>
                <w:rFonts w:hint="eastAsia" w:ascii="宋体" w:hAnsi="宋体" w:eastAsia="宋体" w:cs="宋体"/>
                <w:i w:val="0"/>
                <w:iCs w:val="0"/>
                <w:color w:val="333333"/>
                <w:kern w:val="0"/>
                <w:sz w:val="20"/>
                <w:szCs w:val="20"/>
                <w:u w:val="none"/>
                <w:lang w:val="en-US" w:eastAsia="zh-CN" w:bidi="ar"/>
              </w:rPr>
              <w:t>新街49号</w:t>
            </w:r>
          </w:p>
        </w:tc>
      </w:tr>
      <w:tr w14:paraId="53A52A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61DD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70</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BFF1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光纤点到点线路</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A160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100</w:t>
            </w:r>
          </w:p>
        </w:tc>
        <w:tc>
          <w:tcPr>
            <w:tcW w:w="2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A0BF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隆安县屏山乡水产</w:t>
            </w:r>
            <w:r>
              <w:rPr>
                <w:rFonts w:hint="eastAsia" w:ascii="宋体" w:hAnsi="宋体" w:eastAsia="宋体" w:cs="宋体"/>
                <w:i w:val="0"/>
                <w:iCs w:val="0"/>
                <w:color w:val="333333"/>
                <w:kern w:val="0"/>
                <w:sz w:val="20"/>
                <w:szCs w:val="20"/>
                <w:u w:val="none"/>
                <w:lang w:val="en-US" w:eastAsia="zh-CN" w:bidi="ar"/>
              </w:rPr>
              <w:br w:type="textWrapping"/>
            </w:r>
            <w:r>
              <w:rPr>
                <w:rFonts w:hint="eastAsia" w:ascii="宋体" w:hAnsi="宋体" w:eastAsia="宋体" w:cs="宋体"/>
                <w:i w:val="0"/>
                <w:iCs w:val="0"/>
                <w:color w:val="333333"/>
                <w:kern w:val="0"/>
                <w:sz w:val="20"/>
                <w:szCs w:val="20"/>
                <w:u w:val="none"/>
                <w:lang w:val="en-US" w:eastAsia="zh-CN" w:bidi="ar"/>
              </w:rPr>
              <w:t>畜牧兽医站</w:t>
            </w:r>
          </w:p>
        </w:tc>
        <w:tc>
          <w:tcPr>
            <w:tcW w:w="3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7769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隆安县屏山乡城</w:t>
            </w:r>
            <w:r>
              <w:rPr>
                <w:rFonts w:hint="eastAsia" w:ascii="宋体" w:hAnsi="宋体" w:eastAsia="宋体" w:cs="宋体"/>
                <w:i w:val="0"/>
                <w:iCs w:val="0"/>
                <w:color w:val="333333"/>
                <w:kern w:val="0"/>
                <w:sz w:val="20"/>
                <w:szCs w:val="20"/>
                <w:u w:val="none"/>
                <w:lang w:val="en-US" w:eastAsia="zh-CN" w:bidi="ar"/>
              </w:rPr>
              <w:br w:type="textWrapping"/>
            </w:r>
            <w:r>
              <w:rPr>
                <w:rFonts w:hint="eastAsia" w:ascii="宋体" w:hAnsi="宋体" w:eastAsia="宋体" w:cs="宋体"/>
                <w:i w:val="0"/>
                <w:iCs w:val="0"/>
                <w:color w:val="333333"/>
                <w:kern w:val="0"/>
                <w:sz w:val="20"/>
                <w:szCs w:val="20"/>
                <w:u w:val="none"/>
                <w:lang w:val="en-US" w:eastAsia="zh-CN" w:bidi="ar"/>
              </w:rPr>
              <w:t>西街27号</w:t>
            </w:r>
          </w:p>
        </w:tc>
      </w:tr>
      <w:tr w14:paraId="724517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6E0E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71</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BD91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光纤点到点线路</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891B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100</w:t>
            </w:r>
          </w:p>
        </w:tc>
        <w:tc>
          <w:tcPr>
            <w:tcW w:w="2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6C7A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隆安县城厢镇农业</w:t>
            </w:r>
            <w:r>
              <w:rPr>
                <w:rFonts w:hint="eastAsia" w:ascii="宋体" w:hAnsi="宋体" w:eastAsia="宋体" w:cs="宋体"/>
                <w:i w:val="0"/>
                <w:iCs w:val="0"/>
                <w:color w:val="333333"/>
                <w:kern w:val="0"/>
                <w:sz w:val="20"/>
                <w:szCs w:val="20"/>
                <w:u w:val="none"/>
                <w:lang w:val="en-US" w:eastAsia="zh-CN" w:bidi="ar"/>
              </w:rPr>
              <w:br w:type="textWrapping"/>
            </w:r>
            <w:r>
              <w:rPr>
                <w:rFonts w:hint="eastAsia" w:ascii="宋体" w:hAnsi="宋体" w:eastAsia="宋体" w:cs="宋体"/>
                <w:i w:val="0"/>
                <w:iCs w:val="0"/>
                <w:color w:val="333333"/>
                <w:kern w:val="0"/>
                <w:sz w:val="20"/>
                <w:szCs w:val="20"/>
                <w:u w:val="none"/>
                <w:lang w:val="en-US" w:eastAsia="zh-CN" w:bidi="ar"/>
              </w:rPr>
              <w:t>水利站</w:t>
            </w:r>
          </w:p>
        </w:tc>
        <w:tc>
          <w:tcPr>
            <w:tcW w:w="3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F0E7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隆安县城厢镇民</w:t>
            </w:r>
            <w:r>
              <w:rPr>
                <w:rFonts w:hint="eastAsia" w:ascii="宋体" w:hAnsi="宋体" w:eastAsia="宋体" w:cs="宋体"/>
                <w:i w:val="0"/>
                <w:iCs w:val="0"/>
                <w:color w:val="333333"/>
                <w:kern w:val="0"/>
                <w:sz w:val="20"/>
                <w:szCs w:val="20"/>
                <w:u w:val="none"/>
                <w:lang w:val="en-US" w:eastAsia="zh-CN" w:bidi="ar"/>
              </w:rPr>
              <w:br w:type="textWrapping"/>
            </w:r>
            <w:r>
              <w:rPr>
                <w:rFonts w:hint="eastAsia" w:ascii="宋体" w:hAnsi="宋体" w:eastAsia="宋体" w:cs="宋体"/>
                <w:i w:val="0"/>
                <w:iCs w:val="0"/>
                <w:color w:val="333333"/>
                <w:kern w:val="0"/>
                <w:sz w:val="20"/>
                <w:szCs w:val="20"/>
                <w:u w:val="none"/>
                <w:lang w:val="en-US" w:eastAsia="zh-CN" w:bidi="ar"/>
              </w:rPr>
              <w:t>安街36号</w:t>
            </w:r>
          </w:p>
        </w:tc>
      </w:tr>
      <w:tr w14:paraId="113F24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92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FB72B6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FF0000"/>
                <w:kern w:val="0"/>
                <w:sz w:val="20"/>
                <w:szCs w:val="20"/>
                <w:u w:val="none"/>
                <w:lang w:val="en-US" w:eastAsia="zh-CN" w:bidi="ar"/>
              </w:rPr>
              <w:t>7</w:t>
            </w:r>
            <w:r>
              <w:rPr>
                <w:rFonts w:hint="eastAsia" w:ascii="宋体" w:hAnsi="宋体" w:cs="宋体"/>
                <w:i w:val="0"/>
                <w:iCs w:val="0"/>
                <w:color w:val="FF0000"/>
                <w:kern w:val="0"/>
                <w:sz w:val="20"/>
                <w:szCs w:val="20"/>
                <w:u w:val="none"/>
                <w:lang w:val="en-US" w:eastAsia="zh-CN" w:bidi="ar"/>
              </w:rPr>
              <w:t>2</w:t>
            </w:r>
          </w:p>
        </w:tc>
        <w:tc>
          <w:tcPr>
            <w:tcW w:w="196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7F25BD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333333"/>
                <w:kern w:val="0"/>
                <w:sz w:val="20"/>
                <w:szCs w:val="20"/>
                <w:u w:val="none"/>
                <w:lang w:val="en-US" w:eastAsia="zh-CN" w:bidi="ar"/>
              </w:rPr>
              <w:t>光纤点到点线路</w:t>
            </w:r>
          </w:p>
        </w:tc>
        <w:tc>
          <w:tcPr>
            <w:tcW w:w="94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2E0679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333333"/>
                <w:kern w:val="0"/>
                <w:sz w:val="20"/>
                <w:szCs w:val="20"/>
                <w:u w:val="none"/>
                <w:lang w:val="en-US" w:eastAsia="zh-CN" w:bidi="ar"/>
              </w:rPr>
              <w:t>100</w:t>
            </w:r>
          </w:p>
        </w:tc>
        <w:tc>
          <w:tcPr>
            <w:tcW w:w="26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4C9486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333333"/>
                <w:kern w:val="0"/>
                <w:sz w:val="20"/>
                <w:szCs w:val="20"/>
                <w:u w:val="none"/>
                <w:lang w:val="en-US" w:eastAsia="zh-CN" w:bidi="ar"/>
              </w:rPr>
              <w:t>隆安县丁当镇水产</w:t>
            </w:r>
            <w:r>
              <w:rPr>
                <w:rFonts w:hint="eastAsia" w:ascii="宋体" w:hAnsi="宋体" w:eastAsia="宋体" w:cs="宋体"/>
                <w:i w:val="0"/>
                <w:iCs w:val="0"/>
                <w:color w:val="333333"/>
                <w:kern w:val="0"/>
                <w:sz w:val="20"/>
                <w:szCs w:val="20"/>
                <w:u w:val="none"/>
                <w:lang w:val="en-US" w:eastAsia="zh-CN" w:bidi="ar"/>
              </w:rPr>
              <w:br w:type="textWrapping"/>
            </w:r>
            <w:r>
              <w:rPr>
                <w:rFonts w:hint="eastAsia" w:ascii="宋体" w:hAnsi="宋体" w:eastAsia="宋体" w:cs="宋体"/>
                <w:i w:val="0"/>
                <w:iCs w:val="0"/>
                <w:color w:val="333333"/>
                <w:kern w:val="0"/>
                <w:sz w:val="20"/>
                <w:szCs w:val="20"/>
                <w:u w:val="none"/>
                <w:lang w:val="en-US" w:eastAsia="zh-CN" w:bidi="ar"/>
              </w:rPr>
              <w:t>畜牧兽医站</w:t>
            </w:r>
          </w:p>
        </w:tc>
        <w:tc>
          <w:tcPr>
            <w:tcW w:w="35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73BE80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333333"/>
                <w:kern w:val="0"/>
                <w:sz w:val="20"/>
                <w:szCs w:val="20"/>
                <w:u w:val="none"/>
                <w:lang w:val="en-US" w:eastAsia="zh-CN" w:bidi="ar"/>
              </w:rPr>
              <w:t>隆安县丁当镇华</w:t>
            </w:r>
            <w:r>
              <w:rPr>
                <w:rFonts w:hint="eastAsia" w:ascii="宋体" w:hAnsi="宋体" w:eastAsia="宋体" w:cs="宋体"/>
                <w:i w:val="0"/>
                <w:iCs w:val="0"/>
                <w:color w:val="333333"/>
                <w:kern w:val="0"/>
                <w:sz w:val="20"/>
                <w:szCs w:val="20"/>
                <w:u w:val="none"/>
                <w:lang w:val="en-US" w:eastAsia="zh-CN" w:bidi="ar"/>
              </w:rPr>
              <w:br w:type="textWrapping"/>
            </w:r>
            <w:r>
              <w:rPr>
                <w:rFonts w:hint="eastAsia" w:ascii="宋体" w:hAnsi="宋体" w:eastAsia="宋体" w:cs="宋体"/>
                <w:i w:val="0"/>
                <w:iCs w:val="0"/>
                <w:color w:val="333333"/>
                <w:kern w:val="0"/>
                <w:sz w:val="20"/>
                <w:szCs w:val="20"/>
                <w:u w:val="none"/>
                <w:lang w:val="en-US" w:eastAsia="zh-CN" w:bidi="ar"/>
              </w:rPr>
              <w:t>西街78号</w:t>
            </w:r>
          </w:p>
        </w:tc>
      </w:tr>
      <w:tr w14:paraId="68FF1B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92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4BC326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73</w:t>
            </w:r>
          </w:p>
        </w:tc>
        <w:tc>
          <w:tcPr>
            <w:tcW w:w="196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9A35A9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光纤点到点线路</w:t>
            </w:r>
          </w:p>
        </w:tc>
        <w:tc>
          <w:tcPr>
            <w:tcW w:w="94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E03923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100</w:t>
            </w:r>
          </w:p>
        </w:tc>
        <w:tc>
          <w:tcPr>
            <w:tcW w:w="26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9CED28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cs="宋体"/>
                <w:i w:val="0"/>
                <w:iCs w:val="0"/>
                <w:color w:val="333333"/>
                <w:kern w:val="0"/>
                <w:sz w:val="20"/>
                <w:szCs w:val="20"/>
                <w:u w:val="none"/>
                <w:lang w:val="en-US" w:eastAsia="zh-CN" w:bidi="ar"/>
              </w:rPr>
              <w:t>备用线路</w:t>
            </w:r>
          </w:p>
        </w:tc>
        <w:tc>
          <w:tcPr>
            <w:tcW w:w="35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A54633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cs="宋体"/>
                <w:i w:val="0"/>
                <w:iCs w:val="0"/>
                <w:color w:val="333333"/>
                <w:kern w:val="0"/>
                <w:sz w:val="20"/>
                <w:szCs w:val="20"/>
                <w:u w:val="none"/>
                <w:lang w:val="en-US" w:eastAsia="zh-CN" w:bidi="ar"/>
              </w:rPr>
              <w:t>备用线路</w:t>
            </w:r>
          </w:p>
        </w:tc>
      </w:tr>
      <w:tr w14:paraId="3C1239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5611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74</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B597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光纤点到点线路</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D0B5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100</w:t>
            </w:r>
          </w:p>
        </w:tc>
        <w:tc>
          <w:tcPr>
            <w:tcW w:w="2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A7F6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备用线路</w:t>
            </w:r>
          </w:p>
        </w:tc>
        <w:tc>
          <w:tcPr>
            <w:tcW w:w="3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A76C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备用线路</w:t>
            </w:r>
          </w:p>
        </w:tc>
      </w:tr>
    </w:tbl>
    <w:p w14:paraId="0B6CD1A4">
      <w:pPr>
        <w:spacing w:line="428" w:lineRule="exact"/>
        <w:ind w:left="119"/>
        <w:rPr>
          <w:rFonts w:hint="eastAsia" w:ascii="Arial Unicode MS" w:hAnsi="Arial Unicode MS" w:eastAsia="Arial Unicode MS" w:cs="Arial Unicode MS"/>
          <w:color w:val="auto"/>
          <w:sz w:val="32"/>
          <w:szCs w:val="32"/>
          <w:highlight w:val="none"/>
        </w:rPr>
      </w:pPr>
    </w:p>
    <w:p w14:paraId="5563867A">
      <w:pPr>
        <w:spacing w:line="428" w:lineRule="exact"/>
        <w:ind w:left="119"/>
        <w:rPr>
          <w:rFonts w:hint="eastAsia" w:ascii="Arial Unicode MS" w:hAnsi="Arial Unicode MS" w:eastAsia="Arial Unicode MS" w:cs="Arial Unicode MS"/>
          <w:color w:val="auto"/>
          <w:sz w:val="32"/>
          <w:szCs w:val="32"/>
          <w:highlight w:val="none"/>
        </w:rPr>
      </w:pPr>
    </w:p>
    <w:p w14:paraId="0105E3F1">
      <w:pPr>
        <w:spacing w:line="428" w:lineRule="exact"/>
        <w:ind w:left="119"/>
        <w:rPr>
          <w:rFonts w:hint="eastAsia" w:ascii="Arial Unicode MS" w:hAnsi="Arial Unicode MS" w:eastAsia="Arial Unicode MS" w:cs="Arial Unicode MS"/>
          <w:color w:val="auto"/>
          <w:sz w:val="32"/>
          <w:szCs w:val="32"/>
          <w:highlight w:val="none"/>
        </w:rPr>
      </w:pPr>
    </w:p>
    <w:p w14:paraId="069F6507">
      <w:pPr>
        <w:spacing w:line="428" w:lineRule="exact"/>
        <w:ind w:left="119"/>
        <w:rPr>
          <w:rFonts w:hint="eastAsia" w:ascii="Arial Unicode MS" w:hAnsi="Arial Unicode MS" w:eastAsia="Arial Unicode MS" w:cs="Arial Unicode MS"/>
          <w:color w:val="auto"/>
          <w:sz w:val="32"/>
          <w:szCs w:val="32"/>
          <w:highlight w:val="none"/>
        </w:rPr>
      </w:pPr>
    </w:p>
    <w:p w14:paraId="1655E00C">
      <w:pPr>
        <w:spacing w:line="428" w:lineRule="exact"/>
        <w:ind w:left="119"/>
        <w:rPr>
          <w:rFonts w:hint="eastAsia" w:ascii="Arial Unicode MS" w:hAnsi="Arial Unicode MS" w:eastAsia="Arial Unicode MS" w:cs="Arial Unicode MS"/>
          <w:color w:val="auto"/>
          <w:sz w:val="32"/>
          <w:szCs w:val="32"/>
          <w:highlight w:val="none"/>
        </w:rPr>
      </w:pPr>
    </w:p>
    <w:p w14:paraId="013C5117">
      <w:pPr>
        <w:spacing w:line="428" w:lineRule="exact"/>
        <w:ind w:left="119"/>
        <w:rPr>
          <w:rFonts w:hint="eastAsia" w:ascii="Arial Unicode MS" w:hAnsi="Arial Unicode MS" w:eastAsia="Arial Unicode MS" w:cs="Arial Unicode MS"/>
          <w:color w:val="auto"/>
          <w:sz w:val="32"/>
          <w:szCs w:val="32"/>
          <w:highlight w:val="none"/>
        </w:rPr>
      </w:pPr>
    </w:p>
    <w:p w14:paraId="4F22A68E">
      <w:pPr>
        <w:spacing w:line="428" w:lineRule="exact"/>
        <w:ind w:left="119"/>
        <w:rPr>
          <w:rFonts w:hint="eastAsia" w:ascii="Arial Unicode MS" w:hAnsi="Arial Unicode MS" w:eastAsia="Arial Unicode MS" w:cs="Arial Unicode MS"/>
          <w:color w:val="auto"/>
          <w:sz w:val="32"/>
          <w:szCs w:val="32"/>
          <w:highlight w:val="none"/>
        </w:rPr>
      </w:pPr>
    </w:p>
    <w:p w14:paraId="6EED18B7">
      <w:pPr>
        <w:spacing w:line="428" w:lineRule="exact"/>
        <w:ind w:left="119"/>
        <w:rPr>
          <w:rFonts w:hint="eastAsia" w:ascii="Arial Unicode MS" w:hAnsi="Arial Unicode MS" w:eastAsia="Arial Unicode MS" w:cs="Arial Unicode MS"/>
          <w:color w:val="auto"/>
          <w:sz w:val="32"/>
          <w:szCs w:val="32"/>
          <w:highlight w:val="none"/>
        </w:rPr>
      </w:pPr>
    </w:p>
    <w:p w14:paraId="265E2443">
      <w:pPr>
        <w:pStyle w:val="14"/>
        <w:rPr>
          <w:rFonts w:hint="eastAsia" w:ascii="Arial Unicode MS" w:hAnsi="Arial Unicode MS" w:eastAsia="Arial Unicode MS" w:cs="Arial Unicode MS"/>
          <w:color w:val="auto"/>
          <w:sz w:val="32"/>
          <w:szCs w:val="32"/>
          <w:highlight w:val="none"/>
        </w:rPr>
      </w:pPr>
    </w:p>
    <w:p w14:paraId="06066FF9">
      <w:pPr>
        <w:rPr>
          <w:rFonts w:hint="eastAsia" w:ascii="Arial Unicode MS" w:hAnsi="Arial Unicode MS" w:eastAsia="Arial Unicode MS" w:cs="Arial Unicode MS"/>
          <w:color w:val="auto"/>
          <w:sz w:val="32"/>
          <w:szCs w:val="32"/>
          <w:highlight w:val="none"/>
        </w:rPr>
      </w:pPr>
    </w:p>
    <w:p w14:paraId="147F9DB3">
      <w:pPr>
        <w:pStyle w:val="14"/>
        <w:rPr>
          <w:rFonts w:hint="eastAsia" w:ascii="Arial Unicode MS" w:hAnsi="Arial Unicode MS" w:eastAsia="Arial Unicode MS" w:cs="Arial Unicode MS"/>
          <w:color w:val="auto"/>
          <w:sz w:val="32"/>
          <w:szCs w:val="32"/>
          <w:highlight w:val="none"/>
        </w:rPr>
      </w:pPr>
    </w:p>
    <w:p w14:paraId="4A265DE8">
      <w:pPr>
        <w:rPr>
          <w:rFonts w:hint="eastAsia" w:ascii="Arial Unicode MS" w:hAnsi="Arial Unicode MS" w:eastAsia="Arial Unicode MS" w:cs="Arial Unicode MS"/>
          <w:color w:val="auto"/>
          <w:sz w:val="32"/>
          <w:szCs w:val="32"/>
          <w:highlight w:val="none"/>
        </w:rPr>
      </w:pPr>
    </w:p>
    <w:p w14:paraId="7CE6DCCC">
      <w:pPr>
        <w:rPr>
          <w:rFonts w:hint="eastAsia" w:ascii="Arial Unicode MS" w:hAnsi="Arial Unicode MS" w:eastAsia="Arial Unicode MS" w:cs="Arial Unicode MS"/>
          <w:color w:val="auto"/>
          <w:sz w:val="32"/>
          <w:szCs w:val="32"/>
          <w:highlight w:val="none"/>
        </w:rPr>
      </w:pPr>
    </w:p>
    <w:p w14:paraId="6973817D">
      <w:pPr>
        <w:rPr>
          <w:rFonts w:hint="eastAsia" w:ascii="Arial Unicode MS" w:hAnsi="Arial Unicode MS" w:eastAsia="Arial Unicode MS" w:cs="Arial Unicode MS"/>
          <w:color w:val="auto"/>
          <w:sz w:val="32"/>
          <w:szCs w:val="32"/>
          <w:highlight w:val="none"/>
        </w:rPr>
      </w:pPr>
    </w:p>
    <w:p w14:paraId="144B49CF">
      <w:pPr>
        <w:rPr>
          <w:rFonts w:hint="eastAsia" w:ascii="Arial Unicode MS" w:hAnsi="Arial Unicode MS" w:eastAsia="Arial Unicode MS" w:cs="Arial Unicode MS"/>
          <w:color w:val="auto"/>
          <w:sz w:val="32"/>
          <w:szCs w:val="32"/>
          <w:highlight w:val="none"/>
        </w:rPr>
      </w:pPr>
    </w:p>
    <w:p w14:paraId="4104465F">
      <w:pPr>
        <w:rPr>
          <w:rFonts w:hint="eastAsia" w:ascii="Arial Unicode MS" w:hAnsi="Arial Unicode MS" w:eastAsia="Arial Unicode MS" w:cs="Arial Unicode MS"/>
          <w:color w:val="auto"/>
          <w:sz w:val="32"/>
          <w:szCs w:val="32"/>
          <w:highlight w:val="none"/>
        </w:rPr>
      </w:pPr>
    </w:p>
    <w:p w14:paraId="6D32A485">
      <w:pPr>
        <w:rPr>
          <w:rFonts w:hint="eastAsia" w:ascii="Arial Unicode MS" w:hAnsi="Arial Unicode MS" w:eastAsia="Arial Unicode MS" w:cs="Arial Unicode MS"/>
          <w:color w:val="auto"/>
          <w:sz w:val="32"/>
          <w:szCs w:val="32"/>
          <w:highlight w:val="none"/>
        </w:rPr>
      </w:pPr>
    </w:p>
    <w:p w14:paraId="15517DA8">
      <w:pPr>
        <w:rPr>
          <w:rFonts w:hint="eastAsia" w:ascii="Arial Unicode MS" w:hAnsi="Arial Unicode MS" w:eastAsia="Arial Unicode MS" w:cs="Arial Unicode MS"/>
          <w:color w:val="auto"/>
          <w:sz w:val="32"/>
          <w:szCs w:val="32"/>
          <w:highlight w:val="none"/>
        </w:rPr>
      </w:pPr>
    </w:p>
    <w:p w14:paraId="778310E5">
      <w:pPr>
        <w:rPr>
          <w:rFonts w:hint="eastAsia" w:ascii="Arial Unicode MS" w:hAnsi="Arial Unicode MS" w:eastAsia="Arial Unicode MS" w:cs="Arial Unicode MS"/>
          <w:color w:val="auto"/>
          <w:sz w:val="32"/>
          <w:szCs w:val="32"/>
          <w:highlight w:val="none"/>
        </w:rPr>
      </w:pPr>
    </w:p>
    <w:p w14:paraId="72C64FF3">
      <w:pPr>
        <w:rPr>
          <w:rFonts w:hint="eastAsia" w:ascii="Arial Unicode MS" w:hAnsi="Arial Unicode MS" w:eastAsia="Arial Unicode MS" w:cs="Arial Unicode MS"/>
          <w:color w:val="auto"/>
          <w:sz w:val="32"/>
          <w:szCs w:val="32"/>
          <w:highlight w:val="none"/>
        </w:rPr>
      </w:pPr>
    </w:p>
    <w:p w14:paraId="54869CB7">
      <w:pPr>
        <w:rPr>
          <w:rFonts w:hint="eastAsia" w:ascii="Arial Unicode MS" w:hAnsi="Arial Unicode MS" w:eastAsia="Arial Unicode MS" w:cs="Arial Unicode MS"/>
          <w:color w:val="auto"/>
          <w:sz w:val="32"/>
          <w:szCs w:val="32"/>
          <w:highlight w:val="none"/>
        </w:rPr>
      </w:pPr>
    </w:p>
    <w:p w14:paraId="64D68681">
      <w:pPr>
        <w:rPr>
          <w:rFonts w:hint="eastAsia" w:ascii="Arial Unicode MS" w:hAnsi="Arial Unicode MS" w:eastAsia="Arial Unicode MS" w:cs="Arial Unicode MS"/>
          <w:color w:val="auto"/>
          <w:sz w:val="32"/>
          <w:szCs w:val="32"/>
          <w:highlight w:val="none"/>
        </w:rPr>
      </w:pPr>
    </w:p>
    <w:p w14:paraId="61DC78CE">
      <w:pPr>
        <w:rPr>
          <w:rFonts w:hint="eastAsia" w:ascii="Arial Unicode MS" w:hAnsi="Arial Unicode MS" w:eastAsia="Arial Unicode MS" w:cs="Arial Unicode MS"/>
          <w:color w:val="auto"/>
          <w:sz w:val="32"/>
          <w:szCs w:val="32"/>
          <w:highlight w:val="none"/>
        </w:rPr>
      </w:pPr>
    </w:p>
    <w:p w14:paraId="7BEA04C4">
      <w:pPr>
        <w:spacing w:line="428" w:lineRule="exact"/>
        <w:ind w:left="119"/>
        <w:rPr>
          <w:rFonts w:hint="eastAsia" w:ascii="Arial Unicode MS" w:hAnsi="Arial Unicode MS" w:eastAsia="Arial Unicode MS" w:cs="Arial Unicode MS"/>
          <w:color w:val="auto"/>
          <w:sz w:val="17"/>
          <w:szCs w:val="17"/>
          <w:highlight w:val="none"/>
        </w:rPr>
      </w:pPr>
      <w:r>
        <w:rPr>
          <w:rFonts w:hint="eastAsia" w:ascii="Arial Unicode MS" w:hAnsi="Arial Unicode MS" w:eastAsia="Arial Unicode MS" w:cs="Arial Unicode MS"/>
          <w:color w:val="auto"/>
          <w:sz w:val="32"/>
          <w:szCs w:val="32"/>
          <w:highlight w:val="none"/>
        </w:rPr>
        <w:t>附件</w:t>
      </w:r>
      <w:r>
        <w:rPr>
          <w:rFonts w:hint="eastAsia" w:ascii="Arial Unicode MS" w:hAnsi="Arial Unicode MS" w:eastAsia="Arial Unicode MS" w:cs="Arial Unicode MS"/>
          <w:color w:val="auto"/>
          <w:sz w:val="32"/>
          <w:szCs w:val="32"/>
          <w:highlight w:val="none"/>
          <w:lang w:val="en-US" w:eastAsia="zh-CN"/>
        </w:rPr>
        <w:t>1</w:t>
      </w:r>
      <w:r>
        <w:rPr>
          <w:rFonts w:hint="eastAsia" w:ascii="Arial Unicode MS" w:hAnsi="Arial Unicode MS" w:eastAsia="Arial Unicode MS" w:cs="Arial Unicode MS"/>
          <w:color w:val="auto"/>
          <w:sz w:val="32"/>
          <w:szCs w:val="32"/>
          <w:highlight w:val="none"/>
        </w:rPr>
        <w:t>：</w:t>
      </w:r>
    </w:p>
    <w:p w14:paraId="6EA9094A">
      <w:pPr>
        <w:spacing w:line="528" w:lineRule="exact"/>
        <w:jc w:val="center"/>
        <w:rPr>
          <w:rFonts w:hint="eastAsia" w:ascii="Arial Unicode MS" w:hAnsi="Arial Unicode MS" w:eastAsia="Arial Unicode MS" w:cs="Arial Unicode MS"/>
          <w:color w:val="auto"/>
          <w:sz w:val="40"/>
          <w:szCs w:val="40"/>
          <w:highlight w:val="none"/>
        </w:rPr>
      </w:pPr>
      <w:r>
        <w:rPr>
          <w:rFonts w:hint="eastAsia" w:ascii="Arial Unicode MS" w:hAnsi="Arial Unicode MS" w:eastAsia="Arial Unicode MS" w:cs="Arial Unicode MS"/>
          <w:color w:val="auto"/>
          <w:sz w:val="40"/>
          <w:szCs w:val="40"/>
          <w:highlight w:val="none"/>
        </w:rPr>
        <w:t>节能产品政府采购品目清单</w:t>
      </w:r>
    </w:p>
    <w:tbl>
      <w:tblPr>
        <w:tblStyle w:val="30"/>
        <w:tblW w:w="9882" w:type="dxa"/>
        <w:tblInd w:w="93" w:type="dxa"/>
        <w:tblLayout w:type="fixed"/>
        <w:tblCellMar>
          <w:top w:w="0" w:type="dxa"/>
          <w:left w:w="108" w:type="dxa"/>
          <w:bottom w:w="0" w:type="dxa"/>
          <w:right w:w="108" w:type="dxa"/>
        </w:tblCellMar>
      </w:tblPr>
      <w:tblGrid>
        <w:gridCol w:w="792"/>
        <w:gridCol w:w="1358"/>
        <w:gridCol w:w="1582"/>
        <w:gridCol w:w="2085"/>
        <w:gridCol w:w="4065"/>
      </w:tblGrid>
      <w:tr w14:paraId="6191E463">
        <w:tblPrEx>
          <w:tblCellMar>
            <w:top w:w="0" w:type="dxa"/>
            <w:left w:w="108" w:type="dxa"/>
            <w:bottom w:w="0" w:type="dxa"/>
            <w:right w:w="108" w:type="dxa"/>
          </w:tblCellMar>
        </w:tblPrEx>
        <w:trPr>
          <w:trHeight w:val="555" w:hRule="atLeast"/>
        </w:trPr>
        <w:tc>
          <w:tcPr>
            <w:tcW w:w="792" w:type="dxa"/>
            <w:tcBorders>
              <w:top w:val="single" w:color="000000" w:sz="8" w:space="0"/>
              <w:left w:val="single" w:color="000000" w:sz="8" w:space="0"/>
              <w:bottom w:val="single" w:color="000000" w:sz="8" w:space="0"/>
              <w:right w:val="single" w:color="000000" w:sz="8" w:space="0"/>
            </w:tcBorders>
            <w:noWrap w:val="0"/>
            <w:vAlign w:val="top"/>
          </w:tcPr>
          <w:p w14:paraId="3B693D76">
            <w:pPr>
              <w:keepNext w:val="0"/>
              <w:keepLines w:val="0"/>
              <w:widowControl/>
              <w:suppressLineNumbers w:val="0"/>
              <w:spacing w:before="0" w:beforeAutospacing="0" w:after="0" w:afterAutospacing="0"/>
              <w:ind w:left="0" w:right="0"/>
              <w:jc w:val="center"/>
              <w:rPr>
                <w:rFonts w:hint="default" w:ascii="宋体" w:hAnsi="宋体" w:cs="宋体"/>
                <w:b/>
                <w:bCs/>
                <w:color w:val="auto"/>
                <w:kern w:val="0"/>
                <w:sz w:val="22"/>
                <w:highlight w:val="none"/>
              </w:rPr>
            </w:pPr>
            <w:r>
              <w:rPr>
                <w:rFonts w:hint="eastAsia" w:ascii="宋体" w:hAnsi="宋体" w:cs="宋体"/>
                <w:b/>
                <w:bCs/>
                <w:color w:val="auto"/>
                <w:kern w:val="0"/>
                <w:sz w:val="22"/>
                <w:highlight w:val="none"/>
              </w:rPr>
              <w:t>品目序号</w:t>
            </w:r>
          </w:p>
        </w:tc>
        <w:tc>
          <w:tcPr>
            <w:tcW w:w="5025" w:type="dxa"/>
            <w:gridSpan w:val="3"/>
            <w:tcBorders>
              <w:top w:val="single" w:color="000000" w:sz="8" w:space="0"/>
              <w:left w:val="nil"/>
              <w:bottom w:val="single" w:color="000000" w:sz="8" w:space="0"/>
              <w:right w:val="single" w:color="000000" w:sz="8" w:space="0"/>
            </w:tcBorders>
            <w:noWrap w:val="0"/>
            <w:vAlign w:val="center"/>
          </w:tcPr>
          <w:p w14:paraId="4D3CB308">
            <w:pPr>
              <w:keepNext w:val="0"/>
              <w:keepLines w:val="0"/>
              <w:widowControl/>
              <w:suppressLineNumbers w:val="0"/>
              <w:spacing w:before="0" w:beforeAutospacing="0" w:after="0" w:afterAutospacing="0"/>
              <w:ind w:left="0" w:right="0"/>
              <w:jc w:val="center"/>
              <w:rPr>
                <w:rFonts w:hint="default" w:ascii="宋体" w:hAnsi="宋体" w:cs="宋体"/>
                <w:b/>
                <w:bCs/>
                <w:color w:val="auto"/>
                <w:kern w:val="0"/>
                <w:sz w:val="22"/>
                <w:highlight w:val="none"/>
              </w:rPr>
            </w:pPr>
            <w:r>
              <w:rPr>
                <w:rFonts w:hint="eastAsia" w:ascii="宋体" w:hAnsi="宋体" w:cs="宋体"/>
                <w:b/>
                <w:bCs/>
                <w:color w:val="auto"/>
                <w:kern w:val="0"/>
                <w:sz w:val="22"/>
                <w:highlight w:val="none"/>
              </w:rPr>
              <w:t>名称</w:t>
            </w:r>
          </w:p>
        </w:tc>
        <w:tc>
          <w:tcPr>
            <w:tcW w:w="4065" w:type="dxa"/>
            <w:tcBorders>
              <w:top w:val="single" w:color="000000" w:sz="8" w:space="0"/>
              <w:left w:val="nil"/>
              <w:bottom w:val="single" w:color="000000" w:sz="8" w:space="0"/>
              <w:right w:val="single" w:color="000000" w:sz="8" w:space="0"/>
            </w:tcBorders>
            <w:noWrap w:val="0"/>
            <w:vAlign w:val="center"/>
          </w:tcPr>
          <w:p w14:paraId="212682B4">
            <w:pPr>
              <w:keepNext w:val="0"/>
              <w:keepLines w:val="0"/>
              <w:widowControl/>
              <w:suppressLineNumbers w:val="0"/>
              <w:spacing w:before="0" w:beforeAutospacing="0" w:after="0" w:afterAutospacing="0"/>
              <w:ind w:left="0" w:right="0"/>
              <w:jc w:val="center"/>
              <w:rPr>
                <w:rFonts w:hint="default" w:ascii="宋体" w:hAnsi="宋体" w:cs="宋体"/>
                <w:b/>
                <w:bCs/>
                <w:color w:val="auto"/>
                <w:kern w:val="0"/>
                <w:sz w:val="22"/>
                <w:highlight w:val="none"/>
              </w:rPr>
            </w:pPr>
            <w:r>
              <w:rPr>
                <w:rFonts w:hint="eastAsia" w:ascii="宋体" w:hAnsi="宋体" w:cs="宋体"/>
                <w:b/>
                <w:bCs/>
                <w:color w:val="auto"/>
                <w:kern w:val="0"/>
                <w:sz w:val="22"/>
                <w:highlight w:val="none"/>
              </w:rPr>
              <w:t>依据的标准</w:t>
            </w:r>
          </w:p>
        </w:tc>
      </w:tr>
      <w:tr w14:paraId="4EB91226">
        <w:tblPrEx>
          <w:tblCellMar>
            <w:top w:w="0" w:type="dxa"/>
            <w:left w:w="108" w:type="dxa"/>
            <w:bottom w:w="0" w:type="dxa"/>
            <w:right w:w="108" w:type="dxa"/>
          </w:tblCellMar>
        </w:tblPrEx>
        <w:trPr>
          <w:trHeight w:val="495" w:hRule="atLeast"/>
        </w:trPr>
        <w:tc>
          <w:tcPr>
            <w:tcW w:w="792" w:type="dxa"/>
            <w:vMerge w:val="restart"/>
            <w:tcBorders>
              <w:top w:val="nil"/>
              <w:left w:val="single" w:color="000000" w:sz="8" w:space="0"/>
              <w:bottom w:val="single" w:color="000000" w:sz="8" w:space="0"/>
              <w:right w:val="single" w:color="000000" w:sz="8" w:space="0"/>
            </w:tcBorders>
            <w:noWrap w:val="0"/>
            <w:vAlign w:val="center"/>
          </w:tcPr>
          <w:p w14:paraId="46DE6956">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1</w:t>
            </w:r>
          </w:p>
        </w:tc>
        <w:tc>
          <w:tcPr>
            <w:tcW w:w="1358" w:type="dxa"/>
            <w:vMerge w:val="restart"/>
            <w:tcBorders>
              <w:top w:val="nil"/>
              <w:left w:val="single" w:color="000000" w:sz="8" w:space="0"/>
              <w:bottom w:val="single" w:color="000000" w:sz="8" w:space="0"/>
              <w:right w:val="single" w:color="000000" w:sz="8" w:space="0"/>
            </w:tcBorders>
            <w:noWrap w:val="0"/>
            <w:vAlign w:val="center"/>
          </w:tcPr>
          <w:p w14:paraId="0B43C2A6">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A020101计算机设备</w:t>
            </w:r>
          </w:p>
        </w:tc>
        <w:tc>
          <w:tcPr>
            <w:tcW w:w="1582" w:type="dxa"/>
            <w:tcBorders>
              <w:top w:val="nil"/>
              <w:left w:val="nil"/>
              <w:bottom w:val="single" w:color="000000" w:sz="8" w:space="0"/>
              <w:right w:val="single" w:color="000000" w:sz="8" w:space="0"/>
            </w:tcBorders>
            <w:noWrap w:val="0"/>
            <w:vAlign w:val="center"/>
          </w:tcPr>
          <w:p w14:paraId="2E2FC7C6">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★A02010104台式计算机</w:t>
            </w:r>
          </w:p>
        </w:tc>
        <w:tc>
          <w:tcPr>
            <w:tcW w:w="2085" w:type="dxa"/>
            <w:tcBorders>
              <w:top w:val="nil"/>
              <w:left w:val="nil"/>
              <w:bottom w:val="single" w:color="000000" w:sz="8" w:space="0"/>
              <w:right w:val="single" w:color="000000" w:sz="8" w:space="0"/>
            </w:tcBorders>
            <w:noWrap w:val="0"/>
            <w:vAlign w:val="center"/>
          </w:tcPr>
          <w:p w14:paraId="5D0537F9">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065" w:type="dxa"/>
            <w:tcBorders>
              <w:top w:val="nil"/>
              <w:left w:val="nil"/>
              <w:bottom w:val="single" w:color="000000" w:sz="8" w:space="0"/>
              <w:right w:val="single" w:color="000000" w:sz="8" w:space="0"/>
            </w:tcBorders>
            <w:noWrap w:val="0"/>
            <w:vAlign w:val="center"/>
          </w:tcPr>
          <w:p w14:paraId="169D7FCA">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《微型计算机能效限定值及能效等级》（GB28380）</w:t>
            </w:r>
          </w:p>
        </w:tc>
      </w:tr>
      <w:tr w14:paraId="413B6EDB">
        <w:tblPrEx>
          <w:tblCellMar>
            <w:top w:w="0" w:type="dxa"/>
            <w:left w:w="108" w:type="dxa"/>
            <w:bottom w:w="0" w:type="dxa"/>
            <w:right w:w="108" w:type="dxa"/>
          </w:tblCellMar>
        </w:tblPrEx>
        <w:trPr>
          <w:trHeight w:val="495" w:hRule="atLeast"/>
        </w:trPr>
        <w:tc>
          <w:tcPr>
            <w:tcW w:w="792" w:type="dxa"/>
            <w:vMerge w:val="continue"/>
            <w:tcBorders>
              <w:top w:val="nil"/>
              <w:left w:val="single" w:color="000000" w:sz="8" w:space="0"/>
              <w:bottom w:val="single" w:color="000000" w:sz="8" w:space="0"/>
              <w:right w:val="single" w:color="000000" w:sz="8" w:space="0"/>
            </w:tcBorders>
            <w:noWrap w:val="0"/>
            <w:vAlign w:val="center"/>
          </w:tcPr>
          <w:p w14:paraId="7174F609">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1358" w:type="dxa"/>
            <w:vMerge w:val="continue"/>
            <w:tcBorders>
              <w:top w:val="nil"/>
              <w:left w:val="single" w:color="000000" w:sz="8" w:space="0"/>
              <w:bottom w:val="single" w:color="000000" w:sz="8" w:space="0"/>
              <w:right w:val="single" w:color="000000" w:sz="8" w:space="0"/>
            </w:tcBorders>
            <w:noWrap w:val="0"/>
            <w:vAlign w:val="center"/>
          </w:tcPr>
          <w:p w14:paraId="414EE1D6">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1582" w:type="dxa"/>
            <w:tcBorders>
              <w:top w:val="nil"/>
              <w:left w:val="nil"/>
              <w:bottom w:val="single" w:color="000000" w:sz="8" w:space="0"/>
              <w:right w:val="single" w:color="000000" w:sz="8" w:space="0"/>
            </w:tcBorders>
            <w:noWrap w:val="0"/>
            <w:vAlign w:val="center"/>
          </w:tcPr>
          <w:p w14:paraId="6EEDC354">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★A02010105便携式计算机</w:t>
            </w:r>
          </w:p>
        </w:tc>
        <w:tc>
          <w:tcPr>
            <w:tcW w:w="2085" w:type="dxa"/>
            <w:tcBorders>
              <w:top w:val="nil"/>
              <w:left w:val="nil"/>
              <w:bottom w:val="single" w:color="000000" w:sz="8" w:space="0"/>
              <w:right w:val="single" w:color="000000" w:sz="8" w:space="0"/>
            </w:tcBorders>
            <w:noWrap w:val="0"/>
            <w:vAlign w:val="center"/>
          </w:tcPr>
          <w:p w14:paraId="486AC5CF">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065" w:type="dxa"/>
            <w:tcBorders>
              <w:top w:val="nil"/>
              <w:left w:val="nil"/>
              <w:bottom w:val="single" w:color="000000" w:sz="8" w:space="0"/>
              <w:right w:val="single" w:color="000000" w:sz="8" w:space="0"/>
            </w:tcBorders>
            <w:noWrap w:val="0"/>
            <w:vAlign w:val="center"/>
          </w:tcPr>
          <w:p w14:paraId="077ECAC7">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《微型计算机能效限定值及能效等级》（GB28380）</w:t>
            </w:r>
          </w:p>
        </w:tc>
      </w:tr>
      <w:tr w14:paraId="4FD65DA2">
        <w:tblPrEx>
          <w:tblCellMar>
            <w:top w:w="0" w:type="dxa"/>
            <w:left w:w="108" w:type="dxa"/>
            <w:bottom w:w="0" w:type="dxa"/>
            <w:right w:w="108" w:type="dxa"/>
          </w:tblCellMar>
        </w:tblPrEx>
        <w:trPr>
          <w:trHeight w:val="735" w:hRule="atLeast"/>
        </w:trPr>
        <w:tc>
          <w:tcPr>
            <w:tcW w:w="792" w:type="dxa"/>
            <w:vMerge w:val="continue"/>
            <w:tcBorders>
              <w:top w:val="nil"/>
              <w:left w:val="single" w:color="000000" w:sz="8" w:space="0"/>
              <w:bottom w:val="single" w:color="000000" w:sz="8" w:space="0"/>
              <w:right w:val="single" w:color="000000" w:sz="8" w:space="0"/>
            </w:tcBorders>
            <w:noWrap w:val="0"/>
            <w:vAlign w:val="center"/>
          </w:tcPr>
          <w:p w14:paraId="43A1D30D">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1358" w:type="dxa"/>
            <w:vMerge w:val="continue"/>
            <w:tcBorders>
              <w:top w:val="nil"/>
              <w:left w:val="single" w:color="000000" w:sz="8" w:space="0"/>
              <w:bottom w:val="single" w:color="000000" w:sz="8" w:space="0"/>
              <w:right w:val="single" w:color="000000" w:sz="8" w:space="0"/>
            </w:tcBorders>
            <w:noWrap w:val="0"/>
            <w:vAlign w:val="center"/>
          </w:tcPr>
          <w:p w14:paraId="0CABE929">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1582" w:type="dxa"/>
            <w:tcBorders>
              <w:top w:val="nil"/>
              <w:left w:val="nil"/>
              <w:bottom w:val="single" w:color="000000" w:sz="8" w:space="0"/>
              <w:right w:val="single" w:color="000000" w:sz="8" w:space="0"/>
            </w:tcBorders>
            <w:noWrap w:val="0"/>
            <w:vAlign w:val="center"/>
          </w:tcPr>
          <w:p w14:paraId="3EA35AA5">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★A02010107平板式微型计算机</w:t>
            </w:r>
          </w:p>
        </w:tc>
        <w:tc>
          <w:tcPr>
            <w:tcW w:w="2085" w:type="dxa"/>
            <w:tcBorders>
              <w:top w:val="nil"/>
              <w:left w:val="nil"/>
              <w:bottom w:val="single" w:color="000000" w:sz="8" w:space="0"/>
              <w:right w:val="single" w:color="000000" w:sz="8" w:space="0"/>
            </w:tcBorders>
            <w:noWrap w:val="0"/>
            <w:vAlign w:val="center"/>
          </w:tcPr>
          <w:p w14:paraId="295B8194">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065" w:type="dxa"/>
            <w:tcBorders>
              <w:top w:val="nil"/>
              <w:left w:val="nil"/>
              <w:bottom w:val="single" w:color="000000" w:sz="8" w:space="0"/>
              <w:right w:val="single" w:color="000000" w:sz="8" w:space="0"/>
            </w:tcBorders>
            <w:noWrap w:val="0"/>
            <w:vAlign w:val="center"/>
          </w:tcPr>
          <w:p w14:paraId="36A881BE">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《微型计算机能效限定值及能效等级》（GB28380）</w:t>
            </w:r>
          </w:p>
        </w:tc>
      </w:tr>
      <w:tr w14:paraId="46F88F9F">
        <w:tblPrEx>
          <w:tblCellMar>
            <w:top w:w="0" w:type="dxa"/>
            <w:left w:w="108" w:type="dxa"/>
            <w:bottom w:w="0" w:type="dxa"/>
            <w:right w:w="108" w:type="dxa"/>
          </w:tblCellMar>
        </w:tblPrEx>
        <w:trPr>
          <w:trHeight w:val="495" w:hRule="atLeast"/>
        </w:trPr>
        <w:tc>
          <w:tcPr>
            <w:tcW w:w="792" w:type="dxa"/>
            <w:vMerge w:val="restart"/>
            <w:tcBorders>
              <w:top w:val="nil"/>
              <w:left w:val="single" w:color="000000" w:sz="8" w:space="0"/>
              <w:bottom w:val="single" w:color="000000" w:sz="8" w:space="0"/>
              <w:right w:val="single" w:color="000000" w:sz="8" w:space="0"/>
            </w:tcBorders>
            <w:noWrap w:val="0"/>
            <w:vAlign w:val="center"/>
          </w:tcPr>
          <w:p w14:paraId="6EBB0DE9">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2</w:t>
            </w:r>
          </w:p>
        </w:tc>
        <w:tc>
          <w:tcPr>
            <w:tcW w:w="1358" w:type="dxa"/>
            <w:vMerge w:val="restart"/>
            <w:tcBorders>
              <w:top w:val="nil"/>
              <w:left w:val="single" w:color="000000" w:sz="8" w:space="0"/>
              <w:bottom w:val="single" w:color="000000" w:sz="8" w:space="0"/>
              <w:right w:val="single" w:color="000000" w:sz="8" w:space="0"/>
            </w:tcBorders>
            <w:noWrap w:val="0"/>
            <w:vAlign w:val="center"/>
          </w:tcPr>
          <w:p w14:paraId="227DA38C">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A020106输入输出设备</w:t>
            </w:r>
          </w:p>
        </w:tc>
        <w:tc>
          <w:tcPr>
            <w:tcW w:w="1582" w:type="dxa"/>
            <w:vMerge w:val="restart"/>
            <w:tcBorders>
              <w:top w:val="nil"/>
              <w:left w:val="single" w:color="000000" w:sz="8" w:space="0"/>
              <w:bottom w:val="single" w:color="000000" w:sz="8" w:space="0"/>
              <w:right w:val="single" w:color="000000" w:sz="8" w:space="0"/>
            </w:tcBorders>
            <w:noWrap w:val="0"/>
            <w:vAlign w:val="center"/>
          </w:tcPr>
          <w:p w14:paraId="50686B7D">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A02010601打印设备</w:t>
            </w:r>
          </w:p>
        </w:tc>
        <w:tc>
          <w:tcPr>
            <w:tcW w:w="2085" w:type="dxa"/>
            <w:tcBorders>
              <w:top w:val="nil"/>
              <w:left w:val="nil"/>
              <w:bottom w:val="single" w:color="000000" w:sz="8" w:space="0"/>
              <w:right w:val="single" w:color="000000" w:sz="8" w:space="0"/>
            </w:tcBorders>
            <w:noWrap w:val="0"/>
            <w:vAlign w:val="center"/>
          </w:tcPr>
          <w:p w14:paraId="6928CB6A">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A0201060101喷墨打印机</w:t>
            </w:r>
          </w:p>
        </w:tc>
        <w:tc>
          <w:tcPr>
            <w:tcW w:w="4065" w:type="dxa"/>
            <w:tcBorders>
              <w:top w:val="nil"/>
              <w:left w:val="nil"/>
              <w:bottom w:val="single" w:color="000000" w:sz="8" w:space="0"/>
              <w:right w:val="single" w:color="000000" w:sz="8" w:space="0"/>
            </w:tcBorders>
            <w:noWrap w:val="0"/>
            <w:vAlign w:val="center"/>
          </w:tcPr>
          <w:p w14:paraId="5E74BFC1">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《复印机、打印机和传真机能效限定值及能效等级》（GB21521）</w:t>
            </w:r>
          </w:p>
        </w:tc>
      </w:tr>
      <w:tr w14:paraId="493CB2FA">
        <w:tblPrEx>
          <w:tblCellMar>
            <w:top w:w="0" w:type="dxa"/>
            <w:left w:w="108" w:type="dxa"/>
            <w:bottom w:w="0" w:type="dxa"/>
            <w:right w:w="108" w:type="dxa"/>
          </w:tblCellMar>
        </w:tblPrEx>
        <w:trPr>
          <w:trHeight w:val="495" w:hRule="atLeast"/>
        </w:trPr>
        <w:tc>
          <w:tcPr>
            <w:tcW w:w="792" w:type="dxa"/>
            <w:vMerge w:val="continue"/>
            <w:tcBorders>
              <w:top w:val="nil"/>
              <w:left w:val="single" w:color="000000" w:sz="8" w:space="0"/>
              <w:bottom w:val="single" w:color="000000" w:sz="8" w:space="0"/>
              <w:right w:val="single" w:color="000000" w:sz="8" w:space="0"/>
            </w:tcBorders>
            <w:noWrap w:val="0"/>
            <w:vAlign w:val="center"/>
          </w:tcPr>
          <w:p w14:paraId="4DF6BADF">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1358" w:type="dxa"/>
            <w:vMerge w:val="continue"/>
            <w:tcBorders>
              <w:top w:val="nil"/>
              <w:left w:val="single" w:color="000000" w:sz="8" w:space="0"/>
              <w:bottom w:val="single" w:color="000000" w:sz="8" w:space="0"/>
              <w:right w:val="single" w:color="000000" w:sz="8" w:space="0"/>
            </w:tcBorders>
            <w:noWrap w:val="0"/>
            <w:vAlign w:val="center"/>
          </w:tcPr>
          <w:p w14:paraId="7640A305">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1582" w:type="dxa"/>
            <w:vMerge w:val="continue"/>
            <w:tcBorders>
              <w:top w:val="nil"/>
              <w:left w:val="single" w:color="000000" w:sz="8" w:space="0"/>
              <w:bottom w:val="single" w:color="000000" w:sz="8" w:space="0"/>
              <w:right w:val="single" w:color="000000" w:sz="8" w:space="0"/>
            </w:tcBorders>
            <w:noWrap w:val="0"/>
            <w:vAlign w:val="center"/>
          </w:tcPr>
          <w:p w14:paraId="2A8E7788">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2085" w:type="dxa"/>
            <w:tcBorders>
              <w:top w:val="nil"/>
              <w:left w:val="nil"/>
              <w:bottom w:val="single" w:color="000000" w:sz="8" w:space="0"/>
              <w:right w:val="single" w:color="000000" w:sz="8" w:space="0"/>
            </w:tcBorders>
            <w:noWrap w:val="0"/>
            <w:vAlign w:val="center"/>
          </w:tcPr>
          <w:p w14:paraId="2862713E">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★A0201060102激光打印机</w:t>
            </w:r>
          </w:p>
        </w:tc>
        <w:tc>
          <w:tcPr>
            <w:tcW w:w="4065" w:type="dxa"/>
            <w:tcBorders>
              <w:top w:val="nil"/>
              <w:left w:val="nil"/>
              <w:bottom w:val="single" w:color="000000" w:sz="8" w:space="0"/>
              <w:right w:val="single" w:color="000000" w:sz="8" w:space="0"/>
            </w:tcBorders>
            <w:noWrap w:val="0"/>
            <w:vAlign w:val="center"/>
          </w:tcPr>
          <w:p w14:paraId="7CB0523F">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《复印机、打印机和传真机能效限定值及能效等级》（GB21521）</w:t>
            </w:r>
          </w:p>
        </w:tc>
      </w:tr>
      <w:tr w14:paraId="6A4355C5">
        <w:tblPrEx>
          <w:tblCellMar>
            <w:top w:w="0" w:type="dxa"/>
            <w:left w:w="108" w:type="dxa"/>
            <w:bottom w:w="0" w:type="dxa"/>
            <w:right w:w="108" w:type="dxa"/>
          </w:tblCellMar>
        </w:tblPrEx>
        <w:trPr>
          <w:trHeight w:val="495" w:hRule="atLeast"/>
        </w:trPr>
        <w:tc>
          <w:tcPr>
            <w:tcW w:w="792" w:type="dxa"/>
            <w:vMerge w:val="continue"/>
            <w:tcBorders>
              <w:top w:val="nil"/>
              <w:left w:val="single" w:color="000000" w:sz="8" w:space="0"/>
              <w:bottom w:val="single" w:color="000000" w:sz="8" w:space="0"/>
              <w:right w:val="single" w:color="000000" w:sz="8" w:space="0"/>
            </w:tcBorders>
            <w:noWrap w:val="0"/>
            <w:vAlign w:val="center"/>
          </w:tcPr>
          <w:p w14:paraId="03AA322F">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1358" w:type="dxa"/>
            <w:vMerge w:val="continue"/>
            <w:tcBorders>
              <w:top w:val="nil"/>
              <w:left w:val="single" w:color="000000" w:sz="8" w:space="0"/>
              <w:bottom w:val="single" w:color="000000" w:sz="8" w:space="0"/>
              <w:right w:val="single" w:color="000000" w:sz="8" w:space="0"/>
            </w:tcBorders>
            <w:noWrap w:val="0"/>
            <w:vAlign w:val="center"/>
          </w:tcPr>
          <w:p w14:paraId="42EBEB45">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1582" w:type="dxa"/>
            <w:vMerge w:val="continue"/>
            <w:tcBorders>
              <w:top w:val="nil"/>
              <w:left w:val="single" w:color="000000" w:sz="8" w:space="0"/>
              <w:bottom w:val="single" w:color="000000" w:sz="8" w:space="0"/>
              <w:right w:val="single" w:color="000000" w:sz="8" w:space="0"/>
            </w:tcBorders>
            <w:noWrap w:val="0"/>
            <w:vAlign w:val="center"/>
          </w:tcPr>
          <w:p w14:paraId="0F3197F7">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2085" w:type="dxa"/>
            <w:tcBorders>
              <w:top w:val="nil"/>
              <w:left w:val="nil"/>
              <w:bottom w:val="single" w:color="000000" w:sz="8" w:space="0"/>
              <w:right w:val="single" w:color="000000" w:sz="8" w:space="0"/>
            </w:tcBorders>
            <w:noWrap w:val="0"/>
            <w:vAlign w:val="center"/>
          </w:tcPr>
          <w:p w14:paraId="767AE180">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★A0201060104针式打印机</w:t>
            </w:r>
          </w:p>
        </w:tc>
        <w:tc>
          <w:tcPr>
            <w:tcW w:w="4065" w:type="dxa"/>
            <w:tcBorders>
              <w:top w:val="nil"/>
              <w:left w:val="nil"/>
              <w:bottom w:val="single" w:color="000000" w:sz="8" w:space="0"/>
              <w:right w:val="single" w:color="000000" w:sz="8" w:space="0"/>
            </w:tcBorders>
            <w:noWrap w:val="0"/>
            <w:vAlign w:val="center"/>
          </w:tcPr>
          <w:p w14:paraId="5CC8576B">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《复印机、打印机和传真机能效限定值及能效等级》（GB21521）</w:t>
            </w:r>
          </w:p>
        </w:tc>
      </w:tr>
      <w:tr w14:paraId="44BFACDB">
        <w:tblPrEx>
          <w:tblCellMar>
            <w:top w:w="0" w:type="dxa"/>
            <w:left w:w="108" w:type="dxa"/>
            <w:bottom w:w="0" w:type="dxa"/>
            <w:right w:w="108" w:type="dxa"/>
          </w:tblCellMar>
        </w:tblPrEx>
        <w:trPr>
          <w:trHeight w:val="495" w:hRule="atLeast"/>
        </w:trPr>
        <w:tc>
          <w:tcPr>
            <w:tcW w:w="792" w:type="dxa"/>
            <w:vMerge w:val="continue"/>
            <w:tcBorders>
              <w:top w:val="nil"/>
              <w:left w:val="single" w:color="000000" w:sz="8" w:space="0"/>
              <w:bottom w:val="single" w:color="000000" w:sz="8" w:space="0"/>
              <w:right w:val="single" w:color="000000" w:sz="8" w:space="0"/>
            </w:tcBorders>
            <w:noWrap w:val="0"/>
            <w:vAlign w:val="center"/>
          </w:tcPr>
          <w:p w14:paraId="7491A94D">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1358" w:type="dxa"/>
            <w:vMerge w:val="continue"/>
            <w:tcBorders>
              <w:top w:val="nil"/>
              <w:left w:val="single" w:color="000000" w:sz="8" w:space="0"/>
              <w:bottom w:val="single" w:color="000000" w:sz="8" w:space="0"/>
              <w:right w:val="single" w:color="000000" w:sz="8" w:space="0"/>
            </w:tcBorders>
            <w:noWrap w:val="0"/>
            <w:vAlign w:val="center"/>
          </w:tcPr>
          <w:p w14:paraId="0304DAF5">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1582" w:type="dxa"/>
            <w:tcBorders>
              <w:top w:val="nil"/>
              <w:left w:val="nil"/>
              <w:bottom w:val="single" w:color="000000" w:sz="8" w:space="0"/>
              <w:right w:val="single" w:color="000000" w:sz="8" w:space="0"/>
            </w:tcBorders>
            <w:noWrap w:val="0"/>
            <w:vAlign w:val="center"/>
          </w:tcPr>
          <w:p w14:paraId="45423ECC">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A02010604显示设备</w:t>
            </w:r>
          </w:p>
        </w:tc>
        <w:tc>
          <w:tcPr>
            <w:tcW w:w="2085" w:type="dxa"/>
            <w:tcBorders>
              <w:top w:val="nil"/>
              <w:left w:val="nil"/>
              <w:bottom w:val="single" w:color="000000" w:sz="8" w:space="0"/>
              <w:right w:val="single" w:color="000000" w:sz="8" w:space="0"/>
            </w:tcBorders>
            <w:noWrap w:val="0"/>
            <w:vAlign w:val="center"/>
          </w:tcPr>
          <w:p w14:paraId="30761665">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★A0201060401液晶显示器</w:t>
            </w:r>
          </w:p>
        </w:tc>
        <w:tc>
          <w:tcPr>
            <w:tcW w:w="4065" w:type="dxa"/>
            <w:tcBorders>
              <w:top w:val="nil"/>
              <w:left w:val="nil"/>
              <w:bottom w:val="single" w:color="000000" w:sz="8" w:space="0"/>
              <w:right w:val="single" w:color="000000" w:sz="8" w:space="0"/>
            </w:tcBorders>
            <w:noWrap w:val="0"/>
            <w:vAlign w:val="center"/>
          </w:tcPr>
          <w:p w14:paraId="4DE2531C">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《计算机显示器能效限定值及能效等级》（GB21520）</w:t>
            </w:r>
          </w:p>
        </w:tc>
      </w:tr>
      <w:tr w14:paraId="66EE645B">
        <w:tblPrEx>
          <w:tblCellMar>
            <w:top w:w="0" w:type="dxa"/>
            <w:left w:w="108" w:type="dxa"/>
            <w:bottom w:w="0" w:type="dxa"/>
            <w:right w:w="108" w:type="dxa"/>
          </w:tblCellMar>
        </w:tblPrEx>
        <w:trPr>
          <w:trHeight w:val="975" w:hRule="atLeast"/>
        </w:trPr>
        <w:tc>
          <w:tcPr>
            <w:tcW w:w="792" w:type="dxa"/>
            <w:vMerge w:val="continue"/>
            <w:tcBorders>
              <w:top w:val="nil"/>
              <w:left w:val="single" w:color="000000" w:sz="8" w:space="0"/>
              <w:bottom w:val="single" w:color="000000" w:sz="8" w:space="0"/>
              <w:right w:val="single" w:color="000000" w:sz="8" w:space="0"/>
            </w:tcBorders>
            <w:noWrap w:val="0"/>
            <w:vAlign w:val="center"/>
          </w:tcPr>
          <w:p w14:paraId="6D4D3767">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1358" w:type="dxa"/>
            <w:vMerge w:val="continue"/>
            <w:tcBorders>
              <w:top w:val="nil"/>
              <w:left w:val="single" w:color="000000" w:sz="8" w:space="0"/>
              <w:bottom w:val="single" w:color="000000" w:sz="8" w:space="0"/>
              <w:right w:val="single" w:color="000000" w:sz="8" w:space="0"/>
            </w:tcBorders>
            <w:noWrap w:val="0"/>
            <w:vAlign w:val="center"/>
          </w:tcPr>
          <w:p w14:paraId="55409512">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1582" w:type="dxa"/>
            <w:tcBorders>
              <w:top w:val="nil"/>
              <w:left w:val="nil"/>
              <w:bottom w:val="single" w:color="000000" w:sz="8" w:space="0"/>
              <w:right w:val="single" w:color="000000" w:sz="8" w:space="0"/>
            </w:tcBorders>
            <w:noWrap w:val="0"/>
            <w:vAlign w:val="center"/>
          </w:tcPr>
          <w:p w14:paraId="01F686FA">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A02010609图形图像输入设备</w:t>
            </w:r>
          </w:p>
        </w:tc>
        <w:tc>
          <w:tcPr>
            <w:tcW w:w="2085" w:type="dxa"/>
            <w:tcBorders>
              <w:top w:val="nil"/>
              <w:left w:val="nil"/>
              <w:bottom w:val="single" w:color="000000" w:sz="8" w:space="0"/>
              <w:right w:val="single" w:color="000000" w:sz="8" w:space="0"/>
            </w:tcBorders>
            <w:noWrap w:val="0"/>
            <w:vAlign w:val="center"/>
          </w:tcPr>
          <w:p w14:paraId="002C4132">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A0201060901扫描仪</w:t>
            </w:r>
          </w:p>
        </w:tc>
        <w:tc>
          <w:tcPr>
            <w:tcW w:w="4065" w:type="dxa"/>
            <w:tcBorders>
              <w:top w:val="nil"/>
              <w:left w:val="nil"/>
              <w:bottom w:val="single" w:color="000000" w:sz="8" w:space="0"/>
              <w:right w:val="single" w:color="000000" w:sz="8" w:space="0"/>
            </w:tcBorders>
            <w:noWrap w:val="0"/>
            <w:vAlign w:val="center"/>
          </w:tcPr>
          <w:p w14:paraId="00A41CA7">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参照《复印机、打印机和传真机能效限定值及能效等级》（GB21521中打印速度为15页/分的针式打印机相关要求中打印速度为15页/分的针式打印机相关要求</w:t>
            </w:r>
          </w:p>
        </w:tc>
      </w:tr>
      <w:tr w14:paraId="55772327">
        <w:tblPrEx>
          <w:tblCellMar>
            <w:top w:w="0" w:type="dxa"/>
            <w:left w:w="108" w:type="dxa"/>
            <w:bottom w:w="0" w:type="dxa"/>
            <w:right w:w="108" w:type="dxa"/>
          </w:tblCellMar>
        </w:tblPrEx>
        <w:trPr>
          <w:trHeight w:val="495" w:hRule="atLeast"/>
        </w:trPr>
        <w:tc>
          <w:tcPr>
            <w:tcW w:w="792" w:type="dxa"/>
            <w:tcBorders>
              <w:top w:val="nil"/>
              <w:left w:val="single" w:color="000000" w:sz="8" w:space="0"/>
              <w:bottom w:val="single" w:color="000000" w:sz="8" w:space="0"/>
              <w:right w:val="single" w:color="000000" w:sz="8" w:space="0"/>
            </w:tcBorders>
            <w:noWrap w:val="0"/>
            <w:vAlign w:val="center"/>
          </w:tcPr>
          <w:p w14:paraId="3D03B9CD">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3</w:t>
            </w:r>
          </w:p>
        </w:tc>
        <w:tc>
          <w:tcPr>
            <w:tcW w:w="1358" w:type="dxa"/>
            <w:tcBorders>
              <w:top w:val="nil"/>
              <w:left w:val="nil"/>
              <w:bottom w:val="single" w:color="000000" w:sz="8" w:space="0"/>
              <w:right w:val="single" w:color="000000" w:sz="8" w:space="0"/>
            </w:tcBorders>
            <w:noWrap w:val="0"/>
            <w:vAlign w:val="center"/>
          </w:tcPr>
          <w:p w14:paraId="080658B3">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A020202投影仪</w:t>
            </w:r>
          </w:p>
        </w:tc>
        <w:tc>
          <w:tcPr>
            <w:tcW w:w="1582" w:type="dxa"/>
            <w:tcBorders>
              <w:top w:val="nil"/>
              <w:left w:val="nil"/>
              <w:bottom w:val="single" w:color="000000" w:sz="8" w:space="0"/>
              <w:right w:val="single" w:color="000000" w:sz="8" w:space="0"/>
            </w:tcBorders>
            <w:noWrap w:val="0"/>
            <w:vAlign w:val="center"/>
          </w:tcPr>
          <w:p w14:paraId="44E7C3BB">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2085" w:type="dxa"/>
            <w:tcBorders>
              <w:top w:val="nil"/>
              <w:left w:val="nil"/>
              <w:bottom w:val="single" w:color="000000" w:sz="8" w:space="0"/>
              <w:right w:val="single" w:color="000000" w:sz="8" w:space="0"/>
            </w:tcBorders>
            <w:noWrap w:val="0"/>
            <w:vAlign w:val="center"/>
          </w:tcPr>
          <w:p w14:paraId="042ED2CB">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065" w:type="dxa"/>
            <w:tcBorders>
              <w:top w:val="nil"/>
              <w:left w:val="nil"/>
              <w:bottom w:val="single" w:color="000000" w:sz="8" w:space="0"/>
              <w:right w:val="single" w:color="000000" w:sz="8" w:space="0"/>
            </w:tcBorders>
            <w:noWrap w:val="0"/>
            <w:vAlign w:val="center"/>
          </w:tcPr>
          <w:p w14:paraId="1EA9EA3A">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《投影机能效限定值及能效等级》（GB32028）</w:t>
            </w:r>
          </w:p>
        </w:tc>
      </w:tr>
      <w:tr w14:paraId="43C49040">
        <w:tblPrEx>
          <w:tblCellMar>
            <w:top w:w="0" w:type="dxa"/>
            <w:left w:w="108" w:type="dxa"/>
            <w:bottom w:w="0" w:type="dxa"/>
            <w:right w:w="108" w:type="dxa"/>
          </w:tblCellMar>
        </w:tblPrEx>
        <w:trPr>
          <w:trHeight w:val="495" w:hRule="atLeast"/>
        </w:trPr>
        <w:tc>
          <w:tcPr>
            <w:tcW w:w="792" w:type="dxa"/>
            <w:tcBorders>
              <w:top w:val="nil"/>
              <w:left w:val="single" w:color="000000" w:sz="8" w:space="0"/>
              <w:bottom w:val="single" w:color="000000" w:sz="8" w:space="0"/>
              <w:right w:val="single" w:color="000000" w:sz="8" w:space="0"/>
            </w:tcBorders>
            <w:noWrap w:val="0"/>
            <w:vAlign w:val="center"/>
          </w:tcPr>
          <w:p w14:paraId="36247871">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4</w:t>
            </w:r>
          </w:p>
        </w:tc>
        <w:tc>
          <w:tcPr>
            <w:tcW w:w="1358" w:type="dxa"/>
            <w:tcBorders>
              <w:top w:val="nil"/>
              <w:left w:val="nil"/>
              <w:bottom w:val="single" w:color="000000" w:sz="8" w:space="0"/>
              <w:right w:val="single" w:color="000000" w:sz="8" w:space="0"/>
            </w:tcBorders>
            <w:noWrap w:val="0"/>
            <w:vAlign w:val="center"/>
          </w:tcPr>
          <w:p w14:paraId="0A50B708">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A020204多功能一体机</w:t>
            </w:r>
          </w:p>
        </w:tc>
        <w:tc>
          <w:tcPr>
            <w:tcW w:w="1582" w:type="dxa"/>
            <w:tcBorders>
              <w:top w:val="nil"/>
              <w:left w:val="nil"/>
              <w:bottom w:val="single" w:color="000000" w:sz="8" w:space="0"/>
              <w:right w:val="single" w:color="000000" w:sz="8" w:space="0"/>
            </w:tcBorders>
            <w:noWrap w:val="0"/>
            <w:vAlign w:val="center"/>
          </w:tcPr>
          <w:p w14:paraId="0D8564AA">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2085" w:type="dxa"/>
            <w:tcBorders>
              <w:top w:val="nil"/>
              <w:left w:val="nil"/>
              <w:bottom w:val="single" w:color="000000" w:sz="8" w:space="0"/>
              <w:right w:val="single" w:color="000000" w:sz="8" w:space="0"/>
            </w:tcBorders>
            <w:noWrap w:val="0"/>
            <w:vAlign w:val="center"/>
          </w:tcPr>
          <w:p w14:paraId="47D78482">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065" w:type="dxa"/>
            <w:tcBorders>
              <w:top w:val="nil"/>
              <w:left w:val="nil"/>
              <w:bottom w:val="single" w:color="000000" w:sz="8" w:space="0"/>
              <w:right w:val="single" w:color="000000" w:sz="8" w:space="0"/>
            </w:tcBorders>
            <w:noWrap w:val="0"/>
            <w:vAlign w:val="center"/>
          </w:tcPr>
          <w:p w14:paraId="4520EBA2">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《复印机、打印机和传真机能效限定值及能效等级》（GB21521）</w:t>
            </w:r>
          </w:p>
        </w:tc>
      </w:tr>
      <w:tr w14:paraId="1AC6022F">
        <w:tblPrEx>
          <w:tblCellMar>
            <w:top w:w="0" w:type="dxa"/>
            <w:left w:w="108" w:type="dxa"/>
            <w:bottom w:w="0" w:type="dxa"/>
            <w:right w:w="108" w:type="dxa"/>
          </w:tblCellMar>
        </w:tblPrEx>
        <w:trPr>
          <w:trHeight w:val="495" w:hRule="atLeast"/>
        </w:trPr>
        <w:tc>
          <w:tcPr>
            <w:tcW w:w="792" w:type="dxa"/>
            <w:tcBorders>
              <w:top w:val="nil"/>
              <w:left w:val="single" w:color="000000" w:sz="8" w:space="0"/>
              <w:bottom w:val="single" w:color="000000" w:sz="8" w:space="0"/>
              <w:right w:val="single" w:color="000000" w:sz="8" w:space="0"/>
            </w:tcBorders>
            <w:noWrap w:val="0"/>
            <w:vAlign w:val="center"/>
          </w:tcPr>
          <w:p w14:paraId="2F60EF3A">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5</w:t>
            </w:r>
          </w:p>
        </w:tc>
        <w:tc>
          <w:tcPr>
            <w:tcW w:w="1358" w:type="dxa"/>
            <w:tcBorders>
              <w:top w:val="nil"/>
              <w:left w:val="nil"/>
              <w:bottom w:val="single" w:color="000000" w:sz="8" w:space="0"/>
              <w:right w:val="single" w:color="000000" w:sz="8" w:space="0"/>
            </w:tcBorders>
            <w:noWrap w:val="0"/>
            <w:vAlign w:val="center"/>
          </w:tcPr>
          <w:p w14:paraId="338474C7">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A020519泵</w:t>
            </w:r>
          </w:p>
        </w:tc>
        <w:tc>
          <w:tcPr>
            <w:tcW w:w="1582" w:type="dxa"/>
            <w:tcBorders>
              <w:top w:val="nil"/>
              <w:left w:val="nil"/>
              <w:bottom w:val="single" w:color="000000" w:sz="8" w:space="0"/>
              <w:right w:val="single" w:color="000000" w:sz="8" w:space="0"/>
            </w:tcBorders>
            <w:noWrap w:val="0"/>
            <w:vAlign w:val="center"/>
          </w:tcPr>
          <w:p w14:paraId="7C1CB54E">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A02051901离心泵</w:t>
            </w:r>
          </w:p>
        </w:tc>
        <w:tc>
          <w:tcPr>
            <w:tcW w:w="2085" w:type="dxa"/>
            <w:tcBorders>
              <w:top w:val="nil"/>
              <w:left w:val="nil"/>
              <w:bottom w:val="single" w:color="000000" w:sz="8" w:space="0"/>
              <w:right w:val="single" w:color="000000" w:sz="8" w:space="0"/>
            </w:tcBorders>
            <w:noWrap w:val="0"/>
            <w:vAlign w:val="center"/>
          </w:tcPr>
          <w:p w14:paraId="01C571E0">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065" w:type="dxa"/>
            <w:tcBorders>
              <w:top w:val="nil"/>
              <w:left w:val="nil"/>
              <w:bottom w:val="single" w:color="000000" w:sz="8" w:space="0"/>
              <w:right w:val="single" w:color="000000" w:sz="8" w:space="0"/>
            </w:tcBorders>
            <w:noWrap w:val="0"/>
            <w:vAlign w:val="center"/>
          </w:tcPr>
          <w:p w14:paraId="640B6271">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《清水离心泵能效限定值及节能评价值》（GB19762）</w:t>
            </w:r>
          </w:p>
        </w:tc>
      </w:tr>
      <w:tr w14:paraId="7267562E">
        <w:tblPrEx>
          <w:tblCellMar>
            <w:top w:w="0" w:type="dxa"/>
            <w:left w:w="108" w:type="dxa"/>
            <w:bottom w:w="0" w:type="dxa"/>
            <w:right w:w="108" w:type="dxa"/>
          </w:tblCellMar>
        </w:tblPrEx>
        <w:trPr>
          <w:trHeight w:val="735" w:hRule="atLeast"/>
        </w:trPr>
        <w:tc>
          <w:tcPr>
            <w:tcW w:w="792" w:type="dxa"/>
            <w:vMerge w:val="restart"/>
            <w:tcBorders>
              <w:top w:val="nil"/>
              <w:left w:val="single" w:color="000000" w:sz="8" w:space="0"/>
              <w:bottom w:val="single" w:color="000000" w:sz="8" w:space="0"/>
              <w:right w:val="single" w:color="000000" w:sz="8" w:space="0"/>
            </w:tcBorders>
            <w:noWrap w:val="0"/>
            <w:vAlign w:val="center"/>
          </w:tcPr>
          <w:p w14:paraId="6F57BDFB">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6</w:t>
            </w:r>
          </w:p>
        </w:tc>
        <w:tc>
          <w:tcPr>
            <w:tcW w:w="1358" w:type="dxa"/>
            <w:vMerge w:val="restart"/>
            <w:tcBorders>
              <w:top w:val="nil"/>
              <w:left w:val="single" w:color="000000" w:sz="8" w:space="0"/>
              <w:bottom w:val="single" w:color="000000" w:sz="8" w:space="0"/>
              <w:right w:val="single" w:color="000000" w:sz="8" w:space="0"/>
            </w:tcBorders>
            <w:noWrap w:val="0"/>
            <w:vAlign w:val="center"/>
          </w:tcPr>
          <w:p w14:paraId="099A7095">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A020523制冷空调设备</w:t>
            </w:r>
          </w:p>
        </w:tc>
        <w:tc>
          <w:tcPr>
            <w:tcW w:w="1582" w:type="dxa"/>
            <w:vMerge w:val="restart"/>
            <w:tcBorders>
              <w:top w:val="nil"/>
              <w:left w:val="single" w:color="000000" w:sz="8" w:space="0"/>
              <w:bottom w:val="single" w:color="000000" w:sz="8" w:space="0"/>
              <w:right w:val="single" w:color="000000" w:sz="8" w:space="0"/>
            </w:tcBorders>
            <w:noWrap w:val="0"/>
            <w:vAlign w:val="center"/>
          </w:tcPr>
          <w:p w14:paraId="3A544E97">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★A02052301制冷压缩机</w:t>
            </w:r>
          </w:p>
        </w:tc>
        <w:tc>
          <w:tcPr>
            <w:tcW w:w="2085" w:type="dxa"/>
            <w:tcBorders>
              <w:top w:val="nil"/>
              <w:left w:val="nil"/>
              <w:bottom w:val="single" w:color="000000" w:sz="8" w:space="0"/>
              <w:right w:val="single" w:color="000000" w:sz="8" w:space="0"/>
            </w:tcBorders>
            <w:noWrap w:val="0"/>
            <w:vAlign w:val="center"/>
          </w:tcPr>
          <w:p w14:paraId="07B81728">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冷水机组</w:t>
            </w:r>
          </w:p>
        </w:tc>
        <w:tc>
          <w:tcPr>
            <w:tcW w:w="4065" w:type="dxa"/>
            <w:tcBorders>
              <w:top w:val="nil"/>
              <w:left w:val="nil"/>
              <w:bottom w:val="single" w:color="000000" w:sz="8" w:space="0"/>
              <w:right w:val="single" w:color="000000" w:sz="8" w:space="0"/>
            </w:tcBorders>
            <w:noWrap w:val="0"/>
            <w:vAlign w:val="center"/>
          </w:tcPr>
          <w:p w14:paraId="052F2A92">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《冷水机组能效限定值及能效等级》（GB19577），《低环境温度空气源热泵（冷水）机组能效限定值及能效等级》（GB37480）</w:t>
            </w:r>
          </w:p>
        </w:tc>
      </w:tr>
      <w:tr w14:paraId="35364882">
        <w:tblPrEx>
          <w:tblCellMar>
            <w:top w:w="0" w:type="dxa"/>
            <w:left w:w="108" w:type="dxa"/>
            <w:bottom w:w="0" w:type="dxa"/>
            <w:right w:w="108" w:type="dxa"/>
          </w:tblCellMar>
        </w:tblPrEx>
        <w:trPr>
          <w:trHeight w:val="495" w:hRule="atLeast"/>
        </w:trPr>
        <w:tc>
          <w:tcPr>
            <w:tcW w:w="792" w:type="dxa"/>
            <w:vMerge w:val="continue"/>
            <w:tcBorders>
              <w:top w:val="nil"/>
              <w:left w:val="single" w:color="000000" w:sz="8" w:space="0"/>
              <w:bottom w:val="single" w:color="000000" w:sz="8" w:space="0"/>
              <w:right w:val="single" w:color="000000" w:sz="8" w:space="0"/>
            </w:tcBorders>
            <w:noWrap w:val="0"/>
            <w:vAlign w:val="center"/>
          </w:tcPr>
          <w:p w14:paraId="6BBC4CAE">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1358" w:type="dxa"/>
            <w:vMerge w:val="continue"/>
            <w:tcBorders>
              <w:top w:val="nil"/>
              <w:left w:val="single" w:color="000000" w:sz="8" w:space="0"/>
              <w:bottom w:val="single" w:color="000000" w:sz="8" w:space="0"/>
              <w:right w:val="single" w:color="000000" w:sz="8" w:space="0"/>
            </w:tcBorders>
            <w:noWrap w:val="0"/>
            <w:vAlign w:val="center"/>
          </w:tcPr>
          <w:p w14:paraId="3FC2BD85">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1582" w:type="dxa"/>
            <w:vMerge w:val="continue"/>
            <w:tcBorders>
              <w:top w:val="nil"/>
              <w:left w:val="single" w:color="000000" w:sz="8" w:space="0"/>
              <w:bottom w:val="single" w:color="000000" w:sz="8" w:space="0"/>
              <w:right w:val="single" w:color="000000" w:sz="8" w:space="0"/>
            </w:tcBorders>
            <w:noWrap w:val="0"/>
            <w:vAlign w:val="center"/>
          </w:tcPr>
          <w:p w14:paraId="23D4401C">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2085" w:type="dxa"/>
            <w:tcBorders>
              <w:top w:val="nil"/>
              <w:left w:val="nil"/>
              <w:bottom w:val="single" w:color="000000" w:sz="8" w:space="0"/>
              <w:right w:val="single" w:color="000000" w:sz="8" w:space="0"/>
            </w:tcBorders>
            <w:noWrap w:val="0"/>
            <w:vAlign w:val="center"/>
          </w:tcPr>
          <w:p w14:paraId="3A578B05">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水源热泵机组</w:t>
            </w:r>
          </w:p>
        </w:tc>
        <w:tc>
          <w:tcPr>
            <w:tcW w:w="4065" w:type="dxa"/>
            <w:tcBorders>
              <w:top w:val="nil"/>
              <w:left w:val="nil"/>
              <w:bottom w:val="single" w:color="000000" w:sz="8" w:space="0"/>
              <w:right w:val="single" w:color="000000" w:sz="8" w:space="0"/>
            </w:tcBorders>
            <w:noWrap w:val="0"/>
            <w:vAlign w:val="center"/>
          </w:tcPr>
          <w:p w14:paraId="4BB17D6B">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《水（地）源热泵机组能效限定值及能效等级》（GB30721）</w:t>
            </w:r>
          </w:p>
        </w:tc>
      </w:tr>
      <w:tr w14:paraId="13562E83">
        <w:tblPrEx>
          <w:tblCellMar>
            <w:top w:w="0" w:type="dxa"/>
            <w:left w:w="108" w:type="dxa"/>
            <w:bottom w:w="0" w:type="dxa"/>
            <w:right w:w="108" w:type="dxa"/>
          </w:tblCellMar>
        </w:tblPrEx>
        <w:trPr>
          <w:trHeight w:val="495" w:hRule="atLeast"/>
        </w:trPr>
        <w:tc>
          <w:tcPr>
            <w:tcW w:w="792" w:type="dxa"/>
            <w:vMerge w:val="continue"/>
            <w:tcBorders>
              <w:top w:val="nil"/>
              <w:left w:val="single" w:color="000000" w:sz="8" w:space="0"/>
              <w:bottom w:val="single" w:color="000000" w:sz="8" w:space="0"/>
              <w:right w:val="single" w:color="000000" w:sz="8" w:space="0"/>
            </w:tcBorders>
            <w:noWrap w:val="0"/>
            <w:vAlign w:val="center"/>
          </w:tcPr>
          <w:p w14:paraId="093BEDC5">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1358" w:type="dxa"/>
            <w:vMerge w:val="continue"/>
            <w:tcBorders>
              <w:top w:val="nil"/>
              <w:left w:val="single" w:color="000000" w:sz="8" w:space="0"/>
              <w:bottom w:val="single" w:color="000000" w:sz="8" w:space="0"/>
              <w:right w:val="single" w:color="000000" w:sz="8" w:space="0"/>
            </w:tcBorders>
            <w:noWrap w:val="0"/>
            <w:vAlign w:val="center"/>
          </w:tcPr>
          <w:p w14:paraId="735A22D0">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1582" w:type="dxa"/>
            <w:vMerge w:val="continue"/>
            <w:tcBorders>
              <w:top w:val="nil"/>
              <w:left w:val="single" w:color="000000" w:sz="8" w:space="0"/>
              <w:bottom w:val="single" w:color="000000" w:sz="8" w:space="0"/>
              <w:right w:val="single" w:color="000000" w:sz="8" w:space="0"/>
            </w:tcBorders>
            <w:noWrap w:val="0"/>
            <w:vAlign w:val="center"/>
          </w:tcPr>
          <w:p w14:paraId="6AD56B47">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2085" w:type="dxa"/>
            <w:tcBorders>
              <w:top w:val="nil"/>
              <w:left w:val="nil"/>
              <w:bottom w:val="single" w:color="000000" w:sz="8" w:space="0"/>
              <w:right w:val="single" w:color="000000" w:sz="8" w:space="0"/>
            </w:tcBorders>
            <w:noWrap w:val="0"/>
            <w:vAlign w:val="center"/>
          </w:tcPr>
          <w:p w14:paraId="3F212805">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溴化锂吸收式冷水机组</w:t>
            </w:r>
          </w:p>
        </w:tc>
        <w:tc>
          <w:tcPr>
            <w:tcW w:w="4065" w:type="dxa"/>
            <w:tcBorders>
              <w:top w:val="nil"/>
              <w:left w:val="nil"/>
              <w:bottom w:val="single" w:color="000000" w:sz="8" w:space="0"/>
              <w:right w:val="single" w:color="000000" w:sz="8" w:space="0"/>
            </w:tcBorders>
            <w:noWrap w:val="0"/>
            <w:vAlign w:val="center"/>
          </w:tcPr>
          <w:p w14:paraId="47E0E056">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《溴化锂吸收式冷水机组能效限定值及能效等级》（GB29540）</w:t>
            </w:r>
          </w:p>
        </w:tc>
      </w:tr>
      <w:tr w14:paraId="41D46717">
        <w:tblPrEx>
          <w:tblCellMar>
            <w:top w:w="0" w:type="dxa"/>
            <w:left w:w="108" w:type="dxa"/>
            <w:bottom w:w="0" w:type="dxa"/>
            <w:right w:w="108" w:type="dxa"/>
          </w:tblCellMar>
        </w:tblPrEx>
        <w:trPr>
          <w:trHeight w:val="735" w:hRule="atLeast"/>
        </w:trPr>
        <w:tc>
          <w:tcPr>
            <w:tcW w:w="792" w:type="dxa"/>
            <w:vMerge w:val="continue"/>
            <w:tcBorders>
              <w:top w:val="nil"/>
              <w:left w:val="single" w:color="000000" w:sz="8" w:space="0"/>
              <w:bottom w:val="single" w:color="000000" w:sz="8" w:space="0"/>
              <w:right w:val="single" w:color="000000" w:sz="8" w:space="0"/>
            </w:tcBorders>
            <w:noWrap w:val="0"/>
            <w:vAlign w:val="center"/>
          </w:tcPr>
          <w:p w14:paraId="6B963248">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1358" w:type="dxa"/>
            <w:vMerge w:val="continue"/>
            <w:tcBorders>
              <w:top w:val="nil"/>
              <w:left w:val="single" w:color="000000" w:sz="8" w:space="0"/>
              <w:bottom w:val="single" w:color="000000" w:sz="8" w:space="0"/>
              <w:right w:val="single" w:color="000000" w:sz="8" w:space="0"/>
            </w:tcBorders>
            <w:noWrap w:val="0"/>
            <w:vAlign w:val="center"/>
          </w:tcPr>
          <w:p w14:paraId="46F5017B">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1582" w:type="dxa"/>
            <w:vMerge w:val="restart"/>
            <w:tcBorders>
              <w:top w:val="nil"/>
              <w:left w:val="single" w:color="000000" w:sz="8" w:space="0"/>
              <w:bottom w:val="single" w:color="000000" w:sz="8" w:space="0"/>
              <w:right w:val="single" w:color="000000" w:sz="8" w:space="0"/>
            </w:tcBorders>
            <w:noWrap w:val="0"/>
            <w:vAlign w:val="center"/>
          </w:tcPr>
          <w:p w14:paraId="5FBDC3CD">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★A02052305空调机组</w:t>
            </w:r>
          </w:p>
        </w:tc>
        <w:tc>
          <w:tcPr>
            <w:tcW w:w="2085" w:type="dxa"/>
            <w:tcBorders>
              <w:top w:val="nil"/>
              <w:left w:val="nil"/>
              <w:bottom w:val="single" w:color="000000" w:sz="8" w:space="0"/>
              <w:right w:val="single" w:color="000000" w:sz="8" w:space="0"/>
            </w:tcBorders>
            <w:noWrap w:val="0"/>
            <w:vAlign w:val="center"/>
          </w:tcPr>
          <w:p w14:paraId="16A41DD6">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多联式空调（热泵）机组(制量&gt;14000W)</w:t>
            </w:r>
          </w:p>
        </w:tc>
        <w:tc>
          <w:tcPr>
            <w:tcW w:w="4065" w:type="dxa"/>
            <w:tcBorders>
              <w:top w:val="nil"/>
              <w:left w:val="nil"/>
              <w:bottom w:val="single" w:color="000000" w:sz="8" w:space="0"/>
              <w:right w:val="single" w:color="000000" w:sz="8" w:space="0"/>
            </w:tcBorders>
            <w:noWrap w:val="0"/>
            <w:vAlign w:val="center"/>
          </w:tcPr>
          <w:p w14:paraId="16832982">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《多联式空调（热泵）机组能效限定值及能源效率等级》（GB21454）</w:t>
            </w:r>
          </w:p>
        </w:tc>
      </w:tr>
      <w:tr w14:paraId="169947EB">
        <w:tblPrEx>
          <w:tblCellMar>
            <w:top w:w="0" w:type="dxa"/>
            <w:left w:w="108" w:type="dxa"/>
            <w:bottom w:w="0" w:type="dxa"/>
            <w:right w:w="108" w:type="dxa"/>
          </w:tblCellMar>
        </w:tblPrEx>
        <w:trPr>
          <w:trHeight w:val="325" w:hRule="atLeast"/>
        </w:trPr>
        <w:tc>
          <w:tcPr>
            <w:tcW w:w="792" w:type="dxa"/>
            <w:vMerge w:val="continue"/>
            <w:tcBorders>
              <w:top w:val="nil"/>
              <w:left w:val="single" w:color="000000" w:sz="8" w:space="0"/>
              <w:bottom w:val="single" w:color="000000" w:sz="8" w:space="0"/>
              <w:right w:val="single" w:color="000000" w:sz="8" w:space="0"/>
            </w:tcBorders>
            <w:noWrap w:val="0"/>
            <w:vAlign w:val="center"/>
          </w:tcPr>
          <w:p w14:paraId="24BC1F49">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1358" w:type="dxa"/>
            <w:vMerge w:val="continue"/>
            <w:tcBorders>
              <w:top w:val="nil"/>
              <w:left w:val="single" w:color="000000" w:sz="8" w:space="0"/>
              <w:bottom w:val="single" w:color="000000" w:sz="8" w:space="0"/>
              <w:right w:val="single" w:color="000000" w:sz="8" w:space="0"/>
            </w:tcBorders>
            <w:noWrap w:val="0"/>
            <w:vAlign w:val="center"/>
          </w:tcPr>
          <w:p w14:paraId="01A231ED">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1582" w:type="dxa"/>
            <w:vMerge w:val="continue"/>
            <w:tcBorders>
              <w:top w:val="nil"/>
              <w:left w:val="single" w:color="000000" w:sz="8" w:space="0"/>
              <w:bottom w:val="single" w:color="000000" w:sz="8" w:space="0"/>
              <w:right w:val="single" w:color="000000" w:sz="8" w:space="0"/>
            </w:tcBorders>
            <w:noWrap w:val="0"/>
            <w:vAlign w:val="center"/>
          </w:tcPr>
          <w:p w14:paraId="67133BC6">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2085" w:type="dxa"/>
            <w:tcBorders>
              <w:top w:val="nil"/>
              <w:left w:val="nil"/>
              <w:bottom w:val="single" w:color="000000" w:sz="8" w:space="0"/>
              <w:right w:val="single" w:color="000000" w:sz="8" w:space="0"/>
            </w:tcBorders>
            <w:noWrap w:val="0"/>
            <w:vAlign w:val="center"/>
          </w:tcPr>
          <w:p w14:paraId="6AF4FD58">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单元式空气调节机(制冷量&gt;14000W</w:t>
            </w:r>
          </w:p>
        </w:tc>
        <w:tc>
          <w:tcPr>
            <w:tcW w:w="4065" w:type="dxa"/>
            <w:tcBorders>
              <w:top w:val="nil"/>
              <w:left w:val="nil"/>
              <w:bottom w:val="single" w:color="000000" w:sz="8" w:space="0"/>
              <w:right w:val="single" w:color="000000" w:sz="8" w:space="0"/>
            </w:tcBorders>
            <w:noWrap w:val="0"/>
            <w:vAlign w:val="center"/>
          </w:tcPr>
          <w:p w14:paraId="7825BEF1">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《单元式空气调节机能效限定值及能效等级》（GB19576）《风管送风式空调机组能效限定值及能效等级》（GB37479）</w:t>
            </w:r>
          </w:p>
        </w:tc>
      </w:tr>
      <w:tr w14:paraId="315697AE">
        <w:tblPrEx>
          <w:tblCellMar>
            <w:top w:w="0" w:type="dxa"/>
            <w:left w:w="108" w:type="dxa"/>
            <w:bottom w:w="0" w:type="dxa"/>
            <w:right w:w="108" w:type="dxa"/>
          </w:tblCellMar>
        </w:tblPrEx>
        <w:trPr>
          <w:trHeight w:val="735" w:hRule="atLeast"/>
        </w:trPr>
        <w:tc>
          <w:tcPr>
            <w:tcW w:w="792" w:type="dxa"/>
            <w:vMerge w:val="continue"/>
            <w:tcBorders>
              <w:top w:val="nil"/>
              <w:left w:val="single" w:color="000000" w:sz="8" w:space="0"/>
              <w:bottom w:val="single" w:color="000000" w:sz="8" w:space="0"/>
              <w:right w:val="single" w:color="000000" w:sz="8" w:space="0"/>
            </w:tcBorders>
            <w:noWrap w:val="0"/>
            <w:vAlign w:val="center"/>
          </w:tcPr>
          <w:p w14:paraId="401FB181">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1358" w:type="dxa"/>
            <w:vMerge w:val="continue"/>
            <w:tcBorders>
              <w:top w:val="nil"/>
              <w:left w:val="single" w:color="000000" w:sz="8" w:space="0"/>
              <w:bottom w:val="single" w:color="000000" w:sz="8" w:space="0"/>
              <w:right w:val="single" w:color="000000" w:sz="8" w:space="0"/>
            </w:tcBorders>
            <w:noWrap w:val="0"/>
            <w:vAlign w:val="center"/>
          </w:tcPr>
          <w:p w14:paraId="08186941">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1582" w:type="dxa"/>
            <w:tcBorders>
              <w:top w:val="nil"/>
              <w:left w:val="nil"/>
              <w:bottom w:val="single" w:color="000000" w:sz="8" w:space="0"/>
              <w:right w:val="single" w:color="000000" w:sz="8" w:space="0"/>
            </w:tcBorders>
            <w:noWrap w:val="0"/>
            <w:vAlign w:val="center"/>
          </w:tcPr>
          <w:p w14:paraId="7E935DDF">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★A02052309专用制冷、空调设备</w:t>
            </w:r>
          </w:p>
        </w:tc>
        <w:tc>
          <w:tcPr>
            <w:tcW w:w="2085" w:type="dxa"/>
            <w:tcBorders>
              <w:top w:val="nil"/>
              <w:left w:val="nil"/>
              <w:bottom w:val="single" w:color="000000" w:sz="8" w:space="0"/>
              <w:right w:val="single" w:color="000000" w:sz="8" w:space="0"/>
            </w:tcBorders>
            <w:noWrap w:val="0"/>
            <w:vAlign w:val="center"/>
          </w:tcPr>
          <w:p w14:paraId="338B361E">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机房空调</w:t>
            </w:r>
          </w:p>
        </w:tc>
        <w:tc>
          <w:tcPr>
            <w:tcW w:w="4065" w:type="dxa"/>
            <w:tcBorders>
              <w:top w:val="nil"/>
              <w:left w:val="nil"/>
              <w:bottom w:val="single" w:color="000000" w:sz="8" w:space="0"/>
              <w:right w:val="single" w:color="000000" w:sz="8" w:space="0"/>
            </w:tcBorders>
            <w:noWrap w:val="0"/>
            <w:vAlign w:val="center"/>
          </w:tcPr>
          <w:p w14:paraId="04CDEA77">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《单元式空气调节机能效限定值及能效等级》（GB19576）</w:t>
            </w:r>
          </w:p>
        </w:tc>
      </w:tr>
      <w:tr w14:paraId="35FC5251">
        <w:tblPrEx>
          <w:tblCellMar>
            <w:top w:w="0" w:type="dxa"/>
            <w:left w:w="108" w:type="dxa"/>
            <w:bottom w:w="0" w:type="dxa"/>
            <w:right w:w="108" w:type="dxa"/>
          </w:tblCellMar>
        </w:tblPrEx>
        <w:trPr>
          <w:trHeight w:val="735" w:hRule="atLeast"/>
        </w:trPr>
        <w:tc>
          <w:tcPr>
            <w:tcW w:w="792" w:type="dxa"/>
            <w:vMerge w:val="continue"/>
            <w:tcBorders>
              <w:top w:val="nil"/>
              <w:left w:val="single" w:color="000000" w:sz="8" w:space="0"/>
              <w:bottom w:val="single" w:color="000000" w:sz="8" w:space="0"/>
              <w:right w:val="single" w:color="000000" w:sz="8" w:space="0"/>
            </w:tcBorders>
            <w:noWrap w:val="0"/>
            <w:vAlign w:val="center"/>
          </w:tcPr>
          <w:p w14:paraId="0A5FACFE">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1358" w:type="dxa"/>
            <w:vMerge w:val="continue"/>
            <w:tcBorders>
              <w:top w:val="nil"/>
              <w:left w:val="single" w:color="000000" w:sz="8" w:space="0"/>
              <w:bottom w:val="single" w:color="000000" w:sz="8" w:space="0"/>
              <w:right w:val="single" w:color="000000" w:sz="8" w:space="0"/>
            </w:tcBorders>
            <w:noWrap w:val="0"/>
            <w:vAlign w:val="center"/>
          </w:tcPr>
          <w:p w14:paraId="1B73AA9E">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1582" w:type="dxa"/>
            <w:tcBorders>
              <w:top w:val="nil"/>
              <w:left w:val="nil"/>
              <w:bottom w:val="single" w:color="000000" w:sz="8" w:space="0"/>
              <w:right w:val="single" w:color="000000" w:sz="8" w:space="0"/>
            </w:tcBorders>
            <w:noWrap w:val="0"/>
            <w:vAlign w:val="center"/>
          </w:tcPr>
          <w:p w14:paraId="0B1A8CD1">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A02052399其他制冷空调设备</w:t>
            </w:r>
          </w:p>
        </w:tc>
        <w:tc>
          <w:tcPr>
            <w:tcW w:w="2085" w:type="dxa"/>
            <w:tcBorders>
              <w:top w:val="nil"/>
              <w:left w:val="nil"/>
              <w:bottom w:val="single" w:color="000000" w:sz="8" w:space="0"/>
              <w:right w:val="single" w:color="000000" w:sz="8" w:space="0"/>
            </w:tcBorders>
            <w:noWrap w:val="0"/>
            <w:vAlign w:val="center"/>
          </w:tcPr>
          <w:p w14:paraId="30DD0575">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冷却塔</w:t>
            </w:r>
          </w:p>
        </w:tc>
        <w:tc>
          <w:tcPr>
            <w:tcW w:w="4065" w:type="dxa"/>
            <w:tcBorders>
              <w:top w:val="nil"/>
              <w:left w:val="nil"/>
              <w:bottom w:val="single" w:color="000000" w:sz="8" w:space="0"/>
              <w:right w:val="single" w:color="000000" w:sz="8" w:space="0"/>
            </w:tcBorders>
            <w:noWrap w:val="0"/>
            <w:vAlign w:val="center"/>
          </w:tcPr>
          <w:p w14:paraId="3BE3C3FF">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《机械通风冷却塔第1部分：中小型开式冷却塔》（GB/T7190.1）；《机械通风冷却塔第2部分：大型开式冷却塔》（GB/T7190.2）</w:t>
            </w:r>
          </w:p>
        </w:tc>
      </w:tr>
      <w:tr w14:paraId="409ED3C9">
        <w:tblPrEx>
          <w:tblCellMar>
            <w:top w:w="0" w:type="dxa"/>
            <w:left w:w="108" w:type="dxa"/>
            <w:bottom w:w="0" w:type="dxa"/>
            <w:right w:w="108" w:type="dxa"/>
          </w:tblCellMar>
        </w:tblPrEx>
        <w:trPr>
          <w:trHeight w:val="495" w:hRule="atLeast"/>
        </w:trPr>
        <w:tc>
          <w:tcPr>
            <w:tcW w:w="792" w:type="dxa"/>
            <w:tcBorders>
              <w:top w:val="nil"/>
              <w:left w:val="single" w:color="000000" w:sz="8" w:space="0"/>
              <w:bottom w:val="single" w:color="000000" w:sz="8" w:space="0"/>
              <w:right w:val="single" w:color="000000" w:sz="8" w:space="0"/>
            </w:tcBorders>
            <w:noWrap w:val="0"/>
            <w:vAlign w:val="center"/>
          </w:tcPr>
          <w:p w14:paraId="1242E4ED">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7</w:t>
            </w:r>
          </w:p>
        </w:tc>
        <w:tc>
          <w:tcPr>
            <w:tcW w:w="1358" w:type="dxa"/>
            <w:tcBorders>
              <w:top w:val="nil"/>
              <w:left w:val="nil"/>
              <w:bottom w:val="single" w:color="000000" w:sz="8" w:space="0"/>
              <w:right w:val="single" w:color="000000" w:sz="8" w:space="0"/>
            </w:tcBorders>
            <w:noWrap w:val="0"/>
            <w:vAlign w:val="center"/>
          </w:tcPr>
          <w:p w14:paraId="26EDC0FC">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A020601电机</w:t>
            </w:r>
          </w:p>
        </w:tc>
        <w:tc>
          <w:tcPr>
            <w:tcW w:w="1582" w:type="dxa"/>
            <w:tcBorders>
              <w:top w:val="nil"/>
              <w:left w:val="nil"/>
              <w:bottom w:val="single" w:color="000000" w:sz="8" w:space="0"/>
              <w:right w:val="single" w:color="000000" w:sz="8" w:space="0"/>
            </w:tcBorders>
            <w:noWrap w:val="0"/>
            <w:vAlign w:val="center"/>
          </w:tcPr>
          <w:p w14:paraId="624ECBBC">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2085" w:type="dxa"/>
            <w:tcBorders>
              <w:top w:val="nil"/>
              <w:left w:val="nil"/>
              <w:bottom w:val="single" w:color="000000" w:sz="8" w:space="0"/>
              <w:right w:val="single" w:color="000000" w:sz="8" w:space="0"/>
            </w:tcBorders>
            <w:noWrap w:val="0"/>
            <w:vAlign w:val="center"/>
          </w:tcPr>
          <w:p w14:paraId="3781ACE5">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065" w:type="dxa"/>
            <w:tcBorders>
              <w:top w:val="nil"/>
              <w:left w:val="nil"/>
              <w:bottom w:val="single" w:color="000000" w:sz="8" w:space="0"/>
              <w:right w:val="single" w:color="000000" w:sz="8" w:space="0"/>
            </w:tcBorders>
            <w:noWrap w:val="0"/>
            <w:vAlign w:val="center"/>
          </w:tcPr>
          <w:p w14:paraId="6A23628E">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《中小型三相异步电动机能效限定值及能效等级》（GB18613）</w:t>
            </w:r>
          </w:p>
        </w:tc>
      </w:tr>
      <w:tr w14:paraId="27D18E32">
        <w:tblPrEx>
          <w:tblCellMar>
            <w:top w:w="0" w:type="dxa"/>
            <w:left w:w="108" w:type="dxa"/>
            <w:bottom w:w="0" w:type="dxa"/>
            <w:right w:w="108" w:type="dxa"/>
          </w:tblCellMar>
        </w:tblPrEx>
        <w:trPr>
          <w:trHeight w:val="495" w:hRule="atLeast"/>
        </w:trPr>
        <w:tc>
          <w:tcPr>
            <w:tcW w:w="792" w:type="dxa"/>
            <w:tcBorders>
              <w:top w:val="nil"/>
              <w:left w:val="single" w:color="000000" w:sz="8" w:space="0"/>
              <w:bottom w:val="single" w:color="000000" w:sz="8" w:space="0"/>
              <w:right w:val="single" w:color="000000" w:sz="8" w:space="0"/>
            </w:tcBorders>
            <w:noWrap w:val="0"/>
            <w:vAlign w:val="center"/>
          </w:tcPr>
          <w:p w14:paraId="034DC79D">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8</w:t>
            </w:r>
          </w:p>
        </w:tc>
        <w:tc>
          <w:tcPr>
            <w:tcW w:w="1358" w:type="dxa"/>
            <w:tcBorders>
              <w:top w:val="nil"/>
              <w:left w:val="nil"/>
              <w:bottom w:val="single" w:color="000000" w:sz="8" w:space="0"/>
              <w:right w:val="single" w:color="000000" w:sz="8" w:space="0"/>
            </w:tcBorders>
            <w:noWrap w:val="0"/>
            <w:vAlign w:val="center"/>
          </w:tcPr>
          <w:p w14:paraId="2510E1EA">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A020602变压器</w:t>
            </w:r>
          </w:p>
        </w:tc>
        <w:tc>
          <w:tcPr>
            <w:tcW w:w="1582" w:type="dxa"/>
            <w:tcBorders>
              <w:top w:val="nil"/>
              <w:left w:val="nil"/>
              <w:bottom w:val="single" w:color="000000" w:sz="8" w:space="0"/>
              <w:right w:val="single" w:color="000000" w:sz="8" w:space="0"/>
            </w:tcBorders>
            <w:noWrap w:val="0"/>
            <w:vAlign w:val="center"/>
          </w:tcPr>
          <w:p w14:paraId="44C81144">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配电变压器</w:t>
            </w:r>
          </w:p>
        </w:tc>
        <w:tc>
          <w:tcPr>
            <w:tcW w:w="2085" w:type="dxa"/>
            <w:tcBorders>
              <w:top w:val="nil"/>
              <w:left w:val="nil"/>
              <w:bottom w:val="single" w:color="000000" w:sz="8" w:space="0"/>
              <w:right w:val="single" w:color="000000" w:sz="8" w:space="0"/>
            </w:tcBorders>
            <w:noWrap w:val="0"/>
            <w:vAlign w:val="center"/>
          </w:tcPr>
          <w:p w14:paraId="4BF689FC">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065" w:type="dxa"/>
            <w:tcBorders>
              <w:top w:val="nil"/>
              <w:left w:val="nil"/>
              <w:bottom w:val="single" w:color="000000" w:sz="8" w:space="0"/>
              <w:right w:val="single" w:color="000000" w:sz="8" w:space="0"/>
            </w:tcBorders>
            <w:noWrap w:val="0"/>
            <w:vAlign w:val="center"/>
          </w:tcPr>
          <w:p w14:paraId="048E2E8A">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《三相配电变压器能效限定值及能效等级》（GB20052）</w:t>
            </w:r>
          </w:p>
        </w:tc>
      </w:tr>
      <w:tr w14:paraId="3945A534">
        <w:tblPrEx>
          <w:tblCellMar>
            <w:top w:w="0" w:type="dxa"/>
            <w:left w:w="108" w:type="dxa"/>
            <w:bottom w:w="0" w:type="dxa"/>
            <w:right w:w="108" w:type="dxa"/>
          </w:tblCellMar>
        </w:tblPrEx>
        <w:trPr>
          <w:trHeight w:val="495" w:hRule="atLeast"/>
        </w:trPr>
        <w:tc>
          <w:tcPr>
            <w:tcW w:w="792" w:type="dxa"/>
            <w:tcBorders>
              <w:top w:val="nil"/>
              <w:left w:val="single" w:color="000000" w:sz="8" w:space="0"/>
              <w:bottom w:val="single" w:color="000000" w:sz="8" w:space="0"/>
              <w:right w:val="single" w:color="000000" w:sz="8" w:space="0"/>
            </w:tcBorders>
            <w:noWrap w:val="0"/>
            <w:vAlign w:val="center"/>
          </w:tcPr>
          <w:p w14:paraId="6D10F0CB">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9</w:t>
            </w:r>
          </w:p>
        </w:tc>
        <w:tc>
          <w:tcPr>
            <w:tcW w:w="1358" w:type="dxa"/>
            <w:tcBorders>
              <w:top w:val="nil"/>
              <w:left w:val="nil"/>
              <w:bottom w:val="single" w:color="000000" w:sz="8" w:space="0"/>
              <w:right w:val="single" w:color="000000" w:sz="8" w:space="0"/>
            </w:tcBorders>
            <w:noWrap w:val="0"/>
            <w:vAlign w:val="center"/>
          </w:tcPr>
          <w:p w14:paraId="4D25CB53">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★A020609镇流器</w:t>
            </w:r>
          </w:p>
        </w:tc>
        <w:tc>
          <w:tcPr>
            <w:tcW w:w="1582" w:type="dxa"/>
            <w:tcBorders>
              <w:top w:val="nil"/>
              <w:left w:val="nil"/>
              <w:bottom w:val="single" w:color="000000" w:sz="8" w:space="0"/>
              <w:right w:val="single" w:color="000000" w:sz="8" w:space="0"/>
            </w:tcBorders>
            <w:noWrap w:val="0"/>
            <w:vAlign w:val="center"/>
          </w:tcPr>
          <w:p w14:paraId="32DCBFF2">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管型荧光灯镇流器</w:t>
            </w:r>
          </w:p>
        </w:tc>
        <w:tc>
          <w:tcPr>
            <w:tcW w:w="2085" w:type="dxa"/>
            <w:tcBorders>
              <w:top w:val="nil"/>
              <w:left w:val="nil"/>
              <w:bottom w:val="single" w:color="000000" w:sz="8" w:space="0"/>
              <w:right w:val="single" w:color="000000" w:sz="8" w:space="0"/>
            </w:tcBorders>
            <w:noWrap w:val="0"/>
            <w:vAlign w:val="center"/>
          </w:tcPr>
          <w:p w14:paraId="547483FD">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065" w:type="dxa"/>
            <w:tcBorders>
              <w:top w:val="nil"/>
              <w:left w:val="nil"/>
              <w:bottom w:val="single" w:color="000000" w:sz="8" w:space="0"/>
              <w:right w:val="single" w:color="000000" w:sz="8" w:space="0"/>
            </w:tcBorders>
            <w:noWrap w:val="0"/>
            <w:vAlign w:val="center"/>
          </w:tcPr>
          <w:p w14:paraId="71BE5BE1">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《管形荧光灯镇流器能效限定值及能效等级》（GB17896）</w:t>
            </w:r>
          </w:p>
        </w:tc>
      </w:tr>
      <w:tr w14:paraId="1F6AB651">
        <w:tblPrEx>
          <w:tblCellMar>
            <w:top w:w="0" w:type="dxa"/>
            <w:left w:w="108" w:type="dxa"/>
            <w:bottom w:w="0" w:type="dxa"/>
            <w:right w:w="108" w:type="dxa"/>
          </w:tblCellMar>
        </w:tblPrEx>
        <w:trPr>
          <w:trHeight w:val="495" w:hRule="atLeast"/>
        </w:trPr>
        <w:tc>
          <w:tcPr>
            <w:tcW w:w="792" w:type="dxa"/>
            <w:vMerge w:val="restart"/>
            <w:tcBorders>
              <w:top w:val="nil"/>
              <w:left w:val="single" w:color="000000" w:sz="8" w:space="0"/>
              <w:bottom w:val="single" w:color="000000" w:sz="8" w:space="0"/>
              <w:right w:val="single" w:color="000000" w:sz="8" w:space="0"/>
            </w:tcBorders>
            <w:noWrap w:val="0"/>
            <w:vAlign w:val="center"/>
          </w:tcPr>
          <w:p w14:paraId="78D6A447">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10</w:t>
            </w:r>
          </w:p>
        </w:tc>
        <w:tc>
          <w:tcPr>
            <w:tcW w:w="1358" w:type="dxa"/>
            <w:vMerge w:val="restart"/>
            <w:tcBorders>
              <w:top w:val="nil"/>
              <w:left w:val="single" w:color="000000" w:sz="8" w:space="0"/>
              <w:bottom w:val="single" w:color="000000" w:sz="8" w:space="0"/>
              <w:right w:val="single" w:color="000000" w:sz="8" w:space="0"/>
            </w:tcBorders>
            <w:noWrap w:val="0"/>
            <w:vAlign w:val="center"/>
          </w:tcPr>
          <w:p w14:paraId="7D665A91">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A020618生活用电器</w:t>
            </w:r>
          </w:p>
        </w:tc>
        <w:tc>
          <w:tcPr>
            <w:tcW w:w="1582" w:type="dxa"/>
            <w:tcBorders>
              <w:top w:val="nil"/>
              <w:left w:val="nil"/>
              <w:bottom w:val="single" w:color="000000" w:sz="8" w:space="0"/>
              <w:right w:val="single" w:color="000000" w:sz="8" w:space="0"/>
            </w:tcBorders>
            <w:noWrap w:val="0"/>
            <w:vAlign w:val="center"/>
          </w:tcPr>
          <w:p w14:paraId="7190EBE2">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A0206180101电冰箱</w:t>
            </w:r>
          </w:p>
        </w:tc>
        <w:tc>
          <w:tcPr>
            <w:tcW w:w="2085" w:type="dxa"/>
            <w:tcBorders>
              <w:top w:val="nil"/>
              <w:left w:val="nil"/>
              <w:bottom w:val="single" w:color="000000" w:sz="8" w:space="0"/>
              <w:right w:val="single" w:color="000000" w:sz="8" w:space="0"/>
            </w:tcBorders>
            <w:noWrap w:val="0"/>
            <w:vAlign w:val="center"/>
          </w:tcPr>
          <w:p w14:paraId="0778C91D">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065" w:type="dxa"/>
            <w:tcBorders>
              <w:top w:val="nil"/>
              <w:left w:val="nil"/>
              <w:bottom w:val="single" w:color="000000" w:sz="8" w:space="0"/>
              <w:right w:val="single" w:color="000000" w:sz="8" w:space="0"/>
            </w:tcBorders>
            <w:noWrap w:val="0"/>
            <w:vAlign w:val="center"/>
          </w:tcPr>
          <w:p w14:paraId="03A59FD0">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《家用电冰箱耗电量限定值及能效等级》（GB 12021.2）</w:t>
            </w:r>
          </w:p>
        </w:tc>
      </w:tr>
      <w:tr w14:paraId="34AD038C">
        <w:tblPrEx>
          <w:tblCellMar>
            <w:top w:w="0" w:type="dxa"/>
            <w:left w:w="108" w:type="dxa"/>
            <w:bottom w:w="0" w:type="dxa"/>
            <w:right w:w="108" w:type="dxa"/>
          </w:tblCellMar>
        </w:tblPrEx>
        <w:trPr>
          <w:trHeight w:val="975" w:hRule="atLeast"/>
        </w:trPr>
        <w:tc>
          <w:tcPr>
            <w:tcW w:w="792" w:type="dxa"/>
            <w:vMerge w:val="continue"/>
            <w:tcBorders>
              <w:top w:val="nil"/>
              <w:left w:val="single" w:color="000000" w:sz="8" w:space="0"/>
              <w:bottom w:val="single" w:color="000000" w:sz="8" w:space="0"/>
              <w:right w:val="single" w:color="000000" w:sz="8" w:space="0"/>
            </w:tcBorders>
            <w:noWrap w:val="0"/>
            <w:vAlign w:val="center"/>
          </w:tcPr>
          <w:p w14:paraId="2F8B145C">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1358" w:type="dxa"/>
            <w:vMerge w:val="continue"/>
            <w:tcBorders>
              <w:top w:val="nil"/>
              <w:left w:val="single" w:color="000000" w:sz="8" w:space="0"/>
              <w:bottom w:val="single" w:color="000000" w:sz="8" w:space="0"/>
              <w:right w:val="single" w:color="000000" w:sz="8" w:space="0"/>
            </w:tcBorders>
            <w:noWrap w:val="0"/>
            <w:vAlign w:val="center"/>
          </w:tcPr>
          <w:p w14:paraId="663DEC17">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1582" w:type="dxa"/>
            <w:vMerge w:val="restart"/>
            <w:tcBorders>
              <w:top w:val="nil"/>
              <w:left w:val="single" w:color="000000" w:sz="8" w:space="0"/>
              <w:bottom w:val="single" w:color="000000" w:sz="8" w:space="0"/>
              <w:right w:val="single" w:color="000000" w:sz="8" w:space="0"/>
            </w:tcBorders>
            <w:noWrap w:val="0"/>
            <w:vAlign w:val="center"/>
          </w:tcPr>
          <w:p w14:paraId="1FF88512">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★A0206180203空调机</w:t>
            </w:r>
          </w:p>
        </w:tc>
        <w:tc>
          <w:tcPr>
            <w:tcW w:w="2085" w:type="dxa"/>
            <w:tcBorders>
              <w:top w:val="nil"/>
              <w:left w:val="nil"/>
              <w:bottom w:val="single" w:color="000000" w:sz="8" w:space="0"/>
              <w:right w:val="single" w:color="000000" w:sz="8" w:space="0"/>
            </w:tcBorders>
            <w:noWrap w:val="0"/>
            <w:vAlign w:val="center"/>
          </w:tcPr>
          <w:p w14:paraId="595B4880">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房间空气调节器</w:t>
            </w:r>
          </w:p>
        </w:tc>
        <w:tc>
          <w:tcPr>
            <w:tcW w:w="4065" w:type="dxa"/>
            <w:tcBorders>
              <w:top w:val="nil"/>
              <w:left w:val="nil"/>
              <w:bottom w:val="single" w:color="000000" w:sz="8" w:space="0"/>
              <w:right w:val="single" w:color="000000" w:sz="8" w:space="0"/>
            </w:tcBorders>
            <w:noWrap w:val="0"/>
            <w:vAlign w:val="center"/>
          </w:tcPr>
          <w:p w14:paraId="35969E8E">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《转速可控型房间空气调节器能效限定值及能效等级》（GB21455-2013），待2019年修订发布后，按《房间空气调节器能效限定值及能效等级》（GB21455-2019实施。</w:t>
            </w:r>
          </w:p>
        </w:tc>
      </w:tr>
      <w:tr w14:paraId="07D93986">
        <w:tblPrEx>
          <w:tblCellMar>
            <w:top w:w="0" w:type="dxa"/>
            <w:left w:w="108" w:type="dxa"/>
            <w:bottom w:w="0" w:type="dxa"/>
            <w:right w:w="108" w:type="dxa"/>
          </w:tblCellMar>
        </w:tblPrEx>
        <w:trPr>
          <w:trHeight w:val="735" w:hRule="atLeast"/>
        </w:trPr>
        <w:tc>
          <w:tcPr>
            <w:tcW w:w="792" w:type="dxa"/>
            <w:vMerge w:val="continue"/>
            <w:tcBorders>
              <w:top w:val="nil"/>
              <w:left w:val="single" w:color="000000" w:sz="8" w:space="0"/>
              <w:bottom w:val="single" w:color="000000" w:sz="8" w:space="0"/>
              <w:right w:val="single" w:color="000000" w:sz="8" w:space="0"/>
            </w:tcBorders>
            <w:noWrap w:val="0"/>
            <w:vAlign w:val="center"/>
          </w:tcPr>
          <w:p w14:paraId="57A46A55">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1358" w:type="dxa"/>
            <w:vMerge w:val="continue"/>
            <w:tcBorders>
              <w:top w:val="nil"/>
              <w:left w:val="single" w:color="000000" w:sz="8" w:space="0"/>
              <w:bottom w:val="single" w:color="000000" w:sz="8" w:space="0"/>
              <w:right w:val="single" w:color="000000" w:sz="8" w:space="0"/>
            </w:tcBorders>
            <w:noWrap w:val="0"/>
            <w:vAlign w:val="center"/>
          </w:tcPr>
          <w:p w14:paraId="43B1601B">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1582" w:type="dxa"/>
            <w:vMerge w:val="continue"/>
            <w:tcBorders>
              <w:top w:val="nil"/>
              <w:left w:val="single" w:color="000000" w:sz="8" w:space="0"/>
              <w:bottom w:val="single" w:color="000000" w:sz="8" w:space="0"/>
              <w:right w:val="single" w:color="000000" w:sz="8" w:space="0"/>
            </w:tcBorders>
            <w:noWrap w:val="0"/>
            <w:vAlign w:val="center"/>
          </w:tcPr>
          <w:p w14:paraId="72BF8937">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2085" w:type="dxa"/>
            <w:tcBorders>
              <w:top w:val="nil"/>
              <w:left w:val="nil"/>
              <w:bottom w:val="single" w:color="000000" w:sz="8" w:space="0"/>
              <w:right w:val="single" w:color="000000" w:sz="8" w:space="0"/>
            </w:tcBorders>
            <w:noWrap w:val="0"/>
            <w:vAlign w:val="center"/>
          </w:tcPr>
          <w:p w14:paraId="62A776A1">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多联式空调（热泵）机组（制冷量≤ 14000W）</w:t>
            </w:r>
          </w:p>
        </w:tc>
        <w:tc>
          <w:tcPr>
            <w:tcW w:w="4065" w:type="dxa"/>
            <w:tcBorders>
              <w:top w:val="nil"/>
              <w:left w:val="nil"/>
              <w:bottom w:val="single" w:color="000000" w:sz="8" w:space="0"/>
              <w:right w:val="single" w:color="000000" w:sz="8" w:space="0"/>
            </w:tcBorders>
            <w:noWrap w:val="0"/>
            <w:vAlign w:val="center"/>
          </w:tcPr>
          <w:p w14:paraId="0663EBF1">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《多联式空调（热泵）机组能效限定值及能源效率等级》（GB21454）</w:t>
            </w:r>
          </w:p>
        </w:tc>
      </w:tr>
      <w:tr w14:paraId="460CBCCA">
        <w:tblPrEx>
          <w:tblCellMar>
            <w:top w:w="0" w:type="dxa"/>
            <w:left w:w="108" w:type="dxa"/>
            <w:bottom w:w="0" w:type="dxa"/>
            <w:right w:w="108" w:type="dxa"/>
          </w:tblCellMar>
        </w:tblPrEx>
        <w:trPr>
          <w:trHeight w:val="735" w:hRule="atLeast"/>
        </w:trPr>
        <w:tc>
          <w:tcPr>
            <w:tcW w:w="792" w:type="dxa"/>
            <w:vMerge w:val="continue"/>
            <w:tcBorders>
              <w:top w:val="nil"/>
              <w:left w:val="single" w:color="000000" w:sz="8" w:space="0"/>
              <w:bottom w:val="single" w:color="000000" w:sz="8" w:space="0"/>
              <w:right w:val="single" w:color="000000" w:sz="8" w:space="0"/>
            </w:tcBorders>
            <w:noWrap w:val="0"/>
            <w:vAlign w:val="center"/>
          </w:tcPr>
          <w:p w14:paraId="5CB80470">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1358" w:type="dxa"/>
            <w:vMerge w:val="continue"/>
            <w:tcBorders>
              <w:top w:val="nil"/>
              <w:left w:val="single" w:color="000000" w:sz="8" w:space="0"/>
              <w:bottom w:val="single" w:color="000000" w:sz="8" w:space="0"/>
              <w:right w:val="single" w:color="000000" w:sz="8" w:space="0"/>
            </w:tcBorders>
            <w:noWrap w:val="0"/>
            <w:vAlign w:val="center"/>
          </w:tcPr>
          <w:p w14:paraId="7279AD3D">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1582" w:type="dxa"/>
            <w:vMerge w:val="continue"/>
            <w:tcBorders>
              <w:top w:val="nil"/>
              <w:left w:val="single" w:color="000000" w:sz="8" w:space="0"/>
              <w:bottom w:val="single" w:color="000000" w:sz="8" w:space="0"/>
              <w:right w:val="single" w:color="000000" w:sz="8" w:space="0"/>
            </w:tcBorders>
            <w:noWrap w:val="0"/>
            <w:vAlign w:val="center"/>
          </w:tcPr>
          <w:p w14:paraId="3126468D">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2085" w:type="dxa"/>
            <w:tcBorders>
              <w:top w:val="nil"/>
              <w:left w:val="nil"/>
              <w:bottom w:val="single" w:color="000000" w:sz="8" w:space="0"/>
              <w:right w:val="single" w:color="000000" w:sz="8" w:space="0"/>
            </w:tcBorders>
            <w:noWrap w:val="0"/>
            <w:vAlign w:val="center"/>
          </w:tcPr>
          <w:p w14:paraId="63758F8A">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单元式空气调节机(制冷量≤14000W)</w:t>
            </w:r>
          </w:p>
        </w:tc>
        <w:tc>
          <w:tcPr>
            <w:tcW w:w="4065" w:type="dxa"/>
            <w:tcBorders>
              <w:top w:val="nil"/>
              <w:left w:val="nil"/>
              <w:bottom w:val="single" w:color="000000" w:sz="8" w:space="0"/>
              <w:right w:val="single" w:color="000000" w:sz="8" w:space="0"/>
            </w:tcBorders>
            <w:noWrap w:val="0"/>
            <w:vAlign w:val="center"/>
          </w:tcPr>
          <w:p w14:paraId="0C6D7610">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《单元式空气调节机能效限定值及能源效率等级》（GB19576）《风管送风式空调机组能效限定值及能效等级》（GB37479）</w:t>
            </w:r>
          </w:p>
        </w:tc>
      </w:tr>
      <w:tr w14:paraId="7AC8BCEF">
        <w:tblPrEx>
          <w:tblCellMar>
            <w:top w:w="0" w:type="dxa"/>
            <w:left w:w="108" w:type="dxa"/>
            <w:bottom w:w="0" w:type="dxa"/>
            <w:right w:w="108" w:type="dxa"/>
          </w:tblCellMar>
        </w:tblPrEx>
        <w:trPr>
          <w:trHeight w:val="495" w:hRule="atLeast"/>
        </w:trPr>
        <w:tc>
          <w:tcPr>
            <w:tcW w:w="792" w:type="dxa"/>
            <w:vMerge w:val="continue"/>
            <w:tcBorders>
              <w:top w:val="nil"/>
              <w:left w:val="single" w:color="000000" w:sz="8" w:space="0"/>
              <w:bottom w:val="single" w:color="000000" w:sz="8" w:space="0"/>
              <w:right w:val="single" w:color="000000" w:sz="8" w:space="0"/>
            </w:tcBorders>
            <w:noWrap w:val="0"/>
            <w:vAlign w:val="center"/>
          </w:tcPr>
          <w:p w14:paraId="03EE11CC">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1358" w:type="dxa"/>
            <w:vMerge w:val="continue"/>
            <w:tcBorders>
              <w:top w:val="nil"/>
              <w:left w:val="single" w:color="000000" w:sz="8" w:space="0"/>
              <w:bottom w:val="single" w:color="000000" w:sz="8" w:space="0"/>
              <w:right w:val="single" w:color="000000" w:sz="8" w:space="0"/>
            </w:tcBorders>
            <w:noWrap w:val="0"/>
            <w:vAlign w:val="center"/>
          </w:tcPr>
          <w:p w14:paraId="3AA952A8">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1582" w:type="dxa"/>
            <w:tcBorders>
              <w:top w:val="nil"/>
              <w:left w:val="nil"/>
              <w:bottom w:val="single" w:color="000000" w:sz="8" w:space="0"/>
              <w:right w:val="single" w:color="000000" w:sz="8" w:space="0"/>
            </w:tcBorders>
            <w:noWrap w:val="0"/>
            <w:vAlign w:val="center"/>
          </w:tcPr>
          <w:p w14:paraId="642F96E6">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A0206180301洗衣机</w:t>
            </w:r>
          </w:p>
        </w:tc>
        <w:tc>
          <w:tcPr>
            <w:tcW w:w="2085" w:type="dxa"/>
            <w:tcBorders>
              <w:top w:val="nil"/>
              <w:left w:val="nil"/>
              <w:bottom w:val="single" w:color="000000" w:sz="8" w:space="0"/>
              <w:right w:val="single" w:color="000000" w:sz="8" w:space="0"/>
            </w:tcBorders>
            <w:noWrap w:val="0"/>
            <w:vAlign w:val="center"/>
          </w:tcPr>
          <w:p w14:paraId="210D6655">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065" w:type="dxa"/>
            <w:tcBorders>
              <w:top w:val="nil"/>
              <w:left w:val="nil"/>
              <w:bottom w:val="single" w:color="000000" w:sz="8" w:space="0"/>
              <w:right w:val="single" w:color="000000" w:sz="8" w:space="0"/>
            </w:tcBorders>
            <w:noWrap w:val="0"/>
            <w:vAlign w:val="center"/>
          </w:tcPr>
          <w:p w14:paraId="7ED31D1C">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《电动洗衣机能效水效限定值及等级》（GB12021.4）</w:t>
            </w:r>
          </w:p>
        </w:tc>
      </w:tr>
      <w:tr w14:paraId="039BB49F">
        <w:tblPrEx>
          <w:tblCellMar>
            <w:top w:w="0" w:type="dxa"/>
            <w:left w:w="108" w:type="dxa"/>
            <w:bottom w:w="0" w:type="dxa"/>
            <w:right w:w="108" w:type="dxa"/>
          </w:tblCellMar>
        </w:tblPrEx>
        <w:trPr>
          <w:trHeight w:val="495" w:hRule="atLeast"/>
        </w:trPr>
        <w:tc>
          <w:tcPr>
            <w:tcW w:w="792" w:type="dxa"/>
            <w:vMerge w:val="continue"/>
            <w:tcBorders>
              <w:top w:val="nil"/>
              <w:left w:val="single" w:color="000000" w:sz="8" w:space="0"/>
              <w:bottom w:val="single" w:color="000000" w:sz="8" w:space="0"/>
              <w:right w:val="single" w:color="000000" w:sz="8" w:space="0"/>
            </w:tcBorders>
            <w:noWrap w:val="0"/>
            <w:vAlign w:val="center"/>
          </w:tcPr>
          <w:p w14:paraId="4A1EF79E">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1358" w:type="dxa"/>
            <w:vMerge w:val="continue"/>
            <w:tcBorders>
              <w:top w:val="nil"/>
              <w:left w:val="single" w:color="000000" w:sz="8" w:space="0"/>
              <w:bottom w:val="single" w:color="000000" w:sz="8" w:space="0"/>
              <w:right w:val="single" w:color="000000" w:sz="8" w:space="0"/>
            </w:tcBorders>
            <w:noWrap w:val="0"/>
            <w:vAlign w:val="center"/>
          </w:tcPr>
          <w:p w14:paraId="62266823">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1582" w:type="dxa"/>
            <w:vMerge w:val="restart"/>
            <w:tcBorders>
              <w:top w:val="nil"/>
              <w:left w:val="single" w:color="000000" w:sz="8" w:space="0"/>
              <w:bottom w:val="single" w:color="000000" w:sz="8" w:space="0"/>
              <w:right w:val="single" w:color="000000" w:sz="8" w:space="0"/>
            </w:tcBorders>
            <w:noWrap w:val="0"/>
            <w:vAlign w:val="center"/>
          </w:tcPr>
          <w:p w14:paraId="26FE8975">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A02061808热水器</w:t>
            </w:r>
          </w:p>
        </w:tc>
        <w:tc>
          <w:tcPr>
            <w:tcW w:w="2085" w:type="dxa"/>
            <w:tcBorders>
              <w:top w:val="nil"/>
              <w:left w:val="nil"/>
              <w:bottom w:val="single" w:color="000000" w:sz="8" w:space="0"/>
              <w:right w:val="single" w:color="000000" w:sz="8" w:space="0"/>
            </w:tcBorders>
            <w:noWrap w:val="0"/>
            <w:vAlign w:val="center"/>
          </w:tcPr>
          <w:p w14:paraId="7F2BAE02">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★电热水器</w:t>
            </w:r>
          </w:p>
        </w:tc>
        <w:tc>
          <w:tcPr>
            <w:tcW w:w="4065" w:type="dxa"/>
            <w:tcBorders>
              <w:top w:val="nil"/>
              <w:left w:val="nil"/>
              <w:bottom w:val="single" w:color="000000" w:sz="8" w:space="0"/>
              <w:right w:val="single" w:color="000000" w:sz="8" w:space="0"/>
            </w:tcBorders>
            <w:noWrap w:val="0"/>
            <w:vAlign w:val="center"/>
          </w:tcPr>
          <w:p w14:paraId="00059BD6">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《储水式电热水器能效限定值及能效等级》（GB21519）</w:t>
            </w:r>
          </w:p>
        </w:tc>
      </w:tr>
      <w:tr w14:paraId="582623A7">
        <w:tblPrEx>
          <w:tblCellMar>
            <w:top w:w="0" w:type="dxa"/>
            <w:left w:w="108" w:type="dxa"/>
            <w:bottom w:w="0" w:type="dxa"/>
            <w:right w:w="108" w:type="dxa"/>
          </w:tblCellMar>
        </w:tblPrEx>
        <w:trPr>
          <w:trHeight w:val="495" w:hRule="atLeast"/>
        </w:trPr>
        <w:tc>
          <w:tcPr>
            <w:tcW w:w="792" w:type="dxa"/>
            <w:vMerge w:val="continue"/>
            <w:tcBorders>
              <w:top w:val="nil"/>
              <w:left w:val="single" w:color="000000" w:sz="8" w:space="0"/>
              <w:bottom w:val="single" w:color="000000" w:sz="8" w:space="0"/>
              <w:right w:val="single" w:color="000000" w:sz="8" w:space="0"/>
            </w:tcBorders>
            <w:noWrap w:val="0"/>
            <w:vAlign w:val="center"/>
          </w:tcPr>
          <w:p w14:paraId="623DC86A">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1358" w:type="dxa"/>
            <w:vMerge w:val="continue"/>
            <w:tcBorders>
              <w:top w:val="nil"/>
              <w:left w:val="single" w:color="000000" w:sz="8" w:space="0"/>
              <w:bottom w:val="single" w:color="000000" w:sz="8" w:space="0"/>
              <w:right w:val="single" w:color="000000" w:sz="8" w:space="0"/>
            </w:tcBorders>
            <w:noWrap w:val="0"/>
            <w:vAlign w:val="center"/>
          </w:tcPr>
          <w:p w14:paraId="1A7B7DD3">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1582" w:type="dxa"/>
            <w:vMerge w:val="continue"/>
            <w:tcBorders>
              <w:top w:val="nil"/>
              <w:left w:val="single" w:color="000000" w:sz="8" w:space="0"/>
              <w:bottom w:val="single" w:color="000000" w:sz="8" w:space="0"/>
              <w:right w:val="single" w:color="000000" w:sz="8" w:space="0"/>
            </w:tcBorders>
            <w:noWrap w:val="0"/>
            <w:vAlign w:val="center"/>
          </w:tcPr>
          <w:p w14:paraId="2F11D9BE">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2085" w:type="dxa"/>
            <w:tcBorders>
              <w:top w:val="nil"/>
              <w:left w:val="nil"/>
              <w:bottom w:val="single" w:color="000000" w:sz="8" w:space="0"/>
              <w:right w:val="single" w:color="000000" w:sz="8" w:space="0"/>
            </w:tcBorders>
            <w:noWrap w:val="0"/>
            <w:vAlign w:val="center"/>
          </w:tcPr>
          <w:p w14:paraId="2E85C9DA">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燃气热水器</w:t>
            </w:r>
          </w:p>
        </w:tc>
        <w:tc>
          <w:tcPr>
            <w:tcW w:w="4065" w:type="dxa"/>
            <w:tcBorders>
              <w:top w:val="nil"/>
              <w:left w:val="nil"/>
              <w:bottom w:val="single" w:color="000000" w:sz="8" w:space="0"/>
              <w:right w:val="single" w:color="000000" w:sz="8" w:space="0"/>
            </w:tcBorders>
            <w:noWrap w:val="0"/>
            <w:vAlign w:val="center"/>
          </w:tcPr>
          <w:p w14:paraId="04EC7049">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《家用燃气快速热水器和燃气采暖热水炉能效限定值及能效等级》（GB20665）</w:t>
            </w:r>
          </w:p>
        </w:tc>
      </w:tr>
      <w:tr w14:paraId="78E71775">
        <w:tblPrEx>
          <w:tblCellMar>
            <w:top w:w="0" w:type="dxa"/>
            <w:left w:w="108" w:type="dxa"/>
            <w:bottom w:w="0" w:type="dxa"/>
            <w:right w:w="108" w:type="dxa"/>
          </w:tblCellMar>
        </w:tblPrEx>
        <w:trPr>
          <w:trHeight w:val="495" w:hRule="atLeast"/>
        </w:trPr>
        <w:tc>
          <w:tcPr>
            <w:tcW w:w="792" w:type="dxa"/>
            <w:vMerge w:val="continue"/>
            <w:tcBorders>
              <w:top w:val="nil"/>
              <w:left w:val="single" w:color="000000" w:sz="8" w:space="0"/>
              <w:bottom w:val="single" w:color="000000" w:sz="8" w:space="0"/>
              <w:right w:val="single" w:color="000000" w:sz="8" w:space="0"/>
            </w:tcBorders>
            <w:noWrap w:val="0"/>
            <w:vAlign w:val="center"/>
          </w:tcPr>
          <w:p w14:paraId="3D5F78F3">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1358" w:type="dxa"/>
            <w:vMerge w:val="continue"/>
            <w:tcBorders>
              <w:top w:val="nil"/>
              <w:left w:val="single" w:color="000000" w:sz="8" w:space="0"/>
              <w:bottom w:val="single" w:color="000000" w:sz="8" w:space="0"/>
              <w:right w:val="single" w:color="000000" w:sz="8" w:space="0"/>
            </w:tcBorders>
            <w:noWrap w:val="0"/>
            <w:vAlign w:val="center"/>
          </w:tcPr>
          <w:p w14:paraId="25E44B74">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1582" w:type="dxa"/>
            <w:vMerge w:val="continue"/>
            <w:tcBorders>
              <w:top w:val="nil"/>
              <w:left w:val="single" w:color="000000" w:sz="8" w:space="0"/>
              <w:bottom w:val="single" w:color="000000" w:sz="8" w:space="0"/>
              <w:right w:val="single" w:color="000000" w:sz="8" w:space="0"/>
            </w:tcBorders>
            <w:noWrap w:val="0"/>
            <w:vAlign w:val="center"/>
          </w:tcPr>
          <w:p w14:paraId="2827C0C4">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2085" w:type="dxa"/>
            <w:tcBorders>
              <w:top w:val="nil"/>
              <w:left w:val="nil"/>
              <w:bottom w:val="single" w:color="000000" w:sz="8" w:space="0"/>
              <w:right w:val="single" w:color="000000" w:sz="8" w:space="0"/>
            </w:tcBorders>
            <w:noWrap w:val="0"/>
            <w:vAlign w:val="center"/>
          </w:tcPr>
          <w:p w14:paraId="33B4AEE3">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热泵热水器</w:t>
            </w:r>
          </w:p>
        </w:tc>
        <w:tc>
          <w:tcPr>
            <w:tcW w:w="4065" w:type="dxa"/>
            <w:tcBorders>
              <w:top w:val="nil"/>
              <w:left w:val="nil"/>
              <w:bottom w:val="single" w:color="000000" w:sz="8" w:space="0"/>
              <w:right w:val="single" w:color="000000" w:sz="8" w:space="0"/>
            </w:tcBorders>
            <w:noWrap w:val="0"/>
            <w:vAlign w:val="center"/>
          </w:tcPr>
          <w:p w14:paraId="0B0931B0">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《热泵热水机（器）能效限定值及能效等级》（GB29541）</w:t>
            </w:r>
          </w:p>
        </w:tc>
      </w:tr>
      <w:tr w14:paraId="244B0344">
        <w:tblPrEx>
          <w:tblCellMar>
            <w:top w:w="0" w:type="dxa"/>
            <w:left w:w="108" w:type="dxa"/>
            <w:bottom w:w="0" w:type="dxa"/>
            <w:right w:w="108" w:type="dxa"/>
          </w:tblCellMar>
        </w:tblPrEx>
        <w:trPr>
          <w:trHeight w:val="495" w:hRule="atLeast"/>
        </w:trPr>
        <w:tc>
          <w:tcPr>
            <w:tcW w:w="792" w:type="dxa"/>
            <w:vMerge w:val="continue"/>
            <w:tcBorders>
              <w:top w:val="nil"/>
              <w:left w:val="single" w:color="000000" w:sz="8" w:space="0"/>
              <w:bottom w:val="single" w:color="000000" w:sz="8" w:space="0"/>
              <w:right w:val="single" w:color="000000" w:sz="8" w:space="0"/>
            </w:tcBorders>
            <w:noWrap w:val="0"/>
            <w:vAlign w:val="center"/>
          </w:tcPr>
          <w:p w14:paraId="4D98A2F6">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1358" w:type="dxa"/>
            <w:vMerge w:val="continue"/>
            <w:tcBorders>
              <w:top w:val="nil"/>
              <w:left w:val="single" w:color="000000" w:sz="8" w:space="0"/>
              <w:bottom w:val="single" w:color="000000" w:sz="8" w:space="0"/>
              <w:right w:val="single" w:color="000000" w:sz="8" w:space="0"/>
            </w:tcBorders>
            <w:noWrap w:val="0"/>
            <w:vAlign w:val="center"/>
          </w:tcPr>
          <w:p w14:paraId="274F9245">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1582" w:type="dxa"/>
            <w:vMerge w:val="continue"/>
            <w:tcBorders>
              <w:top w:val="nil"/>
              <w:left w:val="single" w:color="000000" w:sz="8" w:space="0"/>
              <w:bottom w:val="single" w:color="000000" w:sz="8" w:space="0"/>
              <w:right w:val="single" w:color="000000" w:sz="8" w:space="0"/>
            </w:tcBorders>
            <w:noWrap w:val="0"/>
            <w:vAlign w:val="center"/>
          </w:tcPr>
          <w:p w14:paraId="6DBEF94F">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2085" w:type="dxa"/>
            <w:tcBorders>
              <w:top w:val="nil"/>
              <w:left w:val="nil"/>
              <w:bottom w:val="single" w:color="000000" w:sz="8" w:space="0"/>
              <w:right w:val="single" w:color="000000" w:sz="8" w:space="0"/>
            </w:tcBorders>
            <w:noWrap w:val="0"/>
            <w:vAlign w:val="center"/>
          </w:tcPr>
          <w:p w14:paraId="1CCAF912">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太阳能热水系统</w:t>
            </w:r>
          </w:p>
        </w:tc>
        <w:tc>
          <w:tcPr>
            <w:tcW w:w="4065" w:type="dxa"/>
            <w:tcBorders>
              <w:top w:val="nil"/>
              <w:left w:val="nil"/>
              <w:bottom w:val="single" w:color="000000" w:sz="8" w:space="0"/>
              <w:right w:val="single" w:color="000000" w:sz="8" w:space="0"/>
            </w:tcBorders>
            <w:noWrap w:val="0"/>
            <w:vAlign w:val="center"/>
          </w:tcPr>
          <w:p w14:paraId="07D65AB1">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《家用太阳能热水系统能效限定值及能效等级》（GB26969）</w:t>
            </w:r>
          </w:p>
        </w:tc>
      </w:tr>
      <w:tr w14:paraId="1CDAA59B">
        <w:tblPrEx>
          <w:tblCellMar>
            <w:top w:w="0" w:type="dxa"/>
            <w:left w:w="108" w:type="dxa"/>
            <w:bottom w:w="0" w:type="dxa"/>
            <w:right w:w="108" w:type="dxa"/>
          </w:tblCellMar>
        </w:tblPrEx>
        <w:trPr>
          <w:trHeight w:val="495" w:hRule="atLeast"/>
        </w:trPr>
        <w:tc>
          <w:tcPr>
            <w:tcW w:w="792" w:type="dxa"/>
            <w:vMerge w:val="restart"/>
            <w:tcBorders>
              <w:top w:val="nil"/>
              <w:left w:val="single" w:color="000000" w:sz="8" w:space="0"/>
              <w:bottom w:val="single" w:color="000000" w:sz="8" w:space="0"/>
              <w:right w:val="single" w:color="000000" w:sz="8" w:space="0"/>
            </w:tcBorders>
            <w:noWrap w:val="0"/>
            <w:vAlign w:val="center"/>
          </w:tcPr>
          <w:p w14:paraId="73F8C28D">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11</w:t>
            </w:r>
          </w:p>
        </w:tc>
        <w:tc>
          <w:tcPr>
            <w:tcW w:w="1358" w:type="dxa"/>
            <w:vMerge w:val="restart"/>
            <w:tcBorders>
              <w:top w:val="nil"/>
              <w:left w:val="single" w:color="000000" w:sz="8" w:space="0"/>
              <w:bottom w:val="single" w:color="000000" w:sz="8" w:space="0"/>
              <w:right w:val="single" w:color="000000" w:sz="8" w:space="0"/>
            </w:tcBorders>
            <w:noWrap w:val="0"/>
            <w:vAlign w:val="center"/>
          </w:tcPr>
          <w:p w14:paraId="5FDFDC66">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A020619照明设备</w:t>
            </w:r>
          </w:p>
        </w:tc>
        <w:tc>
          <w:tcPr>
            <w:tcW w:w="1582" w:type="dxa"/>
            <w:tcBorders>
              <w:top w:val="nil"/>
              <w:left w:val="nil"/>
              <w:bottom w:val="single" w:color="000000" w:sz="8" w:space="0"/>
              <w:right w:val="single" w:color="000000" w:sz="8" w:space="0"/>
            </w:tcBorders>
            <w:noWrap w:val="0"/>
            <w:vAlign w:val="center"/>
          </w:tcPr>
          <w:p w14:paraId="233DC01B">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★普通照明用双端荧光灯</w:t>
            </w:r>
          </w:p>
        </w:tc>
        <w:tc>
          <w:tcPr>
            <w:tcW w:w="2085" w:type="dxa"/>
            <w:tcBorders>
              <w:top w:val="nil"/>
              <w:left w:val="nil"/>
              <w:bottom w:val="single" w:color="000000" w:sz="8" w:space="0"/>
              <w:right w:val="single" w:color="000000" w:sz="8" w:space="0"/>
            </w:tcBorders>
            <w:noWrap w:val="0"/>
            <w:vAlign w:val="center"/>
          </w:tcPr>
          <w:p w14:paraId="67BB3D26">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065" w:type="dxa"/>
            <w:tcBorders>
              <w:top w:val="nil"/>
              <w:left w:val="nil"/>
              <w:bottom w:val="single" w:color="000000" w:sz="8" w:space="0"/>
              <w:right w:val="single" w:color="000000" w:sz="8" w:space="0"/>
            </w:tcBorders>
            <w:noWrap w:val="0"/>
            <w:vAlign w:val="center"/>
          </w:tcPr>
          <w:p w14:paraId="3F7B1769">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《普通照明用双端荧光灯能效限定值及能效等级》（GB19043）</w:t>
            </w:r>
          </w:p>
        </w:tc>
      </w:tr>
      <w:tr w14:paraId="0E03D763">
        <w:tblPrEx>
          <w:tblCellMar>
            <w:top w:w="0" w:type="dxa"/>
            <w:left w:w="108" w:type="dxa"/>
            <w:bottom w:w="0" w:type="dxa"/>
            <w:right w:w="108" w:type="dxa"/>
          </w:tblCellMar>
        </w:tblPrEx>
        <w:trPr>
          <w:trHeight w:val="495" w:hRule="atLeast"/>
        </w:trPr>
        <w:tc>
          <w:tcPr>
            <w:tcW w:w="792" w:type="dxa"/>
            <w:vMerge w:val="continue"/>
            <w:tcBorders>
              <w:top w:val="nil"/>
              <w:left w:val="single" w:color="000000" w:sz="8" w:space="0"/>
              <w:bottom w:val="single" w:color="000000" w:sz="8" w:space="0"/>
              <w:right w:val="single" w:color="000000" w:sz="8" w:space="0"/>
            </w:tcBorders>
            <w:noWrap w:val="0"/>
            <w:vAlign w:val="center"/>
          </w:tcPr>
          <w:p w14:paraId="1842EC35">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1358" w:type="dxa"/>
            <w:vMerge w:val="continue"/>
            <w:tcBorders>
              <w:top w:val="nil"/>
              <w:left w:val="single" w:color="000000" w:sz="8" w:space="0"/>
              <w:bottom w:val="single" w:color="000000" w:sz="8" w:space="0"/>
              <w:right w:val="single" w:color="000000" w:sz="8" w:space="0"/>
            </w:tcBorders>
            <w:noWrap w:val="0"/>
            <w:vAlign w:val="center"/>
          </w:tcPr>
          <w:p w14:paraId="44876643">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1582" w:type="dxa"/>
            <w:tcBorders>
              <w:top w:val="nil"/>
              <w:left w:val="nil"/>
              <w:bottom w:val="single" w:color="000000" w:sz="8" w:space="0"/>
              <w:right w:val="single" w:color="000000" w:sz="8" w:space="0"/>
            </w:tcBorders>
            <w:noWrap w:val="0"/>
            <w:vAlign w:val="center"/>
          </w:tcPr>
          <w:p w14:paraId="28F20645">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LED道路/隧道照明产品</w:t>
            </w:r>
          </w:p>
        </w:tc>
        <w:tc>
          <w:tcPr>
            <w:tcW w:w="2085" w:type="dxa"/>
            <w:tcBorders>
              <w:top w:val="nil"/>
              <w:left w:val="nil"/>
              <w:bottom w:val="single" w:color="000000" w:sz="8" w:space="0"/>
              <w:right w:val="single" w:color="000000" w:sz="8" w:space="0"/>
            </w:tcBorders>
            <w:noWrap w:val="0"/>
            <w:vAlign w:val="center"/>
          </w:tcPr>
          <w:p w14:paraId="394AC8D9">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065" w:type="dxa"/>
            <w:tcBorders>
              <w:top w:val="nil"/>
              <w:left w:val="nil"/>
              <w:bottom w:val="single" w:color="000000" w:sz="8" w:space="0"/>
              <w:right w:val="single" w:color="000000" w:sz="8" w:space="0"/>
            </w:tcBorders>
            <w:noWrap w:val="0"/>
            <w:vAlign w:val="center"/>
          </w:tcPr>
          <w:p w14:paraId="4DB23241">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《道路和隧道照明用LED灯具能效限定值及能效等级》（GB37478）</w:t>
            </w:r>
          </w:p>
        </w:tc>
      </w:tr>
      <w:tr w14:paraId="4A77FC1D">
        <w:tblPrEx>
          <w:tblCellMar>
            <w:top w:w="0" w:type="dxa"/>
            <w:left w:w="108" w:type="dxa"/>
            <w:bottom w:w="0" w:type="dxa"/>
            <w:right w:w="108" w:type="dxa"/>
          </w:tblCellMar>
        </w:tblPrEx>
        <w:trPr>
          <w:trHeight w:val="495" w:hRule="atLeast"/>
        </w:trPr>
        <w:tc>
          <w:tcPr>
            <w:tcW w:w="792" w:type="dxa"/>
            <w:vMerge w:val="continue"/>
            <w:tcBorders>
              <w:top w:val="nil"/>
              <w:left w:val="single" w:color="000000" w:sz="8" w:space="0"/>
              <w:bottom w:val="single" w:color="000000" w:sz="8" w:space="0"/>
              <w:right w:val="single" w:color="000000" w:sz="8" w:space="0"/>
            </w:tcBorders>
            <w:noWrap w:val="0"/>
            <w:vAlign w:val="center"/>
          </w:tcPr>
          <w:p w14:paraId="1DE5740D">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1358" w:type="dxa"/>
            <w:vMerge w:val="continue"/>
            <w:tcBorders>
              <w:top w:val="nil"/>
              <w:left w:val="single" w:color="000000" w:sz="8" w:space="0"/>
              <w:bottom w:val="single" w:color="000000" w:sz="8" w:space="0"/>
              <w:right w:val="single" w:color="000000" w:sz="8" w:space="0"/>
            </w:tcBorders>
            <w:noWrap w:val="0"/>
            <w:vAlign w:val="center"/>
          </w:tcPr>
          <w:p w14:paraId="002372EC">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1582" w:type="dxa"/>
            <w:tcBorders>
              <w:top w:val="nil"/>
              <w:left w:val="nil"/>
              <w:bottom w:val="single" w:color="000000" w:sz="8" w:space="0"/>
              <w:right w:val="single" w:color="000000" w:sz="8" w:space="0"/>
            </w:tcBorders>
            <w:noWrap w:val="0"/>
            <w:vAlign w:val="center"/>
          </w:tcPr>
          <w:p w14:paraId="3E4B6489">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LED筒灯</w:t>
            </w:r>
          </w:p>
        </w:tc>
        <w:tc>
          <w:tcPr>
            <w:tcW w:w="2085" w:type="dxa"/>
            <w:tcBorders>
              <w:top w:val="nil"/>
              <w:left w:val="nil"/>
              <w:bottom w:val="single" w:color="000000" w:sz="8" w:space="0"/>
              <w:right w:val="single" w:color="000000" w:sz="8" w:space="0"/>
            </w:tcBorders>
            <w:noWrap w:val="0"/>
            <w:vAlign w:val="center"/>
          </w:tcPr>
          <w:p w14:paraId="20EA1665">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065" w:type="dxa"/>
            <w:tcBorders>
              <w:top w:val="nil"/>
              <w:left w:val="nil"/>
              <w:bottom w:val="single" w:color="000000" w:sz="8" w:space="0"/>
              <w:right w:val="single" w:color="000000" w:sz="8" w:space="0"/>
            </w:tcBorders>
            <w:noWrap w:val="0"/>
            <w:vAlign w:val="center"/>
          </w:tcPr>
          <w:p w14:paraId="428F2068">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《室内照明用LED产品能效限定值及能效等级》（GB30255）</w:t>
            </w:r>
          </w:p>
        </w:tc>
      </w:tr>
      <w:tr w14:paraId="2EEE4DFE">
        <w:tblPrEx>
          <w:tblCellMar>
            <w:top w:w="0" w:type="dxa"/>
            <w:left w:w="108" w:type="dxa"/>
            <w:bottom w:w="0" w:type="dxa"/>
            <w:right w:w="108" w:type="dxa"/>
          </w:tblCellMar>
        </w:tblPrEx>
        <w:trPr>
          <w:trHeight w:val="735" w:hRule="atLeast"/>
        </w:trPr>
        <w:tc>
          <w:tcPr>
            <w:tcW w:w="792" w:type="dxa"/>
            <w:vMerge w:val="continue"/>
            <w:tcBorders>
              <w:top w:val="nil"/>
              <w:left w:val="single" w:color="000000" w:sz="8" w:space="0"/>
              <w:bottom w:val="single" w:color="000000" w:sz="8" w:space="0"/>
              <w:right w:val="single" w:color="000000" w:sz="8" w:space="0"/>
            </w:tcBorders>
            <w:noWrap w:val="0"/>
            <w:vAlign w:val="center"/>
          </w:tcPr>
          <w:p w14:paraId="55A49327">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1358" w:type="dxa"/>
            <w:vMerge w:val="continue"/>
            <w:tcBorders>
              <w:top w:val="nil"/>
              <w:left w:val="single" w:color="000000" w:sz="8" w:space="0"/>
              <w:bottom w:val="single" w:color="000000" w:sz="8" w:space="0"/>
              <w:right w:val="single" w:color="000000" w:sz="8" w:space="0"/>
            </w:tcBorders>
            <w:noWrap w:val="0"/>
            <w:vAlign w:val="center"/>
          </w:tcPr>
          <w:p w14:paraId="57927A80">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1582" w:type="dxa"/>
            <w:tcBorders>
              <w:top w:val="nil"/>
              <w:left w:val="nil"/>
              <w:bottom w:val="single" w:color="000000" w:sz="8" w:space="0"/>
              <w:right w:val="single" w:color="000000" w:sz="8" w:space="0"/>
            </w:tcBorders>
            <w:noWrap w:val="0"/>
            <w:vAlign w:val="center"/>
          </w:tcPr>
          <w:p w14:paraId="7961B46D">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普通照明用非定向自镇流LED灯</w:t>
            </w:r>
          </w:p>
        </w:tc>
        <w:tc>
          <w:tcPr>
            <w:tcW w:w="2085" w:type="dxa"/>
            <w:tcBorders>
              <w:top w:val="nil"/>
              <w:left w:val="nil"/>
              <w:bottom w:val="single" w:color="000000" w:sz="8" w:space="0"/>
              <w:right w:val="single" w:color="000000" w:sz="8" w:space="0"/>
            </w:tcBorders>
            <w:noWrap w:val="0"/>
            <w:vAlign w:val="center"/>
          </w:tcPr>
          <w:p w14:paraId="32A5409E">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065" w:type="dxa"/>
            <w:tcBorders>
              <w:top w:val="nil"/>
              <w:left w:val="nil"/>
              <w:bottom w:val="single" w:color="000000" w:sz="8" w:space="0"/>
              <w:right w:val="single" w:color="000000" w:sz="8" w:space="0"/>
            </w:tcBorders>
            <w:noWrap w:val="0"/>
            <w:vAlign w:val="center"/>
          </w:tcPr>
          <w:p w14:paraId="210A8241">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《室内照明用LED产品能效限定值及能效等级》（GB30255）</w:t>
            </w:r>
          </w:p>
        </w:tc>
      </w:tr>
      <w:tr w14:paraId="77F84648">
        <w:tblPrEx>
          <w:tblCellMar>
            <w:top w:w="0" w:type="dxa"/>
            <w:left w:w="108" w:type="dxa"/>
            <w:bottom w:w="0" w:type="dxa"/>
            <w:right w:w="108" w:type="dxa"/>
          </w:tblCellMar>
        </w:tblPrEx>
        <w:trPr>
          <w:trHeight w:val="735" w:hRule="atLeast"/>
        </w:trPr>
        <w:tc>
          <w:tcPr>
            <w:tcW w:w="792" w:type="dxa"/>
            <w:tcBorders>
              <w:top w:val="nil"/>
              <w:left w:val="single" w:color="000000" w:sz="8" w:space="0"/>
              <w:bottom w:val="single" w:color="000000" w:sz="8" w:space="0"/>
              <w:right w:val="single" w:color="000000" w:sz="8" w:space="0"/>
            </w:tcBorders>
            <w:noWrap w:val="0"/>
            <w:vAlign w:val="center"/>
          </w:tcPr>
          <w:p w14:paraId="56A189F0">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12</w:t>
            </w:r>
          </w:p>
        </w:tc>
        <w:tc>
          <w:tcPr>
            <w:tcW w:w="1358" w:type="dxa"/>
            <w:tcBorders>
              <w:top w:val="nil"/>
              <w:left w:val="nil"/>
              <w:bottom w:val="single" w:color="000000" w:sz="8" w:space="0"/>
              <w:right w:val="single" w:color="000000" w:sz="8" w:space="0"/>
            </w:tcBorders>
            <w:noWrap w:val="0"/>
            <w:vAlign w:val="center"/>
          </w:tcPr>
          <w:p w14:paraId="7312A5FE">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★A020910电视设备</w:t>
            </w:r>
          </w:p>
        </w:tc>
        <w:tc>
          <w:tcPr>
            <w:tcW w:w="1582" w:type="dxa"/>
            <w:tcBorders>
              <w:top w:val="nil"/>
              <w:left w:val="nil"/>
              <w:bottom w:val="single" w:color="000000" w:sz="8" w:space="0"/>
              <w:right w:val="single" w:color="000000" w:sz="8" w:space="0"/>
            </w:tcBorders>
            <w:noWrap w:val="0"/>
            <w:vAlign w:val="center"/>
          </w:tcPr>
          <w:p w14:paraId="4762B62E">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A02091001普通电视设备（电视机）</w:t>
            </w:r>
          </w:p>
        </w:tc>
        <w:tc>
          <w:tcPr>
            <w:tcW w:w="2085" w:type="dxa"/>
            <w:tcBorders>
              <w:top w:val="nil"/>
              <w:left w:val="nil"/>
              <w:bottom w:val="single" w:color="000000" w:sz="8" w:space="0"/>
              <w:right w:val="single" w:color="000000" w:sz="8" w:space="0"/>
            </w:tcBorders>
            <w:noWrap w:val="0"/>
            <w:vAlign w:val="center"/>
          </w:tcPr>
          <w:p w14:paraId="75D3F30D">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065" w:type="dxa"/>
            <w:tcBorders>
              <w:top w:val="nil"/>
              <w:left w:val="nil"/>
              <w:bottom w:val="single" w:color="000000" w:sz="8" w:space="0"/>
              <w:right w:val="single" w:color="000000" w:sz="8" w:space="0"/>
            </w:tcBorders>
            <w:noWrap w:val="0"/>
            <w:vAlign w:val="center"/>
          </w:tcPr>
          <w:p w14:paraId="36613C9C">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《平板电视能效限定值及能效等级》（GB24850）</w:t>
            </w:r>
          </w:p>
        </w:tc>
      </w:tr>
      <w:tr w14:paraId="1B5B5B66">
        <w:tblPrEx>
          <w:tblCellMar>
            <w:top w:w="0" w:type="dxa"/>
            <w:left w:w="108" w:type="dxa"/>
            <w:bottom w:w="0" w:type="dxa"/>
            <w:right w:w="108" w:type="dxa"/>
          </w:tblCellMar>
        </w:tblPrEx>
        <w:trPr>
          <w:trHeight w:val="975" w:hRule="atLeast"/>
        </w:trPr>
        <w:tc>
          <w:tcPr>
            <w:tcW w:w="792" w:type="dxa"/>
            <w:tcBorders>
              <w:top w:val="nil"/>
              <w:left w:val="single" w:color="000000" w:sz="8" w:space="0"/>
              <w:bottom w:val="single" w:color="000000" w:sz="8" w:space="0"/>
              <w:right w:val="single" w:color="000000" w:sz="8" w:space="0"/>
            </w:tcBorders>
            <w:noWrap w:val="0"/>
            <w:vAlign w:val="center"/>
          </w:tcPr>
          <w:p w14:paraId="3450EAA5">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13</w:t>
            </w:r>
          </w:p>
        </w:tc>
        <w:tc>
          <w:tcPr>
            <w:tcW w:w="1358" w:type="dxa"/>
            <w:tcBorders>
              <w:top w:val="nil"/>
              <w:left w:val="nil"/>
              <w:bottom w:val="single" w:color="000000" w:sz="8" w:space="0"/>
              <w:right w:val="single" w:color="000000" w:sz="8" w:space="0"/>
            </w:tcBorders>
            <w:noWrap w:val="0"/>
            <w:vAlign w:val="center"/>
          </w:tcPr>
          <w:p w14:paraId="3DA5F960">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★A020911视频设备</w:t>
            </w:r>
          </w:p>
        </w:tc>
        <w:tc>
          <w:tcPr>
            <w:tcW w:w="1582" w:type="dxa"/>
            <w:tcBorders>
              <w:top w:val="nil"/>
              <w:left w:val="nil"/>
              <w:bottom w:val="single" w:color="000000" w:sz="8" w:space="0"/>
              <w:right w:val="single" w:color="000000" w:sz="8" w:space="0"/>
            </w:tcBorders>
            <w:noWrap w:val="0"/>
            <w:vAlign w:val="center"/>
          </w:tcPr>
          <w:p w14:paraId="24670E0B">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A02091107视频监控设备</w:t>
            </w:r>
          </w:p>
        </w:tc>
        <w:tc>
          <w:tcPr>
            <w:tcW w:w="2085" w:type="dxa"/>
            <w:tcBorders>
              <w:top w:val="nil"/>
              <w:left w:val="nil"/>
              <w:bottom w:val="single" w:color="000000" w:sz="8" w:space="0"/>
              <w:right w:val="single" w:color="000000" w:sz="8" w:space="0"/>
            </w:tcBorders>
            <w:noWrap w:val="0"/>
            <w:vAlign w:val="center"/>
          </w:tcPr>
          <w:p w14:paraId="1FA1F13A">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监视器</w:t>
            </w:r>
          </w:p>
        </w:tc>
        <w:tc>
          <w:tcPr>
            <w:tcW w:w="4065" w:type="dxa"/>
            <w:tcBorders>
              <w:top w:val="nil"/>
              <w:left w:val="nil"/>
              <w:bottom w:val="single" w:color="000000" w:sz="8" w:space="0"/>
              <w:right w:val="single" w:color="000000" w:sz="8" w:space="0"/>
            </w:tcBorders>
            <w:noWrap w:val="0"/>
            <w:vAlign w:val="center"/>
          </w:tcPr>
          <w:p w14:paraId="46DA5AC9">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以射频信号为主要信号输入的监视器应符合《平板电视能效限定值及能效等级》（GB24850），以数字信号为主要信号输入的监视器应符合《计算机显示器能效限定值及能效等级》（GB21520）</w:t>
            </w:r>
          </w:p>
        </w:tc>
      </w:tr>
      <w:tr w14:paraId="2D84C3DF">
        <w:tblPrEx>
          <w:tblCellMar>
            <w:top w:w="0" w:type="dxa"/>
            <w:left w:w="108" w:type="dxa"/>
            <w:bottom w:w="0" w:type="dxa"/>
            <w:right w:w="108" w:type="dxa"/>
          </w:tblCellMar>
        </w:tblPrEx>
        <w:trPr>
          <w:trHeight w:val="495" w:hRule="atLeast"/>
        </w:trPr>
        <w:tc>
          <w:tcPr>
            <w:tcW w:w="792" w:type="dxa"/>
            <w:tcBorders>
              <w:top w:val="nil"/>
              <w:left w:val="single" w:color="000000" w:sz="8" w:space="0"/>
              <w:bottom w:val="single" w:color="000000" w:sz="8" w:space="0"/>
              <w:right w:val="single" w:color="000000" w:sz="8" w:space="0"/>
            </w:tcBorders>
            <w:noWrap w:val="0"/>
            <w:vAlign w:val="center"/>
          </w:tcPr>
          <w:p w14:paraId="2A5BCB8A">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14</w:t>
            </w:r>
          </w:p>
        </w:tc>
        <w:tc>
          <w:tcPr>
            <w:tcW w:w="1358" w:type="dxa"/>
            <w:tcBorders>
              <w:top w:val="nil"/>
              <w:left w:val="nil"/>
              <w:bottom w:val="single" w:color="000000" w:sz="8" w:space="0"/>
              <w:right w:val="single" w:color="000000" w:sz="8" w:space="0"/>
            </w:tcBorders>
            <w:noWrap w:val="0"/>
            <w:vAlign w:val="center"/>
          </w:tcPr>
          <w:p w14:paraId="453D7F93">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A031210饮食炊事机械</w:t>
            </w:r>
          </w:p>
        </w:tc>
        <w:tc>
          <w:tcPr>
            <w:tcW w:w="1582" w:type="dxa"/>
            <w:tcBorders>
              <w:top w:val="nil"/>
              <w:left w:val="nil"/>
              <w:bottom w:val="single" w:color="000000" w:sz="8" w:space="0"/>
              <w:right w:val="single" w:color="000000" w:sz="8" w:space="0"/>
            </w:tcBorders>
            <w:noWrap w:val="0"/>
            <w:vAlign w:val="center"/>
          </w:tcPr>
          <w:p w14:paraId="7E8148E0">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商用燃气灶具</w:t>
            </w:r>
          </w:p>
        </w:tc>
        <w:tc>
          <w:tcPr>
            <w:tcW w:w="2085" w:type="dxa"/>
            <w:tcBorders>
              <w:top w:val="nil"/>
              <w:left w:val="nil"/>
              <w:bottom w:val="single" w:color="000000" w:sz="8" w:space="0"/>
              <w:right w:val="single" w:color="000000" w:sz="8" w:space="0"/>
            </w:tcBorders>
            <w:noWrap w:val="0"/>
            <w:vAlign w:val="center"/>
          </w:tcPr>
          <w:p w14:paraId="11BCFEE2">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065" w:type="dxa"/>
            <w:tcBorders>
              <w:top w:val="nil"/>
              <w:left w:val="nil"/>
              <w:bottom w:val="single" w:color="000000" w:sz="8" w:space="0"/>
              <w:right w:val="single" w:color="000000" w:sz="8" w:space="0"/>
            </w:tcBorders>
            <w:noWrap w:val="0"/>
            <w:vAlign w:val="center"/>
          </w:tcPr>
          <w:p w14:paraId="49724F89">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《商用燃气灶具能效限定值及能效等级》（GB30531）</w:t>
            </w:r>
          </w:p>
        </w:tc>
      </w:tr>
      <w:tr w14:paraId="21FFB593">
        <w:tblPrEx>
          <w:tblCellMar>
            <w:top w:w="0" w:type="dxa"/>
            <w:left w:w="108" w:type="dxa"/>
            <w:bottom w:w="0" w:type="dxa"/>
            <w:right w:w="108" w:type="dxa"/>
          </w:tblCellMar>
        </w:tblPrEx>
        <w:trPr>
          <w:trHeight w:val="436" w:hRule="atLeast"/>
        </w:trPr>
        <w:tc>
          <w:tcPr>
            <w:tcW w:w="792" w:type="dxa"/>
            <w:vMerge w:val="restart"/>
            <w:tcBorders>
              <w:top w:val="nil"/>
              <w:left w:val="single" w:color="000000" w:sz="8" w:space="0"/>
              <w:bottom w:val="single" w:color="000000" w:sz="8" w:space="0"/>
              <w:right w:val="single" w:color="000000" w:sz="8" w:space="0"/>
            </w:tcBorders>
            <w:noWrap w:val="0"/>
            <w:vAlign w:val="center"/>
          </w:tcPr>
          <w:p w14:paraId="12A8CA4C">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15</w:t>
            </w:r>
          </w:p>
        </w:tc>
        <w:tc>
          <w:tcPr>
            <w:tcW w:w="1358" w:type="dxa"/>
            <w:vMerge w:val="restart"/>
            <w:tcBorders>
              <w:top w:val="nil"/>
              <w:left w:val="single" w:color="000000" w:sz="8" w:space="0"/>
              <w:bottom w:val="single" w:color="000000" w:sz="8" w:space="0"/>
              <w:right w:val="single" w:color="000000" w:sz="8" w:space="0"/>
            </w:tcBorders>
            <w:noWrap w:val="0"/>
            <w:vAlign w:val="center"/>
          </w:tcPr>
          <w:p w14:paraId="62236E12">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★A060805便器</w:t>
            </w:r>
          </w:p>
        </w:tc>
        <w:tc>
          <w:tcPr>
            <w:tcW w:w="1582" w:type="dxa"/>
            <w:tcBorders>
              <w:top w:val="nil"/>
              <w:left w:val="nil"/>
              <w:bottom w:val="single" w:color="000000" w:sz="8" w:space="0"/>
              <w:right w:val="single" w:color="000000" w:sz="8" w:space="0"/>
            </w:tcBorders>
            <w:noWrap w:val="0"/>
            <w:vAlign w:val="center"/>
          </w:tcPr>
          <w:p w14:paraId="1F837A3D">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坐便器</w:t>
            </w:r>
          </w:p>
        </w:tc>
        <w:tc>
          <w:tcPr>
            <w:tcW w:w="2085" w:type="dxa"/>
            <w:tcBorders>
              <w:top w:val="nil"/>
              <w:left w:val="nil"/>
              <w:bottom w:val="single" w:color="000000" w:sz="8" w:space="0"/>
              <w:right w:val="single" w:color="000000" w:sz="8" w:space="0"/>
            </w:tcBorders>
            <w:noWrap w:val="0"/>
            <w:vAlign w:val="center"/>
          </w:tcPr>
          <w:p w14:paraId="0A990A96">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065" w:type="dxa"/>
            <w:tcBorders>
              <w:top w:val="nil"/>
              <w:left w:val="nil"/>
              <w:bottom w:val="single" w:color="000000" w:sz="8" w:space="0"/>
              <w:right w:val="single" w:color="000000" w:sz="8" w:space="0"/>
            </w:tcBorders>
            <w:noWrap w:val="0"/>
            <w:vAlign w:val="center"/>
          </w:tcPr>
          <w:p w14:paraId="315B39E9">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《坐便器水效限定值及水效等级》（GB25502）</w:t>
            </w:r>
          </w:p>
        </w:tc>
      </w:tr>
      <w:tr w14:paraId="4F151E62">
        <w:tblPrEx>
          <w:tblCellMar>
            <w:top w:w="0" w:type="dxa"/>
            <w:left w:w="108" w:type="dxa"/>
            <w:bottom w:w="0" w:type="dxa"/>
            <w:right w:w="108" w:type="dxa"/>
          </w:tblCellMar>
        </w:tblPrEx>
        <w:trPr>
          <w:trHeight w:val="495" w:hRule="atLeast"/>
        </w:trPr>
        <w:tc>
          <w:tcPr>
            <w:tcW w:w="792" w:type="dxa"/>
            <w:vMerge w:val="continue"/>
            <w:tcBorders>
              <w:top w:val="nil"/>
              <w:left w:val="single" w:color="000000" w:sz="8" w:space="0"/>
              <w:bottom w:val="single" w:color="000000" w:sz="8" w:space="0"/>
              <w:right w:val="single" w:color="000000" w:sz="8" w:space="0"/>
            </w:tcBorders>
            <w:noWrap w:val="0"/>
            <w:vAlign w:val="center"/>
          </w:tcPr>
          <w:p w14:paraId="430FF451">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1358" w:type="dxa"/>
            <w:vMerge w:val="continue"/>
            <w:tcBorders>
              <w:top w:val="nil"/>
              <w:left w:val="single" w:color="000000" w:sz="8" w:space="0"/>
              <w:bottom w:val="single" w:color="000000" w:sz="8" w:space="0"/>
              <w:right w:val="single" w:color="000000" w:sz="8" w:space="0"/>
            </w:tcBorders>
            <w:noWrap w:val="0"/>
            <w:vAlign w:val="center"/>
          </w:tcPr>
          <w:p w14:paraId="230310D4">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1582" w:type="dxa"/>
            <w:tcBorders>
              <w:top w:val="nil"/>
              <w:left w:val="nil"/>
              <w:bottom w:val="single" w:color="000000" w:sz="8" w:space="0"/>
              <w:right w:val="single" w:color="000000" w:sz="8" w:space="0"/>
            </w:tcBorders>
            <w:noWrap w:val="0"/>
            <w:vAlign w:val="center"/>
          </w:tcPr>
          <w:p w14:paraId="3D2147D2">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蹲便器</w:t>
            </w:r>
          </w:p>
        </w:tc>
        <w:tc>
          <w:tcPr>
            <w:tcW w:w="2085" w:type="dxa"/>
            <w:tcBorders>
              <w:top w:val="nil"/>
              <w:left w:val="nil"/>
              <w:bottom w:val="single" w:color="000000" w:sz="8" w:space="0"/>
              <w:right w:val="single" w:color="000000" w:sz="8" w:space="0"/>
            </w:tcBorders>
            <w:noWrap w:val="0"/>
            <w:vAlign w:val="center"/>
          </w:tcPr>
          <w:p w14:paraId="15BA96BE">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065" w:type="dxa"/>
            <w:tcBorders>
              <w:top w:val="nil"/>
              <w:left w:val="nil"/>
              <w:bottom w:val="single" w:color="000000" w:sz="8" w:space="0"/>
              <w:right w:val="single" w:color="000000" w:sz="8" w:space="0"/>
            </w:tcBorders>
            <w:noWrap w:val="0"/>
            <w:vAlign w:val="center"/>
          </w:tcPr>
          <w:p w14:paraId="2CED6382">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《蹲便器用水效率限定值及用水效率等级》（GB30717）</w:t>
            </w:r>
          </w:p>
        </w:tc>
      </w:tr>
      <w:tr w14:paraId="4A4436FC">
        <w:tblPrEx>
          <w:tblCellMar>
            <w:top w:w="0" w:type="dxa"/>
            <w:left w:w="108" w:type="dxa"/>
            <w:bottom w:w="0" w:type="dxa"/>
            <w:right w:w="108" w:type="dxa"/>
          </w:tblCellMar>
        </w:tblPrEx>
        <w:trPr>
          <w:trHeight w:val="495" w:hRule="atLeast"/>
        </w:trPr>
        <w:tc>
          <w:tcPr>
            <w:tcW w:w="792" w:type="dxa"/>
            <w:vMerge w:val="continue"/>
            <w:tcBorders>
              <w:top w:val="nil"/>
              <w:left w:val="single" w:color="000000" w:sz="8" w:space="0"/>
              <w:bottom w:val="single" w:color="000000" w:sz="8" w:space="0"/>
              <w:right w:val="single" w:color="000000" w:sz="8" w:space="0"/>
            </w:tcBorders>
            <w:noWrap w:val="0"/>
            <w:vAlign w:val="center"/>
          </w:tcPr>
          <w:p w14:paraId="02AF9E8A">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1358" w:type="dxa"/>
            <w:vMerge w:val="continue"/>
            <w:tcBorders>
              <w:top w:val="nil"/>
              <w:left w:val="single" w:color="000000" w:sz="8" w:space="0"/>
              <w:bottom w:val="single" w:color="000000" w:sz="8" w:space="0"/>
              <w:right w:val="single" w:color="000000" w:sz="8" w:space="0"/>
            </w:tcBorders>
            <w:noWrap w:val="0"/>
            <w:vAlign w:val="center"/>
          </w:tcPr>
          <w:p w14:paraId="5E8B2193">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1582" w:type="dxa"/>
            <w:tcBorders>
              <w:top w:val="nil"/>
              <w:left w:val="nil"/>
              <w:bottom w:val="single" w:color="000000" w:sz="8" w:space="0"/>
              <w:right w:val="single" w:color="000000" w:sz="8" w:space="0"/>
            </w:tcBorders>
            <w:noWrap w:val="0"/>
            <w:vAlign w:val="center"/>
          </w:tcPr>
          <w:p w14:paraId="44DC88B4">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小便器</w:t>
            </w:r>
          </w:p>
        </w:tc>
        <w:tc>
          <w:tcPr>
            <w:tcW w:w="2085" w:type="dxa"/>
            <w:tcBorders>
              <w:top w:val="nil"/>
              <w:left w:val="nil"/>
              <w:bottom w:val="single" w:color="000000" w:sz="8" w:space="0"/>
              <w:right w:val="single" w:color="000000" w:sz="8" w:space="0"/>
            </w:tcBorders>
            <w:noWrap w:val="0"/>
            <w:vAlign w:val="center"/>
          </w:tcPr>
          <w:p w14:paraId="6F716222">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065" w:type="dxa"/>
            <w:tcBorders>
              <w:top w:val="nil"/>
              <w:left w:val="nil"/>
              <w:bottom w:val="single" w:color="000000" w:sz="8" w:space="0"/>
              <w:right w:val="single" w:color="000000" w:sz="8" w:space="0"/>
            </w:tcBorders>
            <w:noWrap w:val="0"/>
            <w:vAlign w:val="center"/>
          </w:tcPr>
          <w:p w14:paraId="1606CB4C">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《小便器用水效率限定值及用水效率等级》（GB28377）</w:t>
            </w:r>
          </w:p>
        </w:tc>
      </w:tr>
      <w:tr w14:paraId="735A7127">
        <w:tblPrEx>
          <w:tblCellMar>
            <w:top w:w="0" w:type="dxa"/>
            <w:left w:w="108" w:type="dxa"/>
            <w:bottom w:w="0" w:type="dxa"/>
            <w:right w:w="108" w:type="dxa"/>
          </w:tblCellMar>
        </w:tblPrEx>
        <w:trPr>
          <w:trHeight w:val="495" w:hRule="atLeast"/>
        </w:trPr>
        <w:tc>
          <w:tcPr>
            <w:tcW w:w="792" w:type="dxa"/>
            <w:tcBorders>
              <w:top w:val="nil"/>
              <w:left w:val="single" w:color="000000" w:sz="8" w:space="0"/>
              <w:bottom w:val="single" w:color="000000" w:sz="8" w:space="0"/>
              <w:right w:val="single" w:color="000000" w:sz="8" w:space="0"/>
            </w:tcBorders>
            <w:noWrap w:val="0"/>
            <w:vAlign w:val="center"/>
          </w:tcPr>
          <w:p w14:paraId="326C165A">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16</w:t>
            </w:r>
          </w:p>
        </w:tc>
        <w:tc>
          <w:tcPr>
            <w:tcW w:w="1358" w:type="dxa"/>
            <w:tcBorders>
              <w:top w:val="nil"/>
              <w:left w:val="nil"/>
              <w:bottom w:val="single" w:color="000000" w:sz="8" w:space="0"/>
              <w:right w:val="single" w:color="000000" w:sz="8" w:space="0"/>
            </w:tcBorders>
            <w:noWrap w:val="0"/>
            <w:vAlign w:val="center"/>
          </w:tcPr>
          <w:p w14:paraId="0E277088">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★A060806水嘴</w:t>
            </w:r>
          </w:p>
        </w:tc>
        <w:tc>
          <w:tcPr>
            <w:tcW w:w="1582" w:type="dxa"/>
            <w:tcBorders>
              <w:top w:val="nil"/>
              <w:left w:val="nil"/>
              <w:bottom w:val="single" w:color="000000" w:sz="8" w:space="0"/>
              <w:right w:val="single" w:color="000000" w:sz="8" w:space="0"/>
            </w:tcBorders>
            <w:noWrap w:val="0"/>
            <w:vAlign w:val="center"/>
          </w:tcPr>
          <w:p w14:paraId="23A23EED">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2085" w:type="dxa"/>
            <w:tcBorders>
              <w:top w:val="nil"/>
              <w:left w:val="nil"/>
              <w:bottom w:val="single" w:color="000000" w:sz="8" w:space="0"/>
              <w:right w:val="single" w:color="000000" w:sz="8" w:space="0"/>
            </w:tcBorders>
            <w:noWrap w:val="0"/>
            <w:vAlign w:val="center"/>
          </w:tcPr>
          <w:p w14:paraId="43873603">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065" w:type="dxa"/>
            <w:tcBorders>
              <w:top w:val="nil"/>
              <w:left w:val="nil"/>
              <w:bottom w:val="single" w:color="000000" w:sz="8" w:space="0"/>
              <w:right w:val="single" w:color="000000" w:sz="8" w:space="0"/>
            </w:tcBorders>
            <w:noWrap w:val="0"/>
            <w:vAlign w:val="center"/>
          </w:tcPr>
          <w:p w14:paraId="7AD8DA6D">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《水嘴用水效率限定值及用水效率等级》（GB 25501）</w:t>
            </w:r>
          </w:p>
        </w:tc>
      </w:tr>
      <w:tr w14:paraId="32282274">
        <w:tblPrEx>
          <w:tblCellMar>
            <w:top w:w="0" w:type="dxa"/>
            <w:left w:w="108" w:type="dxa"/>
            <w:bottom w:w="0" w:type="dxa"/>
            <w:right w:w="108" w:type="dxa"/>
          </w:tblCellMar>
        </w:tblPrEx>
        <w:trPr>
          <w:trHeight w:val="495" w:hRule="atLeast"/>
        </w:trPr>
        <w:tc>
          <w:tcPr>
            <w:tcW w:w="792" w:type="dxa"/>
            <w:tcBorders>
              <w:top w:val="nil"/>
              <w:left w:val="single" w:color="000000" w:sz="8" w:space="0"/>
              <w:bottom w:val="single" w:color="000000" w:sz="8" w:space="0"/>
              <w:right w:val="single" w:color="000000" w:sz="8" w:space="0"/>
            </w:tcBorders>
            <w:noWrap w:val="0"/>
            <w:vAlign w:val="center"/>
          </w:tcPr>
          <w:p w14:paraId="05432C2C">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17</w:t>
            </w:r>
          </w:p>
        </w:tc>
        <w:tc>
          <w:tcPr>
            <w:tcW w:w="1358" w:type="dxa"/>
            <w:tcBorders>
              <w:top w:val="nil"/>
              <w:left w:val="nil"/>
              <w:bottom w:val="single" w:color="000000" w:sz="8" w:space="0"/>
              <w:right w:val="single" w:color="000000" w:sz="8" w:space="0"/>
            </w:tcBorders>
            <w:noWrap w:val="0"/>
            <w:vAlign w:val="center"/>
          </w:tcPr>
          <w:p w14:paraId="3DAFC17F">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A060807便器冲洗阀</w:t>
            </w:r>
          </w:p>
        </w:tc>
        <w:tc>
          <w:tcPr>
            <w:tcW w:w="1582" w:type="dxa"/>
            <w:tcBorders>
              <w:top w:val="nil"/>
              <w:left w:val="nil"/>
              <w:bottom w:val="single" w:color="000000" w:sz="8" w:space="0"/>
              <w:right w:val="single" w:color="000000" w:sz="8" w:space="0"/>
            </w:tcBorders>
            <w:noWrap w:val="0"/>
            <w:vAlign w:val="center"/>
          </w:tcPr>
          <w:p w14:paraId="2FEAC58E">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2085" w:type="dxa"/>
            <w:tcBorders>
              <w:top w:val="nil"/>
              <w:left w:val="nil"/>
              <w:bottom w:val="single" w:color="000000" w:sz="8" w:space="0"/>
              <w:right w:val="single" w:color="000000" w:sz="8" w:space="0"/>
            </w:tcBorders>
            <w:noWrap w:val="0"/>
            <w:vAlign w:val="center"/>
          </w:tcPr>
          <w:p w14:paraId="2F81F1FB">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065" w:type="dxa"/>
            <w:tcBorders>
              <w:top w:val="nil"/>
              <w:left w:val="nil"/>
              <w:bottom w:val="single" w:color="000000" w:sz="8" w:space="0"/>
              <w:right w:val="single" w:color="000000" w:sz="8" w:space="0"/>
            </w:tcBorders>
            <w:noWrap w:val="0"/>
            <w:vAlign w:val="center"/>
          </w:tcPr>
          <w:p w14:paraId="6E1E4B40">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《便器冲洗阀用水效率限定值及用水效率等级》（GB28379）</w:t>
            </w:r>
          </w:p>
        </w:tc>
      </w:tr>
      <w:tr w14:paraId="20B809DC">
        <w:tblPrEx>
          <w:tblCellMar>
            <w:top w:w="0" w:type="dxa"/>
            <w:left w:w="108" w:type="dxa"/>
            <w:bottom w:w="0" w:type="dxa"/>
            <w:right w:w="108" w:type="dxa"/>
          </w:tblCellMar>
        </w:tblPrEx>
        <w:trPr>
          <w:trHeight w:val="495" w:hRule="atLeast"/>
        </w:trPr>
        <w:tc>
          <w:tcPr>
            <w:tcW w:w="792" w:type="dxa"/>
            <w:tcBorders>
              <w:top w:val="nil"/>
              <w:left w:val="single" w:color="000000" w:sz="8" w:space="0"/>
              <w:bottom w:val="single" w:color="000000" w:sz="8" w:space="0"/>
              <w:right w:val="single" w:color="000000" w:sz="8" w:space="0"/>
            </w:tcBorders>
            <w:noWrap w:val="0"/>
            <w:vAlign w:val="center"/>
          </w:tcPr>
          <w:p w14:paraId="3B6B3588">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18</w:t>
            </w:r>
          </w:p>
        </w:tc>
        <w:tc>
          <w:tcPr>
            <w:tcW w:w="1358" w:type="dxa"/>
            <w:tcBorders>
              <w:top w:val="nil"/>
              <w:left w:val="nil"/>
              <w:bottom w:val="single" w:color="000000" w:sz="8" w:space="0"/>
              <w:right w:val="single" w:color="000000" w:sz="8" w:space="0"/>
            </w:tcBorders>
            <w:noWrap w:val="0"/>
            <w:vAlign w:val="center"/>
          </w:tcPr>
          <w:p w14:paraId="005F97A7">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A060810淋浴器</w:t>
            </w:r>
          </w:p>
        </w:tc>
        <w:tc>
          <w:tcPr>
            <w:tcW w:w="1582" w:type="dxa"/>
            <w:tcBorders>
              <w:top w:val="nil"/>
              <w:left w:val="nil"/>
              <w:bottom w:val="single" w:color="000000" w:sz="8" w:space="0"/>
              <w:right w:val="single" w:color="000000" w:sz="8" w:space="0"/>
            </w:tcBorders>
            <w:noWrap w:val="0"/>
            <w:vAlign w:val="center"/>
          </w:tcPr>
          <w:p w14:paraId="0310C7AA">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2085" w:type="dxa"/>
            <w:tcBorders>
              <w:top w:val="nil"/>
              <w:left w:val="nil"/>
              <w:bottom w:val="single" w:color="000000" w:sz="8" w:space="0"/>
              <w:right w:val="single" w:color="000000" w:sz="8" w:space="0"/>
            </w:tcBorders>
            <w:noWrap w:val="0"/>
            <w:vAlign w:val="center"/>
          </w:tcPr>
          <w:p w14:paraId="7A59FFFA">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065" w:type="dxa"/>
            <w:tcBorders>
              <w:top w:val="nil"/>
              <w:left w:val="nil"/>
              <w:bottom w:val="single" w:color="000000" w:sz="8" w:space="0"/>
              <w:right w:val="single" w:color="000000" w:sz="8" w:space="0"/>
            </w:tcBorders>
            <w:noWrap w:val="0"/>
            <w:vAlign w:val="center"/>
          </w:tcPr>
          <w:p w14:paraId="213563EB">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《淋浴器用水效率限定值及用水效率等级》（GB28378）</w:t>
            </w:r>
          </w:p>
        </w:tc>
      </w:tr>
    </w:tbl>
    <w:p w14:paraId="1AD10E61">
      <w:pPr>
        <w:pStyle w:val="14"/>
        <w:spacing w:line="360" w:lineRule="auto"/>
        <w:rPr>
          <w:rFonts w:hint="eastAsia" w:ascii="宋体" w:hAnsi="宋体" w:eastAsia="宋体" w:cs="宋体"/>
          <w:color w:val="auto"/>
          <w:sz w:val="20"/>
          <w:szCs w:val="20"/>
          <w:highlight w:val="none"/>
        </w:rPr>
      </w:pPr>
      <w:r>
        <w:rPr>
          <w:rFonts w:hint="eastAsia" w:ascii="宋体" w:hAnsi="宋体" w:eastAsia="宋体" w:cs="宋体"/>
          <w:color w:val="auto"/>
          <w:spacing w:val="-3"/>
          <w:sz w:val="20"/>
          <w:szCs w:val="20"/>
          <w:highlight w:val="none"/>
        </w:rPr>
        <w:t>注：</w:t>
      </w:r>
      <w:r>
        <w:rPr>
          <w:rFonts w:hint="eastAsia" w:ascii="宋体" w:hAnsi="宋体" w:eastAsia="宋体" w:cs="宋体"/>
          <w:color w:val="auto"/>
          <w:spacing w:val="-3"/>
          <w:sz w:val="20"/>
          <w:szCs w:val="20"/>
          <w:highlight w:val="none"/>
          <w:lang w:val="en-US" w:eastAsia="zh-CN"/>
        </w:rPr>
        <w:t>1.</w:t>
      </w:r>
      <w:r>
        <w:rPr>
          <w:rFonts w:hint="eastAsia" w:ascii="宋体" w:hAnsi="宋体" w:eastAsia="宋体" w:cs="宋体"/>
          <w:color w:val="auto"/>
          <w:spacing w:val="-3"/>
          <w:sz w:val="20"/>
          <w:szCs w:val="20"/>
          <w:highlight w:val="none"/>
        </w:rPr>
        <w:t>节能产品认证应依据相关国家标准的最新版本，依据国家标准中二级能效（水效）</w:t>
      </w:r>
      <w:r>
        <w:rPr>
          <w:rFonts w:hint="eastAsia" w:ascii="宋体" w:hAnsi="宋体" w:eastAsia="宋体" w:cs="宋体"/>
          <w:color w:val="auto"/>
          <w:sz w:val="20"/>
          <w:szCs w:val="20"/>
          <w:highlight w:val="none"/>
        </w:rPr>
        <w:t>指标。</w:t>
      </w:r>
    </w:p>
    <w:p w14:paraId="5626494E">
      <w:pPr>
        <w:pStyle w:val="18"/>
        <w:jc w:val="left"/>
        <w:rPr>
          <w:rFonts w:hint="eastAsia" w:ascii="Arial Unicode MS" w:hAnsi="Arial Unicode MS" w:eastAsia="Arial Unicode MS" w:cs="Arial Unicode MS"/>
          <w:color w:val="auto"/>
          <w:sz w:val="32"/>
          <w:szCs w:val="32"/>
          <w:highlight w:val="none"/>
        </w:rPr>
      </w:pPr>
      <w:r>
        <w:rPr>
          <w:rFonts w:hint="eastAsia" w:ascii="宋体" w:hAnsi="宋体" w:eastAsia="宋体" w:cs="宋体"/>
          <w:color w:val="auto"/>
          <w:sz w:val="20"/>
          <w:szCs w:val="20"/>
          <w:highlight w:val="none"/>
        </w:rPr>
        <w:t xml:space="preserve">    2.以“★”标注的为政府强制采购产品。</w:t>
      </w:r>
      <w:r>
        <w:rPr>
          <w:color w:val="auto"/>
          <w:highlight w:val="none"/>
        </w:rPr>
        <w:br w:type="page"/>
      </w:r>
      <w:r>
        <w:rPr>
          <w:rFonts w:hint="eastAsia" w:ascii="Arial Unicode MS" w:hAnsi="Arial Unicode MS" w:eastAsia="Arial Unicode MS" w:cs="Arial Unicode MS"/>
          <w:color w:val="auto"/>
          <w:sz w:val="32"/>
          <w:szCs w:val="32"/>
          <w:highlight w:val="none"/>
        </w:rPr>
        <w:t>附件2：</w:t>
      </w:r>
    </w:p>
    <w:p w14:paraId="59794CA2">
      <w:pPr>
        <w:spacing w:line="528" w:lineRule="exact"/>
        <w:jc w:val="center"/>
        <w:rPr>
          <w:rFonts w:hint="eastAsia" w:ascii="Arial Unicode MS" w:hAnsi="Arial Unicode MS" w:eastAsia="Arial Unicode MS" w:cs="Arial Unicode MS"/>
          <w:color w:val="auto"/>
          <w:sz w:val="40"/>
          <w:szCs w:val="40"/>
          <w:highlight w:val="none"/>
        </w:rPr>
      </w:pPr>
      <w:r>
        <w:rPr>
          <w:rFonts w:hint="eastAsia" w:ascii="Arial Unicode MS" w:hAnsi="Arial Unicode MS" w:eastAsia="Arial Unicode MS" w:cs="Arial Unicode MS"/>
          <w:color w:val="auto"/>
          <w:sz w:val="40"/>
          <w:szCs w:val="40"/>
          <w:highlight w:val="none"/>
        </w:rPr>
        <w:t>中小微企业划型标准</w:t>
      </w:r>
    </w:p>
    <w:tbl>
      <w:tblPr>
        <w:tblStyle w:val="30"/>
        <w:tblW w:w="9497" w:type="dxa"/>
        <w:tblInd w:w="250" w:type="dxa"/>
        <w:tblLayout w:type="fixed"/>
        <w:tblCellMar>
          <w:top w:w="0" w:type="dxa"/>
          <w:left w:w="108" w:type="dxa"/>
          <w:bottom w:w="0" w:type="dxa"/>
          <w:right w:w="108" w:type="dxa"/>
        </w:tblCellMar>
      </w:tblPr>
      <w:tblGrid>
        <w:gridCol w:w="1985"/>
        <w:gridCol w:w="1984"/>
        <w:gridCol w:w="851"/>
        <w:gridCol w:w="1842"/>
        <w:gridCol w:w="1701"/>
        <w:gridCol w:w="1134"/>
      </w:tblGrid>
      <w:tr w14:paraId="4B53A88F">
        <w:tblPrEx>
          <w:tblCellMar>
            <w:top w:w="0" w:type="dxa"/>
            <w:left w:w="108" w:type="dxa"/>
            <w:bottom w:w="0" w:type="dxa"/>
            <w:right w:w="108" w:type="dxa"/>
          </w:tblCellMar>
        </w:tblPrEx>
        <w:trPr>
          <w:trHeight w:val="285" w:hRule="atLeast"/>
        </w:trPr>
        <w:tc>
          <w:tcPr>
            <w:tcW w:w="1985" w:type="dxa"/>
            <w:tcBorders>
              <w:top w:val="single" w:color="auto" w:sz="4" w:space="0"/>
              <w:left w:val="single" w:color="auto" w:sz="4" w:space="0"/>
              <w:bottom w:val="single" w:color="auto" w:sz="4" w:space="0"/>
              <w:right w:val="single" w:color="auto" w:sz="4" w:space="0"/>
            </w:tcBorders>
            <w:noWrap w:val="0"/>
            <w:vAlign w:val="center"/>
          </w:tcPr>
          <w:p w14:paraId="5CA4786F">
            <w:pPr>
              <w:keepNext w:val="0"/>
              <w:keepLines w:val="0"/>
              <w:widowControl/>
              <w:suppressLineNumbers w:val="0"/>
              <w:spacing w:before="0" w:beforeAutospacing="0" w:after="0" w:afterAutospacing="0"/>
              <w:ind w:left="0" w:right="0"/>
              <w:jc w:val="left"/>
              <w:rPr>
                <w:rFonts w:hint="default"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行业名称</w:t>
            </w:r>
          </w:p>
        </w:tc>
        <w:tc>
          <w:tcPr>
            <w:tcW w:w="1984" w:type="dxa"/>
            <w:tcBorders>
              <w:top w:val="single" w:color="auto" w:sz="4" w:space="0"/>
              <w:left w:val="nil"/>
              <w:bottom w:val="single" w:color="auto" w:sz="4" w:space="0"/>
              <w:right w:val="single" w:color="auto" w:sz="4" w:space="0"/>
            </w:tcBorders>
            <w:noWrap w:val="0"/>
            <w:vAlign w:val="center"/>
          </w:tcPr>
          <w:p w14:paraId="14E3CC8F">
            <w:pPr>
              <w:keepNext w:val="0"/>
              <w:keepLines w:val="0"/>
              <w:widowControl/>
              <w:suppressLineNumbers w:val="0"/>
              <w:spacing w:before="0" w:beforeAutospacing="0" w:after="0" w:afterAutospacing="0"/>
              <w:ind w:left="0" w:right="0"/>
              <w:jc w:val="left"/>
              <w:rPr>
                <w:rFonts w:hint="default"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指标名称</w:t>
            </w:r>
          </w:p>
        </w:tc>
        <w:tc>
          <w:tcPr>
            <w:tcW w:w="851" w:type="dxa"/>
            <w:tcBorders>
              <w:top w:val="single" w:color="auto" w:sz="4" w:space="0"/>
              <w:left w:val="nil"/>
              <w:bottom w:val="single" w:color="auto" w:sz="4" w:space="0"/>
              <w:right w:val="single" w:color="auto" w:sz="4" w:space="0"/>
            </w:tcBorders>
            <w:noWrap w:val="0"/>
            <w:vAlign w:val="center"/>
          </w:tcPr>
          <w:p w14:paraId="1A4EE2DE">
            <w:pPr>
              <w:keepNext w:val="0"/>
              <w:keepLines w:val="0"/>
              <w:widowControl/>
              <w:suppressLineNumbers w:val="0"/>
              <w:spacing w:before="0" w:beforeAutospacing="0" w:after="0" w:afterAutospacing="0"/>
              <w:ind w:left="0" w:right="0"/>
              <w:jc w:val="left"/>
              <w:rPr>
                <w:rFonts w:hint="default"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计量单位</w:t>
            </w:r>
          </w:p>
        </w:tc>
        <w:tc>
          <w:tcPr>
            <w:tcW w:w="1842" w:type="dxa"/>
            <w:tcBorders>
              <w:top w:val="single" w:color="auto" w:sz="4" w:space="0"/>
              <w:left w:val="nil"/>
              <w:bottom w:val="single" w:color="auto" w:sz="4" w:space="0"/>
              <w:right w:val="single" w:color="auto" w:sz="4" w:space="0"/>
            </w:tcBorders>
            <w:noWrap w:val="0"/>
            <w:vAlign w:val="center"/>
          </w:tcPr>
          <w:p w14:paraId="234DE402">
            <w:pPr>
              <w:keepNext w:val="0"/>
              <w:keepLines w:val="0"/>
              <w:widowControl/>
              <w:suppressLineNumbers w:val="0"/>
              <w:spacing w:before="0" w:beforeAutospacing="0" w:after="0" w:afterAutospacing="0"/>
              <w:ind w:left="0" w:right="0"/>
              <w:jc w:val="center"/>
              <w:rPr>
                <w:rFonts w:hint="default"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中型</w:t>
            </w:r>
          </w:p>
        </w:tc>
        <w:tc>
          <w:tcPr>
            <w:tcW w:w="1701" w:type="dxa"/>
            <w:tcBorders>
              <w:top w:val="single" w:color="auto" w:sz="4" w:space="0"/>
              <w:left w:val="nil"/>
              <w:bottom w:val="single" w:color="auto" w:sz="4" w:space="0"/>
              <w:right w:val="single" w:color="auto" w:sz="4" w:space="0"/>
            </w:tcBorders>
            <w:noWrap w:val="0"/>
            <w:vAlign w:val="center"/>
          </w:tcPr>
          <w:p w14:paraId="7FCC137F">
            <w:pPr>
              <w:keepNext w:val="0"/>
              <w:keepLines w:val="0"/>
              <w:widowControl/>
              <w:suppressLineNumbers w:val="0"/>
              <w:spacing w:before="0" w:beforeAutospacing="0" w:after="0" w:afterAutospacing="0"/>
              <w:ind w:left="0" w:right="0"/>
              <w:jc w:val="center"/>
              <w:rPr>
                <w:rFonts w:hint="default"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小型</w:t>
            </w:r>
          </w:p>
        </w:tc>
        <w:tc>
          <w:tcPr>
            <w:tcW w:w="1134" w:type="dxa"/>
            <w:tcBorders>
              <w:top w:val="single" w:color="auto" w:sz="4" w:space="0"/>
              <w:left w:val="nil"/>
              <w:bottom w:val="single" w:color="auto" w:sz="4" w:space="0"/>
              <w:right w:val="single" w:color="auto" w:sz="4" w:space="0"/>
            </w:tcBorders>
            <w:noWrap w:val="0"/>
            <w:vAlign w:val="center"/>
          </w:tcPr>
          <w:p w14:paraId="1BA61CF9">
            <w:pPr>
              <w:keepNext w:val="0"/>
              <w:keepLines w:val="0"/>
              <w:widowControl/>
              <w:suppressLineNumbers w:val="0"/>
              <w:spacing w:before="0" w:beforeAutospacing="0" w:after="0" w:afterAutospacing="0"/>
              <w:ind w:left="0" w:right="0"/>
              <w:jc w:val="center"/>
              <w:rPr>
                <w:rFonts w:hint="default"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微型</w:t>
            </w:r>
          </w:p>
        </w:tc>
      </w:tr>
      <w:tr w14:paraId="31CA806B">
        <w:tblPrEx>
          <w:tblCellMar>
            <w:top w:w="0" w:type="dxa"/>
            <w:left w:w="108" w:type="dxa"/>
            <w:bottom w:w="0" w:type="dxa"/>
            <w:right w:w="108" w:type="dxa"/>
          </w:tblCellMar>
        </w:tblPrEx>
        <w:trPr>
          <w:trHeight w:val="406" w:hRule="atLeast"/>
        </w:trPr>
        <w:tc>
          <w:tcPr>
            <w:tcW w:w="1985" w:type="dxa"/>
            <w:tcBorders>
              <w:top w:val="nil"/>
              <w:left w:val="single" w:color="auto" w:sz="4" w:space="0"/>
              <w:bottom w:val="single" w:color="auto" w:sz="4" w:space="0"/>
              <w:right w:val="single" w:color="auto" w:sz="4" w:space="0"/>
            </w:tcBorders>
            <w:noWrap w:val="0"/>
            <w:vAlign w:val="bottom"/>
          </w:tcPr>
          <w:p w14:paraId="1476C438">
            <w:pPr>
              <w:keepNext w:val="0"/>
              <w:keepLines w:val="0"/>
              <w:widowControl/>
              <w:suppressLineNumbers w:val="0"/>
              <w:spacing w:before="0" w:beforeAutospacing="0" w:after="0" w:afterAutospacing="0"/>
              <w:ind w:left="0" w:right="0"/>
              <w:jc w:val="center"/>
              <w:rPr>
                <w:rFonts w:hint="default"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农、林、牧、渔</w:t>
            </w:r>
          </w:p>
        </w:tc>
        <w:tc>
          <w:tcPr>
            <w:tcW w:w="1984" w:type="dxa"/>
            <w:tcBorders>
              <w:top w:val="nil"/>
              <w:left w:val="nil"/>
              <w:bottom w:val="single" w:color="auto" w:sz="4" w:space="0"/>
              <w:right w:val="single" w:color="auto" w:sz="4" w:space="0"/>
            </w:tcBorders>
            <w:noWrap w:val="0"/>
            <w:vAlign w:val="center"/>
          </w:tcPr>
          <w:p w14:paraId="1B5278D2">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1CC36770">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7CCAA842">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500≤Y＜20000</w:t>
            </w:r>
          </w:p>
        </w:tc>
        <w:tc>
          <w:tcPr>
            <w:tcW w:w="1701" w:type="dxa"/>
            <w:tcBorders>
              <w:top w:val="nil"/>
              <w:left w:val="nil"/>
              <w:bottom w:val="single" w:color="auto" w:sz="4" w:space="0"/>
              <w:right w:val="single" w:color="auto" w:sz="4" w:space="0"/>
            </w:tcBorders>
            <w:noWrap w:val="0"/>
            <w:vAlign w:val="center"/>
          </w:tcPr>
          <w:p w14:paraId="69B50A31">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50≤Y＜500</w:t>
            </w:r>
          </w:p>
        </w:tc>
        <w:tc>
          <w:tcPr>
            <w:tcW w:w="1134" w:type="dxa"/>
            <w:tcBorders>
              <w:top w:val="nil"/>
              <w:left w:val="nil"/>
              <w:bottom w:val="single" w:color="auto" w:sz="4" w:space="0"/>
              <w:right w:val="single" w:color="auto" w:sz="4" w:space="0"/>
            </w:tcBorders>
            <w:noWrap w:val="0"/>
            <w:vAlign w:val="center"/>
          </w:tcPr>
          <w:p w14:paraId="1ADB90A4">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Y＜50</w:t>
            </w:r>
          </w:p>
        </w:tc>
      </w:tr>
      <w:tr w14:paraId="4BA8CAFD">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289F1B29">
            <w:pPr>
              <w:keepNext w:val="0"/>
              <w:keepLines w:val="0"/>
              <w:widowControl/>
              <w:suppressLineNumbers w:val="0"/>
              <w:spacing w:before="0" w:beforeAutospacing="0" w:after="0" w:afterAutospacing="0"/>
              <w:ind w:left="0" w:right="0"/>
              <w:jc w:val="center"/>
              <w:rPr>
                <w:rFonts w:hint="default"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工业</w:t>
            </w:r>
          </w:p>
        </w:tc>
        <w:tc>
          <w:tcPr>
            <w:tcW w:w="1984" w:type="dxa"/>
            <w:tcBorders>
              <w:top w:val="nil"/>
              <w:left w:val="nil"/>
              <w:bottom w:val="single" w:color="auto" w:sz="4" w:space="0"/>
              <w:right w:val="single" w:color="auto" w:sz="4" w:space="0"/>
            </w:tcBorders>
            <w:noWrap w:val="0"/>
            <w:vAlign w:val="center"/>
          </w:tcPr>
          <w:p w14:paraId="78A031D8">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6D4450BE">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617A7E0B">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1701" w:type="dxa"/>
            <w:tcBorders>
              <w:top w:val="nil"/>
              <w:left w:val="nil"/>
              <w:bottom w:val="single" w:color="auto" w:sz="4" w:space="0"/>
              <w:right w:val="single" w:color="auto" w:sz="4" w:space="0"/>
            </w:tcBorders>
            <w:noWrap w:val="0"/>
            <w:vAlign w:val="center"/>
          </w:tcPr>
          <w:p w14:paraId="2EE73ABA">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20≤X＜300</w:t>
            </w:r>
          </w:p>
        </w:tc>
        <w:tc>
          <w:tcPr>
            <w:tcW w:w="1134" w:type="dxa"/>
            <w:tcBorders>
              <w:top w:val="nil"/>
              <w:left w:val="nil"/>
              <w:bottom w:val="single" w:color="auto" w:sz="4" w:space="0"/>
              <w:right w:val="single" w:color="auto" w:sz="4" w:space="0"/>
            </w:tcBorders>
            <w:noWrap w:val="0"/>
            <w:vAlign w:val="center"/>
          </w:tcPr>
          <w:p w14:paraId="7F5EE778">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14:paraId="5EB0C2DC">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2BA18D70">
            <w:pPr>
              <w:keepNext w:val="0"/>
              <w:keepLines w:val="0"/>
              <w:widowControl/>
              <w:suppressLineNumbers w:val="0"/>
              <w:spacing w:before="0" w:beforeAutospacing="0" w:after="0" w:afterAutospacing="0"/>
              <w:ind w:left="0" w:right="0"/>
              <w:jc w:val="left"/>
              <w:rPr>
                <w:rFonts w:hint="default" w:ascii="仿宋_GB2312" w:hAnsi="仿宋" w:eastAsia="仿宋_GB2312"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050E8647">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707D81F7">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09C6652C">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2000≤Y＜40000</w:t>
            </w:r>
          </w:p>
        </w:tc>
        <w:tc>
          <w:tcPr>
            <w:tcW w:w="1701" w:type="dxa"/>
            <w:tcBorders>
              <w:top w:val="nil"/>
              <w:left w:val="nil"/>
              <w:bottom w:val="single" w:color="auto" w:sz="4" w:space="0"/>
              <w:right w:val="single" w:color="auto" w:sz="4" w:space="0"/>
            </w:tcBorders>
            <w:noWrap w:val="0"/>
            <w:vAlign w:val="center"/>
          </w:tcPr>
          <w:p w14:paraId="52197C69">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300≤Y＜2000</w:t>
            </w:r>
          </w:p>
        </w:tc>
        <w:tc>
          <w:tcPr>
            <w:tcW w:w="1134" w:type="dxa"/>
            <w:tcBorders>
              <w:top w:val="nil"/>
              <w:left w:val="nil"/>
              <w:bottom w:val="single" w:color="auto" w:sz="4" w:space="0"/>
              <w:right w:val="single" w:color="auto" w:sz="4" w:space="0"/>
            </w:tcBorders>
            <w:noWrap w:val="0"/>
            <w:vAlign w:val="center"/>
          </w:tcPr>
          <w:p w14:paraId="58F8F8B2">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Y＜300</w:t>
            </w:r>
          </w:p>
        </w:tc>
      </w:tr>
      <w:tr w14:paraId="15670141">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720CB989">
            <w:pPr>
              <w:keepNext w:val="0"/>
              <w:keepLines w:val="0"/>
              <w:widowControl/>
              <w:suppressLineNumbers w:val="0"/>
              <w:spacing w:before="0" w:beforeAutospacing="0" w:after="0" w:afterAutospacing="0"/>
              <w:ind w:left="0" w:right="0"/>
              <w:jc w:val="center"/>
              <w:rPr>
                <w:rFonts w:hint="default"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建筑业</w:t>
            </w:r>
          </w:p>
        </w:tc>
        <w:tc>
          <w:tcPr>
            <w:tcW w:w="1984" w:type="dxa"/>
            <w:tcBorders>
              <w:top w:val="nil"/>
              <w:left w:val="nil"/>
              <w:bottom w:val="single" w:color="auto" w:sz="4" w:space="0"/>
              <w:right w:val="single" w:color="auto" w:sz="4" w:space="0"/>
            </w:tcBorders>
            <w:noWrap w:val="0"/>
            <w:vAlign w:val="center"/>
          </w:tcPr>
          <w:p w14:paraId="4FBB11ED">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0852AD3A">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01AC230A">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6000≤Y＜80000</w:t>
            </w:r>
          </w:p>
        </w:tc>
        <w:tc>
          <w:tcPr>
            <w:tcW w:w="1701" w:type="dxa"/>
            <w:tcBorders>
              <w:top w:val="nil"/>
              <w:left w:val="nil"/>
              <w:bottom w:val="single" w:color="auto" w:sz="4" w:space="0"/>
              <w:right w:val="single" w:color="auto" w:sz="4" w:space="0"/>
            </w:tcBorders>
            <w:noWrap w:val="0"/>
            <w:vAlign w:val="center"/>
          </w:tcPr>
          <w:p w14:paraId="37D0ABC6">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300≤Y＜6000</w:t>
            </w:r>
          </w:p>
        </w:tc>
        <w:tc>
          <w:tcPr>
            <w:tcW w:w="1134" w:type="dxa"/>
            <w:tcBorders>
              <w:top w:val="nil"/>
              <w:left w:val="nil"/>
              <w:bottom w:val="single" w:color="auto" w:sz="4" w:space="0"/>
              <w:right w:val="single" w:color="auto" w:sz="4" w:space="0"/>
            </w:tcBorders>
            <w:noWrap w:val="0"/>
            <w:vAlign w:val="center"/>
          </w:tcPr>
          <w:p w14:paraId="31882C3E">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Y＜300</w:t>
            </w:r>
          </w:p>
        </w:tc>
      </w:tr>
      <w:tr w14:paraId="5DA9B755">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3B72BF69">
            <w:pPr>
              <w:keepNext w:val="0"/>
              <w:keepLines w:val="0"/>
              <w:widowControl/>
              <w:suppressLineNumbers w:val="0"/>
              <w:spacing w:before="0" w:beforeAutospacing="0" w:after="0" w:afterAutospacing="0"/>
              <w:ind w:left="0" w:right="0"/>
              <w:jc w:val="left"/>
              <w:rPr>
                <w:rFonts w:hint="default" w:ascii="仿宋_GB2312" w:hAnsi="仿宋" w:eastAsia="仿宋_GB2312"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1C642B98">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资产总额（Z）</w:t>
            </w:r>
          </w:p>
        </w:tc>
        <w:tc>
          <w:tcPr>
            <w:tcW w:w="851" w:type="dxa"/>
            <w:tcBorders>
              <w:top w:val="nil"/>
              <w:left w:val="nil"/>
              <w:bottom w:val="single" w:color="auto" w:sz="4" w:space="0"/>
              <w:right w:val="single" w:color="auto" w:sz="4" w:space="0"/>
            </w:tcBorders>
            <w:noWrap w:val="0"/>
            <w:vAlign w:val="center"/>
          </w:tcPr>
          <w:p w14:paraId="32284556">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5F1298BE">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5000≤Z＜80000</w:t>
            </w:r>
          </w:p>
        </w:tc>
        <w:tc>
          <w:tcPr>
            <w:tcW w:w="1701" w:type="dxa"/>
            <w:tcBorders>
              <w:top w:val="nil"/>
              <w:left w:val="nil"/>
              <w:bottom w:val="single" w:color="auto" w:sz="4" w:space="0"/>
              <w:right w:val="single" w:color="auto" w:sz="4" w:space="0"/>
            </w:tcBorders>
            <w:noWrap w:val="0"/>
            <w:vAlign w:val="center"/>
          </w:tcPr>
          <w:p w14:paraId="030DDF1E">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300≤Z＜5000</w:t>
            </w:r>
          </w:p>
        </w:tc>
        <w:tc>
          <w:tcPr>
            <w:tcW w:w="1134" w:type="dxa"/>
            <w:tcBorders>
              <w:top w:val="nil"/>
              <w:left w:val="nil"/>
              <w:bottom w:val="single" w:color="auto" w:sz="4" w:space="0"/>
              <w:right w:val="single" w:color="auto" w:sz="4" w:space="0"/>
            </w:tcBorders>
            <w:noWrap w:val="0"/>
            <w:vAlign w:val="center"/>
          </w:tcPr>
          <w:p w14:paraId="20648F29">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Z＜300</w:t>
            </w:r>
          </w:p>
        </w:tc>
      </w:tr>
      <w:tr w14:paraId="18DDFB65">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47AB13BC">
            <w:pPr>
              <w:keepNext w:val="0"/>
              <w:keepLines w:val="0"/>
              <w:widowControl/>
              <w:suppressLineNumbers w:val="0"/>
              <w:spacing w:before="0" w:beforeAutospacing="0" w:after="0" w:afterAutospacing="0"/>
              <w:ind w:left="0" w:right="0"/>
              <w:jc w:val="center"/>
              <w:rPr>
                <w:rFonts w:hint="default"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批发业</w:t>
            </w:r>
          </w:p>
        </w:tc>
        <w:tc>
          <w:tcPr>
            <w:tcW w:w="1984" w:type="dxa"/>
            <w:tcBorders>
              <w:top w:val="nil"/>
              <w:left w:val="nil"/>
              <w:bottom w:val="single" w:color="auto" w:sz="4" w:space="0"/>
              <w:right w:val="single" w:color="auto" w:sz="4" w:space="0"/>
            </w:tcBorders>
            <w:noWrap w:val="0"/>
            <w:vAlign w:val="center"/>
          </w:tcPr>
          <w:p w14:paraId="2DE7EA03">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41A6AFCD">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4A2CBC23">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20≤X＜200</w:t>
            </w:r>
          </w:p>
        </w:tc>
        <w:tc>
          <w:tcPr>
            <w:tcW w:w="1701" w:type="dxa"/>
            <w:tcBorders>
              <w:top w:val="nil"/>
              <w:left w:val="nil"/>
              <w:bottom w:val="single" w:color="auto" w:sz="4" w:space="0"/>
              <w:right w:val="single" w:color="auto" w:sz="4" w:space="0"/>
            </w:tcBorders>
            <w:noWrap w:val="0"/>
            <w:vAlign w:val="center"/>
          </w:tcPr>
          <w:p w14:paraId="201F2FBD">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5≤X＜20</w:t>
            </w:r>
          </w:p>
        </w:tc>
        <w:tc>
          <w:tcPr>
            <w:tcW w:w="1134" w:type="dxa"/>
            <w:tcBorders>
              <w:top w:val="nil"/>
              <w:left w:val="nil"/>
              <w:bottom w:val="single" w:color="auto" w:sz="4" w:space="0"/>
              <w:right w:val="single" w:color="auto" w:sz="4" w:space="0"/>
            </w:tcBorders>
            <w:noWrap w:val="0"/>
            <w:vAlign w:val="center"/>
          </w:tcPr>
          <w:p w14:paraId="62C3DE8E">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X＜5</w:t>
            </w:r>
          </w:p>
        </w:tc>
      </w:tr>
      <w:tr w14:paraId="7A25A74D">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2ED5CCF5">
            <w:pPr>
              <w:keepNext w:val="0"/>
              <w:keepLines w:val="0"/>
              <w:widowControl/>
              <w:suppressLineNumbers w:val="0"/>
              <w:spacing w:before="0" w:beforeAutospacing="0" w:after="0" w:afterAutospacing="0"/>
              <w:ind w:left="0" w:right="0"/>
              <w:jc w:val="left"/>
              <w:rPr>
                <w:rFonts w:hint="default" w:ascii="仿宋_GB2312" w:hAnsi="仿宋" w:eastAsia="仿宋_GB2312"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2C4A6BE3">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65DEAB5F">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5C1045AE">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5000≤Y＜40000</w:t>
            </w:r>
          </w:p>
        </w:tc>
        <w:tc>
          <w:tcPr>
            <w:tcW w:w="1701" w:type="dxa"/>
            <w:tcBorders>
              <w:top w:val="nil"/>
              <w:left w:val="nil"/>
              <w:bottom w:val="single" w:color="auto" w:sz="4" w:space="0"/>
              <w:right w:val="single" w:color="auto" w:sz="4" w:space="0"/>
            </w:tcBorders>
            <w:noWrap w:val="0"/>
            <w:vAlign w:val="center"/>
          </w:tcPr>
          <w:p w14:paraId="7C6DB837">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1000≤Y＜5000</w:t>
            </w:r>
          </w:p>
        </w:tc>
        <w:tc>
          <w:tcPr>
            <w:tcW w:w="1134" w:type="dxa"/>
            <w:tcBorders>
              <w:top w:val="nil"/>
              <w:left w:val="nil"/>
              <w:bottom w:val="single" w:color="auto" w:sz="4" w:space="0"/>
              <w:right w:val="single" w:color="auto" w:sz="4" w:space="0"/>
            </w:tcBorders>
            <w:noWrap w:val="0"/>
            <w:vAlign w:val="center"/>
          </w:tcPr>
          <w:p w14:paraId="6CAD7C91">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Y＜1000</w:t>
            </w:r>
          </w:p>
        </w:tc>
      </w:tr>
      <w:tr w14:paraId="2D939003">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7E09EF5F">
            <w:pPr>
              <w:keepNext w:val="0"/>
              <w:keepLines w:val="0"/>
              <w:widowControl/>
              <w:suppressLineNumbers w:val="0"/>
              <w:spacing w:before="0" w:beforeAutospacing="0" w:after="0" w:afterAutospacing="0"/>
              <w:ind w:left="0" w:right="0"/>
              <w:jc w:val="center"/>
              <w:rPr>
                <w:rFonts w:hint="default"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零售业</w:t>
            </w:r>
          </w:p>
        </w:tc>
        <w:tc>
          <w:tcPr>
            <w:tcW w:w="1984" w:type="dxa"/>
            <w:tcBorders>
              <w:top w:val="nil"/>
              <w:left w:val="nil"/>
              <w:bottom w:val="single" w:color="auto" w:sz="4" w:space="0"/>
              <w:right w:val="single" w:color="auto" w:sz="4" w:space="0"/>
            </w:tcBorders>
            <w:noWrap w:val="0"/>
            <w:vAlign w:val="center"/>
          </w:tcPr>
          <w:p w14:paraId="1C13DD8F">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30BC907A">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047D646A">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50≤X＜300</w:t>
            </w:r>
          </w:p>
        </w:tc>
        <w:tc>
          <w:tcPr>
            <w:tcW w:w="1701" w:type="dxa"/>
            <w:tcBorders>
              <w:top w:val="nil"/>
              <w:left w:val="nil"/>
              <w:bottom w:val="single" w:color="auto" w:sz="4" w:space="0"/>
              <w:right w:val="single" w:color="auto" w:sz="4" w:space="0"/>
            </w:tcBorders>
            <w:noWrap w:val="0"/>
            <w:vAlign w:val="center"/>
          </w:tcPr>
          <w:p w14:paraId="23406165">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10≤X＜50</w:t>
            </w:r>
          </w:p>
        </w:tc>
        <w:tc>
          <w:tcPr>
            <w:tcW w:w="1134" w:type="dxa"/>
            <w:tcBorders>
              <w:top w:val="nil"/>
              <w:left w:val="nil"/>
              <w:bottom w:val="single" w:color="auto" w:sz="4" w:space="0"/>
              <w:right w:val="single" w:color="auto" w:sz="4" w:space="0"/>
            </w:tcBorders>
            <w:noWrap w:val="0"/>
            <w:vAlign w:val="center"/>
          </w:tcPr>
          <w:p w14:paraId="14CD5391">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1C3C076F">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0FE664BE">
            <w:pPr>
              <w:keepNext w:val="0"/>
              <w:keepLines w:val="0"/>
              <w:widowControl/>
              <w:suppressLineNumbers w:val="0"/>
              <w:spacing w:before="0" w:beforeAutospacing="0" w:after="0" w:afterAutospacing="0"/>
              <w:ind w:left="0" w:right="0"/>
              <w:jc w:val="left"/>
              <w:rPr>
                <w:rFonts w:hint="default" w:ascii="仿宋_GB2312" w:hAnsi="仿宋" w:eastAsia="仿宋_GB2312"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6B4C8437">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42BF09A7">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57B88C64">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500≤Y＜20000</w:t>
            </w:r>
          </w:p>
        </w:tc>
        <w:tc>
          <w:tcPr>
            <w:tcW w:w="1701" w:type="dxa"/>
            <w:tcBorders>
              <w:top w:val="nil"/>
              <w:left w:val="nil"/>
              <w:bottom w:val="single" w:color="auto" w:sz="4" w:space="0"/>
              <w:right w:val="single" w:color="auto" w:sz="4" w:space="0"/>
            </w:tcBorders>
            <w:noWrap w:val="0"/>
            <w:vAlign w:val="center"/>
          </w:tcPr>
          <w:p w14:paraId="57D473CA">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100≤Y＜500</w:t>
            </w:r>
          </w:p>
        </w:tc>
        <w:tc>
          <w:tcPr>
            <w:tcW w:w="1134" w:type="dxa"/>
            <w:tcBorders>
              <w:top w:val="nil"/>
              <w:left w:val="nil"/>
              <w:bottom w:val="single" w:color="auto" w:sz="4" w:space="0"/>
              <w:right w:val="single" w:color="auto" w:sz="4" w:space="0"/>
            </w:tcBorders>
            <w:noWrap w:val="0"/>
            <w:vAlign w:val="center"/>
          </w:tcPr>
          <w:p w14:paraId="56EED7C9">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2673F8E0">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50927688">
            <w:pPr>
              <w:keepNext w:val="0"/>
              <w:keepLines w:val="0"/>
              <w:widowControl/>
              <w:suppressLineNumbers w:val="0"/>
              <w:spacing w:before="0" w:beforeAutospacing="0" w:after="0" w:afterAutospacing="0"/>
              <w:ind w:left="0" w:right="0"/>
              <w:jc w:val="center"/>
              <w:rPr>
                <w:rFonts w:hint="default"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交通运输业</w:t>
            </w:r>
          </w:p>
        </w:tc>
        <w:tc>
          <w:tcPr>
            <w:tcW w:w="1984" w:type="dxa"/>
            <w:tcBorders>
              <w:top w:val="nil"/>
              <w:left w:val="nil"/>
              <w:bottom w:val="single" w:color="auto" w:sz="4" w:space="0"/>
              <w:right w:val="single" w:color="auto" w:sz="4" w:space="0"/>
            </w:tcBorders>
            <w:noWrap w:val="0"/>
            <w:vAlign w:val="center"/>
          </w:tcPr>
          <w:p w14:paraId="57DBB1E2">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3EDE99AC">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34EAA9AA">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1701" w:type="dxa"/>
            <w:tcBorders>
              <w:top w:val="nil"/>
              <w:left w:val="nil"/>
              <w:bottom w:val="single" w:color="auto" w:sz="4" w:space="0"/>
              <w:right w:val="single" w:color="auto" w:sz="4" w:space="0"/>
            </w:tcBorders>
            <w:noWrap w:val="0"/>
            <w:vAlign w:val="center"/>
          </w:tcPr>
          <w:p w14:paraId="66BE0B90">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20≤X＜300</w:t>
            </w:r>
          </w:p>
        </w:tc>
        <w:tc>
          <w:tcPr>
            <w:tcW w:w="1134" w:type="dxa"/>
            <w:tcBorders>
              <w:top w:val="nil"/>
              <w:left w:val="nil"/>
              <w:bottom w:val="single" w:color="auto" w:sz="4" w:space="0"/>
              <w:right w:val="single" w:color="auto" w:sz="4" w:space="0"/>
            </w:tcBorders>
            <w:noWrap w:val="0"/>
            <w:vAlign w:val="center"/>
          </w:tcPr>
          <w:p w14:paraId="56A54258">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14:paraId="7C81AD94">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76A86480">
            <w:pPr>
              <w:keepNext w:val="0"/>
              <w:keepLines w:val="0"/>
              <w:widowControl/>
              <w:suppressLineNumbers w:val="0"/>
              <w:spacing w:before="0" w:beforeAutospacing="0" w:after="0" w:afterAutospacing="0"/>
              <w:ind w:left="0" w:right="0"/>
              <w:jc w:val="left"/>
              <w:rPr>
                <w:rFonts w:hint="default" w:ascii="仿宋_GB2312" w:hAnsi="仿宋" w:eastAsia="仿宋_GB2312"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487BB35C">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27FA779F">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0E973594">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3000≤Y＜30000</w:t>
            </w:r>
          </w:p>
        </w:tc>
        <w:tc>
          <w:tcPr>
            <w:tcW w:w="1701" w:type="dxa"/>
            <w:tcBorders>
              <w:top w:val="nil"/>
              <w:left w:val="nil"/>
              <w:bottom w:val="single" w:color="auto" w:sz="4" w:space="0"/>
              <w:right w:val="single" w:color="auto" w:sz="4" w:space="0"/>
            </w:tcBorders>
            <w:noWrap w:val="0"/>
            <w:vAlign w:val="center"/>
          </w:tcPr>
          <w:p w14:paraId="32EF057A">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200≤Y＜3000</w:t>
            </w:r>
          </w:p>
        </w:tc>
        <w:tc>
          <w:tcPr>
            <w:tcW w:w="1134" w:type="dxa"/>
            <w:tcBorders>
              <w:top w:val="nil"/>
              <w:left w:val="nil"/>
              <w:bottom w:val="single" w:color="auto" w:sz="4" w:space="0"/>
              <w:right w:val="single" w:color="auto" w:sz="4" w:space="0"/>
            </w:tcBorders>
            <w:noWrap w:val="0"/>
            <w:vAlign w:val="center"/>
          </w:tcPr>
          <w:p w14:paraId="284E1824">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Y＜200</w:t>
            </w:r>
          </w:p>
        </w:tc>
      </w:tr>
      <w:tr w14:paraId="2377B34E">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5DB21634">
            <w:pPr>
              <w:keepNext w:val="0"/>
              <w:keepLines w:val="0"/>
              <w:widowControl/>
              <w:suppressLineNumbers w:val="0"/>
              <w:spacing w:before="0" w:beforeAutospacing="0" w:after="0" w:afterAutospacing="0"/>
              <w:ind w:left="0" w:right="0"/>
              <w:jc w:val="center"/>
              <w:rPr>
                <w:rFonts w:hint="default"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仓储业</w:t>
            </w:r>
          </w:p>
        </w:tc>
        <w:tc>
          <w:tcPr>
            <w:tcW w:w="1984" w:type="dxa"/>
            <w:tcBorders>
              <w:top w:val="nil"/>
              <w:left w:val="nil"/>
              <w:bottom w:val="single" w:color="auto" w:sz="4" w:space="0"/>
              <w:right w:val="single" w:color="auto" w:sz="4" w:space="0"/>
            </w:tcBorders>
            <w:noWrap w:val="0"/>
            <w:vAlign w:val="center"/>
          </w:tcPr>
          <w:p w14:paraId="3BF921FD">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1F86E963">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09733DCC">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100≤X＜200</w:t>
            </w:r>
          </w:p>
        </w:tc>
        <w:tc>
          <w:tcPr>
            <w:tcW w:w="1701" w:type="dxa"/>
            <w:tcBorders>
              <w:top w:val="nil"/>
              <w:left w:val="nil"/>
              <w:bottom w:val="single" w:color="auto" w:sz="4" w:space="0"/>
              <w:right w:val="single" w:color="auto" w:sz="4" w:space="0"/>
            </w:tcBorders>
            <w:noWrap w:val="0"/>
            <w:vAlign w:val="center"/>
          </w:tcPr>
          <w:p w14:paraId="5BCE9CC8">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20≤X＜100</w:t>
            </w:r>
          </w:p>
        </w:tc>
        <w:tc>
          <w:tcPr>
            <w:tcW w:w="1134" w:type="dxa"/>
            <w:tcBorders>
              <w:top w:val="nil"/>
              <w:left w:val="nil"/>
              <w:bottom w:val="single" w:color="auto" w:sz="4" w:space="0"/>
              <w:right w:val="single" w:color="auto" w:sz="4" w:space="0"/>
            </w:tcBorders>
            <w:noWrap w:val="0"/>
            <w:vAlign w:val="center"/>
          </w:tcPr>
          <w:p w14:paraId="2E590764">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14:paraId="435C6C4B">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3BC11BDD">
            <w:pPr>
              <w:keepNext w:val="0"/>
              <w:keepLines w:val="0"/>
              <w:widowControl/>
              <w:suppressLineNumbers w:val="0"/>
              <w:spacing w:before="0" w:beforeAutospacing="0" w:after="0" w:afterAutospacing="0"/>
              <w:ind w:left="0" w:right="0"/>
              <w:jc w:val="left"/>
              <w:rPr>
                <w:rFonts w:hint="default" w:ascii="仿宋_GB2312" w:hAnsi="仿宋" w:eastAsia="仿宋_GB2312"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62029B0B">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77E2EBE7">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1C35A5F3">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1000≤Y＜30000</w:t>
            </w:r>
          </w:p>
        </w:tc>
        <w:tc>
          <w:tcPr>
            <w:tcW w:w="1701" w:type="dxa"/>
            <w:tcBorders>
              <w:top w:val="nil"/>
              <w:left w:val="nil"/>
              <w:bottom w:val="single" w:color="auto" w:sz="4" w:space="0"/>
              <w:right w:val="single" w:color="auto" w:sz="4" w:space="0"/>
            </w:tcBorders>
            <w:noWrap w:val="0"/>
            <w:vAlign w:val="center"/>
          </w:tcPr>
          <w:p w14:paraId="571E5435">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100≤Y＜1000</w:t>
            </w:r>
          </w:p>
        </w:tc>
        <w:tc>
          <w:tcPr>
            <w:tcW w:w="1134" w:type="dxa"/>
            <w:tcBorders>
              <w:top w:val="nil"/>
              <w:left w:val="nil"/>
              <w:bottom w:val="single" w:color="auto" w:sz="4" w:space="0"/>
              <w:right w:val="single" w:color="auto" w:sz="4" w:space="0"/>
            </w:tcBorders>
            <w:noWrap w:val="0"/>
            <w:vAlign w:val="center"/>
          </w:tcPr>
          <w:p w14:paraId="7B0E7A01">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7D07632E">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00DB7077">
            <w:pPr>
              <w:keepNext w:val="0"/>
              <w:keepLines w:val="0"/>
              <w:widowControl/>
              <w:suppressLineNumbers w:val="0"/>
              <w:spacing w:before="0" w:beforeAutospacing="0" w:after="0" w:afterAutospacing="0"/>
              <w:ind w:left="0" w:right="0"/>
              <w:jc w:val="center"/>
              <w:rPr>
                <w:rFonts w:hint="default"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邮政业</w:t>
            </w:r>
          </w:p>
        </w:tc>
        <w:tc>
          <w:tcPr>
            <w:tcW w:w="1984" w:type="dxa"/>
            <w:tcBorders>
              <w:top w:val="nil"/>
              <w:left w:val="nil"/>
              <w:bottom w:val="single" w:color="auto" w:sz="4" w:space="0"/>
              <w:right w:val="single" w:color="auto" w:sz="4" w:space="0"/>
            </w:tcBorders>
            <w:noWrap w:val="0"/>
            <w:vAlign w:val="center"/>
          </w:tcPr>
          <w:p w14:paraId="675F38AC">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24180013">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5B741162">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1701" w:type="dxa"/>
            <w:tcBorders>
              <w:top w:val="nil"/>
              <w:left w:val="nil"/>
              <w:bottom w:val="single" w:color="auto" w:sz="4" w:space="0"/>
              <w:right w:val="single" w:color="auto" w:sz="4" w:space="0"/>
            </w:tcBorders>
            <w:noWrap w:val="0"/>
            <w:vAlign w:val="center"/>
          </w:tcPr>
          <w:p w14:paraId="414E1E1E">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20≤X＜300</w:t>
            </w:r>
          </w:p>
        </w:tc>
        <w:tc>
          <w:tcPr>
            <w:tcW w:w="1134" w:type="dxa"/>
            <w:tcBorders>
              <w:top w:val="nil"/>
              <w:left w:val="nil"/>
              <w:bottom w:val="single" w:color="auto" w:sz="4" w:space="0"/>
              <w:right w:val="single" w:color="auto" w:sz="4" w:space="0"/>
            </w:tcBorders>
            <w:noWrap w:val="0"/>
            <w:vAlign w:val="center"/>
          </w:tcPr>
          <w:p w14:paraId="40A08BE6">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14:paraId="1C0829F6">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709DD069">
            <w:pPr>
              <w:keepNext w:val="0"/>
              <w:keepLines w:val="0"/>
              <w:widowControl/>
              <w:suppressLineNumbers w:val="0"/>
              <w:spacing w:before="0" w:beforeAutospacing="0" w:after="0" w:afterAutospacing="0"/>
              <w:ind w:left="0" w:right="0"/>
              <w:jc w:val="left"/>
              <w:rPr>
                <w:rFonts w:hint="default" w:ascii="仿宋_GB2312" w:hAnsi="仿宋" w:eastAsia="仿宋_GB2312"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1A2E5FE5">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02F4317C">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44326CC1">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2000≤Y＜30000</w:t>
            </w:r>
          </w:p>
        </w:tc>
        <w:tc>
          <w:tcPr>
            <w:tcW w:w="1701" w:type="dxa"/>
            <w:tcBorders>
              <w:top w:val="nil"/>
              <w:left w:val="nil"/>
              <w:bottom w:val="single" w:color="auto" w:sz="4" w:space="0"/>
              <w:right w:val="single" w:color="auto" w:sz="4" w:space="0"/>
            </w:tcBorders>
            <w:noWrap w:val="0"/>
            <w:vAlign w:val="center"/>
          </w:tcPr>
          <w:p w14:paraId="4C2B6C24">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100≤Y＜2000</w:t>
            </w:r>
          </w:p>
        </w:tc>
        <w:tc>
          <w:tcPr>
            <w:tcW w:w="1134" w:type="dxa"/>
            <w:tcBorders>
              <w:top w:val="nil"/>
              <w:left w:val="nil"/>
              <w:bottom w:val="single" w:color="auto" w:sz="4" w:space="0"/>
              <w:right w:val="single" w:color="auto" w:sz="4" w:space="0"/>
            </w:tcBorders>
            <w:noWrap w:val="0"/>
            <w:vAlign w:val="center"/>
          </w:tcPr>
          <w:p w14:paraId="12E5C437">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372A4DCF">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2901AC60">
            <w:pPr>
              <w:keepNext w:val="0"/>
              <w:keepLines w:val="0"/>
              <w:widowControl/>
              <w:suppressLineNumbers w:val="0"/>
              <w:spacing w:before="0" w:beforeAutospacing="0" w:after="0" w:afterAutospacing="0"/>
              <w:ind w:left="0" w:right="0"/>
              <w:jc w:val="center"/>
              <w:rPr>
                <w:rFonts w:hint="default"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住宿业</w:t>
            </w:r>
          </w:p>
        </w:tc>
        <w:tc>
          <w:tcPr>
            <w:tcW w:w="1984" w:type="dxa"/>
            <w:tcBorders>
              <w:top w:val="nil"/>
              <w:left w:val="nil"/>
              <w:bottom w:val="single" w:color="auto" w:sz="4" w:space="0"/>
              <w:right w:val="single" w:color="auto" w:sz="4" w:space="0"/>
            </w:tcBorders>
            <w:noWrap w:val="0"/>
            <w:vAlign w:val="center"/>
          </w:tcPr>
          <w:p w14:paraId="7DEB62EB">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69E116DB">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0A99AD3B">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701" w:type="dxa"/>
            <w:tcBorders>
              <w:top w:val="nil"/>
              <w:left w:val="nil"/>
              <w:bottom w:val="single" w:color="auto" w:sz="4" w:space="0"/>
              <w:right w:val="single" w:color="auto" w:sz="4" w:space="0"/>
            </w:tcBorders>
            <w:noWrap w:val="0"/>
            <w:vAlign w:val="center"/>
          </w:tcPr>
          <w:p w14:paraId="63FBEBC8">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1EB3DCB2">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38A331B0">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6DFD6B8C">
            <w:pPr>
              <w:keepNext w:val="0"/>
              <w:keepLines w:val="0"/>
              <w:widowControl/>
              <w:suppressLineNumbers w:val="0"/>
              <w:spacing w:before="0" w:beforeAutospacing="0" w:after="0" w:afterAutospacing="0"/>
              <w:ind w:left="0" w:right="0"/>
              <w:jc w:val="left"/>
              <w:rPr>
                <w:rFonts w:hint="default" w:ascii="仿宋_GB2312" w:hAnsi="仿宋" w:eastAsia="仿宋_GB2312"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0F564886">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5A685400">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60BDBA08">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2000≤Y＜10000</w:t>
            </w:r>
          </w:p>
        </w:tc>
        <w:tc>
          <w:tcPr>
            <w:tcW w:w="1701" w:type="dxa"/>
            <w:tcBorders>
              <w:top w:val="nil"/>
              <w:left w:val="nil"/>
              <w:bottom w:val="single" w:color="auto" w:sz="4" w:space="0"/>
              <w:right w:val="single" w:color="auto" w:sz="4" w:space="0"/>
            </w:tcBorders>
            <w:noWrap w:val="0"/>
            <w:vAlign w:val="center"/>
          </w:tcPr>
          <w:p w14:paraId="6F35C37F">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100≤Y＜2000</w:t>
            </w:r>
          </w:p>
        </w:tc>
        <w:tc>
          <w:tcPr>
            <w:tcW w:w="1134" w:type="dxa"/>
            <w:tcBorders>
              <w:top w:val="nil"/>
              <w:left w:val="nil"/>
              <w:bottom w:val="single" w:color="auto" w:sz="4" w:space="0"/>
              <w:right w:val="single" w:color="auto" w:sz="4" w:space="0"/>
            </w:tcBorders>
            <w:noWrap w:val="0"/>
            <w:vAlign w:val="center"/>
          </w:tcPr>
          <w:p w14:paraId="31239A5E">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2610976A">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6C8C1335">
            <w:pPr>
              <w:keepNext w:val="0"/>
              <w:keepLines w:val="0"/>
              <w:widowControl/>
              <w:suppressLineNumbers w:val="0"/>
              <w:spacing w:before="0" w:beforeAutospacing="0" w:after="0" w:afterAutospacing="0"/>
              <w:ind w:left="0" w:right="0"/>
              <w:jc w:val="center"/>
              <w:rPr>
                <w:rFonts w:hint="default"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餐饮业</w:t>
            </w:r>
          </w:p>
        </w:tc>
        <w:tc>
          <w:tcPr>
            <w:tcW w:w="1984" w:type="dxa"/>
            <w:tcBorders>
              <w:top w:val="nil"/>
              <w:left w:val="nil"/>
              <w:bottom w:val="single" w:color="auto" w:sz="4" w:space="0"/>
              <w:right w:val="single" w:color="auto" w:sz="4" w:space="0"/>
            </w:tcBorders>
            <w:noWrap w:val="0"/>
            <w:vAlign w:val="center"/>
          </w:tcPr>
          <w:p w14:paraId="0F0D40EB">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5BCEA875">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3D7581F7">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701" w:type="dxa"/>
            <w:tcBorders>
              <w:top w:val="nil"/>
              <w:left w:val="nil"/>
              <w:bottom w:val="single" w:color="auto" w:sz="4" w:space="0"/>
              <w:right w:val="single" w:color="auto" w:sz="4" w:space="0"/>
            </w:tcBorders>
            <w:noWrap w:val="0"/>
            <w:vAlign w:val="center"/>
          </w:tcPr>
          <w:p w14:paraId="2BED6270">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310AEF18">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595FBC96">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31121A50">
            <w:pPr>
              <w:keepNext w:val="0"/>
              <w:keepLines w:val="0"/>
              <w:widowControl/>
              <w:suppressLineNumbers w:val="0"/>
              <w:spacing w:before="0" w:beforeAutospacing="0" w:after="0" w:afterAutospacing="0"/>
              <w:ind w:left="0" w:right="0"/>
              <w:jc w:val="left"/>
              <w:rPr>
                <w:rFonts w:hint="default" w:ascii="仿宋_GB2312" w:hAnsi="仿宋" w:eastAsia="仿宋_GB2312"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45EAAC43">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16CC4220">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7433DE57">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2000≤Y＜10000</w:t>
            </w:r>
          </w:p>
        </w:tc>
        <w:tc>
          <w:tcPr>
            <w:tcW w:w="1701" w:type="dxa"/>
            <w:tcBorders>
              <w:top w:val="nil"/>
              <w:left w:val="nil"/>
              <w:bottom w:val="single" w:color="auto" w:sz="4" w:space="0"/>
              <w:right w:val="single" w:color="auto" w:sz="4" w:space="0"/>
            </w:tcBorders>
            <w:noWrap w:val="0"/>
            <w:vAlign w:val="center"/>
          </w:tcPr>
          <w:p w14:paraId="02A0C2F4">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100≤Y＜2000</w:t>
            </w:r>
          </w:p>
        </w:tc>
        <w:tc>
          <w:tcPr>
            <w:tcW w:w="1134" w:type="dxa"/>
            <w:tcBorders>
              <w:top w:val="nil"/>
              <w:left w:val="nil"/>
              <w:bottom w:val="single" w:color="auto" w:sz="4" w:space="0"/>
              <w:right w:val="single" w:color="auto" w:sz="4" w:space="0"/>
            </w:tcBorders>
            <w:noWrap w:val="0"/>
            <w:vAlign w:val="center"/>
          </w:tcPr>
          <w:p w14:paraId="2B69F3EE">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1CEB344D">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1CDA6009">
            <w:pPr>
              <w:keepNext w:val="0"/>
              <w:keepLines w:val="0"/>
              <w:widowControl/>
              <w:suppressLineNumbers w:val="0"/>
              <w:spacing w:before="0" w:beforeAutospacing="0" w:after="0" w:afterAutospacing="0"/>
              <w:ind w:left="0" w:right="0"/>
              <w:jc w:val="center"/>
              <w:rPr>
                <w:rFonts w:hint="default"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信息传输业</w:t>
            </w:r>
          </w:p>
        </w:tc>
        <w:tc>
          <w:tcPr>
            <w:tcW w:w="1984" w:type="dxa"/>
            <w:tcBorders>
              <w:top w:val="nil"/>
              <w:left w:val="nil"/>
              <w:bottom w:val="single" w:color="auto" w:sz="4" w:space="0"/>
              <w:right w:val="single" w:color="auto" w:sz="4" w:space="0"/>
            </w:tcBorders>
            <w:noWrap w:val="0"/>
            <w:vAlign w:val="center"/>
          </w:tcPr>
          <w:p w14:paraId="5750FF87">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2095657B">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124F9A23">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100≤X＜2000</w:t>
            </w:r>
          </w:p>
        </w:tc>
        <w:tc>
          <w:tcPr>
            <w:tcW w:w="1701" w:type="dxa"/>
            <w:tcBorders>
              <w:top w:val="nil"/>
              <w:left w:val="nil"/>
              <w:bottom w:val="single" w:color="auto" w:sz="4" w:space="0"/>
              <w:right w:val="single" w:color="auto" w:sz="4" w:space="0"/>
            </w:tcBorders>
            <w:noWrap w:val="0"/>
            <w:vAlign w:val="center"/>
          </w:tcPr>
          <w:p w14:paraId="0B56DAED">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79CE3FBC">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4A07BF10">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2DC63417">
            <w:pPr>
              <w:keepNext w:val="0"/>
              <w:keepLines w:val="0"/>
              <w:widowControl/>
              <w:suppressLineNumbers w:val="0"/>
              <w:spacing w:before="0" w:beforeAutospacing="0" w:after="0" w:afterAutospacing="0"/>
              <w:ind w:left="0" w:right="0"/>
              <w:jc w:val="left"/>
              <w:rPr>
                <w:rFonts w:hint="default" w:ascii="仿宋_GB2312" w:hAnsi="仿宋" w:eastAsia="仿宋_GB2312"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79F2CB50">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38BD8C9C">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68DCB269">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1000≤Y＜100000</w:t>
            </w:r>
          </w:p>
        </w:tc>
        <w:tc>
          <w:tcPr>
            <w:tcW w:w="1701" w:type="dxa"/>
            <w:tcBorders>
              <w:top w:val="nil"/>
              <w:left w:val="nil"/>
              <w:bottom w:val="single" w:color="auto" w:sz="4" w:space="0"/>
              <w:right w:val="single" w:color="auto" w:sz="4" w:space="0"/>
            </w:tcBorders>
            <w:noWrap w:val="0"/>
            <w:vAlign w:val="center"/>
          </w:tcPr>
          <w:p w14:paraId="23F659E4">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100≤Y＜1000</w:t>
            </w:r>
          </w:p>
        </w:tc>
        <w:tc>
          <w:tcPr>
            <w:tcW w:w="1134" w:type="dxa"/>
            <w:tcBorders>
              <w:top w:val="nil"/>
              <w:left w:val="nil"/>
              <w:bottom w:val="single" w:color="auto" w:sz="4" w:space="0"/>
              <w:right w:val="single" w:color="auto" w:sz="4" w:space="0"/>
            </w:tcBorders>
            <w:noWrap w:val="0"/>
            <w:vAlign w:val="center"/>
          </w:tcPr>
          <w:p w14:paraId="798187EF">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2DFCEB57">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01952303">
            <w:pPr>
              <w:keepNext w:val="0"/>
              <w:keepLines w:val="0"/>
              <w:widowControl/>
              <w:suppressLineNumbers w:val="0"/>
              <w:spacing w:before="0" w:beforeAutospacing="0" w:after="0" w:afterAutospacing="0"/>
              <w:ind w:left="0" w:right="0"/>
              <w:jc w:val="center"/>
              <w:rPr>
                <w:rFonts w:hint="default"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软件和信息技术服务业</w:t>
            </w:r>
          </w:p>
        </w:tc>
        <w:tc>
          <w:tcPr>
            <w:tcW w:w="1984" w:type="dxa"/>
            <w:tcBorders>
              <w:top w:val="nil"/>
              <w:left w:val="nil"/>
              <w:bottom w:val="single" w:color="auto" w:sz="4" w:space="0"/>
              <w:right w:val="single" w:color="auto" w:sz="4" w:space="0"/>
            </w:tcBorders>
            <w:noWrap w:val="0"/>
            <w:vAlign w:val="center"/>
          </w:tcPr>
          <w:p w14:paraId="6A203B7C">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4F5AC5CA">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5DDC0C86">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701" w:type="dxa"/>
            <w:tcBorders>
              <w:top w:val="nil"/>
              <w:left w:val="nil"/>
              <w:bottom w:val="single" w:color="auto" w:sz="4" w:space="0"/>
              <w:right w:val="single" w:color="auto" w:sz="4" w:space="0"/>
            </w:tcBorders>
            <w:noWrap w:val="0"/>
            <w:vAlign w:val="center"/>
          </w:tcPr>
          <w:p w14:paraId="08BF5808">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1F67D8EF">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0C8A86FD">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36C419BA">
            <w:pPr>
              <w:keepNext w:val="0"/>
              <w:keepLines w:val="0"/>
              <w:widowControl/>
              <w:suppressLineNumbers w:val="0"/>
              <w:spacing w:before="0" w:beforeAutospacing="0" w:after="0" w:afterAutospacing="0"/>
              <w:ind w:left="0" w:right="0"/>
              <w:jc w:val="left"/>
              <w:rPr>
                <w:rFonts w:hint="default" w:ascii="仿宋_GB2312" w:hAnsi="仿宋" w:eastAsia="仿宋_GB2312"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05F8E4A0">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04316FC5">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6B8595CC">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1000≤Y＜10000</w:t>
            </w:r>
          </w:p>
        </w:tc>
        <w:tc>
          <w:tcPr>
            <w:tcW w:w="1701" w:type="dxa"/>
            <w:tcBorders>
              <w:top w:val="nil"/>
              <w:left w:val="nil"/>
              <w:bottom w:val="single" w:color="auto" w:sz="4" w:space="0"/>
              <w:right w:val="single" w:color="auto" w:sz="4" w:space="0"/>
            </w:tcBorders>
            <w:noWrap w:val="0"/>
            <w:vAlign w:val="center"/>
          </w:tcPr>
          <w:p w14:paraId="35FDCFDF">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50≤Y＜1000</w:t>
            </w:r>
          </w:p>
        </w:tc>
        <w:tc>
          <w:tcPr>
            <w:tcW w:w="1134" w:type="dxa"/>
            <w:tcBorders>
              <w:top w:val="nil"/>
              <w:left w:val="nil"/>
              <w:bottom w:val="single" w:color="auto" w:sz="4" w:space="0"/>
              <w:right w:val="single" w:color="auto" w:sz="4" w:space="0"/>
            </w:tcBorders>
            <w:noWrap w:val="0"/>
            <w:vAlign w:val="center"/>
          </w:tcPr>
          <w:p w14:paraId="25B7BDD9">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Y＜50</w:t>
            </w:r>
          </w:p>
        </w:tc>
      </w:tr>
      <w:tr w14:paraId="1BB5A3B2">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09288160">
            <w:pPr>
              <w:keepNext w:val="0"/>
              <w:keepLines w:val="0"/>
              <w:widowControl/>
              <w:suppressLineNumbers w:val="0"/>
              <w:spacing w:before="0" w:beforeAutospacing="0" w:after="0" w:afterAutospacing="0"/>
              <w:ind w:left="0" w:right="0"/>
              <w:jc w:val="center"/>
              <w:rPr>
                <w:rFonts w:hint="default"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房地产开发经营</w:t>
            </w:r>
          </w:p>
        </w:tc>
        <w:tc>
          <w:tcPr>
            <w:tcW w:w="1984" w:type="dxa"/>
            <w:tcBorders>
              <w:top w:val="nil"/>
              <w:left w:val="nil"/>
              <w:bottom w:val="single" w:color="auto" w:sz="4" w:space="0"/>
              <w:right w:val="single" w:color="auto" w:sz="4" w:space="0"/>
            </w:tcBorders>
            <w:noWrap w:val="0"/>
            <w:vAlign w:val="center"/>
          </w:tcPr>
          <w:p w14:paraId="1C8D7FE7">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6C90066D">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6D8E3AF3">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1000≤Y＜200000</w:t>
            </w:r>
          </w:p>
        </w:tc>
        <w:tc>
          <w:tcPr>
            <w:tcW w:w="1701" w:type="dxa"/>
            <w:tcBorders>
              <w:top w:val="nil"/>
              <w:left w:val="nil"/>
              <w:bottom w:val="single" w:color="auto" w:sz="4" w:space="0"/>
              <w:right w:val="single" w:color="auto" w:sz="4" w:space="0"/>
            </w:tcBorders>
            <w:noWrap w:val="0"/>
            <w:vAlign w:val="center"/>
          </w:tcPr>
          <w:p w14:paraId="233D953C">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100≤X＜1000</w:t>
            </w:r>
          </w:p>
        </w:tc>
        <w:tc>
          <w:tcPr>
            <w:tcW w:w="1134" w:type="dxa"/>
            <w:tcBorders>
              <w:top w:val="nil"/>
              <w:left w:val="nil"/>
              <w:bottom w:val="single" w:color="auto" w:sz="4" w:space="0"/>
              <w:right w:val="single" w:color="auto" w:sz="4" w:space="0"/>
            </w:tcBorders>
            <w:noWrap w:val="0"/>
            <w:vAlign w:val="center"/>
          </w:tcPr>
          <w:p w14:paraId="3FD3CC46">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X＜100</w:t>
            </w:r>
          </w:p>
        </w:tc>
      </w:tr>
      <w:tr w14:paraId="0B2C1522">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55DE2A97">
            <w:pPr>
              <w:keepNext w:val="0"/>
              <w:keepLines w:val="0"/>
              <w:widowControl/>
              <w:suppressLineNumbers w:val="0"/>
              <w:spacing w:before="0" w:beforeAutospacing="0" w:after="0" w:afterAutospacing="0"/>
              <w:ind w:left="0" w:right="0"/>
              <w:jc w:val="left"/>
              <w:rPr>
                <w:rFonts w:hint="default" w:ascii="仿宋_GB2312" w:hAnsi="仿宋" w:eastAsia="仿宋_GB2312"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43A6746D">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资产总额（Z）</w:t>
            </w:r>
          </w:p>
        </w:tc>
        <w:tc>
          <w:tcPr>
            <w:tcW w:w="851" w:type="dxa"/>
            <w:tcBorders>
              <w:top w:val="nil"/>
              <w:left w:val="nil"/>
              <w:bottom w:val="single" w:color="auto" w:sz="4" w:space="0"/>
              <w:right w:val="single" w:color="auto" w:sz="4" w:space="0"/>
            </w:tcBorders>
            <w:noWrap w:val="0"/>
            <w:vAlign w:val="center"/>
          </w:tcPr>
          <w:p w14:paraId="4C983A23">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32E0D0B2">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5000≤Z＜10000</w:t>
            </w:r>
          </w:p>
        </w:tc>
        <w:tc>
          <w:tcPr>
            <w:tcW w:w="1701" w:type="dxa"/>
            <w:tcBorders>
              <w:top w:val="nil"/>
              <w:left w:val="nil"/>
              <w:bottom w:val="single" w:color="auto" w:sz="4" w:space="0"/>
              <w:right w:val="single" w:color="auto" w:sz="4" w:space="0"/>
            </w:tcBorders>
            <w:noWrap w:val="0"/>
            <w:vAlign w:val="center"/>
          </w:tcPr>
          <w:p w14:paraId="016B4B61">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2000≤Y＜5000</w:t>
            </w:r>
          </w:p>
        </w:tc>
        <w:tc>
          <w:tcPr>
            <w:tcW w:w="1134" w:type="dxa"/>
            <w:tcBorders>
              <w:top w:val="nil"/>
              <w:left w:val="nil"/>
              <w:bottom w:val="single" w:color="auto" w:sz="4" w:space="0"/>
              <w:right w:val="single" w:color="auto" w:sz="4" w:space="0"/>
            </w:tcBorders>
            <w:noWrap w:val="0"/>
            <w:vAlign w:val="center"/>
          </w:tcPr>
          <w:p w14:paraId="4AC9AC4A">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Y＜2000</w:t>
            </w:r>
          </w:p>
        </w:tc>
      </w:tr>
      <w:tr w14:paraId="7457C470">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396C288E">
            <w:pPr>
              <w:keepNext w:val="0"/>
              <w:keepLines w:val="0"/>
              <w:widowControl/>
              <w:suppressLineNumbers w:val="0"/>
              <w:spacing w:before="0" w:beforeAutospacing="0" w:after="0" w:afterAutospacing="0"/>
              <w:ind w:left="0" w:right="0"/>
              <w:jc w:val="center"/>
              <w:rPr>
                <w:rFonts w:hint="default"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物业管理</w:t>
            </w:r>
          </w:p>
        </w:tc>
        <w:tc>
          <w:tcPr>
            <w:tcW w:w="1984" w:type="dxa"/>
            <w:tcBorders>
              <w:top w:val="nil"/>
              <w:left w:val="nil"/>
              <w:bottom w:val="single" w:color="auto" w:sz="4" w:space="0"/>
              <w:right w:val="single" w:color="auto" w:sz="4" w:space="0"/>
            </w:tcBorders>
            <w:noWrap w:val="0"/>
            <w:vAlign w:val="center"/>
          </w:tcPr>
          <w:p w14:paraId="43978F0D">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65F0E1AC">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57A0878E">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1701" w:type="dxa"/>
            <w:tcBorders>
              <w:top w:val="nil"/>
              <w:left w:val="nil"/>
              <w:bottom w:val="single" w:color="auto" w:sz="4" w:space="0"/>
              <w:right w:val="single" w:color="auto" w:sz="4" w:space="0"/>
            </w:tcBorders>
            <w:noWrap w:val="0"/>
            <w:vAlign w:val="center"/>
          </w:tcPr>
          <w:p w14:paraId="28C4E8E3">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134" w:type="dxa"/>
            <w:tcBorders>
              <w:top w:val="nil"/>
              <w:left w:val="nil"/>
              <w:bottom w:val="single" w:color="auto" w:sz="4" w:space="0"/>
              <w:right w:val="single" w:color="auto" w:sz="4" w:space="0"/>
            </w:tcBorders>
            <w:noWrap w:val="0"/>
            <w:vAlign w:val="center"/>
          </w:tcPr>
          <w:p w14:paraId="6AB6C12F">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X＜100</w:t>
            </w:r>
          </w:p>
        </w:tc>
      </w:tr>
      <w:tr w14:paraId="719DD646">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2439F860">
            <w:pPr>
              <w:keepNext w:val="0"/>
              <w:keepLines w:val="0"/>
              <w:widowControl/>
              <w:suppressLineNumbers w:val="0"/>
              <w:spacing w:before="0" w:beforeAutospacing="0" w:after="0" w:afterAutospacing="0"/>
              <w:ind w:left="0" w:right="0"/>
              <w:jc w:val="left"/>
              <w:rPr>
                <w:rFonts w:hint="default" w:ascii="仿宋_GB2312" w:hAnsi="仿宋" w:eastAsia="仿宋_GB2312"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11AC8283">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6CA94794">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59AFFA83">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1000≤Y＜5000</w:t>
            </w:r>
          </w:p>
        </w:tc>
        <w:tc>
          <w:tcPr>
            <w:tcW w:w="1701" w:type="dxa"/>
            <w:tcBorders>
              <w:top w:val="nil"/>
              <w:left w:val="nil"/>
              <w:bottom w:val="single" w:color="auto" w:sz="4" w:space="0"/>
              <w:right w:val="single" w:color="auto" w:sz="4" w:space="0"/>
            </w:tcBorders>
            <w:noWrap w:val="0"/>
            <w:vAlign w:val="center"/>
          </w:tcPr>
          <w:p w14:paraId="380E2B24">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500≤Y＜1000</w:t>
            </w:r>
          </w:p>
        </w:tc>
        <w:tc>
          <w:tcPr>
            <w:tcW w:w="1134" w:type="dxa"/>
            <w:tcBorders>
              <w:top w:val="nil"/>
              <w:left w:val="nil"/>
              <w:bottom w:val="single" w:color="auto" w:sz="4" w:space="0"/>
              <w:right w:val="single" w:color="auto" w:sz="4" w:space="0"/>
            </w:tcBorders>
            <w:noWrap w:val="0"/>
            <w:vAlign w:val="center"/>
          </w:tcPr>
          <w:p w14:paraId="3A141E73">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Y＜500</w:t>
            </w:r>
          </w:p>
        </w:tc>
      </w:tr>
      <w:tr w14:paraId="7711CBA7">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1A165ABB">
            <w:pPr>
              <w:keepNext w:val="0"/>
              <w:keepLines w:val="0"/>
              <w:widowControl/>
              <w:suppressLineNumbers w:val="0"/>
              <w:spacing w:before="0" w:beforeAutospacing="0" w:after="0" w:afterAutospacing="0"/>
              <w:ind w:left="0" w:right="0"/>
              <w:jc w:val="center"/>
              <w:rPr>
                <w:rFonts w:hint="default"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租赁和商务服务业</w:t>
            </w:r>
          </w:p>
        </w:tc>
        <w:tc>
          <w:tcPr>
            <w:tcW w:w="1984" w:type="dxa"/>
            <w:tcBorders>
              <w:top w:val="nil"/>
              <w:left w:val="nil"/>
              <w:bottom w:val="single" w:color="auto" w:sz="4" w:space="0"/>
              <w:right w:val="single" w:color="auto" w:sz="4" w:space="0"/>
            </w:tcBorders>
            <w:noWrap w:val="0"/>
            <w:vAlign w:val="center"/>
          </w:tcPr>
          <w:p w14:paraId="6876E152">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2ABB37F1">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2C4AFC86">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701" w:type="dxa"/>
            <w:tcBorders>
              <w:top w:val="nil"/>
              <w:left w:val="nil"/>
              <w:bottom w:val="single" w:color="auto" w:sz="4" w:space="0"/>
              <w:right w:val="single" w:color="auto" w:sz="4" w:space="0"/>
            </w:tcBorders>
            <w:noWrap w:val="0"/>
            <w:vAlign w:val="center"/>
          </w:tcPr>
          <w:p w14:paraId="1F95649E">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2A9428D1">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6E9832E3">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022A312D">
            <w:pPr>
              <w:keepNext w:val="0"/>
              <w:keepLines w:val="0"/>
              <w:widowControl/>
              <w:suppressLineNumbers w:val="0"/>
              <w:spacing w:before="0" w:beforeAutospacing="0" w:after="0" w:afterAutospacing="0"/>
              <w:ind w:left="0" w:right="0"/>
              <w:jc w:val="left"/>
              <w:rPr>
                <w:rFonts w:hint="default" w:ascii="仿宋_GB2312" w:hAnsi="仿宋" w:eastAsia="仿宋_GB2312"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76BBC60A">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资产总额（Z）</w:t>
            </w:r>
          </w:p>
        </w:tc>
        <w:tc>
          <w:tcPr>
            <w:tcW w:w="851" w:type="dxa"/>
            <w:tcBorders>
              <w:top w:val="nil"/>
              <w:left w:val="nil"/>
              <w:bottom w:val="single" w:color="auto" w:sz="4" w:space="0"/>
              <w:right w:val="single" w:color="auto" w:sz="4" w:space="0"/>
            </w:tcBorders>
            <w:noWrap w:val="0"/>
            <w:vAlign w:val="center"/>
          </w:tcPr>
          <w:p w14:paraId="027613CC">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25DEC29C">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8000≤Z＜120000</w:t>
            </w:r>
          </w:p>
        </w:tc>
        <w:tc>
          <w:tcPr>
            <w:tcW w:w="1701" w:type="dxa"/>
            <w:tcBorders>
              <w:top w:val="nil"/>
              <w:left w:val="nil"/>
              <w:bottom w:val="single" w:color="auto" w:sz="4" w:space="0"/>
              <w:right w:val="single" w:color="auto" w:sz="4" w:space="0"/>
            </w:tcBorders>
            <w:noWrap w:val="0"/>
            <w:vAlign w:val="center"/>
          </w:tcPr>
          <w:p w14:paraId="669C574B">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100≤Z＜8000</w:t>
            </w:r>
          </w:p>
        </w:tc>
        <w:tc>
          <w:tcPr>
            <w:tcW w:w="1134" w:type="dxa"/>
            <w:tcBorders>
              <w:top w:val="nil"/>
              <w:left w:val="nil"/>
              <w:bottom w:val="single" w:color="auto" w:sz="4" w:space="0"/>
              <w:right w:val="single" w:color="auto" w:sz="4" w:space="0"/>
            </w:tcBorders>
            <w:noWrap w:val="0"/>
            <w:vAlign w:val="center"/>
          </w:tcPr>
          <w:p w14:paraId="3673502B">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71295782">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noWrap w:val="0"/>
            <w:vAlign w:val="bottom"/>
          </w:tcPr>
          <w:p w14:paraId="571BA0DF">
            <w:pPr>
              <w:keepNext w:val="0"/>
              <w:keepLines w:val="0"/>
              <w:widowControl/>
              <w:suppressLineNumbers w:val="0"/>
              <w:spacing w:before="0" w:beforeAutospacing="0" w:after="0" w:afterAutospacing="0"/>
              <w:ind w:left="0" w:right="0"/>
              <w:jc w:val="center"/>
              <w:rPr>
                <w:rFonts w:hint="default"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其他未列明行业</w:t>
            </w:r>
          </w:p>
        </w:tc>
        <w:tc>
          <w:tcPr>
            <w:tcW w:w="1984" w:type="dxa"/>
            <w:tcBorders>
              <w:top w:val="nil"/>
              <w:left w:val="nil"/>
              <w:bottom w:val="single" w:color="auto" w:sz="4" w:space="0"/>
              <w:right w:val="single" w:color="auto" w:sz="4" w:space="0"/>
            </w:tcBorders>
            <w:noWrap w:val="0"/>
            <w:vAlign w:val="center"/>
          </w:tcPr>
          <w:p w14:paraId="536E2069">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3C84C18F">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3BF53E07">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701" w:type="dxa"/>
            <w:tcBorders>
              <w:top w:val="nil"/>
              <w:left w:val="nil"/>
              <w:bottom w:val="single" w:color="auto" w:sz="4" w:space="0"/>
              <w:right w:val="single" w:color="auto" w:sz="4" w:space="0"/>
            </w:tcBorders>
            <w:noWrap w:val="0"/>
            <w:vAlign w:val="center"/>
          </w:tcPr>
          <w:p w14:paraId="73B50F24">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1CDD40FE">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bl>
    <w:p w14:paraId="2E2528DC">
      <w:pPr>
        <w:spacing w:line="560" w:lineRule="exact"/>
        <w:ind w:firstLine="525" w:firstLineChars="250"/>
        <w:rPr>
          <w:rFonts w:ascii="仿宋_GB2312" w:hAnsi="仿宋" w:eastAsia="仿宋_GB2312"/>
          <w:color w:val="auto"/>
          <w:szCs w:val="21"/>
          <w:highlight w:val="none"/>
        </w:rPr>
      </w:pPr>
      <w:r>
        <w:rPr>
          <w:rFonts w:hint="eastAsia" w:ascii="仿宋_GB2312" w:hAnsi="仿宋" w:eastAsia="仿宋_GB2312"/>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6A9D9857">
      <w:pPr>
        <w:pStyle w:val="18"/>
        <w:jc w:val="center"/>
        <w:outlineLvl w:val="0"/>
        <w:rPr>
          <w:rFonts w:hAnsi="宋体"/>
          <w:color w:val="auto"/>
          <w:highlight w:val="none"/>
        </w:rPr>
        <w:sectPr>
          <w:footerReference r:id="rId10" w:type="default"/>
          <w:pgSz w:w="11906" w:h="16838"/>
          <w:pgMar w:top="1134" w:right="1134" w:bottom="1134" w:left="1134" w:header="720" w:footer="720" w:gutter="0"/>
          <w:pgBorders>
            <w:top w:val="none" w:sz="0" w:space="0"/>
            <w:left w:val="none" w:sz="0" w:space="0"/>
            <w:bottom w:val="none" w:sz="0" w:space="0"/>
            <w:right w:val="none" w:sz="0" w:space="0"/>
          </w:pgBorders>
          <w:pgNumType w:fmt="decimal"/>
          <w:cols w:space="720" w:num="1"/>
          <w:docGrid w:type="lines" w:linePitch="331" w:charSpace="0"/>
        </w:sectPr>
      </w:pPr>
    </w:p>
    <w:p w14:paraId="32C87DA0">
      <w:pPr>
        <w:keepNext/>
        <w:keepLines/>
        <w:spacing w:before="340" w:after="330" w:line="578" w:lineRule="auto"/>
        <w:jc w:val="center"/>
        <w:outlineLvl w:val="0"/>
        <w:rPr>
          <w:b/>
          <w:bCs/>
          <w:color w:val="auto"/>
          <w:kern w:val="44"/>
          <w:sz w:val="44"/>
          <w:szCs w:val="44"/>
          <w:highlight w:val="none"/>
        </w:rPr>
      </w:pPr>
      <w:bookmarkStart w:id="52" w:name="_Toc27537"/>
      <w:r>
        <w:rPr>
          <w:rFonts w:hint="eastAsia" w:ascii="Cambria" w:hAnsi="Cambria"/>
          <w:b/>
          <w:color w:val="auto"/>
          <w:kern w:val="44"/>
          <w:sz w:val="32"/>
          <w:szCs w:val="32"/>
          <w:highlight w:val="none"/>
        </w:rPr>
        <w:t>第三章</w:t>
      </w:r>
      <w:r>
        <w:rPr>
          <w:rFonts w:hint="eastAsia" w:ascii="Cambria" w:hAnsi="Cambria"/>
          <w:b/>
          <w:color w:val="auto"/>
          <w:kern w:val="44"/>
          <w:sz w:val="32"/>
          <w:szCs w:val="32"/>
          <w:highlight w:val="none"/>
          <w:lang w:val="en-US" w:eastAsia="zh-CN"/>
        </w:rPr>
        <w:t xml:space="preserve"> </w:t>
      </w:r>
      <w:r>
        <w:rPr>
          <w:rFonts w:hint="eastAsia" w:ascii="Cambria" w:hAnsi="Cambria"/>
          <w:b/>
          <w:color w:val="auto"/>
          <w:kern w:val="44"/>
          <w:sz w:val="32"/>
          <w:szCs w:val="32"/>
          <w:highlight w:val="none"/>
        </w:rPr>
        <w:t>供应商须知</w:t>
      </w:r>
      <w:bookmarkEnd w:id="52"/>
    </w:p>
    <w:p w14:paraId="551C9937">
      <w:pPr>
        <w:keepNext/>
        <w:keepLines/>
        <w:spacing w:before="260" w:after="260" w:line="416" w:lineRule="auto"/>
        <w:jc w:val="center"/>
        <w:outlineLvl w:val="1"/>
        <w:rPr>
          <w:rFonts w:ascii="宋体" w:hAnsi="宋体"/>
          <w:bCs/>
          <w:color w:val="auto"/>
          <w:sz w:val="32"/>
          <w:szCs w:val="32"/>
          <w:highlight w:val="none"/>
        </w:rPr>
      </w:pPr>
      <w:bookmarkStart w:id="53" w:name="_Toc14506"/>
      <w:r>
        <w:rPr>
          <w:rFonts w:hint="eastAsia" w:ascii="宋体" w:hAnsi="宋体"/>
          <w:bCs/>
          <w:color w:val="auto"/>
          <w:sz w:val="32"/>
          <w:szCs w:val="32"/>
          <w:highlight w:val="none"/>
        </w:rPr>
        <w:t>第一节 供应商须知前附表</w:t>
      </w:r>
      <w:bookmarkEnd w:id="53"/>
    </w:p>
    <w:p w14:paraId="68D17C88">
      <w:pPr>
        <w:spacing w:line="400" w:lineRule="exact"/>
        <w:jc w:val="center"/>
        <w:rPr>
          <w:rFonts w:ascii="宋体" w:hAnsi="宋体"/>
          <w:b/>
          <w:color w:val="auto"/>
          <w:sz w:val="32"/>
          <w:szCs w:val="32"/>
          <w:highlight w:val="none"/>
        </w:rPr>
      </w:pPr>
    </w:p>
    <w:tbl>
      <w:tblPr>
        <w:tblStyle w:val="30"/>
        <w:tblW w:w="1027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71"/>
        <w:gridCol w:w="2640"/>
        <w:gridCol w:w="6765"/>
      </w:tblGrid>
      <w:tr w14:paraId="7B383C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871" w:type="dxa"/>
            <w:noWrap w:val="0"/>
            <w:vAlign w:val="top"/>
          </w:tcPr>
          <w:p w14:paraId="15EA8E26">
            <w:pPr>
              <w:keepNext w:val="0"/>
              <w:keepLines w:val="0"/>
              <w:suppressLineNumbers w:val="0"/>
              <w:spacing w:before="0" w:beforeAutospacing="0" w:after="0" w:afterAutospacing="0" w:line="360" w:lineRule="auto"/>
              <w:ind w:left="0" w:right="0"/>
              <w:jc w:val="center"/>
              <w:rPr>
                <w:rFonts w:hint="default" w:ascii="宋体" w:hAnsi="宋体" w:cs="宋体"/>
                <w:b/>
                <w:color w:val="auto"/>
                <w:szCs w:val="21"/>
                <w:highlight w:val="none"/>
              </w:rPr>
            </w:pPr>
            <w:r>
              <w:rPr>
                <w:rFonts w:hint="eastAsia" w:ascii="宋体" w:hAnsi="宋体" w:cs="宋体"/>
                <w:b/>
                <w:color w:val="auto"/>
                <w:szCs w:val="21"/>
                <w:highlight w:val="none"/>
              </w:rPr>
              <w:t>条款号</w:t>
            </w:r>
          </w:p>
        </w:tc>
        <w:tc>
          <w:tcPr>
            <w:tcW w:w="2640" w:type="dxa"/>
            <w:noWrap w:val="0"/>
            <w:vAlign w:val="center"/>
          </w:tcPr>
          <w:p w14:paraId="6116F048">
            <w:pPr>
              <w:keepNext w:val="0"/>
              <w:keepLines w:val="0"/>
              <w:suppressLineNumbers w:val="0"/>
              <w:spacing w:before="0" w:beforeAutospacing="0" w:after="0" w:afterAutospacing="0" w:line="360" w:lineRule="auto"/>
              <w:ind w:left="0" w:right="0"/>
              <w:jc w:val="center"/>
              <w:rPr>
                <w:rFonts w:hint="default" w:ascii="宋体" w:hAnsi="宋体" w:cs="宋体"/>
                <w:b/>
                <w:color w:val="auto"/>
                <w:szCs w:val="21"/>
                <w:highlight w:val="none"/>
              </w:rPr>
            </w:pPr>
            <w:r>
              <w:rPr>
                <w:rFonts w:hint="eastAsia" w:ascii="宋体" w:hAnsi="宋体" w:cs="宋体"/>
                <w:b/>
                <w:color w:val="auto"/>
                <w:szCs w:val="21"/>
                <w:highlight w:val="none"/>
              </w:rPr>
              <w:t>条款内容</w:t>
            </w:r>
          </w:p>
        </w:tc>
        <w:tc>
          <w:tcPr>
            <w:tcW w:w="6765" w:type="dxa"/>
            <w:noWrap w:val="0"/>
            <w:vAlign w:val="top"/>
          </w:tcPr>
          <w:p w14:paraId="19CB0CB4">
            <w:pPr>
              <w:keepNext w:val="0"/>
              <w:keepLines w:val="0"/>
              <w:suppressLineNumbers w:val="0"/>
              <w:spacing w:before="0" w:beforeAutospacing="0" w:after="0" w:afterAutospacing="0" w:line="360" w:lineRule="auto"/>
              <w:ind w:left="0" w:right="0"/>
              <w:jc w:val="center"/>
              <w:rPr>
                <w:rFonts w:hint="default" w:ascii="宋体" w:hAnsi="宋体" w:cs="宋体"/>
                <w:b/>
                <w:color w:val="auto"/>
                <w:szCs w:val="21"/>
                <w:highlight w:val="none"/>
              </w:rPr>
            </w:pPr>
            <w:r>
              <w:rPr>
                <w:rFonts w:hint="eastAsia" w:ascii="宋体" w:hAnsi="宋体" w:cs="宋体"/>
                <w:b/>
                <w:color w:val="auto"/>
                <w:szCs w:val="21"/>
                <w:highlight w:val="none"/>
              </w:rPr>
              <w:t>具体要求</w:t>
            </w:r>
          </w:p>
        </w:tc>
      </w:tr>
      <w:tr w14:paraId="6493C3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noWrap w:val="0"/>
            <w:vAlign w:val="center"/>
          </w:tcPr>
          <w:p w14:paraId="1824C65E">
            <w:pPr>
              <w:keepNext w:val="0"/>
              <w:keepLines w:val="0"/>
              <w:suppressLineNumbers w:val="0"/>
              <w:spacing w:before="0" w:beforeAutospacing="0" w:after="0" w:afterAutospacing="0" w:line="360" w:lineRule="auto"/>
              <w:ind w:left="0" w:right="0"/>
              <w:jc w:val="center"/>
              <w:rPr>
                <w:rFonts w:hint="default" w:ascii="宋体" w:hAnsi="宋体" w:cs="宋体"/>
                <w:color w:val="auto"/>
                <w:szCs w:val="21"/>
                <w:highlight w:val="none"/>
              </w:rPr>
            </w:pPr>
            <w:r>
              <w:rPr>
                <w:rFonts w:hint="eastAsia" w:ascii="宋体" w:hAnsi="宋体" w:cs="宋体"/>
                <w:color w:val="auto"/>
                <w:szCs w:val="21"/>
                <w:highlight w:val="none"/>
              </w:rPr>
              <w:t>3.1</w:t>
            </w:r>
          </w:p>
        </w:tc>
        <w:tc>
          <w:tcPr>
            <w:tcW w:w="2640" w:type="dxa"/>
            <w:noWrap w:val="0"/>
            <w:vAlign w:val="center"/>
          </w:tcPr>
          <w:p w14:paraId="02DB16BE">
            <w:pPr>
              <w:keepNext w:val="0"/>
              <w:keepLines w:val="0"/>
              <w:suppressLineNumbers w:val="0"/>
              <w:spacing w:before="0" w:beforeAutospacing="0" w:after="0" w:afterAutospacing="0" w:line="360" w:lineRule="auto"/>
              <w:ind w:left="0" w:right="0"/>
              <w:jc w:val="center"/>
              <w:rPr>
                <w:rFonts w:hint="default" w:ascii="宋体" w:hAnsi="宋体" w:cs="宋体"/>
                <w:color w:val="auto"/>
                <w:szCs w:val="21"/>
                <w:highlight w:val="none"/>
              </w:rPr>
            </w:pPr>
            <w:r>
              <w:rPr>
                <w:rFonts w:hint="eastAsia" w:ascii="宋体" w:hAnsi="宋体" w:cs="宋体"/>
                <w:color w:val="auto"/>
                <w:szCs w:val="21"/>
                <w:highlight w:val="none"/>
              </w:rPr>
              <w:t>供应商资格条件</w:t>
            </w:r>
          </w:p>
        </w:tc>
        <w:tc>
          <w:tcPr>
            <w:tcW w:w="6765" w:type="dxa"/>
            <w:noWrap w:val="0"/>
            <w:vAlign w:val="top"/>
          </w:tcPr>
          <w:p w14:paraId="697E02CD">
            <w:pPr>
              <w:keepNext w:val="0"/>
              <w:keepLines w:val="0"/>
              <w:suppressLineNumbers w:val="0"/>
              <w:spacing w:before="0" w:beforeAutospacing="0" w:after="0" w:afterAutospacing="0" w:line="360" w:lineRule="auto"/>
              <w:ind w:left="0" w:right="0"/>
              <w:rPr>
                <w:rFonts w:hint="default" w:ascii="宋体" w:hAnsi="宋体" w:cs="Times New Roman"/>
                <w:color w:val="auto"/>
                <w:szCs w:val="21"/>
                <w:highlight w:val="none"/>
              </w:rPr>
            </w:pPr>
            <w:r>
              <w:rPr>
                <w:rFonts w:hint="eastAsia" w:ascii="宋体" w:hAnsi="宋体" w:cs="Times New Roman"/>
                <w:color w:val="auto"/>
                <w:szCs w:val="21"/>
                <w:highlight w:val="none"/>
              </w:rPr>
              <w:t>供应商资格条件要求详见公告。</w:t>
            </w:r>
          </w:p>
        </w:tc>
      </w:tr>
      <w:tr w14:paraId="7ADC98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noWrap w:val="0"/>
            <w:vAlign w:val="center"/>
          </w:tcPr>
          <w:p w14:paraId="5BD9B2CF">
            <w:pPr>
              <w:keepNext w:val="0"/>
              <w:keepLines w:val="0"/>
              <w:suppressLineNumbers w:val="0"/>
              <w:spacing w:before="0" w:beforeAutospacing="0" w:after="0" w:afterAutospacing="0" w:line="360" w:lineRule="auto"/>
              <w:ind w:left="0" w:right="0"/>
              <w:jc w:val="center"/>
              <w:rPr>
                <w:rFonts w:hint="default" w:ascii="宋体" w:hAnsi="宋体" w:cs="宋体"/>
                <w:color w:val="auto"/>
                <w:szCs w:val="21"/>
                <w:highlight w:val="none"/>
              </w:rPr>
            </w:pPr>
            <w:r>
              <w:rPr>
                <w:rFonts w:hint="eastAsia" w:ascii="宋体" w:hAnsi="宋体" w:cs="宋体"/>
                <w:color w:val="auto"/>
                <w:szCs w:val="21"/>
                <w:highlight w:val="none"/>
              </w:rPr>
              <w:t>5.1</w:t>
            </w:r>
          </w:p>
        </w:tc>
        <w:tc>
          <w:tcPr>
            <w:tcW w:w="2640" w:type="dxa"/>
            <w:noWrap w:val="0"/>
            <w:vAlign w:val="center"/>
          </w:tcPr>
          <w:p w14:paraId="14A4E23A">
            <w:pPr>
              <w:keepNext w:val="0"/>
              <w:keepLines w:val="0"/>
              <w:suppressLineNumbers w:val="0"/>
              <w:spacing w:before="0" w:beforeAutospacing="0" w:after="0" w:afterAutospacing="0" w:line="360" w:lineRule="auto"/>
              <w:ind w:left="0" w:right="0"/>
              <w:jc w:val="center"/>
              <w:rPr>
                <w:rFonts w:hint="default" w:ascii="宋体" w:hAnsi="宋体" w:cs="宋体"/>
                <w:color w:val="auto"/>
                <w:szCs w:val="21"/>
                <w:highlight w:val="none"/>
              </w:rPr>
            </w:pPr>
            <w:r>
              <w:rPr>
                <w:rFonts w:hint="eastAsia" w:ascii="宋体" w:hAnsi="宋体" w:cs="宋体"/>
                <w:color w:val="auto"/>
                <w:szCs w:val="21"/>
                <w:highlight w:val="none"/>
              </w:rPr>
              <w:t>是否接受联合体竞标</w:t>
            </w:r>
          </w:p>
        </w:tc>
        <w:tc>
          <w:tcPr>
            <w:tcW w:w="6765" w:type="dxa"/>
            <w:noWrap w:val="0"/>
            <w:vAlign w:val="center"/>
          </w:tcPr>
          <w:p w14:paraId="00BB4D9F">
            <w:pPr>
              <w:keepNext w:val="0"/>
              <w:keepLines w:val="0"/>
              <w:suppressLineNumbers w:val="0"/>
              <w:spacing w:before="0" w:beforeAutospacing="0" w:after="0" w:afterAutospacing="0" w:line="360" w:lineRule="auto"/>
              <w:ind w:left="0" w:right="0"/>
              <w:rPr>
                <w:rFonts w:hint="default" w:ascii="宋体" w:hAnsi="宋体" w:cs="宋体"/>
                <w:color w:val="auto"/>
                <w:szCs w:val="21"/>
                <w:highlight w:val="none"/>
              </w:rPr>
            </w:pPr>
            <w:r>
              <w:rPr>
                <w:rFonts w:hint="eastAsia" w:ascii="宋体" w:hAnsi="宋体" w:cs="Times New Roman"/>
                <w:color w:val="auto"/>
                <w:szCs w:val="21"/>
                <w:highlight w:val="none"/>
              </w:rPr>
              <w:t>不接受</w:t>
            </w:r>
          </w:p>
        </w:tc>
      </w:tr>
      <w:tr w14:paraId="21EB5C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noWrap w:val="0"/>
            <w:vAlign w:val="center"/>
          </w:tcPr>
          <w:p w14:paraId="0B8CA36D">
            <w:pPr>
              <w:keepNext w:val="0"/>
              <w:keepLines w:val="0"/>
              <w:suppressLineNumbers w:val="0"/>
              <w:spacing w:before="0" w:beforeAutospacing="0" w:after="0" w:afterAutospacing="0" w:line="360" w:lineRule="auto"/>
              <w:ind w:left="0" w:right="0"/>
              <w:jc w:val="center"/>
              <w:rPr>
                <w:rFonts w:hint="default" w:ascii="宋体" w:hAnsi="宋体" w:cs="宋体"/>
                <w:color w:val="auto"/>
                <w:szCs w:val="21"/>
                <w:highlight w:val="none"/>
              </w:rPr>
            </w:pPr>
            <w:r>
              <w:rPr>
                <w:rFonts w:hint="eastAsia" w:ascii="宋体" w:hAnsi="宋体" w:cs="宋体"/>
                <w:color w:val="auto"/>
                <w:szCs w:val="21"/>
                <w:highlight w:val="none"/>
              </w:rPr>
              <w:t>5</w:t>
            </w:r>
            <w:r>
              <w:rPr>
                <w:rFonts w:hint="default" w:ascii="宋体" w:hAnsi="宋体" w:cs="宋体"/>
                <w:color w:val="auto"/>
                <w:szCs w:val="21"/>
                <w:highlight w:val="none"/>
              </w:rPr>
              <w:t>.2</w:t>
            </w:r>
          </w:p>
        </w:tc>
        <w:tc>
          <w:tcPr>
            <w:tcW w:w="2640" w:type="dxa"/>
            <w:noWrap w:val="0"/>
            <w:vAlign w:val="center"/>
          </w:tcPr>
          <w:p w14:paraId="254D7549">
            <w:pPr>
              <w:keepNext w:val="0"/>
              <w:keepLines w:val="0"/>
              <w:suppressLineNumbers w:val="0"/>
              <w:spacing w:before="0" w:beforeAutospacing="0" w:after="0" w:afterAutospacing="0" w:line="360" w:lineRule="auto"/>
              <w:ind w:left="0" w:right="0"/>
              <w:jc w:val="center"/>
              <w:rPr>
                <w:rFonts w:hint="default" w:ascii="宋体" w:hAnsi="宋体" w:cs="宋体"/>
                <w:color w:val="auto"/>
                <w:szCs w:val="21"/>
                <w:highlight w:val="none"/>
              </w:rPr>
            </w:pPr>
            <w:r>
              <w:rPr>
                <w:rFonts w:hint="eastAsia" w:ascii="宋体" w:hAnsi="宋体" w:cs="Times New Roman"/>
                <w:color w:val="auto"/>
                <w:szCs w:val="21"/>
                <w:highlight w:val="none"/>
              </w:rPr>
              <w:t>联合体竞标要求</w:t>
            </w:r>
          </w:p>
        </w:tc>
        <w:tc>
          <w:tcPr>
            <w:tcW w:w="6765" w:type="dxa"/>
            <w:noWrap w:val="0"/>
            <w:vAlign w:val="center"/>
          </w:tcPr>
          <w:p w14:paraId="79FC8D51">
            <w:pPr>
              <w:keepNext w:val="0"/>
              <w:keepLines w:val="0"/>
              <w:suppressLineNumbers w:val="0"/>
              <w:spacing w:before="0" w:beforeAutospacing="0" w:after="0" w:afterAutospacing="0" w:line="360" w:lineRule="auto"/>
              <w:ind w:left="0" w:right="0"/>
              <w:rPr>
                <w:rFonts w:hint="default" w:ascii="宋体" w:hAnsi="宋体" w:cs="宋体"/>
                <w:color w:val="auto"/>
                <w:szCs w:val="21"/>
                <w:highlight w:val="none"/>
              </w:rPr>
            </w:pPr>
            <w:r>
              <w:rPr>
                <w:rFonts w:hint="eastAsia" w:ascii="宋体" w:hAnsi="宋体" w:cs="宋体"/>
                <w:color w:val="auto"/>
                <w:szCs w:val="21"/>
                <w:highlight w:val="none"/>
              </w:rPr>
              <w:t>无</w:t>
            </w:r>
          </w:p>
        </w:tc>
      </w:tr>
      <w:tr w14:paraId="251D63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noWrap w:val="0"/>
            <w:vAlign w:val="center"/>
          </w:tcPr>
          <w:p w14:paraId="79627F0A">
            <w:pPr>
              <w:keepNext w:val="0"/>
              <w:keepLines w:val="0"/>
              <w:suppressLineNumbers w:val="0"/>
              <w:spacing w:before="0" w:beforeAutospacing="0" w:after="0" w:afterAutospacing="0" w:line="360" w:lineRule="auto"/>
              <w:ind w:left="0" w:right="0"/>
              <w:jc w:val="center"/>
              <w:rPr>
                <w:rFonts w:hint="default" w:ascii="宋体" w:hAnsi="宋体" w:cs="宋体"/>
                <w:color w:val="auto"/>
                <w:szCs w:val="21"/>
                <w:highlight w:val="none"/>
              </w:rPr>
            </w:pPr>
            <w:r>
              <w:rPr>
                <w:rFonts w:hint="eastAsia" w:ascii="宋体" w:hAnsi="宋体" w:cs="宋体"/>
                <w:color w:val="auto"/>
                <w:szCs w:val="21"/>
                <w:highlight w:val="none"/>
              </w:rPr>
              <w:t>6.1</w:t>
            </w:r>
          </w:p>
        </w:tc>
        <w:tc>
          <w:tcPr>
            <w:tcW w:w="2640" w:type="dxa"/>
            <w:noWrap w:val="0"/>
            <w:vAlign w:val="center"/>
          </w:tcPr>
          <w:p w14:paraId="1D0A6BFA">
            <w:pPr>
              <w:keepNext w:val="0"/>
              <w:keepLines w:val="0"/>
              <w:suppressLineNumbers w:val="0"/>
              <w:spacing w:before="0" w:beforeAutospacing="0" w:after="0" w:afterAutospacing="0" w:line="360" w:lineRule="auto"/>
              <w:ind w:left="0" w:right="0"/>
              <w:jc w:val="center"/>
              <w:rPr>
                <w:rFonts w:hint="default" w:ascii="宋体" w:hAnsi="宋体" w:cs="宋体"/>
                <w:color w:val="auto"/>
                <w:szCs w:val="21"/>
                <w:highlight w:val="none"/>
              </w:rPr>
            </w:pPr>
            <w:r>
              <w:rPr>
                <w:rFonts w:hint="eastAsia" w:ascii="宋体" w:hAnsi="宋体" w:cs="宋体"/>
                <w:color w:val="auto"/>
                <w:szCs w:val="21"/>
                <w:highlight w:val="none"/>
              </w:rPr>
              <w:t>是否允许分包</w:t>
            </w:r>
          </w:p>
        </w:tc>
        <w:tc>
          <w:tcPr>
            <w:tcW w:w="6765" w:type="dxa"/>
            <w:noWrap w:val="0"/>
            <w:vAlign w:val="center"/>
          </w:tcPr>
          <w:p w14:paraId="5BCDDC38">
            <w:pPr>
              <w:keepNext w:val="0"/>
              <w:keepLines w:val="0"/>
              <w:suppressLineNumbers w:val="0"/>
              <w:spacing w:before="0" w:beforeAutospacing="0" w:after="0" w:afterAutospacing="0" w:line="360" w:lineRule="auto"/>
              <w:ind w:left="0" w:right="0"/>
              <w:jc w:val="left"/>
              <w:rPr>
                <w:rFonts w:hint="default" w:ascii="宋体" w:hAnsi="宋体" w:cs="宋体"/>
                <w:color w:val="auto"/>
                <w:szCs w:val="21"/>
                <w:highlight w:val="none"/>
              </w:rPr>
            </w:pPr>
            <w:r>
              <w:rPr>
                <w:rFonts w:hint="eastAsia" w:ascii="宋体" w:hAnsi="宋体" w:cs="Times New Roman"/>
                <w:color w:val="auto"/>
                <w:szCs w:val="21"/>
                <w:highlight w:val="none"/>
              </w:rPr>
              <w:t>不允许</w:t>
            </w:r>
          </w:p>
        </w:tc>
      </w:tr>
      <w:tr w14:paraId="7E3C2E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noWrap w:val="0"/>
            <w:vAlign w:val="center"/>
          </w:tcPr>
          <w:p w14:paraId="45A8670F">
            <w:pPr>
              <w:keepNext w:val="0"/>
              <w:keepLines w:val="0"/>
              <w:suppressLineNumbers w:val="0"/>
              <w:spacing w:before="0" w:beforeAutospacing="0" w:after="0" w:afterAutospacing="0" w:line="360" w:lineRule="auto"/>
              <w:ind w:left="0" w:right="0"/>
              <w:jc w:val="center"/>
              <w:rPr>
                <w:rFonts w:hint="default" w:ascii="宋体" w:hAnsi="宋体" w:cs="宋体"/>
                <w:color w:val="auto"/>
                <w:szCs w:val="21"/>
                <w:highlight w:val="none"/>
              </w:rPr>
            </w:pPr>
            <w:r>
              <w:rPr>
                <w:rFonts w:hint="eastAsia" w:ascii="宋体" w:hAnsi="宋体" w:cs="宋体"/>
                <w:color w:val="auto"/>
                <w:szCs w:val="21"/>
                <w:highlight w:val="none"/>
              </w:rPr>
              <w:t>12.1.</w:t>
            </w:r>
            <w:r>
              <w:rPr>
                <w:rFonts w:hint="default" w:ascii="宋体" w:hAnsi="宋体" w:cs="宋体"/>
                <w:color w:val="auto"/>
                <w:szCs w:val="21"/>
                <w:highlight w:val="none"/>
              </w:rPr>
              <w:t>1</w:t>
            </w:r>
          </w:p>
        </w:tc>
        <w:tc>
          <w:tcPr>
            <w:tcW w:w="2640" w:type="dxa"/>
            <w:noWrap w:val="0"/>
            <w:vAlign w:val="center"/>
          </w:tcPr>
          <w:p w14:paraId="27025657">
            <w:pPr>
              <w:keepNext w:val="0"/>
              <w:keepLines w:val="0"/>
              <w:suppressLineNumbers w:val="0"/>
              <w:snapToGrid w:val="0"/>
              <w:spacing w:before="0" w:beforeAutospacing="0" w:after="0" w:afterAutospacing="0" w:line="360" w:lineRule="auto"/>
              <w:ind w:left="0" w:right="0"/>
              <w:jc w:val="center"/>
              <w:rPr>
                <w:rFonts w:hint="default" w:ascii="宋体" w:hAnsi="宋体" w:cs="宋体"/>
                <w:b/>
                <w:color w:val="auto"/>
                <w:szCs w:val="21"/>
                <w:highlight w:val="none"/>
              </w:rPr>
            </w:pPr>
            <w:r>
              <w:rPr>
                <w:rFonts w:hint="eastAsia" w:ascii="宋体" w:hAnsi="宋体" w:cs="宋体"/>
                <w:b/>
                <w:color w:val="auto"/>
                <w:szCs w:val="21"/>
                <w:highlight w:val="none"/>
              </w:rPr>
              <w:t>资格证明文件组成</w:t>
            </w:r>
          </w:p>
          <w:p w14:paraId="39F0B33D">
            <w:pPr>
              <w:keepNext w:val="0"/>
              <w:keepLines w:val="0"/>
              <w:suppressLineNumbers w:val="0"/>
              <w:spacing w:before="0" w:beforeAutospacing="0" w:after="0" w:afterAutospacing="0" w:line="360" w:lineRule="auto"/>
              <w:ind w:left="0" w:right="0"/>
              <w:jc w:val="center"/>
              <w:rPr>
                <w:rFonts w:hint="default" w:ascii="宋体" w:hAnsi="宋体" w:cs="宋体"/>
                <w:color w:val="auto"/>
                <w:szCs w:val="21"/>
                <w:highlight w:val="none"/>
              </w:rPr>
            </w:pPr>
          </w:p>
        </w:tc>
        <w:tc>
          <w:tcPr>
            <w:tcW w:w="6765" w:type="dxa"/>
            <w:noWrap w:val="0"/>
            <w:vAlign w:val="center"/>
          </w:tcPr>
          <w:p w14:paraId="3886D27B">
            <w:pPr>
              <w:keepNext w:val="0"/>
              <w:keepLines w:val="0"/>
              <w:suppressLineNumbers w:val="0"/>
              <w:spacing w:before="0" w:beforeAutospacing="0" w:after="0" w:afterAutospacing="0" w:line="360" w:lineRule="auto"/>
              <w:ind w:left="0" w:right="0"/>
              <w:jc w:val="left"/>
              <w:rPr>
                <w:rFonts w:hint="default" w:ascii="宋体" w:hAnsi="宋体" w:cs="Times New Roman"/>
                <w:color w:val="auto"/>
                <w:szCs w:val="21"/>
                <w:highlight w:val="none"/>
              </w:rPr>
            </w:pPr>
            <w:r>
              <w:rPr>
                <w:rFonts w:hint="eastAsia" w:ascii="宋体" w:hAnsi="宋体" w:cs="宋体"/>
                <w:color w:val="auto"/>
                <w:szCs w:val="21"/>
                <w:highlight w:val="none"/>
              </w:rPr>
              <w:t>1.供应商为法人或者其他组织的提供其营业执照等证明文件（如营业执照或者事业单位法人证书或者执业许可证等），供应商为自然人的提供其身份证复印件；（</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0A340A36">
            <w:pPr>
              <w:keepNext w:val="0"/>
              <w:keepLines w:val="0"/>
              <w:suppressLineNumbers w:val="0"/>
              <w:snapToGrid w:val="0"/>
              <w:spacing w:before="0" w:beforeAutospacing="0" w:after="0" w:afterAutospacing="0" w:line="360" w:lineRule="auto"/>
              <w:ind w:left="0" w:right="0"/>
              <w:jc w:val="left"/>
              <w:rPr>
                <w:rFonts w:hint="default" w:ascii="宋体" w:hAnsi="宋体" w:cs="Times New Roman"/>
                <w:color w:val="auto"/>
                <w:szCs w:val="21"/>
                <w:highlight w:val="none"/>
              </w:rPr>
            </w:pPr>
            <w:r>
              <w:rPr>
                <w:rFonts w:hint="eastAsia" w:ascii="宋体" w:hAnsi="宋体" w:cs="宋体"/>
                <w:color w:val="auto"/>
                <w:szCs w:val="21"/>
                <w:highlight w:val="none"/>
              </w:rPr>
              <w:t>2.供应商依法缴纳税收的相关材料：[</w:t>
            </w:r>
            <w:r>
              <w:rPr>
                <w:rFonts w:hint="eastAsia" w:ascii="宋体" w:hAnsi="宋体" w:cs="宋体"/>
                <w:color w:val="auto"/>
                <w:szCs w:val="21"/>
                <w:highlight w:val="none"/>
                <w:u w:val="single"/>
              </w:rPr>
              <w:t xml:space="preserve"> 投标截止日期之前半年中</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期间任意</w:t>
            </w:r>
            <w:r>
              <w:rPr>
                <w:rFonts w:hint="eastAsia" w:ascii="宋体" w:hAnsi="宋体" w:cs="宋体"/>
                <w:color w:val="auto"/>
                <w:szCs w:val="21"/>
                <w:highlight w:val="none"/>
              </w:rPr>
              <w:t>连续</w:t>
            </w:r>
            <w:r>
              <w:rPr>
                <w:rFonts w:hint="eastAsia" w:ascii="宋体" w:hAnsi="宋体" w:cs="宋体"/>
                <w:color w:val="auto"/>
                <w:szCs w:val="21"/>
                <w:highlight w:val="none"/>
                <w:u w:val="single"/>
              </w:rPr>
              <w:t xml:space="preserve">  3  </w:t>
            </w:r>
            <w:r>
              <w:rPr>
                <w:rFonts w:hint="eastAsia" w:ascii="宋体" w:hAnsi="宋体" w:cs="宋体"/>
                <w:color w:val="auto"/>
                <w:szCs w:val="21"/>
                <w:highlight w:val="none"/>
              </w:rPr>
              <w:t>个月的依法缴纳税收的凭据复印件；依</w:t>
            </w:r>
            <w:r>
              <w:rPr>
                <w:rFonts w:hint="eastAsia" w:ascii="宋体" w:hAnsi="宋体" w:cs="Times New Roman"/>
                <w:color w:val="auto"/>
                <w:szCs w:val="21"/>
                <w:highlight w:val="none"/>
              </w:rPr>
              <w:t>法免税的供应商，必须提供相应文件证明其依法免税。供应商成立不满</w:t>
            </w:r>
            <w:r>
              <w:rPr>
                <w:rFonts w:hint="eastAsia" w:ascii="宋体" w:hAnsi="宋体" w:cs="Times New Roman"/>
                <w:color w:val="auto"/>
                <w:szCs w:val="21"/>
                <w:highlight w:val="none"/>
                <w:lang w:val="en-US" w:eastAsia="zh-CN"/>
              </w:rPr>
              <w:t>半</w:t>
            </w:r>
            <w:r>
              <w:rPr>
                <w:rFonts w:hint="eastAsia" w:ascii="宋体" w:hAnsi="宋体" w:cs="Times New Roman"/>
                <w:color w:val="auto"/>
                <w:szCs w:val="21"/>
                <w:highlight w:val="none"/>
              </w:rPr>
              <w:t>年的</w:t>
            </w:r>
            <w:r>
              <w:rPr>
                <w:rFonts w:hint="eastAsia" w:ascii="宋体" w:hAnsi="宋体" w:cs="Times New Roman"/>
                <w:color w:val="auto"/>
                <w:szCs w:val="21"/>
                <w:highlight w:val="none"/>
                <w:lang w:eastAsia="zh-CN"/>
              </w:rPr>
              <w:t>，</w:t>
            </w:r>
            <w:r>
              <w:rPr>
                <w:rFonts w:hint="eastAsia" w:ascii="宋体" w:hAnsi="宋体" w:cs="Times New Roman"/>
                <w:color w:val="auto"/>
                <w:szCs w:val="21"/>
                <w:highlight w:val="none"/>
                <w:lang w:val="en-US" w:eastAsia="zh-CN"/>
              </w:rPr>
              <w:t>根据实际情况提供</w:t>
            </w:r>
            <w:r>
              <w:rPr>
                <w:rFonts w:hint="eastAsia" w:ascii="宋体" w:hAnsi="宋体" w:cs="Times New Roman"/>
                <w:color w:val="auto"/>
                <w:szCs w:val="21"/>
                <w:highlight w:val="none"/>
              </w:rPr>
              <w:t>；（</w:t>
            </w:r>
            <w:r>
              <w:rPr>
                <w:rFonts w:hint="eastAsia" w:ascii="宋体" w:hAnsi="宋体" w:cs="Times New Roman"/>
                <w:b/>
                <w:color w:val="auto"/>
                <w:szCs w:val="21"/>
                <w:highlight w:val="none"/>
              </w:rPr>
              <w:t>必须提供，</w:t>
            </w:r>
            <w:r>
              <w:rPr>
                <w:rFonts w:hint="eastAsia" w:ascii="宋体" w:hAnsi="宋体" w:cs="宋体"/>
                <w:b/>
                <w:color w:val="auto"/>
                <w:szCs w:val="21"/>
                <w:highlight w:val="none"/>
              </w:rPr>
              <w:t>否则响应文件按无效响应处理</w:t>
            </w:r>
            <w:r>
              <w:rPr>
                <w:rFonts w:hint="eastAsia" w:ascii="宋体" w:hAnsi="宋体" w:cs="Times New Roman"/>
                <w:color w:val="auto"/>
                <w:szCs w:val="21"/>
                <w:highlight w:val="none"/>
              </w:rPr>
              <w:t>）</w:t>
            </w:r>
          </w:p>
          <w:p w14:paraId="07B9958F">
            <w:pPr>
              <w:keepNext w:val="0"/>
              <w:keepLines w:val="0"/>
              <w:suppressLineNumbers w:val="0"/>
              <w:snapToGrid w:val="0"/>
              <w:spacing w:before="0" w:beforeAutospacing="0" w:after="0" w:afterAutospacing="0" w:line="360" w:lineRule="auto"/>
              <w:ind w:left="0" w:right="0"/>
              <w:jc w:val="left"/>
              <w:rPr>
                <w:rFonts w:hint="default" w:ascii="宋体" w:hAnsi="宋体" w:cs="Times New Roman"/>
                <w:color w:val="auto"/>
                <w:szCs w:val="21"/>
                <w:highlight w:val="none"/>
              </w:rPr>
            </w:pPr>
            <w:r>
              <w:rPr>
                <w:rFonts w:hint="eastAsia" w:ascii="宋体" w:hAnsi="宋体" w:cs="宋体"/>
                <w:color w:val="auto"/>
                <w:szCs w:val="21"/>
                <w:highlight w:val="none"/>
              </w:rPr>
              <w:t>3.供应商依法缴纳社会保障资金的相关材料：[</w:t>
            </w:r>
            <w:r>
              <w:rPr>
                <w:rFonts w:hint="eastAsia" w:ascii="宋体" w:hAnsi="宋体" w:cs="宋体"/>
                <w:color w:val="auto"/>
                <w:szCs w:val="21"/>
                <w:highlight w:val="none"/>
                <w:u w:val="single"/>
              </w:rPr>
              <w:t>投标截止日期之前半年中</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期间任意</w:t>
            </w:r>
            <w:r>
              <w:rPr>
                <w:rFonts w:hint="eastAsia" w:ascii="宋体" w:hAnsi="宋体" w:cs="宋体"/>
                <w:color w:val="auto"/>
                <w:szCs w:val="21"/>
                <w:highlight w:val="none"/>
              </w:rPr>
              <w:t>连续</w:t>
            </w:r>
            <w:r>
              <w:rPr>
                <w:rFonts w:hint="eastAsia" w:ascii="宋体" w:hAnsi="宋体" w:cs="宋体"/>
                <w:color w:val="auto"/>
                <w:szCs w:val="21"/>
                <w:highlight w:val="none"/>
                <w:u w:val="single"/>
              </w:rPr>
              <w:t xml:space="preserve">  3  </w:t>
            </w:r>
            <w:r>
              <w:rPr>
                <w:rFonts w:hint="eastAsia" w:ascii="宋体" w:hAnsi="宋体" w:cs="宋体"/>
                <w:color w:val="auto"/>
                <w:szCs w:val="21"/>
                <w:highlight w:val="none"/>
              </w:rPr>
              <w:t>个月的依法缴纳社会保障资金的缴费凭证（专用收据或者社会保险缴纳清单）复印件；</w:t>
            </w:r>
            <w:r>
              <w:rPr>
                <w:rFonts w:hint="eastAsia" w:ascii="宋体" w:hAnsi="宋体" w:cs="Times New Roman"/>
                <w:color w:val="auto"/>
                <w:szCs w:val="21"/>
                <w:highlight w:val="none"/>
              </w:rPr>
              <w:t>依法不需要缴纳社会保障资金的供应商，必须提供相应文件证明不需要缴纳社会保障资金。供应商成立不满</w:t>
            </w:r>
            <w:r>
              <w:rPr>
                <w:rFonts w:hint="eastAsia" w:ascii="宋体" w:hAnsi="宋体" w:cs="Times New Roman"/>
                <w:color w:val="auto"/>
                <w:szCs w:val="21"/>
                <w:highlight w:val="none"/>
                <w:lang w:val="en-US" w:eastAsia="zh-CN"/>
              </w:rPr>
              <w:t>半</w:t>
            </w:r>
            <w:r>
              <w:rPr>
                <w:rFonts w:hint="eastAsia" w:ascii="宋体" w:hAnsi="宋体" w:cs="Times New Roman"/>
                <w:color w:val="auto"/>
                <w:szCs w:val="21"/>
                <w:highlight w:val="none"/>
              </w:rPr>
              <w:t>年的</w:t>
            </w:r>
            <w:r>
              <w:rPr>
                <w:rFonts w:hint="eastAsia" w:ascii="宋体" w:hAnsi="宋体" w:cs="Times New Roman"/>
                <w:color w:val="auto"/>
                <w:szCs w:val="21"/>
                <w:highlight w:val="none"/>
                <w:lang w:eastAsia="zh-CN"/>
              </w:rPr>
              <w:t>，</w:t>
            </w:r>
            <w:r>
              <w:rPr>
                <w:rFonts w:hint="eastAsia" w:ascii="宋体" w:hAnsi="宋体" w:cs="Times New Roman"/>
                <w:color w:val="auto"/>
                <w:szCs w:val="21"/>
                <w:highlight w:val="none"/>
                <w:lang w:val="en-US" w:eastAsia="zh-CN"/>
              </w:rPr>
              <w:t>根据实际情况提供</w:t>
            </w:r>
            <w:r>
              <w:rPr>
                <w:rFonts w:hint="eastAsia" w:ascii="宋体" w:hAnsi="宋体" w:cs="Times New Roman"/>
                <w:color w:val="auto"/>
                <w:szCs w:val="21"/>
                <w:highlight w:val="none"/>
              </w:rPr>
              <w:t>；（</w:t>
            </w:r>
            <w:r>
              <w:rPr>
                <w:rFonts w:hint="eastAsia" w:ascii="宋体" w:hAnsi="宋体" w:cs="Times New Roman"/>
                <w:b/>
                <w:color w:val="auto"/>
                <w:szCs w:val="21"/>
                <w:highlight w:val="none"/>
              </w:rPr>
              <w:t>必须提供，</w:t>
            </w:r>
            <w:r>
              <w:rPr>
                <w:rFonts w:hint="eastAsia" w:ascii="宋体" w:hAnsi="宋体" w:cs="宋体"/>
                <w:b/>
                <w:color w:val="auto"/>
                <w:szCs w:val="21"/>
                <w:highlight w:val="none"/>
              </w:rPr>
              <w:t>否则响应文件按无效响应处理</w:t>
            </w:r>
            <w:r>
              <w:rPr>
                <w:rFonts w:hint="eastAsia" w:ascii="宋体" w:hAnsi="宋体" w:cs="Times New Roman"/>
                <w:color w:val="auto"/>
                <w:szCs w:val="21"/>
                <w:highlight w:val="none"/>
              </w:rPr>
              <w:t>）</w:t>
            </w:r>
          </w:p>
          <w:p w14:paraId="64B38256">
            <w:pPr>
              <w:keepNext w:val="0"/>
              <w:keepLines w:val="0"/>
              <w:suppressLineNumbers w:val="0"/>
              <w:snapToGrid w:val="0"/>
              <w:spacing w:before="0" w:beforeAutospacing="0" w:after="0" w:afterAutospacing="0" w:line="360" w:lineRule="auto"/>
              <w:ind w:left="0" w:right="0"/>
              <w:jc w:val="left"/>
              <w:rPr>
                <w:rFonts w:hint="default" w:ascii="宋体" w:hAnsi="宋体" w:cs="Times New Roman"/>
                <w:color w:val="auto"/>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.供应商财务状况报告：</w:t>
            </w:r>
            <w:r>
              <w:rPr>
                <w:rFonts w:hint="eastAsia" w:ascii="宋体" w:hAnsi="宋体" w:cs="Times New Roman"/>
                <w:color w:val="auto"/>
                <w:szCs w:val="21"/>
                <w:highlight w:val="none"/>
              </w:rPr>
              <w:t>[</w:t>
            </w:r>
            <w:r>
              <w:rPr>
                <w:rFonts w:hint="eastAsia" w:ascii="宋体" w:hAnsi="宋体" w:cs="Times New Roman"/>
                <w:color w:val="auto"/>
                <w:szCs w:val="21"/>
                <w:highlight w:val="none"/>
                <w:u w:val="single"/>
              </w:rPr>
              <w:t>202</w:t>
            </w:r>
            <w:r>
              <w:rPr>
                <w:rFonts w:hint="eastAsia" w:ascii="宋体" w:hAnsi="宋体" w:cs="Times New Roman"/>
                <w:color w:val="auto"/>
                <w:szCs w:val="21"/>
                <w:highlight w:val="none"/>
                <w:u w:val="single"/>
                <w:lang w:val="en-US" w:eastAsia="zh-CN"/>
              </w:rPr>
              <w:t>4</w:t>
            </w:r>
            <w:r>
              <w:rPr>
                <w:rFonts w:hint="eastAsia" w:ascii="宋体" w:hAnsi="宋体" w:cs="Times New Roman"/>
                <w:color w:val="auto"/>
                <w:szCs w:val="21"/>
                <w:highlight w:val="none"/>
                <w:u w:val="single"/>
              </w:rPr>
              <w:t>年或202</w:t>
            </w:r>
            <w:r>
              <w:rPr>
                <w:rFonts w:hint="eastAsia" w:ascii="宋体" w:hAnsi="宋体" w:cs="Times New Roman"/>
                <w:color w:val="auto"/>
                <w:szCs w:val="21"/>
                <w:highlight w:val="none"/>
                <w:u w:val="single"/>
                <w:lang w:val="en-US" w:eastAsia="zh-CN"/>
              </w:rPr>
              <w:t>5</w:t>
            </w:r>
            <w:r>
              <w:rPr>
                <w:rFonts w:hint="eastAsia" w:ascii="宋体" w:hAnsi="宋体" w:cs="Times New Roman"/>
                <w:color w:val="auto"/>
                <w:szCs w:val="21"/>
                <w:highlight w:val="none"/>
                <w:u w:val="single"/>
              </w:rPr>
              <w:t xml:space="preserve"> 年</w:t>
            </w:r>
            <w:r>
              <w:rPr>
                <w:rFonts w:hint="eastAsia" w:ascii="宋体" w:hAnsi="宋体" w:cs="Times New Roman"/>
                <w:color w:val="auto"/>
                <w:szCs w:val="21"/>
                <w:highlight w:val="none"/>
              </w:rPr>
              <w:t>]财务状况报告复印件；供应商成立不满一年的应按提供首次响应文件提交截止时间上一个月的财务状况报告复印件。（上述财务状况报告包括：供应商执行《企业会计准则》的，提供资产负债表、利润表、现金流量表、所有者权益变动表及其附注（以下称“四表一注”）；供应商执行《小企业会计准则》的，提供资产负债表、利润表、现金流量表及其附注（以下称“三表一注”）；供应商执行《政府会计制度》的，提供资产负债表、收入费用表和净资产变动表及其附注)；（</w:t>
            </w:r>
            <w:r>
              <w:rPr>
                <w:rFonts w:hint="eastAsia" w:ascii="宋体" w:hAnsi="宋体" w:cs="Times New Roman"/>
                <w:b/>
                <w:color w:val="auto"/>
                <w:szCs w:val="21"/>
                <w:highlight w:val="none"/>
              </w:rPr>
              <w:t>必须提供，</w:t>
            </w:r>
            <w:r>
              <w:rPr>
                <w:rFonts w:hint="eastAsia" w:ascii="宋体" w:hAnsi="宋体" w:cs="宋体"/>
                <w:b/>
                <w:color w:val="auto"/>
                <w:szCs w:val="21"/>
                <w:highlight w:val="none"/>
              </w:rPr>
              <w:t>否则响应文件按无效响应处理</w:t>
            </w:r>
            <w:r>
              <w:rPr>
                <w:rFonts w:hint="eastAsia" w:ascii="宋体" w:hAnsi="宋体" w:cs="Times New Roman"/>
                <w:color w:val="auto"/>
                <w:szCs w:val="21"/>
                <w:highlight w:val="none"/>
              </w:rPr>
              <w:t>）</w:t>
            </w:r>
          </w:p>
          <w:p w14:paraId="6256A77C">
            <w:pPr>
              <w:keepNext w:val="0"/>
              <w:keepLines w:val="0"/>
              <w:suppressLineNumbers w:val="0"/>
              <w:snapToGrid w:val="0"/>
              <w:spacing w:before="0" w:beforeAutospacing="0" w:after="0" w:afterAutospacing="0" w:line="360" w:lineRule="auto"/>
              <w:ind w:left="0" w:right="0"/>
              <w:jc w:val="left"/>
              <w:rPr>
                <w:rFonts w:hint="eastAsia" w:ascii="宋体" w:hAnsi="宋体" w:cs="宋体"/>
                <w:color w:val="auto"/>
                <w:szCs w:val="21"/>
                <w:highlight w:val="none"/>
              </w:rPr>
            </w:pPr>
            <w:r>
              <w:rPr>
                <w:rFonts w:hint="eastAsia" w:ascii="宋体" w:hAnsi="宋体" w:cs="宋体"/>
                <w:color w:val="auto"/>
                <w:szCs w:val="21"/>
                <w:highlight w:val="none"/>
              </w:rPr>
              <w:t>5.供应商直接控股、管理关系信息表；（</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194819C0">
            <w:pPr>
              <w:keepNext w:val="0"/>
              <w:keepLines w:val="0"/>
              <w:suppressLineNumbers w:val="0"/>
              <w:snapToGrid w:val="0"/>
              <w:spacing w:before="0" w:beforeAutospacing="0" w:after="0" w:afterAutospacing="0" w:line="360" w:lineRule="auto"/>
              <w:ind w:left="0" w:right="0"/>
              <w:jc w:val="left"/>
              <w:rPr>
                <w:rFonts w:hint="eastAsia" w:ascii="宋体" w:hAnsi="宋体" w:cs="宋体"/>
                <w:color w:val="auto"/>
                <w:szCs w:val="21"/>
                <w:highlight w:val="none"/>
              </w:rPr>
            </w:pPr>
            <w:r>
              <w:rPr>
                <w:rFonts w:hint="eastAsia" w:ascii="宋体" w:hAnsi="宋体" w:cs="宋体"/>
                <w:color w:val="auto"/>
                <w:szCs w:val="21"/>
                <w:highlight w:val="none"/>
              </w:rPr>
              <w:t>6.资格声明；（</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76E4EBCD">
            <w:pPr>
              <w:keepNext w:val="0"/>
              <w:keepLines w:val="0"/>
              <w:suppressLineNumbers w:val="0"/>
              <w:snapToGrid w:val="0"/>
              <w:spacing w:before="0" w:beforeAutospacing="0" w:after="0" w:afterAutospacing="0" w:line="360" w:lineRule="auto"/>
              <w:ind w:left="0" w:right="0"/>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.除磋商文件规定必须提供以外，供应商认为需要提供的其他证明材料；（如有请提交）</w:t>
            </w:r>
          </w:p>
          <w:p w14:paraId="2A04E708">
            <w:pPr>
              <w:keepNext w:val="0"/>
              <w:keepLines w:val="0"/>
              <w:suppressLineNumbers w:val="0"/>
              <w:snapToGrid w:val="0"/>
              <w:spacing w:before="0" w:beforeAutospacing="0" w:after="0" w:afterAutospacing="0" w:line="360" w:lineRule="auto"/>
              <w:ind w:left="0" w:right="0"/>
              <w:jc w:val="left"/>
              <w:rPr>
                <w:rFonts w:hint="eastAsia" w:ascii="宋体" w:hAnsi="宋体" w:cs="宋体"/>
                <w:b/>
                <w:color w:val="auto"/>
                <w:szCs w:val="21"/>
                <w:highlight w:val="none"/>
              </w:rPr>
            </w:pPr>
            <w:r>
              <w:rPr>
                <w:rFonts w:hint="eastAsia" w:ascii="宋体" w:hAnsi="宋体" w:cs="宋体"/>
                <w:b/>
                <w:color w:val="auto"/>
                <w:szCs w:val="21"/>
                <w:highlight w:val="none"/>
              </w:rPr>
              <w:t>注：</w:t>
            </w:r>
          </w:p>
          <w:p w14:paraId="538D2828">
            <w:pPr>
              <w:keepNext w:val="0"/>
              <w:keepLines w:val="0"/>
              <w:suppressLineNumbers w:val="0"/>
              <w:snapToGrid w:val="0"/>
              <w:spacing w:before="0" w:beforeAutospacing="0" w:after="0" w:afterAutospacing="0" w:line="360" w:lineRule="auto"/>
              <w:ind w:left="0" w:right="0" w:firstLine="413" w:firstLineChars="196"/>
              <w:jc w:val="left"/>
              <w:rPr>
                <w:rFonts w:hint="eastAsia" w:ascii="宋体" w:hAnsi="宋体" w:cs="宋体"/>
                <w:b/>
                <w:color w:val="auto"/>
                <w:szCs w:val="21"/>
                <w:highlight w:val="none"/>
              </w:rPr>
            </w:pPr>
            <w:r>
              <w:rPr>
                <w:rFonts w:hint="eastAsia" w:ascii="宋体" w:hAnsi="宋体" w:cs="宋体"/>
                <w:b/>
                <w:color w:val="auto"/>
                <w:szCs w:val="21"/>
                <w:highlight w:val="none"/>
              </w:rPr>
              <w:t>1.以上标明“必须提供”的材料属于复印件的扫描件的，必须加盖供应商电子公章，否则响应文件按无效响应处理。</w:t>
            </w:r>
          </w:p>
          <w:p w14:paraId="20A18640">
            <w:pPr>
              <w:keepNext w:val="0"/>
              <w:keepLines w:val="0"/>
              <w:suppressLineNumbers w:val="0"/>
              <w:spacing w:before="0" w:beforeAutospacing="0" w:after="0" w:afterAutospacing="0" w:line="360" w:lineRule="auto"/>
              <w:ind w:left="0" w:right="0" w:firstLine="422" w:firstLineChars="200"/>
              <w:jc w:val="left"/>
              <w:rPr>
                <w:rFonts w:hint="default" w:ascii="宋体" w:hAnsi="宋体" w:cs="宋体"/>
                <w:b/>
                <w:color w:val="auto"/>
                <w:szCs w:val="21"/>
                <w:highlight w:val="none"/>
              </w:rPr>
            </w:pPr>
            <w:r>
              <w:rPr>
                <w:rFonts w:hint="eastAsia" w:ascii="宋体" w:hAnsi="宋体" w:cs="宋体"/>
                <w:b/>
                <w:color w:val="auto"/>
                <w:szCs w:val="21"/>
                <w:highlight w:val="none"/>
              </w:rPr>
              <w:t>2.联合体竞标时，第1-</w:t>
            </w:r>
            <w:r>
              <w:rPr>
                <w:rFonts w:hint="default" w:ascii="宋体" w:hAnsi="宋体" w:cs="宋体"/>
                <w:b/>
                <w:color w:val="auto"/>
                <w:szCs w:val="21"/>
                <w:highlight w:val="none"/>
              </w:rPr>
              <w:t>5</w:t>
            </w:r>
            <w:r>
              <w:rPr>
                <w:rFonts w:hint="eastAsia" w:ascii="宋体" w:hAnsi="宋体" w:cs="宋体"/>
                <w:b/>
                <w:color w:val="auto"/>
                <w:szCs w:val="21"/>
                <w:highlight w:val="none"/>
              </w:rPr>
              <w:t>项资格证明文件联合体各方均必须分别提供，联合体各方分别盖章和签字，否则响应文件按无效响应处理。</w:t>
            </w:r>
          </w:p>
        </w:tc>
      </w:tr>
      <w:tr w14:paraId="2C4839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vMerge w:val="restart"/>
            <w:noWrap w:val="0"/>
            <w:vAlign w:val="center"/>
          </w:tcPr>
          <w:p w14:paraId="76BB0CCC">
            <w:pPr>
              <w:keepNext w:val="0"/>
              <w:keepLines w:val="0"/>
              <w:suppressLineNumbers w:val="0"/>
              <w:spacing w:before="0" w:beforeAutospacing="0" w:after="0" w:afterAutospacing="0" w:line="360" w:lineRule="auto"/>
              <w:ind w:left="0" w:right="0"/>
              <w:jc w:val="center"/>
              <w:rPr>
                <w:rFonts w:hint="default" w:ascii="宋体" w:hAnsi="宋体" w:cs="宋体"/>
                <w:color w:val="auto"/>
                <w:szCs w:val="21"/>
                <w:highlight w:val="none"/>
              </w:rPr>
            </w:pPr>
            <w:r>
              <w:rPr>
                <w:rFonts w:hint="eastAsia" w:ascii="宋体" w:hAnsi="宋体" w:cs="宋体"/>
                <w:color w:val="auto"/>
                <w:szCs w:val="21"/>
                <w:highlight w:val="none"/>
              </w:rPr>
              <w:t>12.</w:t>
            </w:r>
            <w:r>
              <w:rPr>
                <w:rFonts w:hint="default" w:ascii="宋体" w:hAnsi="宋体" w:cs="宋体"/>
                <w:color w:val="auto"/>
                <w:szCs w:val="21"/>
                <w:highlight w:val="none"/>
              </w:rPr>
              <w:t>1</w:t>
            </w:r>
            <w:r>
              <w:rPr>
                <w:rFonts w:hint="eastAsia" w:ascii="宋体" w:hAnsi="宋体" w:cs="宋体"/>
                <w:color w:val="auto"/>
                <w:szCs w:val="21"/>
                <w:highlight w:val="none"/>
              </w:rPr>
              <w:t>.</w:t>
            </w:r>
            <w:r>
              <w:rPr>
                <w:rFonts w:hint="default" w:ascii="宋体" w:hAnsi="宋体" w:cs="宋体"/>
                <w:color w:val="auto"/>
                <w:szCs w:val="21"/>
                <w:highlight w:val="none"/>
              </w:rPr>
              <w:t>2</w:t>
            </w:r>
          </w:p>
        </w:tc>
        <w:tc>
          <w:tcPr>
            <w:tcW w:w="2640" w:type="dxa"/>
            <w:noWrap w:val="0"/>
            <w:vAlign w:val="center"/>
          </w:tcPr>
          <w:p w14:paraId="36542F0B">
            <w:pPr>
              <w:keepNext w:val="0"/>
              <w:keepLines w:val="0"/>
              <w:suppressLineNumbers w:val="0"/>
              <w:spacing w:before="0" w:beforeAutospacing="0" w:after="0" w:afterAutospacing="0" w:line="360" w:lineRule="auto"/>
              <w:ind w:left="0" w:right="0"/>
              <w:jc w:val="center"/>
              <w:rPr>
                <w:rFonts w:hint="default" w:ascii="宋体" w:hAnsi="宋体" w:cs="宋体"/>
                <w:b/>
                <w:bCs/>
                <w:color w:val="auto"/>
                <w:szCs w:val="21"/>
                <w:highlight w:val="none"/>
              </w:rPr>
            </w:pPr>
            <w:r>
              <w:rPr>
                <w:rFonts w:hint="eastAsia" w:ascii="宋体" w:hAnsi="宋体" w:cs="宋体"/>
                <w:b/>
                <w:bCs/>
                <w:color w:val="auto"/>
                <w:szCs w:val="21"/>
                <w:highlight w:val="none"/>
              </w:rPr>
              <w:t>商务文件组成</w:t>
            </w:r>
          </w:p>
        </w:tc>
        <w:tc>
          <w:tcPr>
            <w:tcW w:w="6765" w:type="dxa"/>
            <w:noWrap w:val="0"/>
            <w:vAlign w:val="center"/>
          </w:tcPr>
          <w:p w14:paraId="21CE24E7">
            <w:pPr>
              <w:keepNext w:val="0"/>
              <w:keepLines w:val="0"/>
              <w:suppressLineNumbers w:val="0"/>
              <w:spacing w:before="0" w:beforeAutospacing="0" w:after="0" w:afterAutospacing="0" w:line="360" w:lineRule="auto"/>
              <w:ind w:left="0" w:right="0"/>
              <w:rPr>
                <w:rFonts w:hint="default" w:ascii="宋体" w:hAnsi="宋体" w:cs="宋体"/>
                <w:color w:val="auto"/>
                <w:szCs w:val="21"/>
                <w:highlight w:val="none"/>
              </w:rPr>
            </w:pPr>
            <w:r>
              <w:rPr>
                <w:rFonts w:hint="eastAsia" w:ascii="宋体" w:hAnsi="宋体" w:cs="宋体"/>
                <w:color w:val="auto"/>
                <w:szCs w:val="21"/>
                <w:highlight w:val="none"/>
              </w:rPr>
              <w:t>1.无串通竞标行为的承诺函；（</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75BB4F22">
            <w:pPr>
              <w:keepNext w:val="0"/>
              <w:keepLines w:val="0"/>
              <w:suppressLineNumbers w:val="0"/>
              <w:snapToGrid w:val="0"/>
              <w:spacing w:before="0" w:beforeAutospacing="0" w:after="0" w:afterAutospacing="0" w:line="360" w:lineRule="auto"/>
              <w:ind w:left="0" w:right="0"/>
              <w:jc w:val="left"/>
              <w:rPr>
                <w:rFonts w:hint="default" w:ascii="宋体" w:hAnsi="宋体" w:cs="宋体"/>
                <w:color w:val="auto"/>
                <w:szCs w:val="21"/>
                <w:highlight w:val="none"/>
              </w:rPr>
            </w:pPr>
            <w:r>
              <w:rPr>
                <w:rFonts w:hint="eastAsia" w:ascii="宋体" w:hAnsi="宋体" w:cs="宋体"/>
                <w:color w:val="auto"/>
                <w:szCs w:val="21"/>
                <w:highlight w:val="none"/>
              </w:rPr>
              <w:t>2.法定代表人身份证明书及法定代表人有效身份证正反面复印件；（</w:t>
            </w:r>
            <w:r>
              <w:rPr>
                <w:rFonts w:hint="eastAsia" w:ascii="宋体" w:hAnsi="宋体" w:cs="宋体"/>
                <w:b/>
                <w:bCs/>
                <w:color w:val="auto"/>
                <w:szCs w:val="21"/>
                <w:highlight w:val="none"/>
              </w:rPr>
              <w:t>除自然人竞标外</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5A2C1577">
            <w:pPr>
              <w:keepNext w:val="0"/>
              <w:keepLines w:val="0"/>
              <w:suppressLineNumbers w:val="0"/>
              <w:spacing w:before="0" w:beforeAutospacing="0" w:after="0" w:afterAutospacing="0" w:line="360" w:lineRule="auto"/>
              <w:ind w:left="0" w:right="0"/>
              <w:rPr>
                <w:rFonts w:hint="default" w:ascii="宋体" w:hAnsi="宋体" w:cs="宋体"/>
                <w:b/>
                <w:color w:val="auto"/>
                <w:szCs w:val="21"/>
                <w:highlight w:val="none"/>
              </w:rPr>
            </w:pPr>
            <w:r>
              <w:rPr>
                <w:rFonts w:hint="eastAsia" w:ascii="宋体" w:hAnsi="宋体" w:cs="宋体"/>
                <w:color w:val="auto"/>
                <w:szCs w:val="21"/>
                <w:highlight w:val="none"/>
              </w:rPr>
              <w:t>3.法定代表人授权委托书及委托代理人有效身份证正反面复印件；（</w:t>
            </w:r>
            <w:r>
              <w:rPr>
                <w:rFonts w:hint="eastAsia" w:ascii="宋体" w:hAnsi="宋体" w:cs="宋体"/>
                <w:b/>
                <w:color w:val="auto"/>
                <w:szCs w:val="21"/>
                <w:highlight w:val="none"/>
              </w:rPr>
              <w:t>委托时必须提供，否则响应文件按无效响应处理</w:t>
            </w:r>
            <w:r>
              <w:rPr>
                <w:rFonts w:hint="eastAsia" w:ascii="宋体" w:hAnsi="宋体" w:cs="宋体"/>
                <w:color w:val="auto"/>
                <w:szCs w:val="21"/>
                <w:highlight w:val="none"/>
              </w:rPr>
              <w:t>）</w:t>
            </w:r>
          </w:p>
          <w:p w14:paraId="445DAF13">
            <w:pPr>
              <w:keepNext w:val="0"/>
              <w:keepLines w:val="0"/>
              <w:suppressLineNumbers w:val="0"/>
              <w:spacing w:before="0" w:beforeAutospacing="0" w:after="0" w:afterAutospacing="0" w:line="360" w:lineRule="auto"/>
              <w:ind w:left="0" w:right="0"/>
              <w:rPr>
                <w:rFonts w:hint="eastAsia" w:ascii="宋体" w:hAnsi="宋体" w:cs="宋体"/>
                <w:color w:val="auto"/>
                <w:szCs w:val="21"/>
                <w:highlight w:val="none"/>
              </w:rPr>
            </w:pPr>
            <w:r>
              <w:rPr>
                <w:rFonts w:hint="eastAsia" w:ascii="宋体" w:hAnsi="宋体" w:cs="宋体"/>
                <w:color w:val="auto"/>
                <w:szCs w:val="21"/>
                <w:highlight w:val="none"/>
              </w:rPr>
              <w:t>4.商务条款偏离表；（</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5D09268B">
            <w:pPr>
              <w:pStyle w:val="14"/>
              <w:keepNext w:val="0"/>
              <w:keepLines w:val="0"/>
              <w:suppressLineNumbers w:val="0"/>
              <w:spacing w:before="0" w:beforeAutospacing="0" w:afterAutospacing="0"/>
              <w:ind w:left="0" w:right="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5.竞标人情况介绍；（如有请提供）</w:t>
            </w:r>
          </w:p>
          <w:p w14:paraId="5CFD70B7">
            <w:pPr>
              <w:pStyle w:val="14"/>
              <w:keepNext w:val="0"/>
              <w:keepLines w:val="0"/>
              <w:suppressLineNumbers w:val="0"/>
              <w:spacing w:before="0" w:beforeAutospacing="0" w:afterAutospacing="0"/>
              <w:ind w:left="0" w:right="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6.售后服务方案；（如有请提供）</w:t>
            </w:r>
          </w:p>
          <w:p w14:paraId="4505060B">
            <w:pPr>
              <w:keepNext w:val="0"/>
              <w:keepLines w:val="0"/>
              <w:suppressLineNumbers w:val="0"/>
              <w:spacing w:before="0" w:beforeAutospacing="0" w:after="0" w:afterAutospacing="0"/>
              <w:ind w:left="0" w:right="0"/>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7.拟投入本项目人员；（如有请提供）</w:t>
            </w:r>
            <w:r>
              <w:rPr>
                <w:rFonts w:hint="default" w:ascii="宋体" w:hAnsi="宋体" w:cs="宋体"/>
                <w:color w:val="auto"/>
                <w:szCs w:val="21"/>
                <w:highlight w:val="none"/>
                <w:lang w:val="en-US" w:eastAsia="zh-CN"/>
              </w:rPr>
              <w:t xml:space="preserve">    </w:t>
            </w:r>
          </w:p>
          <w:p w14:paraId="1E28B10E">
            <w:pPr>
              <w:keepNext w:val="0"/>
              <w:keepLines w:val="0"/>
              <w:suppressLineNumbers w:val="0"/>
              <w:spacing w:before="0" w:beforeAutospacing="0" w:after="0" w:afterAutospacing="0" w:line="360" w:lineRule="auto"/>
              <w:ind w:left="0" w:right="0"/>
              <w:rPr>
                <w:rFonts w:hint="eastAsia" w:ascii="宋体" w:hAnsi="宋体" w:cs="宋体"/>
                <w:szCs w:val="21"/>
              </w:rPr>
            </w:pPr>
            <w:r>
              <w:rPr>
                <w:rFonts w:hint="eastAsia" w:ascii="宋体" w:hAnsi="宋体" w:cs="宋体"/>
                <w:szCs w:val="21"/>
                <w:lang w:val="en-US" w:eastAsia="zh-CN"/>
              </w:rPr>
              <w:t>8</w:t>
            </w:r>
            <w:r>
              <w:rPr>
                <w:rFonts w:hint="eastAsia" w:ascii="宋体" w:hAnsi="宋体" w:cs="宋体"/>
                <w:szCs w:val="21"/>
              </w:rPr>
              <w:t>.供应商认为需要提供的其他有关资料。</w:t>
            </w:r>
          </w:p>
          <w:p w14:paraId="1287BCE6">
            <w:pPr>
              <w:keepNext w:val="0"/>
              <w:keepLines w:val="0"/>
              <w:suppressLineNumbers w:val="0"/>
              <w:snapToGrid w:val="0"/>
              <w:spacing w:before="0" w:beforeAutospacing="0" w:after="0" w:afterAutospacing="0" w:line="360" w:lineRule="auto"/>
              <w:ind w:left="0" w:right="0"/>
              <w:jc w:val="left"/>
              <w:rPr>
                <w:rFonts w:hint="default" w:ascii="宋体" w:hAnsi="宋体" w:cs="宋体"/>
                <w:b/>
                <w:color w:val="auto"/>
                <w:szCs w:val="21"/>
                <w:highlight w:val="none"/>
              </w:rPr>
            </w:pPr>
            <w:r>
              <w:rPr>
                <w:rFonts w:hint="eastAsia" w:ascii="宋体" w:hAnsi="宋体" w:cs="宋体"/>
                <w:b/>
                <w:color w:val="auto"/>
                <w:szCs w:val="21"/>
                <w:highlight w:val="none"/>
              </w:rPr>
              <w:t xml:space="preserve">注： </w:t>
            </w:r>
          </w:p>
          <w:p w14:paraId="18519446">
            <w:pPr>
              <w:keepNext w:val="0"/>
              <w:keepLines w:val="0"/>
              <w:suppressLineNumbers w:val="0"/>
              <w:snapToGrid w:val="0"/>
              <w:spacing w:before="0" w:beforeAutospacing="0" w:after="0" w:afterAutospacing="0" w:line="360" w:lineRule="auto"/>
              <w:ind w:left="0" w:right="0" w:firstLine="413" w:firstLineChars="196"/>
              <w:jc w:val="left"/>
              <w:rPr>
                <w:rFonts w:hint="default" w:ascii="宋体" w:hAnsi="宋体" w:cs="宋体"/>
                <w:b/>
                <w:color w:val="auto"/>
                <w:szCs w:val="21"/>
                <w:highlight w:val="none"/>
              </w:rPr>
            </w:pPr>
            <w:r>
              <w:rPr>
                <w:rFonts w:hint="eastAsia" w:ascii="宋体" w:hAnsi="宋体" w:cs="宋体"/>
                <w:b/>
                <w:color w:val="auto"/>
                <w:szCs w:val="21"/>
                <w:highlight w:val="none"/>
              </w:rPr>
              <w:t>1.法定代表人授权委托书必须由法定代表人及委托代理人签字，并加盖供应商公章，否则响应文件按无效响应处理。</w:t>
            </w:r>
          </w:p>
          <w:p w14:paraId="4BB45669">
            <w:pPr>
              <w:keepNext w:val="0"/>
              <w:keepLines w:val="0"/>
              <w:suppressLineNumbers w:val="0"/>
              <w:spacing w:before="0" w:beforeAutospacing="0" w:after="0" w:afterAutospacing="0" w:line="360" w:lineRule="auto"/>
              <w:ind w:left="0" w:right="0" w:firstLine="413" w:firstLineChars="196"/>
              <w:rPr>
                <w:rFonts w:hint="default" w:ascii="宋体" w:hAnsi="宋体" w:cs="宋体"/>
                <w:b/>
                <w:color w:val="auto"/>
                <w:szCs w:val="21"/>
                <w:highlight w:val="none"/>
              </w:rPr>
            </w:pPr>
            <w:r>
              <w:rPr>
                <w:rFonts w:hint="default" w:ascii="宋体" w:hAnsi="宋体" w:cs="宋体"/>
                <w:b/>
                <w:color w:val="auto"/>
                <w:szCs w:val="21"/>
                <w:highlight w:val="none"/>
              </w:rPr>
              <w:t>2</w:t>
            </w:r>
            <w:r>
              <w:rPr>
                <w:rFonts w:hint="eastAsia" w:ascii="宋体" w:hAnsi="宋体" w:cs="宋体"/>
                <w:b/>
                <w:color w:val="auto"/>
                <w:szCs w:val="21"/>
                <w:highlight w:val="none"/>
              </w:rPr>
              <w:t>.以上标明“必须提供”的材料属于复印件的扫描件的，必须加盖供应商电子公章，否则响应文件按无效响应处理。</w:t>
            </w:r>
          </w:p>
        </w:tc>
      </w:tr>
      <w:tr w14:paraId="08F0B5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vMerge w:val="continue"/>
            <w:noWrap w:val="0"/>
            <w:vAlign w:val="center"/>
          </w:tcPr>
          <w:p w14:paraId="45CCD8B3">
            <w:pPr>
              <w:keepNext w:val="0"/>
              <w:keepLines w:val="0"/>
              <w:suppressLineNumbers w:val="0"/>
              <w:spacing w:before="0" w:beforeAutospacing="0" w:after="0" w:afterAutospacing="0" w:line="360" w:lineRule="auto"/>
              <w:ind w:left="0" w:right="0"/>
              <w:jc w:val="center"/>
              <w:rPr>
                <w:rFonts w:hint="default" w:ascii="宋体" w:hAnsi="宋体" w:cs="宋体"/>
                <w:color w:val="auto"/>
                <w:szCs w:val="21"/>
                <w:highlight w:val="none"/>
              </w:rPr>
            </w:pPr>
          </w:p>
        </w:tc>
        <w:tc>
          <w:tcPr>
            <w:tcW w:w="2640" w:type="dxa"/>
            <w:noWrap w:val="0"/>
            <w:vAlign w:val="center"/>
          </w:tcPr>
          <w:p w14:paraId="37A7C04B">
            <w:pPr>
              <w:keepNext w:val="0"/>
              <w:keepLines w:val="0"/>
              <w:suppressLineNumbers w:val="0"/>
              <w:spacing w:before="0" w:beforeAutospacing="0" w:after="0" w:afterAutospacing="0" w:line="360" w:lineRule="auto"/>
              <w:ind w:left="0" w:right="0"/>
              <w:jc w:val="center"/>
              <w:rPr>
                <w:rFonts w:hint="default" w:ascii="宋体" w:hAnsi="宋体" w:cs="宋体"/>
                <w:b/>
                <w:bCs/>
                <w:color w:val="auto"/>
                <w:szCs w:val="21"/>
                <w:highlight w:val="none"/>
              </w:rPr>
            </w:pPr>
            <w:r>
              <w:rPr>
                <w:rFonts w:hint="eastAsia" w:ascii="宋体" w:hAnsi="宋体" w:cs="宋体"/>
                <w:b/>
                <w:bCs/>
                <w:color w:val="auto"/>
                <w:szCs w:val="21"/>
                <w:highlight w:val="none"/>
              </w:rPr>
              <w:t>技术文件组成</w:t>
            </w:r>
          </w:p>
        </w:tc>
        <w:tc>
          <w:tcPr>
            <w:tcW w:w="6765" w:type="dxa"/>
            <w:noWrap w:val="0"/>
            <w:vAlign w:val="center"/>
          </w:tcPr>
          <w:p w14:paraId="761A42A2">
            <w:pPr>
              <w:keepNext w:val="0"/>
              <w:keepLines w:val="0"/>
              <w:suppressLineNumbers w:val="0"/>
              <w:spacing w:before="0" w:beforeAutospacing="0" w:after="0" w:afterAutospacing="0" w:line="360" w:lineRule="auto"/>
              <w:ind w:left="0" w:right="0"/>
              <w:rPr>
                <w:rFonts w:hint="default" w:ascii="宋体" w:hAnsi="宋体" w:cs="宋体"/>
                <w:color w:val="auto"/>
                <w:szCs w:val="21"/>
                <w:highlight w:val="none"/>
              </w:rPr>
            </w:pPr>
            <w:r>
              <w:rPr>
                <w:rFonts w:hint="eastAsia" w:ascii="宋体" w:hAnsi="宋体" w:cs="宋体"/>
                <w:color w:val="auto"/>
                <w:szCs w:val="21"/>
                <w:highlight w:val="none"/>
              </w:rPr>
              <w:t>1.服务需求偏离表；（</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33285F69">
            <w:pPr>
              <w:keepNext w:val="0"/>
              <w:keepLines w:val="0"/>
              <w:suppressLineNumbers w:val="0"/>
              <w:spacing w:before="0" w:beforeAutospacing="0" w:after="0" w:afterAutospacing="0" w:line="360" w:lineRule="auto"/>
              <w:ind w:left="0" w:right="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rPr>
              <w:t>线路技术参数响应</w:t>
            </w:r>
            <w:r>
              <w:rPr>
                <w:rFonts w:hint="eastAsia" w:ascii="宋体" w:hAnsi="宋体" w:eastAsia="宋体" w:cs="宋体"/>
                <w:color w:val="auto"/>
                <w:szCs w:val="21"/>
                <w:highlight w:val="none"/>
                <w:lang w:eastAsia="zh-CN"/>
              </w:rPr>
              <w:t>、网络安全设备技术参数响应、其他设备技术参数响应</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翻墙管控行为</w:t>
            </w:r>
            <w:r>
              <w:rPr>
                <w:rFonts w:hint="eastAsia" w:ascii="宋体" w:hAnsi="宋体" w:eastAsia="宋体" w:cs="宋体"/>
                <w:color w:val="auto"/>
                <w:szCs w:val="21"/>
                <w:highlight w:val="none"/>
                <w:lang w:val="en-US" w:eastAsia="zh-CN"/>
              </w:rPr>
              <w:t>等材料</w:t>
            </w:r>
            <w:r>
              <w:rPr>
                <w:rFonts w:hint="eastAsia" w:ascii="宋体" w:hAnsi="宋体" w:eastAsia="宋体" w:cs="宋体"/>
                <w:szCs w:val="21"/>
                <w:highlight w:val="none"/>
                <w:lang w:val="en-US" w:eastAsia="zh-CN"/>
              </w:rPr>
              <w:t>；</w:t>
            </w:r>
            <w:r>
              <w:rPr>
                <w:rFonts w:hint="eastAsia" w:ascii="宋体" w:hAnsi="宋体" w:cs="宋体"/>
                <w:color w:val="auto"/>
                <w:szCs w:val="21"/>
                <w:highlight w:val="none"/>
              </w:rPr>
              <w:t>（如有请提交）</w:t>
            </w:r>
          </w:p>
          <w:p w14:paraId="3C352007">
            <w:pPr>
              <w:keepNext w:val="0"/>
              <w:keepLines w:val="0"/>
              <w:suppressLineNumbers w:val="0"/>
              <w:spacing w:before="0" w:beforeAutospacing="0" w:after="0" w:afterAutospacing="0" w:line="360" w:lineRule="auto"/>
              <w:ind w:left="0" w:right="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eastAsia="宋体" w:cs="Times New Roman"/>
                <w:color w:val="auto"/>
                <w:kern w:val="0"/>
                <w:szCs w:val="21"/>
                <w:highlight w:val="none"/>
              </w:rPr>
              <w:t>技术方案</w:t>
            </w:r>
            <w:r>
              <w:rPr>
                <w:rFonts w:hint="eastAsia" w:ascii="宋体" w:hAnsi="宋体" w:cs="宋体"/>
                <w:color w:val="auto"/>
                <w:szCs w:val="21"/>
                <w:highlight w:val="none"/>
              </w:rPr>
              <w:t>；</w:t>
            </w:r>
            <w:r>
              <w:rPr>
                <w:rFonts w:hint="eastAsia" w:ascii="宋体" w:hAnsi="宋体" w:eastAsia="宋体" w:cs="宋体"/>
                <w:b/>
                <w:color w:val="auto"/>
                <w:szCs w:val="21"/>
                <w:highlight w:val="none"/>
              </w:rPr>
              <w:t>（必须提供，否则响应文件按无效响应处理）</w:t>
            </w:r>
          </w:p>
          <w:p w14:paraId="048EA32F">
            <w:pPr>
              <w:keepNext w:val="0"/>
              <w:keepLines w:val="0"/>
              <w:suppressLineNumbers w:val="0"/>
              <w:spacing w:before="0" w:beforeAutospacing="0" w:after="0" w:afterAutospacing="0" w:line="360" w:lineRule="auto"/>
              <w:ind w:left="0" w:right="0"/>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3.</w:t>
            </w:r>
            <w:r>
              <w:rPr>
                <w:rFonts w:hint="eastAsia" w:ascii="宋体" w:hAnsi="宋体" w:cs="宋体"/>
                <w:color w:val="auto"/>
                <w:szCs w:val="21"/>
                <w:highlight w:val="none"/>
                <w:lang w:val="en-US" w:eastAsia="zh-CN"/>
              </w:rPr>
              <w:t>实施方案</w:t>
            </w:r>
            <w:r>
              <w:rPr>
                <w:rFonts w:hint="eastAsia" w:ascii="宋体" w:hAnsi="宋体" w:cs="宋体"/>
                <w:color w:val="auto"/>
                <w:szCs w:val="21"/>
                <w:highlight w:val="none"/>
              </w:rPr>
              <w:t>；</w:t>
            </w:r>
            <w:r>
              <w:rPr>
                <w:rFonts w:hint="eastAsia" w:ascii="宋体" w:hAnsi="宋体" w:eastAsia="宋体" w:cs="宋体"/>
                <w:b/>
                <w:color w:val="auto"/>
                <w:szCs w:val="21"/>
                <w:highlight w:val="none"/>
              </w:rPr>
              <w:t>（必须提供，否则响应文件按无效响应处理）</w:t>
            </w:r>
          </w:p>
          <w:p w14:paraId="536D0B04">
            <w:pPr>
              <w:keepNext w:val="0"/>
              <w:keepLines w:val="0"/>
              <w:suppressLineNumbers w:val="0"/>
              <w:spacing w:before="0" w:beforeAutospacing="0" w:after="0" w:afterAutospacing="0" w:line="360" w:lineRule="auto"/>
              <w:ind w:left="0" w:right="0"/>
              <w:rPr>
                <w:rFonts w:hint="default" w:ascii="宋体" w:hAnsi="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.对应采购需求的服务需求提供的其他文件资料；（如有请提交）</w:t>
            </w:r>
          </w:p>
          <w:p w14:paraId="2F9CD323">
            <w:pPr>
              <w:keepNext w:val="0"/>
              <w:keepLines w:val="0"/>
              <w:suppressLineNumbers w:val="0"/>
              <w:spacing w:before="0" w:beforeAutospacing="0" w:after="0" w:afterAutospacing="0" w:line="360" w:lineRule="auto"/>
              <w:ind w:left="0" w:right="0"/>
              <w:rPr>
                <w:rFonts w:hint="default" w:ascii="宋体" w:hAnsi="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.供应商认为需要提供的其他有关资料。（如有请提交）</w:t>
            </w:r>
          </w:p>
          <w:p w14:paraId="04BAFBCD">
            <w:pPr>
              <w:keepNext w:val="0"/>
              <w:keepLines w:val="0"/>
              <w:suppressLineNumbers w:val="0"/>
              <w:spacing w:before="0" w:beforeAutospacing="0" w:after="0" w:afterAutospacing="0" w:line="360" w:lineRule="auto"/>
              <w:ind w:left="0" w:right="0"/>
              <w:rPr>
                <w:rFonts w:hint="default" w:ascii="宋体" w:hAnsi="宋体" w:cs="宋体"/>
                <w:color w:val="auto"/>
                <w:szCs w:val="21"/>
                <w:highlight w:val="none"/>
              </w:rPr>
            </w:pPr>
            <w:r>
              <w:rPr>
                <w:rFonts w:hint="eastAsia" w:ascii="宋体" w:hAnsi="宋体" w:cs="宋体"/>
                <w:b/>
                <w:color w:val="auto"/>
                <w:szCs w:val="21"/>
                <w:highlight w:val="none"/>
              </w:rPr>
              <w:t>注：1.以上标明“必须提供”的材料属于复印件的扫描件的，必须加盖供应商电子公章，否则响应文件按无效响应处理。</w:t>
            </w:r>
          </w:p>
        </w:tc>
      </w:tr>
      <w:tr w14:paraId="214D8A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noWrap w:val="0"/>
            <w:vAlign w:val="center"/>
          </w:tcPr>
          <w:p w14:paraId="08F6FC55">
            <w:pPr>
              <w:keepNext w:val="0"/>
              <w:keepLines w:val="0"/>
              <w:suppressLineNumbers w:val="0"/>
              <w:spacing w:before="0" w:beforeAutospacing="0" w:after="0" w:afterAutospacing="0" w:line="360" w:lineRule="auto"/>
              <w:ind w:left="0" w:right="0"/>
              <w:jc w:val="center"/>
              <w:rPr>
                <w:rFonts w:hint="default" w:ascii="宋体" w:hAnsi="宋体" w:cs="宋体"/>
                <w:color w:val="auto"/>
                <w:szCs w:val="21"/>
                <w:highlight w:val="none"/>
              </w:rPr>
            </w:pPr>
            <w:r>
              <w:rPr>
                <w:rFonts w:hint="eastAsia" w:ascii="宋体" w:hAnsi="宋体" w:cs="宋体"/>
                <w:color w:val="auto"/>
                <w:szCs w:val="21"/>
                <w:highlight w:val="none"/>
              </w:rPr>
              <w:t>12.</w:t>
            </w:r>
            <w:r>
              <w:rPr>
                <w:rFonts w:hint="default" w:ascii="宋体" w:hAnsi="宋体" w:cs="宋体"/>
                <w:color w:val="auto"/>
                <w:szCs w:val="21"/>
                <w:highlight w:val="none"/>
              </w:rPr>
              <w:t>1</w:t>
            </w:r>
            <w:r>
              <w:rPr>
                <w:rFonts w:hint="eastAsia" w:ascii="宋体" w:hAnsi="宋体" w:cs="宋体"/>
                <w:color w:val="auto"/>
                <w:szCs w:val="21"/>
                <w:highlight w:val="none"/>
              </w:rPr>
              <w:t>.2</w:t>
            </w:r>
          </w:p>
        </w:tc>
        <w:tc>
          <w:tcPr>
            <w:tcW w:w="2640" w:type="dxa"/>
            <w:noWrap w:val="0"/>
            <w:vAlign w:val="center"/>
          </w:tcPr>
          <w:p w14:paraId="5403D5FA">
            <w:pPr>
              <w:keepNext w:val="0"/>
              <w:keepLines w:val="0"/>
              <w:suppressLineNumbers w:val="0"/>
              <w:spacing w:before="0" w:beforeAutospacing="0" w:after="0" w:afterAutospacing="0" w:line="360" w:lineRule="auto"/>
              <w:ind w:left="0" w:right="0"/>
              <w:jc w:val="center"/>
              <w:rPr>
                <w:rFonts w:hint="default" w:ascii="宋体" w:hAnsi="宋体" w:cs="宋体"/>
                <w:color w:val="auto"/>
                <w:szCs w:val="21"/>
                <w:highlight w:val="none"/>
              </w:rPr>
            </w:pPr>
            <w:r>
              <w:rPr>
                <w:rFonts w:hint="eastAsia" w:ascii="宋体" w:hAnsi="宋体" w:cs="宋体"/>
                <w:b/>
                <w:bCs/>
                <w:color w:val="auto"/>
                <w:szCs w:val="21"/>
                <w:highlight w:val="none"/>
              </w:rPr>
              <w:t>报价文件组成</w:t>
            </w:r>
          </w:p>
        </w:tc>
        <w:tc>
          <w:tcPr>
            <w:tcW w:w="6765" w:type="dxa"/>
            <w:noWrap w:val="0"/>
            <w:vAlign w:val="center"/>
          </w:tcPr>
          <w:p w14:paraId="391D8C32">
            <w:pPr>
              <w:keepNext w:val="0"/>
              <w:keepLines w:val="0"/>
              <w:suppressLineNumbers w:val="0"/>
              <w:tabs>
                <w:tab w:val="left" w:pos="459"/>
              </w:tabs>
              <w:snapToGrid w:val="0"/>
              <w:spacing w:before="0" w:beforeAutospacing="0" w:after="0" w:afterAutospacing="0" w:line="380" w:lineRule="exact"/>
              <w:ind w:left="0" w:right="0"/>
              <w:jc w:val="left"/>
              <w:rPr>
                <w:rFonts w:hint="default" w:ascii="宋体" w:hAnsi="宋体" w:cs="Times New Roman"/>
                <w:color w:val="auto"/>
                <w:szCs w:val="21"/>
                <w:highlight w:val="none"/>
              </w:rPr>
            </w:pPr>
            <w:r>
              <w:rPr>
                <w:rFonts w:hint="eastAsia" w:ascii="宋体" w:hAnsi="宋体" w:cs="Times New Roman"/>
                <w:color w:val="auto"/>
                <w:szCs w:val="21"/>
                <w:highlight w:val="none"/>
              </w:rPr>
              <w:t>1.响应函；</w:t>
            </w:r>
            <w:r>
              <w:rPr>
                <w:rFonts w:hint="eastAsia" w:ascii="宋体" w:hAnsi="宋体" w:cs="Times New Roman"/>
                <w:b/>
                <w:color w:val="auto"/>
                <w:szCs w:val="21"/>
                <w:highlight w:val="none"/>
              </w:rPr>
              <w:t>（必须提供，否则作无效响应处理）</w:t>
            </w:r>
          </w:p>
          <w:p w14:paraId="39F60306">
            <w:pPr>
              <w:keepNext w:val="0"/>
              <w:keepLines w:val="0"/>
              <w:suppressLineNumbers w:val="0"/>
              <w:spacing w:before="0" w:beforeAutospacing="0" w:after="0" w:afterAutospacing="0" w:line="360" w:lineRule="auto"/>
              <w:ind w:left="0" w:right="0"/>
              <w:rPr>
                <w:rFonts w:hint="default" w:ascii="宋体" w:hAnsi="宋体" w:cs="宋体"/>
                <w:color w:val="auto"/>
                <w:szCs w:val="21"/>
                <w:highlight w:val="none"/>
              </w:rPr>
            </w:pPr>
            <w:r>
              <w:rPr>
                <w:rFonts w:hint="eastAsia" w:ascii="宋体" w:hAnsi="宋体" w:cs="宋体"/>
                <w:color w:val="auto"/>
                <w:szCs w:val="21"/>
                <w:highlight w:val="none"/>
              </w:rPr>
              <w:t>2.响应报价表；（</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56928E4D">
            <w:pPr>
              <w:keepNext w:val="0"/>
              <w:keepLines w:val="0"/>
              <w:suppressLineNumbers w:val="0"/>
              <w:spacing w:before="0" w:beforeAutospacing="0" w:after="0" w:afterAutospacing="0" w:line="360" w:lineRule="auto"/>
              <w:ind w:left="0" w:right="0"/>
              <w:rPr>
                <w:rFonts w:hint="eastAsia" w:ascii="宋体" w:hAnsi="宋体" w:eastAsia="宋体" w:cs="宋体"/>
                <w:color w:val="auto"/>
                <w:szCs w:val="21"/>
                <w:highlight w:val="none"/>
                <w:lang w:eastAsia="zh-CN"/>
              </w:rPr>
            </w:pPr>
            <w:r>
              <w:rPr>
                <w:rFonts w:hint="eastAsia" w:ascii="宋体" w:hAnsi="宋体" w:cs="Times New Roman"/>
                <w:color w:val="auto"/>
                <w:szCs w:val="21"/>
                <w:highlight w:val="none"/>
              </w:rPr>
              <w:t>3.中小企业声明函。</w:t>
            </w:r>
            <w:r>
              <w:rPr>
                <w:rFonts w:hint="eastAsia" w:ascii="宋体" w:hAnsi="宋体" w:cs="Times New Roman"/>
                <w:color w:val="auto"/>
                <w:szCs w:val="21"/>
                <w:highlight w:val="none"/>
                <w:lang w:eastAsia="zh-CN"/>
              </w:rPr>
              <w:t>（</w:t>
            </w:r>
            <w:r>
              <w:rPr>
                <w:rFonts w:hint="eastAsia" w:ascii="宋体" w:hAnsi="宋体" w:cs="Times New Roman"/>
                <w:color w:val="auto"/>
                <w:szCs w:val="21"/>
                <w:highlight w:val="none"/>
                <w:lang w:val="en-US" w:eastAsia="zh-CN"/>
              </w:rPr>
              <w:t>如有请提供</w:t>
            </w:r>
            <w:r>
              <w:rPr>
                <w:rFonts w:hint="eastAsia" w:ascii="宋体" w:hAnsi="宋体" w:cs="Times New Roman"/>
                <w:color w:val="auto"/>
                <w:szCs w:val="21"/>
                <w:highlight w:val="none"/>
                <w:lang w:eastAsia="zh-CN"/>
              </w:rPr>
              <w:t>）</w:t>
            </w:r>
          </w:p>
        </w:tc>
      </w:tr>
      <w:tr w14:paraId="07F2DE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noWrap w:val="0"/>
            <w:vAlign w:val="center"/>
          </w:tcPr>
          <w:p w14:paraId="7C0F8B19">
            <w:pPr>
              <w:keepNext w:val="0"/>
              <w:keepLines w:val="0"/>
              <w:suppressLineNumbers w:val="0"/>
              <w:spacing w:before="0" w:beforeAutospacing="0" w:after="0" w:afterAutospacing="0" w:line="360" w:lineRule="auto"/>
              <w:ind w:left="0" w:right="0"/>
              <w:jc w:val="center"/>
              <w:rPr>
                <w:rFonts w:hint="default" w:ascii="宋体" w:hAnsi="宋体" w:cs="宋体"/>
                <w:color w:val="auto"/>
                <w:szCs w:val="21"/>
                <w:highlight w:val="none"/>
              </w:rPr>
            </w:pPr>
            <w:r>
              <w:rPr>
                <w:rFonts w:hint="eastAsia" w:ascii="宋体" w:hAnsi="宋体" w:cs="宋体"/>
                <w:color w:val="auto"/>
                <w:szCs w:val="21"/>
                <w:highlight w:val="none"/>
              </w:rPr>
              <w:t>12.</w:t>
            </w:r>
            <w:r>
              <w:rPr>
                <w:rFonts w:hint="default" w:ascii="宋体" w:hAnsi="宋体" w:cs="宋体"/>
                <w:color w:val="auto"/>
                <w:szCs w:val="21"/>
                <w:highlight w:val="none"/>
              </w:rPr>
              <w:t>2</w:t>
            </w:r>
          </w:p>
        </w:tc>
        <w:tc>
          <w:tcPr>
            <w:tcW w:w="2640" w:type="dxa"/>
            <w:noWrap w:val="0"/>
            <w:vAlign w:val="center"/>
          </w:tcPr>
          <w:p w14:paraId="7BBEF914">
            <w:pPr>
              <w:keepNext w:val="0"/>
              <w:keepLines w:val="0"/>
              <w:suppressLineNumbers w:val="0"/>
              <w:spacing w:before="0" w:beforeAutospacing="0" w:after="0" w:afterAutospacing="0" w:line="360" w:lineRule="auto"/>
              <w:ind w:left="0" w:right="0"/>
              <w:jc w:val="center"/>
              <w:rPr>
                <w:rFonts w:hint="default" w:ascii="宋体" w:hAnsi="宋体" w:cs="宋体"/>
                <w:color w:val="auto"/>
                <w:szCs w:val="21"/>
                <w:highlight w:val="none"/>
              </w:rPr>
            </w:pPr>
            <w:r>
              <w:rPr>
                <w:rFonts w:hint="eastAsia" w:ascii="宋体" w:hAnsi="宋体" w:cs="宋体"/>
                <w:color w:val="auto"/>
                <w:szCs w:val="21"/>
                <w:highlight w:val="none"/>
              </w:rPr>
              <w:t>响应文件电子版要求</w:t>
            </w:r>
          </w:p>
        </w:tc>
        <w:tc>
          <w:tcPr>
            <w:tcW w:w="6765" w:type="dxa"/>
            <w:noWrap w:val="0"/>
            <w:vAlign w:val="center"/>
          </w:tcPr>
          <w:p w14:paraId="50C2AF7B">
            <w:pPr>
              <w:keepNext w:val="0"/>
              <w:keepLines w:val="0"/>
              <w:suppressLineNumbers w:val="0"/>
              <w:snapToGrid w:val="0"/>
              <w:spacing w:before="0" w:beforeAutospacing="0" w:after="0" w:afterAutospacing="0" w:line="360" w:lineRule="auto"/>
              <w:ind w:left="0" w:right="0"/>
              <w:jc w:val="left"/>
              <w:rPr>
                <w:rFonts w:hint="default" w:ascii="宋体" w:hAnsi="宋体" w:cs="宋体"/>
                <w:color w:val="auto"/>
                <w:szCs w:val="21"/>
                <w:highlight w:val="none"/>
              </w:rPr>
            </w:pPr>
            <w:r>
              <w:rPr>
                <w:rFonts w:hint="eastAsia" w:ascii="宋体" w:hAnsi="宋体" w:cs="宋体"/>
                <w:color w:val="auto"/>
                <w:szCs w:val="21"/>
                <w:highlight w:val="none"/>
              </w:rPr>
              <w:t>1.响应文件电子版要求：按照本采购文件“</w:t>
            </w:r>
            <w:r>
              <w:rPr>
                <w:rFonts w:hint="eastAsia" w:ascii="宋体" w:hAnsi="宋体" w:cs="Times New Roman"/>
                <w:color w:val="auto"/>
                <w:szCs w:val="21"/>
                <w:highlight w:val="none"/>
              </w:rPr>
              <w:t>第五章 响应文件格式</w:t>
            </w:r>
            <w:r>
              <w:rPr>
                <w:rFonts w:hint="eastAsia" w:ascii="宋体" w:hAnsi="宋体" w:cs="宋体"/>
                <w:color w:val="auto"/>
                <w:szCs w:val="21"/>
                <w:highlight w:val="none"/>
              </w:rPr>
              <w:t>”编写（第五章未附格式的，由供应商自行拟定），不可涂改并在规定加盖公章处加盖电子公章，</w:t>
            </w:r>
            <w:r>
              <w:rPr>
                <w:rFonts w:hint="eastAsia" w:ascii="宋体" w:hAnsi="宋体" w:cs="宋体"/>
                <w:b/>
                <w:color w:val="auto"/>
                <w:szCs w:val="21"/>
                <w:highlight w:val="none"/>
              </w:rPr>
              <w:t>否则响应文件按无效响应处理</w:t>
            </w:r>
            <w:r>
              <w:rPr>
                <w:rFonts w:hint="eastAsia" w:ascii="宋体" w:hAnsi="宋体" w:cs="宋体"/>
                <w:color w:val="auto"/>
                <w:szCs w:val="21"/>
                <w:highlight w:val="none"/>
              </w:rPr>
              <w:t>。</w:t>
            </w:r>
          </w:p>
          <w:p w14:paraId="05F7626F">
            <w:pPr>
              <w:keepNext w:val="0"/>
              <w:keepLines w:val="0"/>
              <w:suppressLineNumbers w:val="0"/>
              <w:snapToGrid w:val="0"/>
              <w:spacing w:before="0" w:beforeAutospacing="0" w:after="0" w:afterAutospacing="0" w:line="360" w:lineRule="auto"/>
              <w:ind w:left="0" w:right="0"/>
              <w:jc w:val="left"/>
              <w:rPr>
                <w:rFonts w:hint="default"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Courier New"/>
                <w:color w:val="auto"/>
                <w:szCs w:val="21"/>
                <w:highlight w:val="none"/>
              </w:rPr>
              <w:t>.响应文件电子版密封方式：电子响应文件通过平台有效CA加密后在“政采云”平台投送。（操作方式见公告附件“</w:t>
            </w:r>
            <w:r>
              <w:rPr>
                <w:rFonts w:hint="eastAsia" w:ascii="宋体" w:hAnsi="宋体" w:cs="Times New Roman"/>
                <w:color w:val="auto"/>
                <w:szCs w:val="21"/>
                <w:highlight w:val="none"/>
              </w:rPr>
              <w:t>电子响应文件制作与投送教程</w:t>
            </w:r>
            <w:r>
              <w:rPr>
                <w:rFonts w:hint="eastAsia" w:ascii="宋体" w:hAnsi="宋体" w:cs="Courier New"/>
                <w:color w:val="auto"/>
                <w:szCs w:val="21"/>
                <w:highlight w:val="none"/>
              </w:rPr>
              <w:t>”）</w:t>
            </w:r>
          </w:p>
        </w:tc>
      </w:tr>
      <w:tr w14:paraId="0EC3D3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noWrap w:val="0"/>
            <w:vAlign w:val="center"/>
          </w:tcPr>
          <w:p w14:paraId="4F256560">
            <w:pPr>
              <w:keepNext w:val="0"/>
              <w:keepLines w:val="0"/>
              <w:suppressLineNumbers w:val="0"/>
              <w:spacing w:before="0" w:beforeAutospacing="0" w:after="0" w:afterAutospacing="0" w:line="360" w:lineRule="auto"/>
              <w:ind w:left="0" w:right="0"/>
              <w:jc w:val="center"/>
              <w:rPr>
                <w:rFonts w:hint="default" w:ascii="宋体" w:hAnsi="宋体" w:cs="宋体"/>
                <w:color w:val="auto"/>
                <w:szCs w:val="21"/>
                <w:highlight w:val="none"/>
              </w:rPr>
            </w:pPr>
            <w:r>
              <w:rPr>
                <w:rFonts w:hint="eastAsia" w:ascii="宋体" w:hAnsi="宋体" w:cs="宋体"/>
                <w:color w:val="auto"/>
                <w:szCs w:val="21"/>
                <w:highlight w:val="none"/>
              </w:rPr>
              <w:t>15.2</w:t>
            </w:r>
          </w:p>
        </w:tc>
        <w:tc>
          <w:tcPr>
            <w:tcW w:w="2640" w:type="dxa"/>
            <w:noWrap w:val="0"/>
            <w:vAlign w:val="center"/>
          </w:tcPr>
          <w:p w14:paraId="030BD137">
            <w:pPr>
              <w:keepNext w:val="0"/>
              <w:keepLines w:val="0"/>
              <w:suppressLineNumbers w:val="0"/>
              <w:spacing w:before="0" w:beforeAutospacing="0" w:after="0" w:afterAutospacing="0" w:line="360" w:lineRule="auto"/>
              <w:ind w:left="0" w:right="0"/>
              <w:jc w:val="center"/>
              <w:rPr>
                <w:rFonts w:hint="default" w:ascii="宋体" w:hAnsi="宋体" w:cs="宋体"/>
                <w:color w:val="auto"/>
                <w:szCs w:val="21"/>
                <w:highlight w:val="none"/>
              </w:rPr>
            </w:pPr>
            <w:r>
              <w:rPr>
                <w:rFonts w:hint="eastAsia" w:ascii="宋体" w:hAnsi="宋体" w:cs="宋体"/>
                <w:color w:val="auto"/>
                <w:szCs w:val="21"/>
                <w:highlight w:val="none"/>
              </w:rPr>
              <w:t>响应报价要求</w:t>
            </w:r>
          </w:p>
        </w:tc>
        <w:tc>
          <w:tcPr>
            <w:tcW w:w="6765" w:type="dxa"/>
            <w:noWrap w:val="0"/>
            <w:vAlign w:val="center"/>
          </w:tcPr>
          <w:p w14:paraId="36B35277">
            <w:pPr>
              <w:keepNext w:val="0"/>
              <w:keepLines w:val="0"/>
              <w:suppressLineNumbers w:val="0"/>
              <w:snapToGrid w:val="0"/>
              <w:spacing w:before="0" w:beforeAutospacing="0" w:after="0" w:afterAutospacing="0" w:line="360" w:lineRule="auto"/>
              <w:ind w:left="0" w:right="0"/>
              <w:jc w:val="left"/>
              <w:rPr>
                <w:rFonts w:hint="default" w:ascii="宋体" w:hAnsi="宋体" w:cs="宋体"/>
                <w:color w:val="auto"/>
                <w:szCs w:val="21"/>
                <w:highlight w:val="none"/>
              </w:rPr>
            </w:pPr>
            <w:r>
              <w:rPr>
                <w:rFonts w:hint="eastAsia" w:ascii="宋体" w:hAnsi="宋体" w:cs="宋体"/>
                <w:color w:val="auto"/>
                <w:szCs w:val="21"/>
                <w:highlight w:val="none"/>
              </w:rPr>
              <w:t>响应报价必须包含满足本次竞标全部采购需求所应提供的服务，以及伴随的货物和工程（如有）的价格；包含竞标服务、货物、工程的成本、运输（含保险）、安装（如有）、调试、检验、技术服务、培训、税费等所有费用。</w:t>
            </w:r>
            <w:r>
              <w:rPr>
                <w:rFonts w:hint="eastAsia" w:ascii="宋体" w:hAnsi="宋体" w:cs="Times New Roman"/>
                <w:b/>
                <w:color w:val="auto"/>
                <w:szCs w:val="21"/>
                <w:highlight w:val="none"/>
              </w:rPr>
              <w:t>（采购需求另有约定的，从其约定。）</w:t>
            </w:r>
          </w:p>
        </w:tc>
      </w:tr>
      <w:tr w14:paraId="76BE06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noWrap w:val="0"/>
            <w:vAlign w:val="center"/>
          </w:tcPr>
          <w:p w14:paraId="6CD13A8B">
            <w:pPr>
              <w:keepNext w:val="0"/>
              <w:keepLines w:val="0"/>
              <w:suppressLineNumbers w:val="0"/>
              <w:spacing w:before="0" w:beforeAutospacing="0" w:after="0" w:afterAutospacing="0" w:line="360" w:lineRule="auto"/>
              <w:ind w:left="0" w:right="0"/>
              <w:jc w:val="center"/>
              <w:rPr>
                <w:rFonts w:hint="default" w:ascii="宋体" w:hAnsi="宋体" w:cs="宋体"/>
                <w:color w:val="auto"/>
                <w:szCs w:val="21"/>
                <w:highlight w:val="none"/>
              </w:rPr>
            </w:pPr>
            <w:r>
              <w:rPr>
                <w:rFonts w:hint="eastAsia" w:ascii="宋体" w:hAnsi="宋体" w:cs="宋体"/>
                <w:color w:val="auto"/>
                <w:szCs w:val="21"/>
                <w:highlight w:val="none"/>
              </w:rPr>
              <w:t>16.</w:t>
            </w:r>
            <w:r>
              <w:rPr>
                <w:rFonts w:hint="default" w:ascii="宋体" w:hAnsi="宋体" w:cs="宋体"/>
                <w:color w:val="auto"/>
                <w:szCs w:val="21"/>
                <w:highlight w:val="none"/>
              </w:rPr>
              <w:t>2</w:t>
            </w:r>
          </w:p>
        </w:tc>
        <w:tc>
          <w:tcPr>
            <w:tcW w:w="2640" w:type="dxa"/>
            <w:noWrap w:val="0"/>
            <w:vAlign w:val="center"/>
          </w:tcPr>
          <w:p w14:paraId="76EF073A">
            <w:pPr>
              <w:keepNext w:val="0"/>
              <w:keepLines w:val="0"/>
              <w:suppressLineNumbers w:val="0"/>
              <w:spacing w:before="0" w:beforeAutospacing="0" w:after="0" w:afterAutospacing="0" w:line="360" w:lineRule="auto"/>
              <w:ind w:left="0" w:right="0"/>
              <w:jc w:val="center"/>
              <w:rPr>
                <w:rFonts w:hint="default" w:ascii="宋体" w:hAnsi="宋体" w:cs="宋体"/>
                <w:color w:val="auto"/>
                <w:szCs w:val="21"/>
                <w:highlight w:val="none"/>
              </w:rPr>
            </w:pPr>
            <w:r>
              <w:rPr>
                <w:rFonts w:hint="eastAsia" w:ascii="宋体" w:hAnsi="宋体" w:cs="宋体"/>
                <w:color w:val="auto"/>
                <w:szCs w:val="21"/>
                <w:highlight w:val="none"/>
              </w:rPr>
              <w:t>竞标有效期</w:t>
            </w:r>
          </w:p>
        </w:tc>
        <w:tc>
          <w:tcPr>
            <w:tcW w:w="6765" w:type="dxa"/>
            <w:noWrap w:val="0"/>
            <w:vAlign w:val="center"/>
          </w:tcPr>
          <w:p w14:paraId="570CB35C">
            <w:pPr>
              <w:keepNext w:val="0"/>
              <w:keepLines w:val="0"/>
              <w:suppressLineNumbers w:val="0"/>
              <w:tabs>
                <w:tab w:val="left" w:pos="720"/>
                <w:tab w:val="left" w:pos="840"/>
              </w:tabs>
              <w:snapToGrid w:val="0"/>
              <w:spacing w:before="0" w:beforeAutospacing="0" w:after="0" w:afterAutospacing="0" w:line="360" w:lineRule="auto"/>
              <w:ind w:left="283" w:right="0" w:hanging="283" w:hangingChars="135"/>
              <w:jc w:val="left"/>
              <w:rPr>
                <w:rFonts w:hint="default" w:ascii="宋体" w:hAnsi="宋体" w:cs="宋体"/>
                <w:color w:val="auto"/>
                <w:szCs w:val="21"/>
                <w:highlight w:val="none"/>
              </w:rPr>
            </w:pPr>
            <w:r>
              <w:rPr>
                <w:rFonts w:hint="eastAsia" w:ascii="宋体" w:hAnsi="宋体" w:cs="宋体"/>
                <w:color w:val="auto"/>
                <w:szCs w:val="21"/>
                <w:highlight w:val="none"/>
              </w:rPr>
              <w:t>自首次响应文件提交截止之日起</w:t>
            </w:r>
            <w:r>
              <w:rPr>
                <w:rFonts w:hint="eastAsia" w:ascii="宋体" w:hAnsi="宋体" w:cs="宋体"/>
                <w:color w:val="auto"/>
                <w:szCs w:val="21"/>
                <w:highlight w:val="none"/>
                <w:u w:val="single"/>
              </w:rPr>
              <w:t>60</w:t>
            </w:r>
            <w:r>
              <w:rPr>
                <w:rFonts w:hint="eastAsia" w:ascii="宋体" w:hAnsi="宋体" w:cs="宋体"/>
                <w:color w:val="auto"/>
                <w:szCs w:val="21"/>
                <w:highlight w:val="none"/>
              </w:rPr>
              <w:t>日。</w:t>
            </w:r>
          </w:p>
        </w:tc>
      </w:tr>
      <w:tr w14:paraId="59C57C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noWrap w:val="0"/>
            <w:vAlign w:val="center"/>
          </w:tcPr>
          <w:p w14:paraId="61613DD5">
            <w:pPr>
              <w:keepNext w:val="0"/>
              <w:keepLines w:val="0"/>
              <w:suppressLineNumbers w:val="0"/>
              <w:spacing w:before="0" w:beforeAutospacing="0" w:after="0" w:afterAutospacing="0" w:line="360" w:lineRule="auto"/>
              <w:ind w:left="0" w:right="0"/>
              <w:jc w:val="center"/>
              <w:rPr>
                <w:rFonts w:hint="default" w:ascii="宋体" w:hAnsi="宋体" w:cs="宋体"/>
                <w:color w:val="auto"/>
                <w:szCs w:val="21"/>
                <w:highlight w:val="none"/>
              </w:rPr>
            </w:pPr>
            <w:r>
              <w:rPr>
                <w:rFonts w:hint="eastAsia" w:ascii="宋体" w:hAnsi="宋体" w:cs="宋体"/>
                <w:color w:val="auto"/>
                <w:szCs w:val="21"/>
                <w:highlight w:val="none"/>
              </w:rPr>
              <w:t>17.1</w:t>
            </w:r>
          </w:p>
        </w:tc>
        <w:tc>
          <w:tcPr>
            <w:tcW w:w="2640" w:type="dxa"/>
            <w:noWrap w:val="0"/>
            <w:vAlign w:val="center"/>
          </w:tcPr>
          <w:p w14:paraId="1F631EE6">
            <w:pPr>
              <w:keepNext w:val="0"/>
              <w:keepLines w:val="0"/>
              <w:suppressLineNumbers w:val="0"/>
              <w:spacing w:before="0" w:beforeAutospacing="0" w:after="0" w:afterAutospacing="0" w:line="360" w:lineRule="auto"/>
              <w:ind w:left="0" w:right="0"/>
              <w:jc w:val="center"/>
              <w:rPr>
                <w:rFonts w:hint="default" w:ascii="宋体" w:hAnsi="宋体" w:cs="宋体"/>
                <w:color w:val="auto"/>
                <w:szCs w:val="21"/>
                <w:highlight w:val="none"/>
              </w:rPr>
            </w:pPr>
            <w:r>
              <w:rPr>
                <w:rFonts w:hint="eastAsia" w:ascii="宋体" w:hAnsi="宋体" w:cs="宋体"/>
                <w:color w:val="auto"/>
                <w:szCs w:val="21"/>
                <w:highlight w:val="none"/>
              </w:rPr>
              <w:t>磋商保证金</w:t>
            </w:r>
          </w:p>
        </w:tc>
        <w:tc>
          <w:tcPr>
            <w:tcW w:w="6765" w:type="dxa"/>
            <w:noWrap w:val="0"/>
            <w:vAlign w:val="center"/>
          </w:tcPr>
          <w:p w14:paraId="361BF4B5">
            <w:pPr>
              <w:keepNext w:val="0"/>
              <w:keepLines w:val="0"/>
              <w:suppressLineNumbers w:val="0"/>
              <w:autoSpaceDE w:val="0"/>
              <w:autoSpaceDN w:val="0"/>
              <w:snapToGrid w:val="0"/>
              <w:spacing w:before="0" w:beforeAutospacing="0" w:after="0" w:afterAutospacing="0" w:line="360" w:lineRule="auto"/>
              <w:ind w:left="0" w:right="0"/>
              <w:textAlignment w:val="bottom"/>
              <w:rPr>
                <w:rFonts w:hint="default" w:ascii="宋体" w:hAnsi="宋体" w:cs="Times New Roman"/>
                <w:color w:val="auto"/>
                <w:szCs w:val="21"/>
                <w:highlight w:val="none"/>
              </w:rPr>
            </w:pPr>
            <w:r>
              <w:rPr>
                <w:rFonts w:hint="eastAsia" w:ascii="宋体" w:hAnsi="宋体" w:cs="Times New Roman"/>
                <w:color w:val="auto"/>
                <w:szCs w:val="21"/>
                <w:highlight w:val="none"/>
              </w:rPr>
              <w:t>本项目不收取磋商保证金。</w:t>
            </w:r>
          </w:p>
        </w:tc>
      </w:tr>
      <w:tr w14:paraId="358D4E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871" w:type="dxa"/>
            <w:vMerge w:val="restart"/>
            <w:noWrap w:val="0"/>
            <w:vAlign w:val="center"/>
          </w:tcPr>
          <w:p w14:paraId="58D371D2">
            <w:pPr>
              <w:keepNext w:val="0"/>
              <w:keepLines w:val="0"/>
              <w:suppressLineNumbers w:val="0"/>
              <w:spacing w:before="0" w:beforeAutospacing="0" w:after="0" w:afterAutospacing="0" w:line="360" w:lineRule="auto"/>
              <w:ind w:left="0" w:right="0"/>
              <w:jc w:val="center"/>
              <w:rPr>
                <w:rFonts w:hint="default" w:ascii="宋体" w:hAnsi="宋体" w:cs="宋体"/>
                <w:color w:val="auto"/>
                <w:szCs w:val="21"/>
                <w:highlight w:val="none"/>
              </w:rPr>
            </w:pPr>
            <w:r>
              <w:rPr>
                <w:rFonts w:hint="eastAsia" w:ascii="宋体" w:hAnsi="宋体" w:cs="宋体"/>
                <w:color w:val="auto"/>
                <w:szCs w:val="21"/>
                <w:highlight w:val="none"/>
              </w:rPr>
              <w:t>20.1</w:t>
            </w:r>
          </w:p>
        </w:tc>
        <w:tc>
          <w:tcPr>
            <w:tcW w:w="2640" w:type="dxa"/>
            <w:noWrap w:val="0"/>
            <w:vAlign w:val="center"/>
          </w:tcPr>
          <w:p w14:paraId="5FCF525D">
            <w:pPr>
              <w:keepNext w:val="0"/>
              <w:keepLines w:val="0"/>
              <w:suppressLineNumbers w:val="0"/>
              <w:spacing w:before="0" w:beforeAutospacing="0" w:after="0" w:afterAutospacing="0" w:line="360" w:lineRule="auto"/>
              <w:ind w:left="0" w:right="0"/>
              <w:jc w:val="center"/>
              <w:rPr>
                <w:rFonts w:hint="default" w:ascii="宋体" w:hAnsi="宋体" w:cs="宋体"/>
                <w:color w:val="auto"/>
                <w:szCs w:val="21"/>
                <w:highlight w:val="none"/>
              </w:rPr>
            </w:pPr>
            <w:r>
              <w:rPr>
                <w:rFonts w:hint="eastAsia" w:ascii="宋体" w:hAnsi="宋体" w:cs="宋体"/>
                <w:color w:val="auto"/>
                <w:szCs w:val="21"/>
                <w:highlight w:val="none"/>
              </w:rPr>
              <w:t>首次响应文件提交起止时间</w:t>
            </w:r>
          </w:p>
        </w:tc>
        <w:tc>
          <w:tcPr>
            <w:tcW w:w="6765" w:type="dxa"/>
            <w:noWrap w:val="0"/>
            <w:vAlign w:val="center"/>
          </w:tcPr>
          <w:p w14:paraId="05F9E6C2">
            <w:pPr>
              <w:keepNext w:val="0"/>
              <w:keepLines w:val="0"/>
              <w:suppressLineNumbers w:val="0"/>
              <w:snapToGrid w:val="0"/>
              <w:spacing w:before="0" w:beforeAutospacing="0" w:after="0" w:afterAutospacing="0" w:line="360" w:lineRule="auto"/>
              <w:ind w:left="0" w:right="0"/>
              <w:jc w:val="left"/>
              <w:rPr>
                <w:rFonts w:hint="default" w:ascii="宋体" w:hAnsi="宋体" w:cs="宋体"/>
                <w:color w:val="auto"/>
                <w:szCs w:val="21"/>
                <w:highlight w:val="none"/>
                <w:u w:val="single"/>
              </w:rPr>
            </w:pPr>
            <w:r>
              <w:rPr>
                <w:rFonts w:hint="eastAsia" w:ascii="宋体" w:hAnsi="宋体" w:cs="宋体"/>
                <w:color w:val="auto"/>
                <w:szCs w:val="21"/>
                <w:highlight w:val="none"/>
              </w:rPr>
              <w:t>详见竞争性磋商公告。</w:t>
            </w:r>
          </w:p>
        </w:tc>
      </w:tr>
      <w:tr w14:paraId="76E72C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871" w:type="dxa"/>
            <w:vMerge w:val="continue"/>
            <w:noWrap w:val="0"/>
            <w:vAlign w:val="center"/>
          </w:tcPr>
          <w:p w14:paraId="751D2AED">
            <w:pPr>
              <w:keepNext w:val="0"/>
              <w:keepLines w:val="0"/>
              <w:suppressLineNumbers w:val="0"/>
              <w:spacing w:before="0" w:beforeAutospacing="0" w:after="0" w:afterAutospacing="0" w:line="360" w:lineRule="auto"/>
              <w:ind w:left="0" w:right="0"/>
              <w:jc w:val="center"/>
              <w:rPr>
                <w:rFonts w:hint="default" w:ascii="宋体" w:hAnsi="宋体" w:cs="宋体"/>
                <w:color w:val="auto"/>
                <w:szCs w:val="21"/>
                <w:highlight w:val="none"/>
              </w:rPr>
            </w:pPr>
          </w:p>
        </w:tc>
        <w:tc>
          <w:tcPr>
            <w:tcW w:w="2640" w:type="dxa"/>
            <w:noWrap w:val="0"/>
            <w:vAlign w:val="center"/>
          </w:tcPr>
          <w:p w14:paraId="2D20CCAC">
            <w:pPr>
              <w:keepNext w:val="0"/>
              <w:keepLines w:val="0"/>
              <w:suppressLineNumbers w:val="0"/>
              <w:spacing w:before="0" w:beforeAutospacing="0" w:after="0" w:afterAutospacing="0" w:line="360" w:lineRule="auto"/>
              <w:ind w:left="0" w:right="0"/>
              <w:jc w:val="center"/>
              <w:rPr>
                <w:rFonts w:hint="default" w:ascii="宋体" w:hAnsi="宋体" w:cs="宋体"/>
                <w:color w:val="auto"/>
                <w:szCs w:val="21"/>
                <w:highlight w:val="none"/>
              </w:rPr>
            </w:pPr>
            <w:r>
              <w:rPr>
                <w:rFonts w:hint="eastAsia" w:ascii="宋体" w:hAnsi="宋体" w:cs="宋体"/>
                <w:color w:val="auto"/>
                <w:szCs w:val="21"/>
                <w:highlight w:val="none"/>
              </w:rPr>
              <w:t>首次响应文件提交地点</w:t>
            </w:r>
          </w:p>
        </w:tc>
        <w:tc>
          <w:tcPr>
            <w:tcW w:w="6765" w:type="dxa"/>
            <w:noWrap w:val="0"/>
            <w:vAlign w:val="center"/>
          </w:tcPr>
          <w:p w14:paraId="520D1A2D">
            <w:pPr>
              <w:keepNext w:val="0"/>
              <w:keepLines w:val="0"/>
              <w:suppressLineNumbers w:val="0"/>
              <w:snapToGrid w:val="0"/>
              <w:spacing w:before="0" w:beforeAutospacing="0" w:after="0" w:afterAutospacing="0" w:line="360" w:lineRule="auto"/>
              <w:ind w:left="0" w:right="0"/>
              <w:jc w:val="left"/>
              <w:rPr>
                <w:rFonts w:hint="default" w:ascii="宋体" w:hAnsi="宋体" w:cs="宋体"/>
                <w:color w:val="auto"/>
                <w:szCs w:val="21"/>
                <w:highlight w:val="none"/>
                <w:u w:val="single"/>
              </w:rPr>
            </w:pPr>
            <w:r>
              <w:rPr>
                <w:rFonts w:hint="eastAsia" w:ascii="宋体" w:hAnsi="宋体" w:cs="宋体"/>
                <w:color w:val="auto"/>
                <w:szCs w:val="21"/>
                <w:highlight w:val="none"/>
              </w:rPr>
              <w:t>详见竞争性磋商公告。</w:t>
            </w:r>
          </w:p>
        </w:tc>
      </w:tr>
      <w:tr w14:paraId="26DAFB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871" w:type="dxa"/>
            <w:noWrap w:val="0"/>
            <w:vAlign w:val="center"/>
          </w:tcPr>
          <w:p w14:paraId="7610CD12">
            <w:pPr>
              <w:keepNext w:val="0"/>
              <w:keepLines w:val="0"/>
              <w:suppressLineNumbers w:val="0"/>
              <w:spacing w:before="0" w:beforeAutospacing="0" w:after="0" w:afterAutospacing="0" w:line="360" w:lineRule="auto"/>
              <w:ind w:left="0" w:right="0"/>
              <w:jc w:val="center"/>
              <w:rPr>
                <w:rFonts w:hint="default" w:ascii="宋体" w:hAnsi="宋体" w:cs="宋体"/>
                <w:color w:val="auto"/>
                <w:szCs w:val="21"/>
                <w:highlight w:val="none"/>
              </w:rPr>
            </w:pPr>
            <w:r>
              <w:rPr>
                <w:rFonts w:hint="eastAsia" w:ascii="宋体" w:hAnsi="宋体" w:cs="宋体"/>
                <w:color w:val="auto"/>
                <w:szCs w:val="21"/>
                <w:highlight w:val="none"/>
              </w:rPr>
              <w:t>20.6</w:t>
            </w:r>
          </w:p>
        </w:tc>
        <w:tc>
          <w:tcPr>
            <w:tcW w:w="2640" w:type="dxa"/>
            <w:noWrap w:val="0"/>
            <w:vAlign w:val="center"/>
          </w:tcPr>
          <w:p w14:paraId="4FF4FD5F">
            <w:pPr>
              <w:keepNext w:val="0"/>
              <w:keepLines w:val="0"/>
              <w:suppressLineNumbers w:val="0"/>
              <w:spacing w:before="0" w:beforeAutospacing="0" w:after="0" w:afterAutospacing="0" w:line="360" w:lineRule="auto"/>
              <w:ind w:left="0" w:right="0"/>
              <w:jc w:val="center"/>
              <w:rPr>
                <w:rFonts w:hint="default" w:ascii="宋体" w:hAnsi="宋体" w:cs="宋体"/>
                <w:color w:val="auto"/>
                <w:szCs w:val="21"/>
                <w:highlight w:val="none"/>
              </w:rPr>
            </w:pPr>
            <w:r>
              <w:rPr>
                <w:rFonts w:hint="eastAsia" w:ascii="宋体" w:hAnsi="宋体" w:cs="宋体"/>
                <w:color w:val="auto"/>
                <w:szCs w:val="21"/>
                <w:highlight w:val="none"/>
              </w:rPr>
              <w:t>备份响应文件</w:t>
            </w:r>
          </w:p>
        </w:tc>
        <w:tc>
          <w:tcPr>
            <w:tcW w:w="6765" w:type="dxa"/>
            <w:noWrap w:val="0"/>
            <w:vAlign w:val="center"/>
          </w:tcPr>
          <w:p w14:paraId="5E070508">
            <w:pPr>
              <w:keepNext w:val="0"/>
              <w:keepLines w:val="0"/>
              <w:suppressLineNumbers w:val="0"/>
              <w:snapToGrid w:val="0"/>
              <w:spacing w:before="0" w:beforeAutospacing="0" w:after="0" w:afterAutospacing="0" w:line="360" w:lineRule="auto"/>
              <w:ind w:left="0" w:right="0"/>
              <w:jc w:val="left"/>
              <w:rPr>
                <w:rFonts w:hint="default" w:ascii="宋体" w:hAnsi="宋体" w:cs="宋体"/>
                <w:color w:val="auto"/>
                <w:szCs w:val="21"/>
                <w:highlight w:val="none"/>
              </w:rPr>
            </w:pPr>
            <w:r>
              <w:rPr>
                <w:rFonts w:hint="eastAsia" w:ascii="宋体" w:hAnsi="宋体" w:cs="Times New Roman"/>
                <w:color w:val="auto"/>
                <w:szCs w:val="21"/>
                <w:highlight w:val="none"/>
              </w:rPr>
              <w:t>本项目不接受备份响应文件。</w:t>
            </w:r>
          </w:p>
        </w:tc>
      </w:tr>
      <w:tr w14:paraId="1EE9CB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871" w:type="dxa"/>
            <w:noWrap w:val="0"/>
            <w:vAlign w:val="center"/>
          </w:tcPr>
          <w:p w14:paraId="371CB785">
            <w:pPr>
              <w:keepNext w:val="0"/>
              <w:keepLines w:val="0"/>
              <w:suppressLineNumbers w:val="0"/>
              <w:spacing w:before="0" w:beforeAutospacing="0" w:after="0" w:afterAutospacing="0" w:line="360" w:lineRule="auto"/>
              <w:ind w:left="0" w:right="0"/>
              <w:jc w:val="center"/>
              <w:rPr>
                <w:rFonts w:hint="default" w:ascii="宋体" w:hAnsi="宋体" w:cs="宋体"/>
                <w:color w:val="auto"/>
                <w:szCs w:val="21"/>
                <w:highlight w:val="none"/>
              </w:rPr>
            </w:pPr>
            <w:r>
              <w:rPr>
                <w:rFonts w:hint="eastAsia" w:ascii="宋体" w:hAnsi="宋体" w:cs="宋体"/>
                <w:color w:val="auto"/>
                <w:szCs w:val="21"/>
                <w:highlight w:val="none"/>
              </w:rPr>
              <w:t>21</w:t>
            </w:r>
          </w:p>
        </w:tc>
        <w:tc>
          <w:tcPr>
            <w:tcW w:w="2640" w:type="dxa"/>
            <w:noWrap w:val="0"/>
            <w:vAlign w:val="center"/>
          </w:tcPr>
          <w:p w14:paraId="128D1EB0">
            <w:pPr>
              <w:keepNext w:val="0"/>
              <w:keepLines w:val="0"/>
              <w:suppressLineNumbers w:val="0"/>
              <w:spacing w:before="0" w:beforeAutospacing="0" w:after="0" w:afterAutospacing="0" w:line="360" w:lineRule="auto"/>
              <w:ind w:left="0" w:right="0"/>
              <w:jc w:val="center"/>
              <w:rPr>
                <w:rFonts w:hint="default" w:ascii="宋体" w:hAnsi="宋体" w:cs="宋体"/>
                <w:color w:val="auto"/>
                <w:szCs w:val="21"/>
                <w:highlight w:val="none"/>
              </w:rPr>
            </w:pPr>
            <w:r>
              <w:rPr>
                <w:rFonts w:hint="eastAsia" w:ascii="宋体" w:hAnsi="宋体" w:cs="宋体"/>
                <w:color w:val="auto"/>
                <w:szCs w:val="21"/>
                <w:highlight w:val="none"/>
              </w:rPr>
              <w:t>首次响应文件的退回</w:t>
            </w:r>
          </w:p>
        </w:tc>
        <w:tc>
          <w:tcPr>
            <w:tcW w:w="6765" w:type="dxa"/>
            <w:noWrap w:val="0"/>
            <w:vAlign w:val="center"/>
          </w:tcPr>
          <w:p w14:paraId="281220EE">
            <w:pPr>
              <w:keepNext w:val="0"/>
              <w:keepLines w:val="0"/>
              <w:suppressLineNumbers w:val="0"/>
              <w:snapToGrid w:val="0"/>
              <w:spacing w:before="0" w:beforeAutospacing="0" w:after="0" w:afterAutospacing="0" w:line="360" w:lineRule="auto"/>
              <w:ind w:left="0" w:right="0"/>
              <w:jc w:val="left"/>
              <w:rPr>
                <w:rFonts w:hint="default" w:ascii="宋体" w:hAnsi="宋体" w:cs="Times New Roman"/>
                <w:color w:val="auto"/>
                <w:szCs w:val="21"/>
                <w:highlight w:val="none"/>
              </w:rPr>
            </w:pPr>
            <w:r>
              <w:rPr>
                <w:rFonts w:hint="eastAsia" w:ascii="宋体" w:hAnsi="宋体" w:cs="宋体"/>
                <w:color w:val="auto"/>
                <w:szCs w:val="21"/>
                <w:highlight w:val="none"/>
              </w:rPr>
              <w:t>详见竞争性磋商公告。</w:t>
            </w:r>
          </w:p>
        </w:tc>
      </w:tr>
      <w:tr w14:paraId="7D7E0D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871" w:type="dxa"/>
            <w:vMerge w:val="restart"/>
            <w:noWrap w:val="0"/>
            <w:vAlign w:val="center"/>
          </w:tcPr>
          <w:p w14:paraId="579CBA1C">
            <w:pPr>
              <w:keepNext w:val="0"/>
              <w:keepLines w:val="0"/>
              <w:suppressLineNumbers w:val="0"/>
              <w:spacing w:before="0" w:beforeAutospacing="0" w:after="0" w:afterAutospacing="0" w:line="360" w:lineRule="auto"/>
              <w:ind w:left="0" w:right="0"/>
              <w:jc w:val="center"/>
              <w:rPr>
                <w:rFonts w:hint="default" w:ascii="宋体" w:hAnsi="宋体" w:cs="宋体"/>
                <w:color w:val="auto"/>
                <w:szCs w:val="21"/>
                <w:highlight w:val="none"/>
              </w:rPr>
            </w:pPr>
            <w:r>
              <w:rPr>
                <w:rFonts w:hint="eastAsia" w:ascii="宋体" w:hAnsi="宋体" w:cs="宋体"/>
                <w:color w:val="auto"/>
                <w:szCs w:val="21"/>
                <w:highlight w:val="none"/>
              </w:rPr>
              <w:t>2</w:t>
            </w:r>
            <w:r>
              <w:rPr>
                <w:rFonts w:hint="default" w:ascii="宋体" w:hAnsi="宋体" w:cs="宋体"/>
                <w:color w:val="auto"/>
                <w:szCs w:val="21"/>
                <w:highlight w:val="none"/>
              </w:rPr>
              <w:t>6.2</w:t>
            </w:r>
          </w:p>
        </w:tc>
        <w:tc>
          <w:tcPr>
            <w:tcW w:w="2640" w:type="dxa"/>
            <w:noWrap w:val="0"/>
            <w:vAlign w:val="center"/>
          </w:tcPr>
          <w:p w14:paraId="711F0DDA">
            <w:pPr>
              <w:keepNext w:val="0"/>
              <w:keepLines w:val="0"/>
              <w:suppressLineNumbers w:val="0"/>
              <w:spacing w:before="0" w:beforeAutospacing="0" w:after="0" w:afterAutospacing="0" w:line="360" w:lineRule="auto"/>
              <w:ind w:left="0" w:right="0"/>
              <w:jc w:val="center"/>
              <w:rPr>
                <w:rFonts w:hint="default" w:ascii="宋体" w:hAnsi="宋体" w:cs="宋体"/>
                <w:color w:val="auto"/>
                <w:szCs w:val="21"/>
                <w:highlight w:val="none"/>
              </w:rPr>
            </w:pPr>
            <w:r>
              <w:rPr>
                <w:rFonts w:hint="eastAsia" w:ascii="宋体" w:hAnsi="宋体" w:cs="宋体"/>
                <w:color w:val="auto"/>
                <w:szCs w:val="21"/>
                <w:highlight w:val="none"/>
              </w:rPr>
              <w:t>负偏离要求</w:t>
            </w:r>
          </w:p>
        </w:tc>
        <w:tc>
          <w:tcPr>
            <w:tcW w:w="6765" w:type="dxa"/>
            <w:noWrap w:val="0"/>
            <w:vAlign w:val="center"/>
          </w:tcPr>
          <w:p w14:paraId="3D9B7B50">
            <w:pPr>
              <w:keepNext w:val="0"/>
              <w:keepLines w:val="0"/>
              <w:suppressLineNumbers w:val="0"/>
              <w:snapToGrid w:val="0"/>
              <w:spacing w:before="0" w:beforeAutospacing="0" w:after="0" w:afterAutospacing="0" w:line="360" w:lineRule="auto"/>
              <w:ind w:left="0" w:right="0"/>
              <w:rPr>
                <w:rFonts w:hint="default" w:ascii="宋体" w:hAnsi="宋体" w:cs="宋体"/>
                <w:color w:val="auto"/>
                <w:szCs w:val="21"/>
                <w:highlight w:val="none"/>
              </w:rPr>
            </w:pPr>
            <w:r>
              <w:rPr>
                <w:rFonts w:hint="eastAsia" w:ascii="宋体" w:hAnsi="宋体" w:cs="宋体"/>
                <w:color w:val="auto"/>
                <w:szCs w:val="21"/>
                <w:highlight w:val="none"/>
              </w:rPr>
              <w:t>商务条款评审中允许负偏离的条款数为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0 </w:t>
            </w:r>
            <w:r>
              <w:rPr>
                <w:rFonts w:hint="eastAsia" w:ascii="宋体" w:hAnsi="宋体" w:cs="宋体"/>
                <w:color w:val="auto"/>
                <w:szCs w:val="21"/>
                <w:highlight w:val="none"/>
              </w:rPr>
              <w:t>项。</w:t>
            </w:r>
          </w:p>
          <w:p w14:paraId="07DD8DFB">
            <w:pPr>
              <w:keepNext w:val="0"/>
              <w:keepLines w:val="0"/>
              <w:suppressLineNumbers w:val="0"/>
              <w:snapToGrid w:val="0"/>
              <w:spacing w:before="0" w:beforeAutospacing="0" w:after="0" w:afterAutospacing="0" w:line="360" w:lineRule="auto"/>
              <w:ind w:left="0" w:right="0"/>
              <w:rPr>
                <w:rFonts w:hint="default" w:ascii="宋体" w:hAnsi="宋体" w:cs="宋体"/>
                <w:color w:val="auto"/>
                <w:szCs w:val="21"/>
                <w:highlight w:val="none"/>
              </w:rPr>
            </w:pPr>
            <w:r>
              <w:rPr>
                <w:rFonts w:hint="eastAsia" w:ascii="宋体" w:hAnsi="宋体" w:cs="宋体"/>
                <w:color w:val="auto"/>
                <w:szCs w:val="21"/>
                <w:highlight w:val="none"/>
              </w:rPr>
              <w:t>服务需求评审中允许负偏离的条款数为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0</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w:t>
            </w:r>
          </w:p>
        </w:tc>
      </w:tr>
      <w:tr w14:paraId="07291B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vMerge w:val="continue"/>
            <w:noWrap w:val="0"/>
            <w:vAlign w:val="center"/>
          </w:tcPr>
          <w:p w14:paraId="27B577DE">
            <w:pPr>
              <w:keepNext w:val="0"/>
              <w:keepLines w:val="0"/>
              <w:suppressLineNumbers w:val="0"/>
              <w:spacing w:before="0" w:beforeAutospacing="0" w:after="0" w:afterAutospacing="0" w:line="360" w:lineRule="auto"/>
              <w:ind w:left="0" w:right="0"/>
              <w:jc w:val="center"/>
              <w:rPr>
                <w:rFonts w:hint="default" w:ascii="宋体" w:hAnsi="宋体" w:cs="宋体"/>
                <w:color w:val="auto"/>
                <w:szCs w:val="21"/>
                <w:highlight w:val="none"/>
              </w:rPr>
            </w:pPr>
          </w:p>
        </w:tc>
        <w:tc>
          <w:tcPr>
            <w:tcW w:w="2640" w:type="dxa"/>
            <w:noWrap w:val="0"/>
            <w:vAlign w:val="center"/>
          </w:tcPr>
          <w:p w14:paraId="78788A18">
            <w:pPr>
              <w:keepNext w:val="0"/>
              <w:keepLines w:val="0"/>
              <w:suppressLineNumbers w:val="0"/>
              <w:snapToGrid w:val="0"/>
              <w:spacing w:before="0" w:beforeAutospacing="0" w:after="0" w:afterAutospacing="0" w:line="360" w:lineRule="auto"/>
              <w:ind w:left="0" w:right="0"/>
              <w:jc w:val="center"/>
              <w:rPr>
                <w:rFonts w:hint="default" w:ascii="宋体" w:hAnsi="宋体" w:cs="宋体"/>
                <w:color w:val="auto"/>
                <w:szCs w:val="21"/>
                <w:highlight w:val="none"/>
              </w:rPr>
            </w:pPr>
            <w:r>
              <w:rPr>
                <w:rFonts w:hint="eastAsia" w:ascii="宋体" w:hAnsi="宋体" w:cs="宋体"/>
                <w:color w:val="auto"/>
                <w:szCs w:val="21"/>
                <w:highlight w:val="none"/>
              </w:rPr>
              <w:t>磋商的顺序</w:t>
            </w:r>
          </w:p>
          <w:p w14:paraId="7C101A1F">
            <w:pPr>
              <w:keepNext w:val="0"/>
              <w:keepLines w:val="0"/>
              <w:suppressLineNumbers w:val="0"/>
              <w:spacing w:before="0" w:beforeAutospacing="0" w:after="0" w:afterAutospacing="0" w:line="360" w:lineRule="auto"/>
              <w:ind w:left="0" w:right="0"/>
              <w:jc w:val="center"/>
              <w:rPr>
                <w:rFonts w:hint="default" w:ascii="宋体" w:hAnsi="宋体" w:cs="宋体"/>
                <w:color w:val="auto"/>
                <w:szCs w:val="21"/>
                <w:highlight w:val="none"/>
              </w:rPr>
            </w:pPr>
          </w:p>
        </w:tc>
        <w:tc>
          <w:tcPr>
            <w:tcW w:w="6765" w:type="dxa"/>
            <w:noWrap w:val="0"/>
            <w:vAlign w:val="center"/>
          </w:tcPr>
          <w:p w14:paraId="58068243">
            <w:pPr>
              <w:keepNext w:val="0"/>
              <w:keepLines w:val="0"/>
              <w:suppressLineNumbers w:val="0"/>
              <w:spacing w:before="0" w:beforeAutospacing="0" w:after="0" w:afterAutospacing="0" w:line="360" w:lineRule="auto"/>
              <w:ind w:left="0" w:right="0"/>
              <w:jc w:val="left"/>
              <w:rPr>
                <w:rFonts w:hint="default" w:ascii="宋体" w:hAnsi="宋体" w:cs="Times New Roman"/>
                <w:color w:val="auto"/>
                <w:szCs w:val="21"/>
                <w:highlight w:val="none"/>
              </w:rPr>
            </w:pPr>
            <w:r>
              <w:rPr>
                <w:rFonts w:hint="eastAsia" w:ascii="MS Mincho" w:hAnsi="MS Mincho" w:eastAsia="宋体" w:cs="MS Mincho"/>
                <w:color w:val="auto"/>
                <w:szCs w:val="21"/>
                <w:highlight w:val="none"/>
                <w:lang w:eastAsia="zh-CN"/>
              </w:rPr>
              <w:t>□</w:t>
            </w:r>
            <w:r>
              <w:rPr>
                <w:rFonts w:hint="eastAsia" w:ascii="宋体" w:hAnsi="宋体" w:cs="Times New Roman"/>
                <w:color w:val="auto"/>
                <w:szCs w:val="21"/>
                <w:highlight w:val="none"/>
              </w:rPr>
              <w:t>按照</w:t>
            </w:r>
            <w:r>
              <w:rPr>
                <w:rFonts w:hint="eastAsia" w:ascii="宋体" w:hAnsi="宋体" w:cs="宋体"/>
                <w:color w:val="auto"/>
                <w:szCs w:val="21"/>
                <w:highlight w:val="none"/>
              </w:rPr>
              <w:t>提交首次响应文件的顺序，通知磋商时，若某供应商不在通知现场时，该供应商排序到最后磋商，按照签到的顺序由其下一位供应商先参与磋商。</w:t>
            </w:r>
          </w:p>
          <w:p w14:paraId="6A5FE303">
            <w:pPr>
              <w:keepNext w:val="0"/>
              <w:keepLines w:val="0"/>
              <w:suppressLineNumbers w:val="0"/>
              <w:snapToGrid w:val="0"/>
              <w:spacing w:before="0" w:beforeAutospacing="0" w:after="0" w:afterAutospacing="0" w:line="360" w:lineRule="auto"/>
              <w:ind w:left="0" w:right="0"/>
              <w:rPr>
                <w:rFonts w:hint="default" w:ascii="宋体" w:hAnsi="宋体" w:cs="宋体"/>
                <w:b/>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随机排序。</w:t>
            </w:r>
          </w:p>
        </w:tc>
      </w:tr>
      <w:tr w14:paraId="0667AC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noWrap w:val="0"/>
            <w:vAlign w:val="center"/>
          </w:tcPr>
          <w:p w14:paraId="7F20AE1D">
            <w:pPr>
              <w:keepNext w:val="0"/>
              <w:keepLines w:val="0"/>
              <w:suppressLineNumbers w:val="0"/>
              <w:spacing w:before="0" w:beforeAutospacing="0" w:after="0" w:afterAutospacing="0" w:line="360" w:lineRule="auto"/>
              <w:ind w:left="0" w:right="0"/>
              <w:jc w:val="center"/>
              <w:rPr>
                <w:rFonts w:hint="default" w:ascii="宋体" w:hAnsi="宋体" w:cs="宋体"/>
                <w:color w:val="auto"/>
                <w:szCs w:val="21"/>
                <w:highlight w:val="none"/>
              </w:rPr>
            </w:pPr>
            <w:r>
              <w:rPr>
                <w:rFonts w:hint="default" w:ascii="宋体" w:hAnsi="宋体" w:cs="宋体"/>
                <w:color w:val="auto"/>
                <w:szCs w:val="21"/>
                <w:highlight w:val="none"/>
              </w:rPr>
              <w:t>28</w:t>
            </w:r>
          </w:p>
        </w:tc>
        <w:tc>
          <w:tcPr>
            <w:tcW w:w="2640" w:type="dxa"/>
            <w:noWrap w:val="0"/>
            <w:vAlign w:val="center"/>
          </w:tcPr>
          <w:p w14:paraId="1EE40F8F">
            <w:pPr>
              <w:keepNext w:val="0"/>
              <w:keepLines w:val="0"/>
              <w:suppressLineNumbers w:val="0"/>
              <w:spacing w:before="0" w:beforeAutospacing="0" w:after="0" w:afterAutospacing="0" w:line="360" w:lineRule="auto"/>
              <w:ind w:left="0" w:right="0"/>
              <w:jc w:val="center"/>
              <w:rPr>
                <w:rFonts w:hint="default" w:ascii="宋体" w:hAnsi="宋体" w:cs="宋体"/>
                <w:color w:val="auto"/>
                <w:szCs w:val="21"/>
                <w:highlight w:val="none"/>
              </w:rPr>
            </w:pPr>
            <w:r>
              <w:rPr>
                <w:rFonts w:hint="eastAsia" w:ascii="宋体" w:hAnsi="宋体" w:cs="宋体"/>
                <w:color w:val="auto"/>
                <w:szCs w:val="21"/>
                <w:highlight w:val="none"/>
              </w:rPr>
              <w:t>履约保证金</w:t>
            </w:r>
          </w:p>
        </w:tc>
        <w:tc>
          <w:tcPr>
            <w:tcW w:w="6765" w:type="dxa"/>
            <w:noWrap w:val="0"/>
            <w:vAlign w:val="center"/>
          </w:tcPr>
          <w:p w14:paraId="79B2C25C">
            <w:pPr>
              <w:keepNext w:val="0"/>
              <w:keepLines w:val="0"/>
              <w:suppressLineNumbers w:val="0"/>
              <w:snapToGrid w:val="0"/>
              <w:spacing w:before="0" w:beforeAutospacing="0" w:after="0" w:afterAutospacing="0" w:line="360" w:lineRule="auto"/>
              <w:ind w:left="0" w:right="0"/>
              <w:rPr>
                <w:rFonts w:hint="default" w:ascii="宋体" w:hAnsi="宋体" w:cs="宋体"/>
                <w:color w:val="auto"/>
                <w:szCs w:val="21"/>
                <w:highlight w:val="none"/>
              </w:rPr>
            </w:pPr>
            <w:r>
              <w:rPr>
                <w:rFonts w:hint="eastAsia" w:ascii="宋体" w:hAnsi="宋体" w:cs="宋体"/>
                <w:color w:val="auto"/>
                <w:szCs w:val="21"/>
                <w:highlight w:val="none"/>
              </w:rPr>
              <w:t xml:space="preserve">本项目不收取履约保证金 </w:t>
            </w:r>
          </w:p>
        </w:tc>
      </w:tr>
      <w:tr w14:paraId="1FAFBB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noWrap w:val="0"/>
            <w:vAlign w:val="center"/>
          </w:tcPr>
          <w:p w14:paraId="1E1427B9">
            <w:pPr>
              <w:keepNext w:val="0"/>
              <w:keepLines w:val="0"/>
              <w:suppressLineNumbers w:val="0"/>
              <w:spacing w:before="0" w:beforeAutospacing="0" w:after="0" w:afterAutospacing="0" w:line="360" w:lineRule="auto"/>
              <w:ind w:left="0" w:right="0"/>
              <w:jc w:val="center"/>
              <w:rPr>
                <w:rFonts w:hint="default" w:ascii="宋体" w:hAnsi="宋体" w:cs="宋体"/>
                <w:color w:val="auto"/>
                <w:szCs w:val="21"/>
                <w:highlight w:val="none"/>
              </w:rPr>
            </w:pPr>
            <w:r>
              <w:rPr>
                <w:rFonts w:hint="default" w:ascii="宋体" w:hAnsi="宋体" w:cs="宋体"/>
                <w:color w:val="auto"/>
                <w:szCs w:val="21"/>
                <w:highlight w:val="none"/>
              </w:rPr>
              <w:t>29.</w:t>
            </w:r>
            <w:r>
              <w:rPr>
                <w:rFonts w:hint="eastAsia" w:ascii="宋体" w:hAnsi="宋体" w:cs="宋体"/>
                <w:color w:val="auto"/>
                <w:szCs w:val="21"/>
                <w:highlight w:val="none"/>
              </w:rPr>
              <w:t>5</w:t>
            </w:r>
          </w:p>
        </w:tc>
        <w:tc>
          <w:tcPr>
            <w:tcW w:w="2640" w:type="dxa"/>
            <w:noWrap w:val="0"/>
            <w:vAlign w:val="center"/>
          </w:tcPr>
          <w:p w14:paraId="6D60F942">
            <w:pPr>
              <w:keepNext w:val="0"/>
              <w:keepLines w:val="0"/>
              <w:suppressLineNumbers w:val="0"/>
              <w:spacing w:before="0" w:beforeAutospacing="0" w:after="0" w:afterAutospacing="0" w:line="360" w:lineRule="auto"/>
              <w:ind w:left="0" w:right="0"/>
              <w:jc w:val="center"/>
              <w:rPr>
                <w:rFonts w:hint="default" w:ascii="宋体" w:hAnsi="宋体" w:cs="宋体"/>
                <w:color w:val="auto"/>
                <w:szCs w:val="21"/>
                <w:highlight w:val="none"/>
              </w:rPr>
            </w:pPr>
            <w:r>
              <w:rPr>
                <w:rFonts w:hint="eastAsia" w:ascii="宋体" w:hAnsi="宋体" w:cs="Times New Roman"/>
                <w:color w:val="auto"/>
                <w:szCs w:val="21"/>
                <w:highlight w:val="none"/>
              </w:rPr>
              <w:t>签订合同携带的材料</w:t>
            </w:r>
          </w:p>
        </w:tc>
        <w:tc>
          <w:tcPr>
            <w:tcW w:w="6765" w:type="dxa"/>
            <w:noWrap w:val="0"/>
            <w:vAlign w:val="center"/>
          </w:tcPr>
          <w:p w14:paraId="35BF60F6">
            <w:pPr>
              <w:keepNext w:val="0"/>
              <w:keepLines w:val="0"/>
              <w:suppressLineNumbers w:val="0"/>
              <w:snapToGrid w:val="0"/>
              <w:spacing w:before="0" w:beforeAutospacing="0" w:after="0" w:afterAutospacing="0" w:line="360" w:lineRule="auto"/>
              <w:ind w:left="0" w:right="0"/>
              <w:rPr>
                <w:rFonts w:hint="default" w:ascii="宋体" w:hAnsi="宋体" w:cs="宋体"/>
                <w:color w:val="auto"/>
                <w:szCs w:val="21"/>
                <w:highlight w:val="none"/>
              </w:rPr>
            </w:pPr>
            <w:r>
              <w:rPr>
                <w:rFonts w:hint="eastAsia" w:ascii="宋体" w:hAnsi="宋体" w:cs="Times New Roman"/>
                <w:color w:val="auto"/>
                <w:szCs w:val="21"/>
                <w:highlight w:val="none"/>
              </w:rPr>
              <w:t>使用的有效CA证书加盖单位电子公章</w:t>
            </w:r>
          </w:p>
        </w:tc>
      </w:tr>
      <w:tr w14:paraId="3D885B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vMerge w:val="restart"/>
            <w:noWrap w:val="0"/>
            <w:vAlign w:val="center"/>
          </w:tcPr>
          <w:p w14:paraId="50C81AAF">
            <w:pPr>
              <w:keepNext w:val="0"/>
              <w:keepLines w:val="0"/>
              <w:suppressLineNumbers w:val="0"/>
              <w:spacing w:before="0" w:beforeAutospacing="0" w:after="0" w:afterAutospacing="0" w:line="360" w:lineRule="auto"/>
              <w:ind w:left="0" w:right="0"/>
              <w:jc w:val="center"/>
              <w:rPr>
                <w:rFonts w:hint="default" w:ascii="宋体" w:hAnsi="宋体" w:cs="宋体"/>
                <w:color w:val="auto"/>
                <w:szCs w:val="21"/>
                <w:highlight w:val="none"/>
              </w:rPr>
            </w:pPr>
            <w:r>
              <w:rPr>
                <w:rFonts w:hint="eastAsia" w:ascii="宋体" w:hAnsi="宋体" w:cs="宋体"/>
                <w:color w:val="auto"/>
                <w:szCs w:val="21"/>
                <w:highlight w:val="none"/>
              </w:rPr>
              <w:t>3</w:t>
            </w:r>
            <w:r>
              <w:rPr>
                <w:rFonts w:hint="default" w:ascii="宋体" w:hAnsi="宋体" w:cs="宋体"/>
                <w:color w:val="auto"/>
                <w:szCs w:val="21"/>
                <w:highlight w:val="none"/>
              </w:rPr>
              <w:t>1.2</w:t>
            </w:r>
          </w:p>
        </w:tc>
        <w:tc>
          <w:tcPr>
            <w:tcW w:w="2640" w:type="dxa"/>
            <w:noWrap w:val="0"/>
            <w:vAlign w:val="center"/>
          </w:tcPr>
          <w:p w14:paraId="455562D0">
            <w:pPr>
              <w:keepNext w:val="0"/>
              <w:keepLines w:val="0"/>
              <w:suppressLineNumbers w:val="0"/>
              <w:spacing w:before="0" w:beforeAutospacing="0" w:after="0" w:afterAutospacing="0" w:line="380" w:lineRule="exact"/>
              <w:ind w:left="0" w:right="0"/>
              <w:jc w:val="center"/>
              <w:rPr>
                <w:rFonts w:hint="default" w:ascii="宋体" w:hAnsi="宋体" w:cs="Times New Roman"/>
                <w:color w:val="auto"/>
                <w:szCs w:val="21"/>
                <w:highlight w:val="none"/>
              </w:rPr>
            </w:pPr>
            <w:r>
              <w:rPr>
                <w:rFonts w:hint="eastAsia" w:ascii="宋体" w:hAnsi="宋体" w:cs="Times New Roman"/>
                <w:color w:val="auto"/>
                <w:szCs w:val="21"/>
                <w:highlight w:val="none"/>
              </w:rPr>
              <w:t>接收质疑函方式</w:t>
            </w:r>
          </w:p>
        </w:tc>
        <w:tc>
          <w:tcPr>
            <w:tcW w:w="6765" w:type="dxa"/>
            <w:noWrap w:val="0"/>
            <w:vAlign w:val="center"/>
          </w:tcPr>
          <w:p w14:paraId="68BAC1DD">
            <w:pPr>
              <w:keepNext w:val="0"/>
              <w:keepLines w:val="0"/>
              <w:suppressLineNumbers w:val="0"/>
              <w:snapToGrid w:val="0"/>
              <w:spacing w:before="0" w:beforeAutospacing="0" w:after="0" w:afterAutospacing="0" w:line="380" w:lineRule="exact"/>
              <w:ind w:left="0" w:right="0"/>
              <w:rPr>
                <w:rFonts w:hint="default" w:ascii="宋体" w:hAnsi="宋体" w:cs="Times New Roman"/>
                <w:color w:val="auto"/>
                <w:szCs w:val="21"/>
                <w:highlight w:val="none"/>
              </w:rPr>
            </w:pPr>
            <w:r>
              <w:rPr>
                <w:rFonts w:hint="eastAsia" w:ascii="宋体" w:hAnsi="宋体" w:cs="Times New Roman"/>
                <w:color w:val="auto"/>
                <w:szCs w:val="21"/>
                <w:highlight w:val="none"/>
              </w:rPr>
              <w:t>以书面形式</w:t>
            </w:r>
          </w:p>
        </w:tc>
      </w:tr>
      <w:tr w14:paraId="46E73B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vMerge w:val="continue"/>
            <w:noWrap w:val="0"/>
            <w:vAlign w:val="center"/>
          </w:tcPr>
          <w:p w14:paraId="0BE6C842">
            <w:pPr>
              <w:keepNext w:val="0"/>
              <w:keepLines w:val="0"/>
              <w:suppressLineNumbers w:val="0"/>
              <w:spacing w:before="0" w:beforeAutospacing="0" w:after="0" w:afterAutospacing="0" w:line="360" w:lineRule="auto"/>
              <w:ind w:left="0" w:right="0"/>
              <w:jc w:val="center"/>
              <w:rPr>
                <w:rFonts w:hint="default" w:ascii="宋体" w:hAnsi="宋体" w:cs="宋体"/>
                <w:color w:val="auto"/>
                <w:szCs w:val="21"/>
                <w:highlight w:val="none"/>
              </w:rPr>
            </w:pPr>
          </w:p>
        </w:tc>
        <w:tc>
          <w:tcPr>
            <w:tcW w:w="2640" w:type="dxa"/>
            <w:noWrap w:val="0"/>
            <w:vAlign w:val="center"/>
          </w:tcPr>
          <w:p w14:paraId="4BE935DA">
            <w:pPr>
              <w:keepNext w:val="0"/>
              <w:keepLines w:val="0"/>
              <w:suppressLineNumbers w:val="0"/>
              <w:spacing w:before="0" w:beforeAutospacing="0" w:after="0" w:afterAutospacing="0" w:line="380" w:lineRule="exact"/>
              <w:ind w:left="0" w:right="0"/>
              <w:jc w:val="center"/>
              <w:rPr>
                <w:rFonts w:hint="default" w:ascii="宋体" w:hAnsi="宋体" w:cs="Times New Roman"/>
                <w:color w:val="auto"/>
                <w:szCs w:val="21"/>
                <w:highlight w:val="none"/>
              </w:rPr>
            </w:pPr>
            <w:r>
              <w:rPr>
                <w:rFonts w:hint="eastAsia" w:ascii="宋体" w:hAnsi="宋体" w:cs="Times New Roman"/>
                <w:color w:val="auto"/>
                <w:szCs w:val="21"/>
                <w:highlight w:val="none"/>
              </w:rPr>
              <w:t>质疑联系部门及联系方式</w:t>
            </w:r>
          </w:p>
        </w:tc>
        <w:tc>
          <w:tcPr>
            <w:tcW w:w="6765" w:type="dxa"/>
            <w:noWrap w:val="0"/>
            <w:vAlign w:val="center"/>
          </w:tcPr>
          <w:p w14:paraId="2057FECD">
            <w:pPr>
              <w:keepNext w:val="0"/>
              <w:keepLines w:val="0"/>
              <w:suppressLineNumbers w:val="0"/>
              <w:snapToGrid w:val="0"/>
              <w:spacing w:before="0" w:beforeAutospacing="0" w:after="0" w:afterAutospacing="0" w:line="380" w:lineRule="exact"/>
              <w:ind w:left="0" w:right="0"/>
              <w:rPr>
                <w:rFonts w:hint="default" w:ascii="宋体" w:hAnsi="宋体" w:cs="Times New Roman"/>
                <w:color w:val="auto"/>
                <w:szCs w:val="21"/>
                <w:highlight w:val="none"/>
              </w:rPr>
            </w:pPr>
            <w:r>
              <w:rPr>
                <w:rFonts w:hint="eastAsia" w:ascii="宋体" w:hAnsi="宋体" w:cs="Times New Roman"/>
                <w:color w:val="auto"/>
                <w:szCs w:val="21"/>
                <w:highlight w:val="none"/>
                <w:u w:val="single"/>
              </w:rPr>
              <w:t>（1）</w:t>
            </w:r>
            <w:r>
              <w:rPr>
                <w:rFonts w:hint="eastAsia" w:ascii="宋体" w:hAnsi="宋体" w:cs="Times New Roman"/>
                <w:color w:val="auto"/>
                <w:szCs w:val="21"/>
                <w:highlight w:val="none"/>
                <w:u w:val="single"/>
                <w:lang w:eastAsia="zh-CN"/>
              </w:rPr>
              <w:t>隆安县政府集中采购中心</w:t>
            </w:r>
            <w:r>
              <w:rPr>
                <w:rFonts w:hint="eastAsia" w:ascii="宋体" w:hAnsi="宋体" w:cs="Times New Roman"/>
                <w:color w:val="auto"/>
                <w:szCs w:val="21"/>
                <w:highlight w:val="none"/>
              </w:rPr>
              <w:t>；</w:t>
            </w:r>
          </w:p>
          <w:p w14:paraId="2C1E046A">
            <w:pPr>
              <w:keepNext w:val="0"/>
              <w:keepLines w:val="0"/>
              <w:suppressLineNumbers w:val="0"/>
              <w:snapToGrid w:val="0"/>
              <w:spacing w:before="0" w:beforeAutospacing="0" w:after="0" w:afterAutospacing="0" w:line="380" w:lineRule="exact"/>
              <w:ind w:left="0" w:right="0"/>
              <w:rPr>
                <w:rFonts w:hint="default" w:ascii="宋体" w:hAnsi="宋体" w:cs="Times New Roman"/>
                <w:color w:val="auto"/>
                <w:szCs w:val="21"/>
                <w:highlight w:val="none"/>
              </w:rPr>
            </w:pPr>
            <w:r>
              <w:rPr>
                <w:rFonts w:hint="default" w:ascii="宋体" w:hAnsi="宋体" w:cs="Times New Roman"/>
                <w:color w:val="auto"/>
                <w:szCs w:val="21"/>
                <w:highlight w:val="none"/>
              </w:rPr>
              <w:t>联系电话</w:t>
            </w:r>
            <w:r>
              <w:rPr>
                <w:rFonts w:hint="eastAsia" w:ascii="宋体" w:hAnsi="宋体" w:cs="Times New Roman"/>
                <w:color w:val="auto"/>
                <w:szCs w:val="21"/>
                <w:highlight w:val="none"/>
              </w:rPr>
              <w:t>：</w:t>
            </w:r>
            <w:r>
              <w:rPr>
                <w:rFonts w:hint="eastAsia" w:ascii="宋体" w:hAnsi="宋体" w:cs="Times New Roman"/>
                <w:color w:val="auto"/>
                <w:szCs w:val="21"/>
                <w:highlight w:val="none"/>
                <w:lang w:eastAsia="zh-CN"/>
              </w:rPr>
              <w:t>0771-6529585</w:t>
            </w:r>
            <w:r>
              <w:rPr>
                <w:rFonts w:hint="eastAsia" w:ascii="宋体" w:hAnsi="宋体" w:cs="Times New Roman"/>
                <w:color w:val="auto"/>
                <w:szCs w:val="21"/>
                <w:highlight w:val="none"/>
              </w:rPr>
              <w:t>，</w:t>
            </w:r>
          </w:p>
          <w:p w14:paraId="72A39147">
            <w:pPr>
              <w:keepNext w:val="0"/>
              <w:keepLines w:val="0"/>
              <w:suppressLineNumbers w:val="0"/>
              <w:snapToGrid w:val="0"/>
              <w:spacing w:before="0" w:beforeAutospacing="0" w:after="0" w:afterAutospacing="0" w:line="380" w:lineRule="exact"/>
              <w:ind w:left="0" w:right="0"/>
              <w:rPr>
                <w:rFonts w:hint="default" w:ascii="宋体" w:hAnsi="宋体" w:cs="Times New Roman"/>
                <w:color w:val="auto"/>
                <w:szCs w:val="21"/>
                <w:highlight w:val="none"/>
                <w:lang w:val="en-US"/>
              </w:rPr>
            </w:pPr>
            <w:r>
              <w:rPr>
                <w:rFonts w:hint="default" w:ascii="宋体" w:hAnsi="宋体" w:cs="Times New Roman"/>
                <w:color w:val="auto"/>
                <w:szCs w:val="21"/>
                <w:highlight w:val="none"/>
              </w:rPr>
              <w:t>通讯地址</w:t>
            </w:r>
            <w:r>
              <w:rPr>
                <w:rFonts w:hint="eastAsia" w:ascii="宋体" w:hAnsi="宋体" w:cs="Helvetica"/>
                <w:color w:val="auto"/>
                <w:szCs w:val="21"/>
                <w:highlight w:val="none"/>
              </w:rPr>
              <w:t>：</w:t>
            </w:r>
            <w:r>
              <w:rPr>
                <w:rFonts w:hint="eastAsia" w:ascii="宋体" w:hAnsi="宋体" w:cs="Times New Roman"/>
                <w:color w:val="auto"/>
                <w:szCs w:val="21"/>
                <w:highlight w:val="none"/>
                <w:u w:val="single"/>
                <w:lang w:val="en-US" w:eastAsia="zh-CN"/>
              </w:rPr>
              <w:t>隆安县城南路</w:t>
            </w:r>
            <w:r>
              <w:rPr>
                <w:rFonts w:hint="default" w:ascii="宋体" w:hAnsi="宋体" w:cs="Times New Roman"/>
                <w:color w:val="auto"/>
                <w:szCs w:val="21"/>
                <w:highlight w:val="none"/>
                <w:u w:val="single"/>
                <w:lang w:val="en-US" w:eastAsia="zh-CN"/>
              </w:rPr>
              <w:t>14</w:t>
            </w:r>
            <w:r>
              <w:rPr>
                <w:rFonts w:hint="eastAsia" w:ascii="宋体" w:hAnsi="宋体" w:cs="Times New Roman"/>
                <w:color w:val="auto"/>
                <w:szCs w:val="21"/>
                <w:highlight w:val="none"/>
                <w:u w:val="single"/>
                <w:lang w:val="en-US" w:eastAsia="zh-CN"/>
              </w:rPr>
              <w:t>号</w:t>
            </w:r>
          </w:p>
          <w:p w14:paraId="0287A5A9">
            <w:pPr>
              <w:keepNext w:val="0"/>
              <w:keepLines w:val="0"/>
              <w:suppressLineNumbers w:val="0"/>
              <w:snapToGrid w:val="0"/>
              <w:spacing w:before="0" w:beforeAutospacing="0" w:after="0" w:afterAutospacing="0" w:line="380" w:lineRule="exact"/>
              <w:ind w:left="0" w:right="0"/>
              <w:rPr>
                <w:rFonts w:hint="default" w:ascii="宋体" w:hAnsi="宋体" w:cs="Times New Roman"/>
                <w:color w:val="auto"/>
                <w:szCs w:val="21"/>
                <w:highlight w:val="none"/>
              </w:rPr>
            </w:pPr>
            <w:r>
              <w:rPr>
                <w:rFonts w:hint="eastAsia" w:ascii="宋体" w:hAnsi="宋体" w:cs="Times New Roman"/>
                <w:color w:val="auto"/>
                <w:szCs w:val="21"/>
                <w:highlight w:val="none"/>
                <w:u w:val="single"/>
              </w:rPr>
              <w:t>（2）</w:t>
            </w:r>
            <w:r>
              <w:rPr>
                <w:rFonts w:hint="eastAsia" w:ascii="宋体" w:hAnsi="宋体" w:cs="Times New Roman"/>
                <w:color w:val="auto"/>
                <w:szCs w:val="21"/>
                <w:highlight w:val="none"/>
                <w:u w:val="single"/>
                <w:lang w:eastAsia="zh-CN"/>
              </w:rPr>
              <w:t>隆安县数据局</w:t>
            </w:r>
            <w:r>
              <w:rPr>
                <w:rFonts w:hint="eastAsia" w:ascii="宋体" w:hAnsi="宋体" w:cs="Times New Roman"/>
                <w:color w:val="auto"/>
                <w:szCs w:val="21"/>
                <w:highlight w:val="none"/>
              </w:rPr>
              <w:t>；</w:t>
            </w:r>
          </w:p>
          <w:p w14:paraId="66C9E939">
            <w:pPr>
              <w:keepNext w:val="0"/>
              <w:keepLines w:val="0"/>
              <w:suppressLineNumbers w:val="0"/>
              <w:snapToGrid w:val="0"/>
              <w:spacing w:before="0" w:beforeAutospacing="0" w:after="0" w:afterAutospacing="0" w:line="380" w:lineRule="exact"/>
              <w:ind w:left="0" w:right="0"/>
              <w:rPr>
                <w:rFonts w:hint="default" w:ascii="宋体" w:hAnsi="宋体" w:cs="Times New Roman"/>
                <w:color w:val="auto"/>
                <w:szCs w:val="21"/>
                <w:highlight w:val="none"/>
              </w:rPr>
            </w:pPr>
            <w:r>
              <w:rPr>
                <w:rFonts w:hint="default" w:ascii="宋体" w:hAnsi="宋体" w:cs="Times New Roman"/>
                <w:color w:val="auto"/>
                <w:szCs w:val="21"/>
                <w:highlight w:val="none"/>
              </w:rPr>
              <w:t>联系电话</w:t>
            </w:r>
            <w:r>
              <w:rPr>
                <w:rFonts w:hint="eastAsia" w:ascii="宋体" w:hAnsi="宋体" w:cs="Times New Roman"/>
                <w:color w:val="auto"/>
                <w:szCs w:val="21"/>
                <w:highlight w:val="none"/>
              </w:rPr>
              <w:t>：</w:t>
            </w:r>
            <w:r>
              <w:rPr>
                <w:rFonts w:hint="eastAsia" w:ascii="宋体" w:hAnsi="宋体" w:cs="Times New Roman"/>
                <w:color w:val="auto"/>
                <w:szCs w:val="21"/>
                <w:highlight w:val="none"/>
                <w:u w:val="single"/>
                <w:lang w:eastAsia="zh-CN"/>
              </w:rPr>
              <w:t>0771-6507752 　</w:t>
            </w:r>
            <w:r>
              <w:rPr>
                <w:rFonts w:hint="eastAsia" w:ascii="宋体" w:hAnsi="宋体" w:cs="Times New Roman"/>
                <w:color w:val="auto"/>
                <w:szCs w:val="21"/>
                <w:highlight w:val="none"/>
              </w:rPr>
              <w:t>，</w:t>
            </w:r>
          </w:p>
          <w:p w14:paraId="7827B176">
            <w:pPr>
              <w:keepNext w:val="0"/>
              <w:keepLines w:val="0"/>
              <w:suppressLineNumbers w:val="0"/>
              <w:snapToGrid w:val="0"/>
              <w:spacing w:before="0" w:beforeAutospacing="0" w:after="0" w:afterAutospacing="0" w:line="380" w:lineRule="exact"/>
              <w:ind w:left="0" w:right="0"/>
              <w:rPr>
                <w:rFonts w:hint="default" w:ascii="宋体" w:hAnsi="宋体" w:cs="Times New Roman"/>
                <w:color w:val="auto"/>
                <w:szCs w:val="21"/>
                <w:highlight w:val="none"/>
              </w:rPr>
            </w:pPr>
            <w:r>
              <w:rPr>
                <w:rFonts w:hint="default" w:ascii="宋体" w:hAnsi="宋体" w:cs="Times New Roman"/>
                <w:color w:val="auto"/>
                <w:szCs w:val="21"/>
                <w:highlight w:val="none"/>
              </w:rPr>
              <w:t>通讯地址</w:t>
            </w:r>
            <w:r>
              <w:rPr>
                <w:rFonts w:hint="eastAsia" w:ascii="宋体" w:hAnsi="宋体" w:cs="Helvetica"/>
                <w:color w:val="auto"/>
                <w:szCs w:val="21"/>
                <w:highlight w:val="none"/>
              </w:rPr>
              <w:t>：</w:t>
            </w:r>
            <w:r>
              <w:rPr>
                <w:rFonts w:hint="eastAsia" w:ascii="宋体" w:hAnsi="宋体" w:cs="Times New Roman"/>
                <w:color w:val="auto"/>
                <w:szCs w:val="21"/>
                <w:highlight w:val="none"/>
                <w:u w:val="single"/>
                <w:lang w:eastAsia="zh-CN"/>
              </w:rPr>
              <w:t>隆安县蝶城路201号</w:t>
            </w:r>
            <w:r>
              <w:rPr>
                <w:rFonts w:hint="eastAsia" w:ascii="宋体" w:hAnsi="宋体" w:cs="Times New Roman"/>
                <w:color w:val="auto"/>
                <w:szCs w:val="21"/>
                <w:highlight w:val="none"/>
                <w:u w:val="single"/>
              </w:rPr>
              <w:t xml:space="preserve"> </w:t>
            </w:r>
          </w:p>
        </w:tc>
      </w:tr>
      <w:tr w14:paraId="4936CD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vMerge w:val="continue"/>
            <w:noWrap w:val="0"/>
            <w:vAlign w:val="center"/>
          </w:tcPr>
          <w:p w14:paraId="6B929D0D">
            <w:pPr>
              <w:keepNext w:val="0"/>
              <w:keepLines w:val="0"/>
              <w:suppressLineNumbers w:val="0"/>
              <w:spacing w:before="0" w:beforeAutospacing="0" w:after="0" w:afterAutospacing="0" w:line="360" w:lineRule="auto"/>
              <w:ind w:left="0" w:right="0"/>
              <w:jc w:val="center"/>
              <w:rPr>
                <w:rFonts w:hint="default" w:ascii="宋体" w:hAnsi="宋体" w:cs="宋体"/>
                <w:color w:val="auto"/>
                <w:szCs w:val="21"/>
                <w:highlight w:val="none"/>
              </w:rPr>
            </w:pPr>
          </w:p>
        </w:tc>
        <w:tc>
          <w:tcPr>
            <w:tcW w:w="2640" w:type="dxa"/>
            <w:noWrap w:val="0"/>
            <w:vAlign w:val="center"/>
          </w:tcPr>
          <w:p w14:paraId="674262E7">
            <w:pPr>
              <w:keepNext w:val="0"/>
              <w:keepLines w:val="0"/>
              <w:suppressLineNumbers w:val="0"/>
              <w:spacing w:before="0" w:beforeAutospacing="0" w:after="0" w:afterAutospacing="0" w:line="380" w:lineRule="exact"/>
              <w:ind w:left="0" w:right="0"/>
              <w:jc w:val="center"/>
              <w:rPr>
                <w:rFonts w:hint="default" w:ascii="宋体" w:hAnsi="宋体" w:cs="Times New Roman"/>
                <w:color w:val="auto"/>
                <w:szCs w:val="21"/>
                <w:highlight w:val="none"/>
              </w:rPr>
            </w:pPr>
            <w:r>
              <w:rPr>
                <w:rFonts w:hint="eastAsia" w:ascii="Times New Roman" w:hAnsi="宋体" w:cs="Times New Roman"/>
                <w:color w:val="auto"/>
                <w:highlight w:val="none"/>
              </w:rPr>
              <w:t>现场提交质疑办理业务时间</w:t>
            </w:r>
          </w:p>
        </w:tc>
        <w:tc>
          <w:tcPr>
            <w:tcW w:w="6765" w:type="dxa"/>
            <w:noWrap w:val="0"/>
            <w:vAlign w:val="center"/>
          </w:tcPr>
          <w:p w14:paraId="37180F82">
            <w:pPr>
              <w:keepNext w:val="0"/>
              <w:keepLines w:val="0"/>
              <w:suppressLineNumbers w:val="0"/>
              <w:snapToGrid w:val="0"/>
              <w:spacing w:before="0" w:beforeAutospacing="0" w:after="0" w:afterAutospacing="0" w:line="380" w:lineRule="exact"/>
              <w:ind w:left="0" w:right="0"/>
              <w:rPr>
                <w:rFonts w:hint="default" w:ascii="宋体" w:hAnsi="宋体" w:cs="Times New Roman"/>
                <w:color w:val="auto"/>
                <w:szCs w:val="21"/>
                <w:highlight w:val="none"/>
              </w:rPr>
            </w:pPr>
            <w:r>
              <w:rPr>
                <w:rFonts w:hint="eastAsia" w:ascii="宋体" w:hAnsi="宋体" w:eastAsia="宋体" w:cs="宋体"/>
                <w:color w:val="auto"/>
                <w:highlight w:val="none"/>
              </w:rPr>
              <w:t>质疑期内每个工作日</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0</w:t>
            </w:r>
            <w:r>
              <w:rPr>
                <w:rFonts w:hint="eastAsia" w:ascii="宋体" w:hAnsi="宋体" w:eastAsia="宋体" w:cs="宋体"/>
                <w:color w:val="auto"/>
                <w:highlight w:val="none"/>
                <w:u w:val="single"/>
              </w:rPr>
              <w:t xml:space="preserve">8 </w:t>
            </w:r>
            <w:r>
              <w:rPr>
                <w:rFonts w:hint="eastAsia" w:ascii="宋体" w:hAnsi="宋体" w:eastAsia="宋体" w:cs="宋体"/>
                <w:color w:val="auto"/>
                <w:highlight w:val="none"/>
              </w:rPr>
              <w:t>时</w:t>
            </w:r>
            <w:r>
              <w:rPr>
                <w:rFonts w:hint="eastAsia" w:ascii="宋体" w:hAnsi="宋体" w:eastAsia="宋体" w:cs="宋体"/>
                <w:color w:val="auto"/>
                <w:highlight w:val="none"/>
                <w:u w:val="single"/>
              </w:rPr>
              <w:t xml:space="preserve"> 00 </w:t>
            </w:r>
            <w:r>
              <w:rPr>
                <w:rFonts w:hint="eastAsia" w:ascii="宋体" w:hAnsi="宋体" w:eastAsia="宋体" w:cs="宋体"/>
                <w:color w:val="auto"/>
                <w:highlight w:val="none"/>
              </w:rPr>
              <w:t>分到</w:t>
            </w:r>
            <w:r>
              <w:rPr>
                <w:rFonts w:hint="eastAsia" w:ascii="宋体" w:hAnsi="宋体" w:eastAsia="宋体" w:cs="宋体"/>
                <w:color w:val="auto"/>
                <w:highlight w:val="none"/>
                <w:u w:val="single"/>
              </w:rPr>
              <w:t xml:space="preserve"> 12 </w:t>
            </w:r>
            <w:r>
              <w:rPr>
                <w:rFonts w:hint="eastAsia" w:ascii="宋体" w:hAnsi="宋体" w:eastAsia="宋体" w:cs="宋体"/>
                <w:color w:val="auto"/>
                <w:highlight w:val="none"/>
              </w:rPr>
              <w:t>时</w:t>
            </w:r>
            <w:r>
              <w:rPr>
                <w:rFonts w:hint="eastAsia" w:ascii="宋体" w:hAnsi="宋体" w:eastAsia="宋体" w:cs="宋体"/>
                <w:color w:val="auto"/>
                <w:highlight w:val="none"/>
                <w:u w:val="single"/>
              </w:rPr>
              <w:t xml:space="preserve"> 00 </w:t>
            </w:r>
            <w:r>
              <w:rPr>
                <w:rFonts w:hint="eastAsia" w:ascii="宋体" w:hAnsi="宋体" w:eastAsia="宋体" w:cs="宋体"/>
                <w:color w:val="auto"/>
                <w:highlight w:val="none"/>
              </w:rPr>
              <w:t>分，</w:t>
            </w:r>
            <w:r>
              <w:rPr>
                <w:rFonts w:hint="eastAsia" w:ascii="宋体" w:hAnsi="宋体" w:eastAsia="宋体" w:cs="宋体"/>
                <w:color w:val="auto"/>
                <w:highlight w:val="none"/>
                <w:u w:val="single"/>
              </w:rPr>
              <w:t xml:space="preserve"> 15 </w:t>
            </w:r>
            <w:r>
              <w:rPr>
                <w:rFonts w:hint="eastAsia" w:ascii="宋体" w:hAnsi="宋体" w:eastAsia="宋体" w:cs="宋体"/>
                <w:color w:val="auto"/>
                <w:highlight w:val="none"/>
              </w:rPr>
              <w:t>时</w:t>
            </w:r>
            <w:r>
              <w:rPr>
                <w:rFonts w:hint="eastAsia" w:ascii="宋体" w:hAnsi="宋体" w:eastAsia="宋体" w:cs="宋体"/>
                <w:color w:val="auto"/>
                <w:highlight w:val="none"/>
                <w:u w:val="single"/>
              </w:rPr>
              <w:t>00</w:t>
            </w:r>
            <w:r>
              <w:rPr>
                <w:rFonts w:hint="eastAsia" w:ascii="宋体" w:hAnsi="宋体" w:eastAsia="宋体" w:cs="宋体"/>
                <w:color w:val="auto"/>
                <w:highlight w:val="none"/>
              </w:rPr>
              <w:t>分到</w:t>
            </w:r>
            <w:r>
              <w:rPr>
                <w:rFonts w:hint="eastAsia" w:ascii="宋体" w:hAnsi="宋体" w:eastAsia="宋体" w:cs="宋体"/>
                <w:color w:val="auto"/>
                <w:highlight w:val="none"/>
                <w:u w:val="single"/>
              </w:rPr>
              <w:t xml:space="preserve"> 18 </w:t>
            </w:r>
            <w:r>
              <w:rPr>
                <w:rFonts w:hint="eastAsia" w:ascii="宋体" w:hAnsi="宋体" w:eastAsia="宋体" w:cs="宋体"/>
                <w:color w:val="auto"/>
                <w:highlight w:val="none"/>
              </w:rPr>
              <w:t>时</w:t>
            </w:r>
            <w:r>
              <w:rPr>
                <w:rFonts w:hint="eastAsia" w:ascii="宋体" w:hAnsi="宋体" w:eastAsia="宋体" w:cs="宋体"/>
                <w:color w:val="auto"/>
                <w:highlight w:val="none"/>
                <w:u w:val="single"/>
              </w:rPr>
              <w:t xml:space="preserve"> 00</w:t>
            </w:r>
            <w:r>
              <w:rPr>
                <w:rFonts w:hint="eastAsia" w:ascii="宋体" w:hAnsi="宋体" w:eastAsia="宋体" w:cs="宋体"/>
                <w:color w:val="auto"/>
                <w:highlight w:val="none"/>
              </w:rPr>
              <w:t>分</w:t>
            </w:r>
          </w:p>
        </w:tc>
      </w:tr>
      <w:tr w14:paraId="00D54D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15" w:hRule="atLeast"/>
          <w:jc w:val="center"/>
        </w:trPr>
        <w:tc>
          <w:tcPr>
            <w:tcW w:w="871" w:type="dxa"/>
            <w:noWrap w:val="0"/>
            <w:vAlign w:val="center"/>
          </w:tcPr>
          <w:p w14:paraId="6A06B561">
            <w:pPr>
              <w:keepNext w:val="0"/>
              <w:keepLines w:val="0"/>
              <w:suppressLineNumbers w:val="0"/>
              <w:spacing w:before="0" w:beforeAutospacing="0" w:after="0" w:afterAutospacing="0" w:line="360" w:lineRule="auto"/>
              <w:ind w:left="0" w:right="0"/>
              <w:jc w:val="center"/>
              <w:rPr>
                <w:rFonts w:hint="default" w:ascii="宋体" w:hAnsi="宋体" w:cs="宋体"/>
                <w:color w:val="auto"/>
                <w:szCs w:val="21"/>
                <w:highlight w:val="none"/>
              </w:rPr>
            </w:pPr>
            <w:r>
              <w:rPr>
                <w:rFonts w:hint="eastAsia" w:ascii="宋体" w:hAnsi="宋体" w:cs="宋体"/>
                <w:color w:val="auto"/>
                <w:szCs w:val="21"/>
                <w:highlight w:val="none"/>
              </w:rPr>
              <w:t>31.6</w:t>
            </w:r>
          </w:p>
        </w:tc>
        <w:tc>
          <w:tcPr>
            <w:tcW w:w="2640" w:type="dxa"/>
            <w:noWrap w:val="0"/>
            <w:vAlign w:val="center"/>
          </w:tcPr>
          <w:p w14:paraId="07AC9EF9">
            <w:pPr>
              <w:keepNext w:val="0"/>
              <w:keepLines w:val="0"/>
              <w:suppressLineNumbers w:val="0"/>
              <w:spacing w:before="0" w:beforeAutospacing="0" w:after="0" w:afterAutospacing="0" w:line="360" w:lineRule="auto"/>
              <w:ind w:left="0" w:right="0"/>
              <w:jc w:val="center"/>
              <w:rPr>
                <w:rFonts w:hint="default" w:ascii="宋体" w:hAnsi="宋体" w:cs="宋体"/>
                <w:color w:val="auto"/>
                <w:szCs w:val="21"/>
                <w:highlight w:val="none"/>
              </w:rPr>
            </w:pPr>
            <w:r>
              <w:rPr>
                <w:rFonts w:hint="eastAsia" w:ascii="宋体" w:hAnsi="宋体" w:cs="宋体"/>
                <w:color w:val="auto"/>
                <w:szCs w:val="21"/>
                <w:highlight w:val="none"/>
              </w:rPr>
              <w:t>受理投诉方式</w:t>
            </w:r>
          </w:p>
        </w:tc>
        <w:tc>
          <w:tcPr>
            <w:tcW w:w="6765" w:type="dxa"/>
            <w:noWrap w:val="0"/>
            <w:vAlign w:val="center"/>
          </w:tcPr>
          <w:p w14:paraId="258E1635">
            <w:pPr>
              <w:keepNext w:val="0"/>
              <w:keepLines w:val="0"/>
              <w:suppressLineNumbers w:val="0"/>
              <w:snapToGrid w:val="0"/>
              <w:spacing w:before="0" w:beforeAutospacing="0" w:after="0" w:afterAutospacing="0" w:line="380" w:lineRule="exact"/>
              <w:ind w:left="0" w:right="0"/>
              <w:rPr>
                <w:rFonts w:hint="eastAsia" w:ascii="宋体" w:hAnsi="宋体" w:eastAsia="宋体" w:cs="宋体"/>
                <w:color w:val="auto"/>
                <w:highlight w:val="none"/>
              </w:rPr>
            </w:pPr>
            <w:r>
              <w:rPr>
                <w:rFonts w:hint="eastAsia" w:ascii="宋体" w:hAnsi="宋体" w:eastAsia="宋体" w:cs="宋体"/>
                <w:color w:val="auto"/>
                <w:highlight w:val="none"/>
              </w:rPr>
              <w:t>1、受理方式：纸质方式受理，投诉书正、副本（经过质疑的事项才可投诉）。</w:t>
            </w:r>
          </w:p>
          <w:p w14:paraId="69938169">
            <w:pPr>
              <w:keepNext w:val="0"/>
              <w:keepLines w:val="0"/>
              <w:suppressLineNumbers w:val="0"/>
              <w:snapToGrid w:val="0"/>
              <w:spacing w:before="0" w:beforeAutospacing="0" w:after="0" w:afterAutospacing="0" w:line="380" w:lineRule="exact"/>
              <w:ind w:left="0" w:right="0"/>
              <w:rPr>
                <w:rFonts w:hint="eastAsia" w:ascii="宋体" w:hAnsi="宋体" w:eastAsia="宋体" w:cs="宋体"/>
                <w:color w:val="auto"/>
                <w:highlight w:val="none"/>
              </w:rPr>
            </w:pPr>
            <w:r>
              <w:rPr>
                <w:rFonts w:hint="eastAsia" w:ascii="宋体" w:hAnsi="宋体" w:eastAsia="宋体" w:cs="宋体"/>
                <w:color w:val="auto"/>
                <w:highlight w:val="none"/>
              </w:rPr>
              <w:t>2、邮寄地址：</w:t>
            </w:r>
          </w:p>
          <w:p w14:paraId="7D789A05">
            <w:pPr>
              <w:keepNext w:val="0"/>
              <w:keepLines w:val="0"/>
              <w:suppressLineNumbers w:val="0"/>
              <w:snapToGrid w:val="0"/>
              <w:spacing w:before="0" w:beforeAutospacing="0" w:after="0" w:afterAutospacing="0" w:line="380" w:lineRule="exact"/>
              <w:ind w:left="0" w:right="0" w:firstLine="210" w:firstLineChars="100"/>
              <w:rPr>
                <w:rFonts w:hint="eastAsia" w:ascii="宋体" w:hAnsi="宋体" w:eastAsia="宋体" w:cs="宋体"/>
                <w:color w:val="auto"/>
                <w:highlight w:val="none"/>
                <w:lang w:eastAsia="zh-CN"/>
              </w:rPr>
            </w:pPr>
            <w:r>
              <w:rPr>
                <w:rFonts w:hint="eastAsia" w:ascii="宋体" w:hAnsi="宋体" w:eastAsia="宋体" w:cs="宋体"/>
                <w:color w:val="auto"/>
                <w:highlight w:val="none"/>
              </w:rPr>
              <w:t>名称：</w:t>
            </w:r>
            <w:r>
              <w:rPr>
                <w:rFonts w:hint="eastAsia" w:ascii="宋体" w:hAnsi="宋体" w:eastAsia="宋体" w:cs="宋体"/>
                <w:color w:val="auto"/>
                <w:highlight w:val="none"/>
                <w:lang w:eastAsia="zh-CN"/>
              </w:rPr>
              <w:t>隆安县财政局</w:t>
            </w:r>
          </w:p>
          <w:p w14:paraId="5ACAC6C7">
            <w:pPr>
              <w:keepNext w:val="0"/>
              <w:keepLines w:val="0"/>
              <w:suppressLineNumbers w:val="0"/>
              <w:snapToGrid w:val="0"/>
              <w:spacing w:before="0" w:beforeAutospacing="0" w:after="0" w:afterAutospacing="0" w:line="380" w:lineRule="exact"/>
              <w:ind w:left="0" w:right="0" w:firstLine="210" w:firstLineChars="100"/>
              <w:rPr>
                <w:rFonts w:hint="default" w:ascii="宋体" w:hAnsi="宋体" w:eastAsia="宋体" w:cs="宋体"/>
                <w:color w:val="auto"/>
                <w:highlight w:val="none"/>
                <w:lang w:val="en-US" w:eastAsia="zh-CN"/>
              </w:rPr>
            </w:pPr>
            <w:r>
              <w:rPr>
                <w:rFonts w:hint="eastAsia" w:ascii="宋体" w:hAnsi="宋体" w:eastAsia="宋体" w:cs="宋体"/>
                <w:color w:val="auto"/>
                <w:highlight w:val="none"/>
              </w:rPr>
              <w:t>地址：</w:t>
            </w:r>
            <w:r>
              <w:rPr>
                <w:rFonts w:hint="eastAsia" w:ascii="宋体" w:hAnsi="宋体" w:eastAsia="宋体" w:cs="宋体"/>
                <w:color w:val="auto"/>
                <w:highlight w:val="none"/>
                <w:lang w:eastAsia="zh-CN"/>
              </w:rPr>
              <w:t>隆安县</w:t>
            </w:r>
            <w:r>
              <w:rPr>
                <w:rFonts w:hint="eastAsia" w:ascii="宋体" w:hAnsi="宋体" w:eastAsia="宋体" w:cs="宋体"/>
                <w:color w:val="auto"/>
                <w:highlight w:val="none"/>
                <w:lang w:val="en-US" w:eastAsia="zh-CN"/>
              </w:rPr>
              <w:t>广场路8号</w:t>
            </w:r>
          </w:p>
          <w:p w14:paraId="45BB8BB3">
            <w:pPr>
              <w:keepNext w:val="0"/>
              <w:keepLines w:val="0"/>
              <w:suppressLineNumbers w:val="0"/>
              <w:snapToGrid w:val="0"/>
              <w:spacing w:before="0" w:beforeAutospacing="0" w:after="0" w:afterAutospacing="0" w:line="380" w:lineRule="exact"/>
              <w:ind w:left="0" w:right="0" w:firstLine="210" w:firstLineChars="100"/>
              <w:rPr>
                <w:rFonts w:hint="default" w:ascii="Times New Roman" w:hAnsi="宋体" w:cs="宋体"/>
                <w:color w:val="auto"/>
                <w:highlight w:val="none"/>
              </w:rPr>
            </w:pPr>
            <w:r>
              <w:rPr>
                <w:rFonts w:hint="eastAsia" w:ascii="宋体" w:hAnsi="宋体" w:eastAsia="宋体" w:cs="宋体"/>
                <w:color w:val="auto"/>
                <w:highlight w:val="none"/>
              </w:rPr>
              <w:t>联系电话：</w:t>
            </w:r>
            <w:r>
              <w:rPr>
                <w:rFonts w:hint="eastAsia" w:ascii="宋体" w:hAnsi="宋体" w:eastAsia="宋体" w:cs="宋体"/>
                <w:color w:val="auto"/>
                <w:highlight w:val="none"/>
                <w:lang w:eastAsia="zh-CN"/>
              </w:rPr>
              <w:t>0771-6531019</w:t>
            </w:r>
          </w:p>
        </w:tc>
      </w:tr>
      <w:tr w14:paraId="1B7098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noWrap w:val="0"/>
            <w:vAlign w:val="center"/>
          </w:tcPr>
          <w:p w14:paraId="78F5872C">
            <w:pPr>
              <w:keepNext w:val="0"/>
              <w:keepLines w:val="0"/>
              <w:suppressLineNumbers w:val="0"/>
              <w:spacing w:before="0" w:beforeAutospacing="0" w:after="0" w:afterAutospacing="0" w:line="360" w:lineRule="auto"/>
              <w:ind w:left="0" w:right="0"/>
              <w:jc w:val="center"/>
              <w:rPr>
                <w:rFonts w:hint="default" w:ascii="宋体" w:hAnsi="宋体" w:cs="宋体"/>
                <w:color w:val="auto"/>
                <w:szCs w:val="21"/>
                <w:highlight w:val="none"/>
              </w:rPr>
            </w:pPr>
            <w:r>
              <w:rPr>
                <w:rFonts w:hint="default" w:ascii="宋体" w:hAnsi="宋体" w:cs="宋体"/>
                <w:color w:val="auto"/>
                <w:szCs w:val="21"/>
                <w:highlight w:val="none"/>
              </w:rPr>
              <w:t>3</w:t>
            </w:r>
            <w:r>
              <w:rPr>
                <w:rFonts w:hint="eastAsia" w:ascii="宋体" w:hAnsi="宋体" w:cs="宋体"/>
                <w:color w:val="auto"/>
                <w:szCs w:val="21"/>
                <w:highlight w:val="none"/>
              </w:rPr>
              <w:t>3</w:t>
            </w:r>
          </w:p>
        </w:tc>
        <w:tc>
          <w:tcPr>
            <w:tcW w:w="2640" w:type="dxa"/>
            <w:noWrap w:val="0"/>
            <w:vAlign w:val="center"/>
          </w:tcPr>
          <w:p w14:paraId="589F7F10">
            <w:pPr>
              <w:keepNext w:val="0"/>
              <w:keepLines w:val="0"/>
              <w:suppressLineNumbers w:val="0"/>
              <w:spacing w:before="0" w:beforeAutospacing="0" w:after="0" w:afterAutospacing="0" w:line="360" w:lineRule="auto"/>
              <w:ind w:left="0" w:right="0"/>
              <w:jc w:val="center"/>
              <w:rPr>
                <w:rFonts w:hint="default" w:ascii="宋体" w:hAnsi="宋体" w:cs="宋体"/>
                <w:color w:val="auto"/>
                <w:szCs w:val="21"/>
                <w:highlight w:val="none"/>
              </w:rPr>
            </w:pPr>
            <w:r>
              <w:rPr>
                <w:rFonts w:hint="eastAsia" w:ascii="宋体" w:hAnsi="宋体" w:cs="宋体"/>
                <w:color w:val="auto"/>
                <w:szCs w:val="21"/>
                <w:highlight w:val="none"/>
              </w:rPr>
              <w:t>采购代理费</w:t>
            </w:r>
          </w:p>
        </w:tc>
        <w:tc>
          <w:tcPr>
            <w:tcW w:w="6765" w:type="dxa"/>
            <w:noWrap w:val="0"/>
            <w:vAlign w:val="center"/>
          </w:tcPr>
          <w:p w14:paraId="0E198846">
            <w:pPr>
              <w:pStyle w:val="18"/>
              <w:keepNext w:val="0"/>
              <w:keepLines w:val="0"/>
              <w:suppressLineNumbers w:val="0"/>
              <w:snapToGrid w:val="0"/>
              <w:spacing w:before="0" w:beforeAutospacing="0" w:after="0" w:afterAutospacing="0" w:line="360" w:lineRule="auto"/>
              <w:ind w:left="0" w:right="0"/>
              <w:rPr>
                <w:rFonts w:hint="eastAsia" w:hAnsi="宋体" w:cs="宋体"/>
                <w:color w:val="auto"/>
                <w:sz w:val="21"/>
                <w:highlight w:val="none"/>
                <w:lang w:val="en-US" w:eastAsia="zh-CN"/>
              </w:rPr>
            </w:pPr>
            <w:r>
              <w:rPr>
                <w:rFonts w:hint="eastAsia" w:hAnsi="宋体" w:cs="宋体"/>
                <w:color w:val="auto"/>
                <w:sz w:val="21"/>
                <w:highlight w:val="none"/>
                <w:lang w:val="en-US" w:eastAsia="zh-CN"/>
              </w:rPr>
              <w:t>1. 是否收取采购代理费：</w:t>
            </w:r>
          </w:p>
          <w:p w14:paraId="0B51188F">
            <w:pPr>
              <w:pStyle w:val="18"/>
              <w:keepNext w:val="0"/>
              <w:keepLines w:val="0"/>
              <w:suppressLineNumbers w:val="0"/>
              <w:snapToGrid w:val="0"/>
              <w:spacing w:before="0" w:beforeAutospacing="0" w:after="0" w:afterAutospacing="0" w:line="360" w:lineRule="auto"/>
              <w:ind w:left="0" w:right="0"/>
              <w:rPr>
                <w:rFonts w:hint="default" w:ascii="宋体" w:hAnsi="宋体" w:cs="宋体"/>
                <w:color w:val="auto"/>
                <w:kern w:val="0"/>
                <w:szCs w:val="21"/>
                <w:highlight w:val="none"/>
              </w:rPr>
            </w:pPr>
            <w:r>
              <w:rPr>
                <w:rFonts w:hint="eastAsia" w:ascii="MS Mincho" w:hAnsi="MS Mincho" w:eastAsia="MS Mincho" w:cs="MS Mincho"/>
                <w:color w:val="auto"/>
                <w:sz w:val="21"/>
                <w:highlight w:val="none"/>
                <w:lang w:val="en-US" w:eastAsia="zh-CN"/>
              </w:rPr>
              <w:t>□</w:t>
            </w:r>
            <w:r>
              <w:rPr>
                <w:rFonts w:hint="eastAsia" w:hAnsi="宋体" w:cs="宋体"/>
                <w:color w:val="auto"/>
                <w:sz w:val="21"/>
                <w:highlight w:val="none"/>
                <w:lang w:val="en-US" w:eastAsia="zh-CN"/>
              </w:rPr>
              <w:t xml:space="preserve">是    </w:t>
            </w:r>
            <w:r>
              <w:rPr>
                <w:rFonts w:hint="eastAsia" w:hAnsi="宋体" w:cs="宋体"/>
                <w:color w:val="auto"/>
                <w:sz w:val="21"/>
                <w:highlight w:val="none"/>
                <w:lang w:val="en-US" w:eastAsia="zh-CN"/>
              </w:rPr>
              <w:sym w:font="Wingdings 2" w:char="0052"/>
            </w:r>
            <w:r>
              <w:rPr>
                <w:rFonts w:hint="eastAsia" w:hAnsi="宋体" w:cs="宋体"/>
                <w:color w:val="auto"/>
                <w:sz w:val="21"/>
                <w:highlight w:val="none"/>
                <w:lang w:val="en-US" w:eastAsia="zh-CN"/>
              </w:rPr>
              <w:t xml:space="preserve"> 否</w:t>
            </w:r>
          </w:p>
        </w:tc>
      </w:tr>
      <w:tr w14:paraId="3ED88F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noWrap w:val="0"/>
            <w:vAlign w:val="center"/>
          </w:tcPr>
          <w:p w14:paraId="7DF39892">
            <w:pPr>
              <w:keepNext w:val="0"/>
              <w:keepLines w:val="0"/>
              <w:suppressLineNumbers w:val="0"/>
              <w:spacing w:before="0" w:beforeAutospacing="0" w:after="0" w:afterAutospacing="0" w:line="360" w:lineRule="auto"/>
              <w:ind w:left="0" w:right="0"/>
              <w:jc w:val="center"/>
              <w:rPr>
                <w:rFonts w:hint="default" w:ascii="宋体" w:hAnsi="宋体" w:cs="宋体"/>
                <w:color w:val="auto"/>
                <w:szCs w:val="21"/>
                <w:highlight w:val="none"/>
              </w:rPr>
            </w:pPr>
            <w:r>
              <w:rPr>
                <w:rFonts w:hint="eastAsia" w:ascii="宋体" w:hAnsi="宋体" w:cs="宋体"/>
                <w:color w:val="auto"/>
                <w:szCs w:val="21"/>
                <w:highlight w:val="none"/>
              </w:rPr>
              <w:t>34</w:t>
            </w:r>
            <w:r>
              <w:rPr>
                <w:rFonts w:hint="default" w:ascii="宋体" w:hAnsi="宋体" w:cs="宋体"/>
                <w:color w:val="auto"/>
                <w:szCs w:val="21"/>
                <w:highlight w:val="none"/>
              </w:rPr>
              <w:t>.1</w:t>
            </w:r>
          </w:p>
        </w:tc>
        <w:tc>
          <w:tcPr>
            <w:tcW w:w="2640" w:type="dxa"/>
            <w:noWrap w:val="0"/>
            <w:vAlign w:val="center"/>
          </w:tcPr>
          <w:p w14:paraId="76B635BB">
            <w:pPr>
              <w:keepNext w:val="0"/>
              <w:keepLines w:val="0"/>
              <w:suppressLineNumbers w:val="0"/>
              <w:spacing w:before="0" w:beforeAutospacing="0" w:after="0" w:afterAutospacing="0" w:line="360" w:lineRule="auto"/>
              <w:ind w:left="0" w:right="0"/>
              <w:jc w:val="center"/>
              <w:rPr>
                <w:rFonts w:hint="default" w:ascii="宋体" w:hAnsi="宋体" w:cs="宋体"/>
                <w:color w:val="auto"/>
                <w:szCs w:val="21"/>
                <w:highlight w:val="none"/>
              </w:rPr>
            </w:pPr>
            <w:r>
              <w:rPr>
                <w:rFonts w:hint="eastAsia" w:ascii="Times New Roman" w:hAnsi="宋体" w:cs="Times New Roman"/>
                <w:color w:val="auto"/>
                <w:highlight w:val="none"/>
              </w:rPr>
              <w:t>解释</w:t>
            </w:r>
          </w:p>
        </w:tc>
        <w:tc>
          <w:tcPr>
            <w:tcW w:w="6765" w:type="dxa"/>
            <w:noWrap w:val="0"/>
            <w:vAlign w:val="center"/>
          </w:tcPr>
          <w:p w14:paraId="0530A84B">
            <w:pPr>
              <w:pStyle w:val="18"/>
              <w:keepNext w:val="0"/>
              <w:keepLines w:val="0"/>
              <w:suppressLineNumbers w:val="0"/>
              <w:snapToGrid w:val="0"/>
              <w:spacing w:before="0" w:beforeAutospacing="0" w:after="0" w:afterAutospacing="0" w:line="360" w:lineRule="auto"/>
              <w:ind w:left="0" w:right="0"/>
              <w:rPr>
                <w:rFonts w:hint="eastAsia" w:hAnsi="宋体" w:cs="宋体"/>
                <w:b/>
                <w:color w:val="auto"/>
                <w:sz w:val="21"/>
                <w:highlight w:val="none"/>
                <w:lang w:val="en-US" w:eastAsia="zh-CN"/>
              </w:rPr>
            </w:pPr>
            <w:r>
              <w:rPr>
                <w:rFonts w:hint="eastAsia" w:hAnsi="宋体" w:cs="宋体"/>
                <w:b/>
                <w:color w:val="auto"/>
                <w:sz w:val="21"/>
                <w:highlight w:val="none"/>
                <w:lang w:val="en-US" w:eastAsia="zh-CN"/>
              </w:rPr>
              <w:t>解释权：</w:t>
            </w:r>
            <w:r>
              <w:rPr>
                <w:rFonts w:hint="default" w:hAnsi="宋体" w:cs="宋体"/>
                <w:color w:val="auto"/>
                <w:sz w:val="21"/>
                <w:highlight w:val="none"/>
                <w:lang w:val="en-US" w:eastAsia="zh-CN"/>
              </w:rPr>
              <w:t>构成本</w:t>
            </w:r>
            <w:r>
              <w:rPr>
                <w:rFonts w:hint="eastAsia" w:hAnsi="宋体" w:cs="宋体"/>
                <w:color w:val="auto"/>
                <w:sz w:val="21"/>
                <w:highlight w:val="none"/>
                <w:lang w:val="en-US" w:eastAsia="zh-CN"/>
              </w:rPr>
              <w:t>磋商文件</w:t>
            </w:r>
            <w:r>
              <w:rPr>
                <w:rFonts w:hint="default" w:hAnsi="宋体" w:cs="宋体"/>
                <w:color w:val="auto"/>
                <w:sz w:val="21"/>
                <w:highlight w:val="none"/>
                <w:lang w:val="en-US" w:eastAsia="zh-CN"/>
              </w:rPr>
              <w:t>的各个组成文件应互为解释，互为说明；除</w:t>
            </w:r>
            <w:r>
              <w:rPr>
                <w:rFonts w:hint="eastAsia" w:hAnsi="宋体" w:cs="宋体"/>
                <w:color w:val="auto"/>
                <w:sz w:val="21"/>
                <w:highlight w:val="none"/>
                <w:lang w:val="en-US" w:eastAsia="zh-CN"/>
              </w:rPr>
              <w:t>磋商文件</w:t>
            </w:r>
            <w:r>
              <w:rPr>
                <w:rFonts w:hint="default" w:hAnsi="宋体" w:cs="宋体"/>
                <w:color w:val="auto"/>
                <w:sz w:val="21"/>
                <w:highlight w:val="none"/>
                <w:lang w:val="en-US" w:eastAsia="zh-CN"/>
              </w:rPr>
              <w:t>中有特别规定外，仅适用于</w:t>
            </w:r>
            <w:r>
              <w:rPr>
                <w:rFonts w:hint="eastAsia" w:hAnsi="宋体" w:cs="宋体"/>
                <w:color w:val="auto"/>
                <w:sz w:val="21"/>
                <w:highlight w:val="none"/>
                <w:lang w:val="en-US" w:eastAsia="zh-CN"/>
              </w:rPr>
              <w:t>竞标</w:t>
            </w:r>
            <w:r>
              <w:rPr>
                <w:rFonts w:hint="default" w:hAnsi="宋体" w:cs="宋体"/>
                <w:color w:val="auto"/>
                <w:sz w:val="21"/>
                <w:highlight w:val="none"/>
                <w:lang w:val="en-US" w:eastAsia="zh-CN"/>
              </w:rPr>
              <w:t>阶段的规定，按</w:t>
            </w:r>
            <w:r>
              <w:rPr>
                <w:rFonts w:hint="eastAsia" w:hAnsi="宋体" w:cs="宋体"/>
                <w:color w:val="auto"/>
                <w:sz w:val="21"/>
                <w:highlight w:val="none"/>
                <w:lang w:val="en-US" w:eastAsia="zh-CN"/>
              </w:rPr>
              <w:t>更正公告（澄清公告）</w:t>
            </w:r>
            <w:r>
              <w:rPr>
                <w:rFonts w:hint="default" w:hAnsi="宋体" w:cs="宋体"/>
                <w:color w:val="auto"/>
                <w:sz w:val="21"/>
                <w:highlight w:val="none"/>
                <w:lang w:val="en-US" w:eastAsia="zh-CN"/>
              </w:rPr>
              <w:t>、</w:t>
            </w:r>
            <w:r>
              <w:rPr>
                <w:rFonts w:hint="eastAsia" w:hAnsi="宋体" w:cs="宋体"/>
                <w:color w:val="auto"/>
                <w:sz w:val="21"/>
                <w:highlight w:val="none"/>
                <w:lang w:val="en-US" w:eastAsia="zh-CN"/>
              </w:rPr>
              <w:t>竞争性磋商</w:t>
            </w:r>
            <w:r>
              <w:rPr>
                <w:rFonts w:hint="default" w:hAnsi="宋体" w:cs="宋体"/>
                <w:color w:val="auto"/>
                <w:sz w:val="21"/>
                <w:highlight w:val="none"/>
                <w:lang w:val="en-US" w:eastAsia="zh-CN"/>
              </w:rPr>
              <w:t>公告、</w:t>
            </w:r>
            <w:r>
              <w:rPr>
                <w:rFonts w:hint="eastAsia" w:hAnsi="宋体" w:cs="宋体"/>
                <w:color w:val="auto"/>
                <w:sz w:val="21"/>
                <w:highlight w:val="none"/>
                <w:lang w:val="en-US" w:eastAsia="zh-CN"/>
              </w:rPr>
              <w:t>供应商</w:t>
            </w:r>
            <w:r>
              <w:rPr>
                <w:rFonts w:hint="default" w:hAnsi="宋体" w:cs="宋体"/>
                <w:color w:val="auto"/>
                <w:sz w:val="21"/>
                <w:highlight w:val="none"/>
                <w:lang w:val="en-US" w:eastAsia="zh-CN"/>
              </w:rPr>
              <w:t>须知</w:t>
            </w:r>
            <w:r>
              <w:rPr>
                <w:rFonts w:hint="eastAsia" w:hAnsi="宋体" w:cs="宋体"/>
                <w:color w:val="auto"/>
                <w:sz w:val="21"/>
                <w:highlight w:val="none"/>
                <w:lang w:val="en-US" w:eastAsia="zh-CN"/>
              </w:rPr>
              <w:t>、采购需求</w:t>
            </w:r>
            <w:r>
              <w:rPr>
                <w:rFonts w:hint="default" w:hAnsi="宋体" w:cs="宋体"/>
                <w:color w:val="auto"/>
                <w:sz w:val="21"/>
                <w:highlight w:val="none"/>
                <w:lang w:val="en-US" w:eastAsia="zh-CN"/>
              </w:rPr>
              <w:t>、</w:t>
            </w:r>
            <w:r>
              <w:rPr>
                <w:rFonts w:hint="eastAsia" w:hAnsi="宋体" w:cs="宋体"/>
                <w:color w:val="auto"/>
                <w:sz w:val="21"/>
                <w:highlight w:val="none"/>
                <w:lang w:val="en-US" w:eastAsia="zh-CN"/>
              </w:rPr>
              <w:t>评审程序、评审方法和评审标准</w:t>
            </w:r>
            <w:r>
              <w:rPr>
                <w:rFonts w:hint="default" w:hAnsi="宋体" w:cs="宋体"/>
                <w:color w:val="auto"/>
                <w:sz w:val="21"/>
                <w:highlight w:val="none"/>
                <w:lang w:val="en-US" w:eastAsia="zh-CN"/>
              </w:rPr>
              <w:t>、</w:t>
            </w:r>
            <w:r>
              <w:rPr>
                <w:rFonts w:hint="eastAsia" w:hAnsi="宋体" w:cs="宋体"/>
                <w:color w:val="auto"/>
                <w:sz w:val="21"/>
                <w:highlight w:val="none"/>
                <w:lang w:val="en-US" w:eastAsia="zh-CN"/>
              </w:rPr>
              <w:t>响应</w:t>
            </w:r>
            <w:r>
              <w:rPr>
                <w:rFonts w:hint="default" w:hAnsi="宋体" w:cs="宋体"/>
                <w:color w:val="auto"/>
                <w:sz w:val="21"/>
                <w:highlight w:val="none"/>
                <w:lang w:val="en-US" w:eastAsia="zh-CN"/>
              </w:rPr>
              <w:t>文件格式</w:t>
            </w:r>
            <w:r>
              <w:rPr>
                <w:rFonts w:hint="eastAsia" w:hAnsi="宋体" w:cs="宋体"/>
                <w:color w:val="auto"/>
                <w:sz w:val="21"/>
                <w:highlight w:val="none"/>
                <w:lang w:val="en-US" w:eastAsia="zh-CN"/>
              </w:rPr>
              <w:t>、合同文本</w:t>
            </w:r>
            <w:r>
              <w:rPr>
                <w:rFonts w:hint="default" w:hAnsi="宋体" w:cs="宋体"/>
                <w:color w:val="auto"/>
                <w:sz w:val="21"/>
                <w:highlight w:val="none"/>
                <w:lang w:val="en-US" w:eastAsia="zh-CN"/>
              </w:rPr>
              <w:t>的先后顺序解释；同一组成文件中就同一事项的规定或者约定不一致的，以编排顺序在后者为准；同一组成文件不同版本之间有不一致的，以形成时间在后者为准；</w:t>
            </w:r>
            <w:r>
              <w:rPr>
                <w:rFonts w:hint="eastAsia" w:hAnsi="宋体" w:cs="宋体"/>
                <w:color w:val="auto"/>
                <w:sz w:val="21"/>
                <w:highlight w:val="none"/>
                <w:lang w:val="en-US" w:eastAsia="zh-CN"/>
              </w:rPr>
              <w:t>更正公告（澄清公告）</w:t>
            </w:r>
            <w:r>
              <w:rPr>
                <w:rFonts w:hint="default" w:hAnsi="宋体" w:cs="宋体"/>
                <w:color w:val="auto"/>
                <w:sz w:val="21"/>
                <w:highlight w:val="none"/>
                <w:lang w:val="en-US" w:eastAsia="zh-CN"/>
              </w:rPr>
              <w:t>与同步更新的</w:t>
            </w:r>
            <w:r>
              <w:rPr>
                <w:rFonts w:hint="eastAsia" w:hAnsi="宋体" w:cs="宋体"/>
                <w:color w:val="auto"/>
                <w:sz w:val="21"/>
                <w:highlight w:val="none"/>
                <w:lang w:val="en-US" w:eastAsia="zh-CN"/>
              </w:rPr>
              <w:t>磋商文件</w:t>
            </w:r>
            <w:r>
              <w:rPr>
                <w:rFonts w:hint="default" w:hAnsi="宋体" w:cs="宋体"/>
                <w:color w:val="auto"/>
                <w:sz w:val="21"/>
                <w:highlight w:val="none"/>
                <w:lang w:val="en-US" w:eastAsia="zh-CN"/>
              </w:rPr>
              <w:t>不一致时以</w:t>
            </w:r>
            <w:r>
              <w:rPr>
                <w:rFonts w:hint="eastAsia" w:hAnsi="宋体" w:cs="宋体"/>
                <w:color w:val="auto"/>
                <w:sz w:val="21"/>
                <w:highlight w:val="none"/>
                <w:lang w:val="en-US" w:eastAsia="zh-CN"/>
              </w:rPr>
              <w:t>更正公告（澄清公告）</w:t>
            </w:r>
            <w:r>
              <w:rPr>
                <w:rFonts w:hint="default" w:hAnsi="宋体" w:cs="宋体"/>
                <w:color w:val="auto"/>
                <w:sz w:val="21"/>
                <w:highlight w:val="none"/>
                <w:lang w:val="en-US" w:eastAsia="zh-CN"/>
              </w:rPr>
              <w:t>为准。按本款前述规定仍不能形成结论的，</w:t>
            </w:r>
            <w:r>
              <w:rPr>
                <w:rFonts w:hint="default" w:hAnsi="宋体" w:cs="宋体"/>
                <w:b/>
                <w:color w:val="auto"/>
                <w:sz w:val="21"/>
                <w:highlight w:val="none"/>
                <w:lang w:val="en-US" w:eastAsia="zh-CN"/>
              </w:rPr>
              <w:t>由</w:t>
            </w:r>
            <w:r>
              <w:rPr>
                <w:rFonts w:hint="eastAsia" w:hAnsi="宋体" w:cs="宋体"/>
                <w:b/>
                <w:color w:val="auto"/>
                <w:sz w:val="21"/>
                <w:highlight w:val="none"/>
                <w:lang w:val="en-US" w:eastAsia="zh-CN"/>
              </w:rPr>
              <w:t>采购</w:t>
            </w:r>
            <w:r>
              <w:rPr>
                <w:rFonts w:hint="default" w:hAnsi="宋体" w:cs="宋体"/>
                <w:b/>
                <w:color w:val="auto"/>
                <w:sz w:val="21"/>
                <w:highlight w:val="none"/>
                <w:lang w:val="en-US" w:eastAsia="zh-CN"/>
              </w:rPr>
              <w:t>人</w:t>
            </w:r>
            <w:r>
              <w:rPr>
                <w:rFonts w:hint="eastAsia" w:hAnsi="宋体" w:cs="宋体"/>
                <w:b/>
                <w:color w:val="auto"/>
                <w:sz w:val="21"/>
                <w:highlight w:val="none"/>
                <w:lang w:val="en-US" w:eastAsia="zh-CN"/>
              </w:rPr>
              <w:t>或者采购代理机构</w:t>
            </w:r>
            <w:r>
              <w:rPr>
                <w:rFonts w:hint="default" w:hAnsi="宋体" w:cs="宋体"/>
                <w:b/>
                <w:color w:val="auto"/>
                <w:sz w:val="21"/>
                <w:highlight w:val="none"/>
                <w:lang w:val="en-US" w:eastAsia="zh-CN"/>
              </w:rPr>
              <w:t>负责解释。</w:t>
            </w:r>
          </w:p>
          <w:p w14:paraId="1A5095A1">
            <w:pPr>
              <w:pStyle w:val="18"/>
              <w:keepNext w:val="0"/>
              <w:keepLines w:val="0"/>
              <w:suppressLineNumbers w:val="0"/>
              <w:snapToGrid w:val="0"/>
              <w:spacing w:before="0" w:beforeAutospacing="0" w:after="0" w:afterAutospacing="0" w:line="360" w:lineRule="auto"/>
              <w:ind w:left="0" w:right="0"/>
              <w:rPr>
                <w:rFonts w:hint="eastAsia" w:hAnsi="宋体" w:cs="宋体"/>
                <w:b/>
                <w:color w:val="auto"/>
                <w:sz w:val="21"/>
                <w:highlight w:val="none"/>
                <w:lang w:val="en-US" w:eastAsia="zh-CN"/>
              </w:rPr>
            </w:pPr>
            <w:r>
              <w:rPr>
                <w:rFonts w:hint="eastAsia" w:hAnsi="宋体" w:cs="宋体"/>
                <w:b/>
                <w:color w:val="auto"/>
                <w:sz w:val="21"/>
                <w:highlight w:val="none"/>
                <w:lang w:val="en-US" w:eastAsia="zh-CN"/>
              </w:rPr>
              <w:t>法律责任：</w:t>
            </w:r>
          </w:p>
          <w:p w14:paraId="0B552C8F">
            <w:pPr>
              <w:pStyle w:val="18"/>
              <w:keepNext w:val="0"/>
              <w:keepLines w:val="0"/>
              <w:suppressLineNumbers w:val="0"/>
              <w:snapToGrid w:val="0"/>
              <w:spacing w:before="0" w:beforeAutospacing="0" w:after="0" w:afterAutospacing="0" w:line="360" w:lineRule="auto"/>
              <w:ind w:left="0" w:right="0"/>
              <w:rPr>
                <w:rFonts w:hint="eastAsia" w:hAnsi="宋体" w:cs="宋体"/>
                <w:color w:val="auto"/>
                <w:sz w:val="21"/>
                <w:highlight w:val="none"/>
                <w:lang w:val="en-US" w:eastAsia="zh-CN"/>
              </w:rPr>
            </w:pPr>
            <w:r>
              <w:rPr>
                <w:rFonts w:hint="eastAsia" w:hAnsi="宋体" w:cs="宋体"/>
                <w:b/>
                <w:color w:val="auto"/>
                <w:sz w:val="21"/>
                <w:highlight w:val="none"/>
                <w:lang w:val="en-US" w:eastAsia="zh-CN"/>
              </w:rPr>
              <w:t>1.</w:t>
            </w:r>
            <w:r>
              <w:rPr>
                <w:rFonts w:hint="eastAsia" w:hAnsi="宋体" w:cs="宋体"/>
                <w:color w:val="auto"/>
                <w:sz w:val="21"/>
                <w:highlight w:val="none"/>
                <w:lang w:val="en-US" w:eastAsia="zh-CN"/>
              </w:rPr>
              <w:t>本采购文件根据《中华人民共和国政府采购法》、《中华人民共和国民法典》；《中华人民共和国政府采购法实施条例》、《政府采购竞争性磋商采购方式管理暂行办法》等有关法律、法规编制，参与本项目的各政府采购当事人依法享有上述法律法规所赋予的权利与义务。</w:t>
            </w:r>
          </w:p>
          <w:p w14:paraId="2F843EC4">
            <w:pPr>
              <w:keepNext w:val="0"/>
              <w:keepLines w:val="0"/>
              <w:suppressLineNumbers w:val="0"/>
              <w:spacing w:before="0" w:beforeAutospacing="0" w:after="0" w:afterAutospacing="0" w:line="360" w:lineRule="auto"/>
              <w:ind w:left="0" w:right="0"/>
              <w:rPr>
                <w:rFonts w:hint="default" w:ascii="Times New Roman" w:hAnsi="宋体" w:cs="宋体"/>
                <w:color w:val="auto"/>
                <w:highlight w:val="none"/>
              </w:rPr>
            </w:pPr>
            <w:r>
              <w:rPr>
                <w:rFonts w:hint="eastAsia" w:ascii="Times New Roman" w:hAnsi="宋体" w:cs="宋体"/>
                <w:b/>
                <w:color w:val="auto"/>
                <w:highlight w:val="none"/>
              </w:rPr>
              <w:t>2.</w:t>
            </w:r>
            <w:r>
              <w:rPr>
                <w:rFonts w:hint="eastAsia" w:ascii="宋体" w:hAnsi="宋体" w:cs="Times New Roman"/>
                <w:b/>
                <w:color w:val="auto"/>
                <w:szCs w:val="21"/>
                <w:highlight w:val="none"/>
              </w:rPr>
              <w:t>本项目采购代理机构应严格按照“政采云”平台项目采购全流程电子化电子开评标规程执行项目采购活动，代理机构在“政采云”平台的“项目管理”—“采购文件管理”内开评标规则设置作为本采购文件的组成部分，截标之后不可更改，因代理机构开评标规则设置错误导致采购活动无法开展下去的情况，由代理机构负责解释并承担其后果。</w:t>
            </w:r>
          </w:p>
        </w:tc>
      </w:tr>
      <w:tr w14:paraId="4925E7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noWrap w:val="0"/>
            <w:vAlign w:val="center"/>
          </w:tcPr>
          <w:p w14:paraId="071EC579">
            <w:pPr>
              <w:keepNext w:val="0"/>
              <w:keepLines w:val="0"/>
              <w:suppressLineNumbers w:val="0"/>
              <w:spacing w:before="0" w:beforeAutospacing="0" w:after="0" w:afterAutospacing="0" w:line="360" w:lineRule="auto"/>
              <w:ind w:left="0" w:right="0"/>
              <w:jc w:val="center"/>
              <w:rPr>
                <w:rFonts w:hint="default" w:ascii="宋体" w:hAnsi="宋体" w:cs="宋体"/>
                <w:color w:val="auto"/>
                <w:szCs w:val="21"/>
                <w:highlight w:val="none"/>
              </w:rPr>
            </w:pPr>
            <w:r>
              <w:rPr>
                <w:rFonts w:hint="eastAsia" w:ascii="宋体" w:hAnsi="宋体" w:cs="宋体"/>
                <w:color w:val="auto"/>
                <w:szCs w:val="21"/>
                <w:highlight w:val="none"/>
              </w:rPr>
              <w:t>34</w:t>
            </w:r>
            <w:r>
              <w:rPr>
                <w:rFonts w:hint="default" w:ascii="宋体" w:hAnsi="宋体" w:cs="宋体"/>
                <w:color w:val="auto"/>
                <w:szCs w:val="21"/>
                <w:highlight w:val="none"/>
              </w:rPr>
              <w:t>.2</w:t>
            </w:r>
          </w:p>
        </w:tc>
        <w:tc>
          <w:tcPr>
            <w:tcW w:w="2640" w:type="dxa"/>
            <w:noWrap w:val="0"/>
            <w:vAlign w:val="center"/>
          </w:tcPr>
          <w:p w14:paraId="4DFAE92E">
            <w:pPr>
              <w:keepNext w:val="0"/>
              <w:keepLines w:val="0"/>
              <w:suppressLineNumbers w:val="0"/>
              <w:spacing w:before="0" w:beforeAutospacing="0" w:after="0" w:afterAutospacing="0" w:line="360" w:lineRule="auto"/>
              <w:ind w:left="0" w:right="0"/>
              <w:jc w:val="center"/>
              <w:rPr>
                <w:rFonts w:hint="default" w:ascii="宋体" w:hAnsi="宋体" w:cs="宋体"/>
                <w:color w:val="auto"/>
                <w:szCs w:val="21"/>
                <w:highlight w:val="none"/>
              </w:rPr>
            </w:pPr>
            <w:r>
              <w:rPr>
                <w:rFonts w:hint="eastAsia" w:ascii="宋体" w:hAnsi="宋体" w:cs="宋体"/>
                <w:color w:val="auto"/>
                <w:szCs w:val="21"/>
                <w:highlight w:val="none"/>
              </w:rPr>
              <w:t>其他</w:t>
            </w:r>
          </w:p>
        </w:tc>
        <w:tc>
          <w:tcPr>
            <w:tcW w:w="6765" w:type="dxa"/>
            <w:noWrap w:val="0"/>
            <w:vAlign w:val="center"/>
          </w:tcPr>
          <w:p w14:paraId="101CDF69">
            <w:pPr>
              <w:keepNext w:val="0"/>
              <w:keepLines w:val="0"/>
              <w:suppressLineNumbers w:val="0"/>
              <w:snapToGrid w:val="0"/>
              <w:spacing w:before="0" w:beforeAutospacing="0" w:after="0" w:afterAutospacing="0" w:line="360" w:lineRule="auto"/>
              <w:ind w:left="0" w:right="0"/>
              <w:rPr>
                <w:rFonts w:hint="default" w:ascii="宋体" w:hAnsi="宋体" w:cs="宋体"/>
                <w:color w:val="auto"/>
                <w:kern w:val="0"/>
                <w:szCs w:val="21"/>
                <w:highlight w:val="none"/>
              </w:rPr>
            </w:pPr>
            <w:r>
              <w:rPr>
                <w:rFonts w:hint="eastAsia" w:ascii="宋体" w:hAnsi="宋体" w:cs="宋体"/>
                <w:color w:val="auto"/>
                <w:kern w:val="0"/>
                <w:szCs w:val="21"/>
                <w:highlight w:val="none"/>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474CD795">
            <w:pPr>
              <w:keepNext w:val="0"/>
              <w:keepLines w:val="0"/>
              <w:suppressLineNumbers w:val="0"/>
              <w:snapToGrid w:val="0"/>
              <w:spacing w:before="0" w:beforeAutospacing="0" w:after="0" w:afterAutospacing="0" w:line="360" w:lineRule="auto"/>
              <w:ind w:left="0" w:right="0"/>
              <w:rPr>
                <w:rFonts w:hint="default" w:ascii="宋体" w:hAnsi="宋体" w:cs="宋体"/>
                <w:color w:val="auto"/>
                <w:kern w:val="0"/>
                <w:szCs w:val="21"/>
                <w:highlight w:val="none"/>
              </w:rPr>
            </w:pPr>
            <w:r>
              <w:rPr>
                <w:rFonts w:hint="eastAsia" w:ascii="宋体" w:hAnsi="宋体" w:cs="宋体"/>
                <w:color w:val="auto"/>
                <w:kern w:val="0"/>
                <w:szCs w:val="21"/>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43F4A614">
            <w:pPr>
              <w:keepNext w:val="0"/>
              <w:keepLines w:val="0"/>
              <w:suppressLineNumbers w:val="0"/>
              <w:snapToGrid w:val="0"/>
              <w:spacing w:before="0" w:beforeAutospacing="0" w:after="0" w:afterAutospacing="0" w:line="360" w:lineRule="auto"/>
              <w:ind w:left="0" w:right="0"/>
              <w:rPr>
                <w:rFonts w:hint="default" w:ascii="宋体" w:hAnsi="宋体" w:cs="宋体"/>
                <w:color w:val="auto"/>
                <w:kern w:val="0"/>
                <w:szCs w:val="21"/>
                <w:highlight w:val="none"/>
              </w:rPr>
            </w:pPr>
            <w:r>
              <w:rPr>
                <w:rFonts w:hint="default" w:ascii="宋体" w:hAnsi="宋体" w:cs="宋体"/>
                <w:color w:val="auto"/>
                <w:kern w:val="0"/>
                <w:szCs w:val="21"/>
                <w:highlight w:val="none"/>
              </w:rPr>
              <w:t>3.</w:t>
            </w:r>
            <w:r>
              <w:rPr>
                <w:rFonts w:hint="eastAsia" w:ascii="宋体" w:hAnsi="宋体" w:cs="宋体"/>
                <w:color w:val="auto"/>
                <w:kern w:val="0"/>
                <w:szCs w:val="21"/>
                <w:highlight w:val="none"/>
              </w:rPr>
              <w:t>本磋商文件中描述供应商的“签字”是指供应商的法定代表人或者委托代理人亲自在文件规定签署处亲笔写上个人的名字的行为，私章、签字章、印鉴、影印等其他形式均不能代替亲笔签字。</w:t>
            </w:r>
          </w:p>
          <w:p w14:paraId="5FFD472B">
            <w:pPr>
              <w:keepNext w:val="0"/>
              <w:keepLines w:val="0"/>
              <w:suppressLineNumbers w:val="0"/>
              <w:snapToGrid w:val="0"/>
              <w:spacing w:before="0" w:beforeAutospacing="0" w:after="0" w:afterAutospacing="0" w:line="360" w:lineRule="auto"/>
              <w:ind w:left="0" w:right="0"/>
              <w:rPr>
                <w:rFonts w:hint="default" w:ascii="宋体" w:hAnsi="宋体" w:cs="宋体"/>
                <w:color w:val="auto"/>
                <w:kern w:val="0"/>
                <w:szCs w:val="21"/>
                <w:highlight w:val="none"/>
              </w:rPr>
            </w:pPr>
            <w:r>
              <w:rPr>
                <w:rFonts w:hint="default" w:ascii="宋体" w:hAnsi="宋体" w:cs="宋体"/>
                <w:color w:val="auto"/>
                <w:kern w:val="0"/>
                <w:szCs w:val="21"/>
                <w:highlight w:val="none"/>
              </w:rPr>
              <w:t>4.</w:t>
            </w:r>
            <w:r>
              <w:rPr>
                <w:rFonts w:hint="eastAsia" w:ascii="宋体" w:hAnsi="宋体" w:cs="宋体"/>
                <w:color w:val="auto"/>
                <w:kern w:val="0"/>
                <w:szCs w:val="21"/>
                <w:highlight w:val="none"/>
              </w:rPr>
              <w:t>自然人竞标的，磋商文件规定盖公章处由自然人摁手指指印。</w:t>
            </w:r>
          </w:p>
          <w:p w14:paraId="63262ACF">
            <w:pPr>
              <w:keepNext w:val="0"/>
              <w:keepLines w:val="0"/>
              <w:suppressLineNumbers w:val="0"/>
              <w:snapToGrid w:val="0"/>
              <w:spacing w:before="0" w:beforeAutospacing="0" w:after="0" w:afterAutospacing="0" w:line="360" w:lineRule="auto"/>
              <w:ind w:left="0" w:right="0"/>
              <w:rPr>
                <w:rFonts w:hint="default" w:ascii="宋体" w:hAnsi="宋体" w:cs="宋体"/>
                <w:color w:val="auto"/>
                <w:kern w:val="0"/>
                <w:szCs w:val="21"/>
                <w:highlight w:val="none"/>
              </w:rPr>
            </w:pPr>
            <w:r>
              <w:rPr>
                <w:rFonts w:hint="eastAsia" w:ascii="宋体" w:hAnsi="宋体" w:cs="宋体"/>
                <w:color w:val="auto"/>
                <w:kern w:val="0"/>
                <w:szCs w:val="21"/>
                <w:highlight w:val="none"/>
              </w:rPr>
              <w:t>5</w:t>
            </w:r>
            <w:r>
              <w:rPr>
                <w:rFonts w:hint="default" w:ascii="宋体" w:hAnsi="宋体" w:cs="宋体"/>
                <w:color w:val="auto"/>
                <w:kern w:val="0"/>
                <w:szCs w:val="21"/>
                <w:highlight w:val="none"/>
              </w:rPr>
              <w:t>.</w:t>
            </w:r>
            <w:r>
              <w:rPr>
                <w:rFonts w:hint="eastAsia" w:ascii="宋体" w:hAnsi="宋体" w:cs="宋体"/>
                <w:color w:val="auto"/>
                <w:kern w:val="0"/>
                <w:szCs w:val="21"/>
                <w:highlight w:val="none"/>
              </w:rPr>
              <w:t>本磋商文件所称的“以上”“以下”“以内”“届满”，包括本数；所称的“不满”“超过”“以外”，不包括本数。</w:t>
            </w:r>
          </w:p>
        </w:tc>
      </w:tr>
    </w:tbl>
    <w:p w14:paraId="24EC3571">
      <w:pPr>
        <w:keepNext/>
        <w:keepLines/>
        <w:spacing w:before="260" w:after="260" w:line="420" w:lineRule="exact"/>
        <w:jc w:val="center"/>
        <w:outlineLvl w:val="1"/>
        <w:rPr>
          <w:rFonts w:ascii="宋体" w:hAnsi="宋体"/>
          <w:bCs/>
          <w:color w:val="auto"/>
          <w:sz w:val="32"/>
          <w:szCs w:val="32"/>
          <w:highlight w:val="none"/>
        </w:rPr>
      </w:pPr>
      <w:r>
        <w:rPr>
          <w:rFonts w:ascii="宋体" w:hAnsi="宋体"/>
          <w:bCs/>
          <w:color w:val="auto"/>
          <w:sz w:val="32"/>
          <w:szCs w:val="32"/>
          <w:highlight w:val="none"/>
        </w:rPr>
        <w:br w:type="page"/>
      </w:r>
      <w:bookmarkStart w:id="54" w:name="_Toc26017"/>
      <w:r>
        <w:rPr>
          <w:rFonts w:hint="eastAsia" w:ascii="宋体" w:hAnsi="宋体"/>
          <w:bCs/>
          <w:color w:val="auto"/>
          <w:sz w:val="32"/>
          <w:szCs w:val="32"/>
          <w:highlight w:val="none"/>
        </w:rPr>
        <w:t>第二节 供应商须知正文</w:t>
      </w:r>
      <w:bookmarkEnd w:id="54"/>
    </w:p>
    <w:p w14:paraId="53EDC32D">
      <w:pPr>
        <w:keepNext/>
        <w:keepLines/>
        <w:spacing w:line="360" w:lineRule="auto"/>
        <w:ind w:firstLine="320" w:firstLineChars="100"/>
        <w:outlineLvl w:val="2"/>
        <w:rPr>
          <w:rFonts w:ascii="宋体" w:hAnsi="宋体"/>
          <w:bCs/>
          <w:color w:val="auto"/>
          <w:sz w:val="32"/>
          <w:szCs w:val="32"/>
          <w:highlight w:val="none"/>
        </w:rPr>
      </w:pPr>
      <w:bookmarkStart w:id="55" w:name="_Toc16743"/>
      <w:r>
        <w:rPr>
          <w:rFonts w:hint="eastAsia" w:ascii="宋体" w:hAnsi="宋体"/>
          <w:bCs/>
          <w:color w:val="auto"/>
          <w:sz w:val="32"/>
          <w:szCs w:val="32"/>
          <w:highlight w:val="none"/>
        </w:rPr>
        <w:t>一、总则</w:t>
      </w:r>
      <w:bookmarkEnd w:id="55"/>
    </w:p>
    <w:p w14:paraId="1B108233">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1.适用范围</w:t>
      </w:r>
    </w:p>
    <w:p w14:paraId="04C33F3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1.1本项目采购人、采购代理机构、供应商、磋商小组的相关行为均受《中华人民共和国政府采购法》《中华人民共和国政府采购法实施条例》</w:t>
      </w:r>
      <w:r>
        <w:rPr>
          <w:rFonts w:hint="eastAsia" w:ascii="宋体" w:hAnsi="宋体"/>
          <w:color w:val="auto"/>
          <w:szCs w:val="21"/>
          <w:highlight w:val="none"/>
        </w:rPr>
        <w:t>《政府采购竞争性磋商采购方式管理暂行办法》《财政部关于政府采购竞争性磋商采购方式管理暂行办法有关问题的补充通知》</w:t>
      </w:r>
      <w:r>
        <w:rPr>
          <w:rFonts w:hint="eastAsia" w:ascii="宋体" w:hAnsi="宋体" w:cs="宋体"/>
          <w:color w:val="auto"/>
          <w:szCs w:val="21"/>
          <w:highlight w:val="none"/>
        </w:rPr>
        <w:t>及本项目本级和上级财政部门政府采购有关规定的约束和保护。</w:t>
      </w:r>
    </w:p>
    <w:p w14:paraId="7595AE7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w:t>
      </w:r>
      <w:r>
        <w:rPr>
          <w:rFonts w:hint="eastAsia" w:ascii="宋体" w:hAnsi="宋体" w:cs="宋体"/>
          <w:color w:val="auto"/>
          <w:spacing w:val="-6"/>
          <w:szCs w:val="21"/>
          <w:highlight w:val="none"/>
        </w:rPr>
        <w:t>本竞争性磋商文件（以下简称磋商文件）适用于本项目的所有采购程序和环节（法律、法规另有规定的，从其规定）。</w:t>
      </w:r>
    </w:p>
    <w:p w14:paraId="58ED4BA1">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2.定义</w:t>
      </w:r>
    </w:p>
    <w:p w14:paraId="295C024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2.1“采购人”是指依法进行政府采购的国家机关、事业单位、团体组织。</w:t>
      </w:r>
    </w:p>
    <w:p w14:paraId="366C7878">
      <w:pPr>
        <w:spacing w:line="360" w:lineRule="auto"/>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2.2“采购代理机构”是指政府采购集中采购机构和集中采购机构以外的采购代理机构。</w:t>
      </w:r>
    </w:p>
    <w:p w14:paraId="0B479F3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2.3“供应商”是指向采购人提供货物、工程或者服务的法人、其他组织或者自然人。</w:t>
      </w:r>
    </w:p>
    <w:p w14:paraId="7F9ED9D4">
      <w:pPr>
        <w:spacing w:line="360" w:lineRule="auto"/>
        <w:ind w:firstLine="420" w:firstLineChars="200"/>
        <w:rPr>
          <w:rFonts w:ascii="宋体" w:hAnsi="宋体" w:cs="宋体"/>
          <w:color w:val="auto"/>
          <w:szCs w:val="21"/>
          <w:highlight w:val="none"/>
        </w:rPr>
      </w:pPr>
      <w:r>
        <w:rPr>
          <w:rFonts w:hint="eastAsia" w:ascii="宋体" w:hAnsi="宋体"/>
          <w:color w:val="auto"/>
          <w:szCs w:val="21"/>
          <w:highlight w:val="none"/>
        </w:rPr>
        <w:t>2.4“服务”是指除货物和工程以外的其他政府采购对象。</w:t>
      </w:r>
    </w:p>
    <w:p w14:paraId="16F1EF8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5</w:t>
      </w:r>
      <w:r>
        <w:rPr>
          <w:rFonts w:hint="eastAsia" w:ascii="宋体" w:hAnsi="宋体" w:cs="宋体"/>
          <w:color w:val="auto"/>
          <w:szCs w:val="21"/>
          <w:highlight w:val="none"/>
        </w:rPr>
        <w:t>“竞标”是指供应商按照本项目竞争性磋商公告或者邀请函规定的方式获取磋商文件、提交响应文件并希望获得标的的行为。</w:t>
      </w:r>
    </w:p>
    <w:p w14:paraId="44F7C27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6</w:t>
      </w:r>
      <w:r>
        <w:rPr>
          <w:rFonts w:hint="eastAsia" w:ascii="宋体" w:hAnsi="宋体" w:cs="宋体"/>
          <w:color w:val="auto"/>
          <w:szCs w:val="21"/>
          <w:highlight w:val="none"/>
        </w:rPr>
        <w:t>“响应文件”</w:t>
      </w:r>
      <w:r>
        <w:rPr>
          <w:rFonts w:hint="eastAsia" w:ascii="宋体" w:hAnsi="宋体" w:cs="宋体"/>
          <w:color w:val="auto"/>
          <w:spacing w:val="-6"/>
          <w:szCs w:val="21"/>
          <w:highlight w:val="none"/>
        </w:rPr>
        <w:t>是指：供应商根据本磋商文件要求，编制包含资格证明、报价商务技术等所有内容的文件。</w:t>
      </w:r>
    </w:p>
    <w:p w14:paraId="736F509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7</w:t>
      </w:r>
      <w:r>
        <w:rPr>
          <w:rFonts w:hint="eastAsia" w:ascii="宋体" w:hAnsi="宋体" w:cs="宋体"/>
          <w:color w:val="auto"/>
          <w:szCs w:val="21"/>
          <w:highlight w:val="none"/>
        </w:rPr>
        <w:t>“实质性要求”是指磋商文件中已经指明不满足则响应文件按无效响应处理的条款，或者不能负偏离的条款，或者采购需求中带“▲”的条款。</w:t>
      </w:r>
    </w:p>
    <w:p w14:paraId="0848014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8</w:t>
      </w:r>
      <w:r>
        <w:rPr>
          <w:rFonts w:hint="eastAsia" w:ascii="宋体" w:hAnsi="宋体" w:cs="宋体"/>
          <w:color w:val="auto"/>
          <w:szCs w:val="21"/>
          <w:highlight w:val="none"/>
        </w:rPr>
        <w:t>“正偏离”，是指响应文件对磋商文件“采购需求”中有关条款作出的响应优于条款要求并有利于采购人的情形。</w:t>
      </w:r>
    </w:p>
    <w:p w14:paraId="5D41AA00">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2.9</w:t>
      </w:r>
      <w:r>
        <w:rPr>
          <w:rFonts w:hint="eastAsia" w:ascii="宋体" w:hAnsi="宋体" w:cs="宋体"/>
          <w:color w:val="auto"/>
          <w:szCs w:val="21"/>
          <w:highlight w:val="none"/>
        </w:rPr>
        <w:t>“负偏离”，是指响应文件对磋商文件“采购需求”中有关条款作出的响应不满足条款要求，导致采购人要求不能得到满足的情形。</w:t>
      </w:r>
    </w:p>
    <w:p w14:paraId="700ECEF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2.10“允许负偏离的条款”是指采购需求中的不属于“实质性要求”的条款。</w:t>
      </w:r>
    </w:p>
    <w:p w14:paraId="1994694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11</w:t>
      </w:r>
      <w:r>
        <w:rPr>
          <w:rFonts w:hint="eastAsia" w:ascii="宋体" w:hAnsi="宋体" w:cs="宋体"/>
          <w:color w:val="auto"/>
          <w:szCs w:val="21"/>
          <w:highlight w:val="none"/>
        </w:rPr>
        <w:t>“书面形式”是指合同书、信件和数据电文（包括电报、电传、传真、电子数据交换和电子邮件）等可以有形地表现所载内容的形式。</w:t>
      </w:r>
    </w:p>
    <w:p w14:paraId="21A7340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12</w:t>
      </w:r>
      <w:r>
        <w:rPr>
          <w:rFonts w:hint="eastAsia" w:ascii="宋体" w:hAnsi="宋体" w:cs="宋体"/>
          <w:color w:val="auto"/>
          <w:szCs w:val="21"/>
          <w:highlight w:val="none"/>
        </w:rPr>
        <w:t>“首次报价”是指供应商提交的首次响应文件中的报价。</w:t>
      </w:r>
    </w:p>
    <w:p w14:paraId="7419CD8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w:t>
      </w:r>
      <w:r>
        <w:rPr>
          <w:rFonts w:ascii="宋体" w:hAnsi="宋体" w:cs="宋体"/>
          <w:color w:val="auto"/>
          <w:szCs w:val="21"/>
          <w:highlight w:val="none"/>
        </w:rPr>
        <w:t>3</w:t>
      </w:r>
      <w:r>
        <w:rPr>
          <w:rFonts w:hint="eastAsia" w:ascii="宋体" w:hAnsi="宋体" w:cs="宋体"/>
          <w:color w:val="auto"/>
          <w:szCs w:val="21"/>
          <w:highlight w:val="none"/>
        </w:rPr>
        <w:t>“评审报价”是指供应商提交的最后报价并经修正（如有）和政策功能价格扣除（如有）后的价格。</w:t>
      </w:r>
    </w:p>
    <w:p w14:paraId="677699A0">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3.供应商的资格条件</w:t>
      </w:r>
    </w:p>
    <w:p w14:paraId="6A3F945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供应商的资格条件详见“供应商须知前附表”。</w:t>
      </w:r>
    </w:p>
    <w:p w14:paraId="4420D377">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4.磋商费用</w:t>
      </w:r>
    </w:p>
    <w:p w14:paraId="6AD6F8E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供应商应承担参与本次采购活动有关的所有费用，包括但不限于、勘查现场、编制和提交响应文件、参加磋商与应答、签订合同等，不论竞标结果如何，均应自行承担。</w:t>
      </w:r>
    </w:p>
    <w:p w14:paraId="447CA6B1">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5.联合体竞标</w:t>
      </w:r>
    </w:p>
    <w:p w14:paraId="36CAFEE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5.1本项目是否接受联合体竞标，详见“供应商须知前附表”。</w:t>
      </w:r>
    </w:p>
    <w:p w14:paraId="7882BA6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5.2</w:t>
      </w:r>
      <w:r>
        <w:rPr>
          <w:rFonts w:hint="eastAsia" w:ascii="宋体" w:hAnsi="宋体"/>
          <w:color w:val="auto"/>
          <w:highlight w:val="none"/>
        </w:rPr>
        <w:t>如接受联合体竞标，</w:t>
      </w:r>
      <w:r>
        <w:rPr>
          <w:rFonts w:hint="eastAsia" w:ascii="宋体" w:hAnsi="宋体" w:cs="宋体"/>
          <w:color w:val="auto"/>
          <w:szCs w:val="21"/>
          <w:highlight w:val="none"/>
        </w:rPr>
        <w:t>联合体竞标要求详见“供应商须知前附表”。</w:t>
      </w:r>
    </w:p>
    <w:p w14:paraId="4FF008A9">
      <w:pPr>
        <w:spacing w:line="360" w:lineRule="auto"/>
        <w:ind w:firstLine="420" w:firstLineChars="200"/>
        <w:rPr>
          <w:rFonts w:ascii="宋体" w:hAnsi="宋体"/>
          <w:bCs/>
          <w:color w:val="auto"/>
          <w:szCs w:val="21"/>
          <w:highlight w:val="none"/>
        </w:rPr>
      </w:pPr>
      <w:r>
        <w:rPr>
          <w:rFonts w:hint="eastAsia" w:ascii="宋体" w:hAnsi="宋体" w:cs="宋体"/>
          <w:color w:val="auto"/>
          <w:szCs w:val="21"/>
          <w:highlight w:val="none"/>
        </w:rPr>
        <w:t>5.3</w:t>
      </w:r>
      <w:r>
        <w:rPr>
          <w:rFonts w:hint="eastAsia" w:ascii="宋体" w:hAnsi="宋体"/>
          <w:bCs/>
          <w:color w:val="auto"/>
          <w:szCs w:val="21"/>
          <w:highlight w:val="none"/>
        </w:rPr>
        <w:t>根据《政府采购促进中小企业发展暂行办法》（财库[2020]46号）</w:t>
      </w:r>
      <w:r>
        <w:rPr>
          <w:rFonts w:ascii="宋体" w:hAnsi="宋体"/>
          <w:bCs/>
          <w:color w:val="auto"/>
          <w:szCs w:val="21"/>
          <w:highlight w:val="none"/>
        </w:rPr>
        <w:t>第九条</w:t>
      </w:r>
      <w:r>
        <w:rPr>
          <w:rFonts w:hint="eastAsia" w:ascii="宋体" w:hAnsi="宋体"/>
          <w:bCs/>
          <w:color w:val="auto"/>
          <w:szCs w:val="21"/>
          <w:highlight w:val="none"/>
        </w:rPr>
        <w:t>规定，</w:t>
      </w:r>
      <w:r>
        <w:rPr>
          <w:rFonts w:ascii="宋体" w:hAnsi="宋体"/>
          <w:bCs/>
          <w:color w:val="auto"/>
          <w:szCs w:val="21"/>
          <w:highlight w:val="none"/>
        </w:rPr>
        <w:t>接受大中型企业与小微企业组成联合体的采购项目，对于联合协议约定小微企业的合同份额占到合同总金额 30%以上的，采购人、采购代理机构应当对联合体的报价给予 2%-3%（工程项目为 1%—2%）的扣除，用扣除后的价格参加评审。组成联合体的小微企业与联合体内其他企业、分包企业之间存在直接控股、管理关系的，不享受价格扣除优惠政策。</w:t>
      </w:r>
    </w:p>
    <w:p w14:paraId="3261697D">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 xml:space="preserve">6.转包与分包             </w:t>
      </w:r>
    </w:p>
    <w:p w14:paraId="147579F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6.1本项目是否允许分包详见“供应商须知前附表”，本项目不允许违法分包。</w:t>
      </w:r>
    </w:p>
    <w:p w14:paraId="62FE9CF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6.2</w:t>
      </w:r>
      <w:r>
        <w:rPr>
          <w:rFonts w:hint="eastAsia" w:ascii="宋体" w:hAnsi="宋体"/>
          <w:bCs/>
          <w:color w:val="auto"/>
          <w:szCs w:val="21"/>
          <w:highlight w:val="none"/>
        </w:rPr>
        <w:t>根据《政府采购促进中小企业发展暂行办法》（财库[2020]46号）</w:t>
      </w:r>
      <w:r>
        <w:rPr>
          <w:rFonts w:ascii="宋体" w:hAnsi="宋体"/>
          <w:bCs/>
          <w:color w:val="auto"/>
          <w:szCs w:val="21"/>
          <w:highlight w:val="none"/>
        </w:rPr>
        <w:t>第九条</w:t>
      </w:r>
      <w:r>
        <w:rPr>
          <w:rFonts w:hint="eastAsia" w:ascii="宋体" w:hAnsi="宋体"/>
          <w:bCs/>
          <w:color w:val="auto"/>
          <w:szCs w:val="21"/>
          <w:highlight w:val="none"/>
        </w:rPr>
        <w:t>规定，</w:t>
      </w:r>
      <w:r>
        <w:rPr>
          <w:rFonts w:ascii="宋体" w:hAnsi="宋体"/>
          <w:bCs/>
          <w:color w:val="auto"/>
          <w:szCs w:val="21"/>
          <w:highlight w:val="none"/>
        </w:rPr>
        <w:t>允许大中型企业向一家或者多家小微企业分包的采购项目，对于分包意向协议约定小微企业的合同份额占到合同总金额 30%以上的，采购人、采购代理机构应当对大中型企业的报价给予 2%-3%的扣除，用扣除后的价格参加评审。接受分包的小微企业与分包企业之间存在直接控股、管理关系的，不享受价格扣除优惠政策。</w:t>
      </w:r>
    </w:p>
    <w:p w14:paraId="136175DB">
      <w:pPr>
        <w:spacing w:line="360" w:lineRule="auto"/>
        <w:ind w:firstLine="482" w:firstLineChars="200"/>
        <w:rPr>
          <w:rFonts w:ascii="黑体" w:hAnsi="黑体" w:eastAsia="黑体" w:cs="宋体"/>
          <w:b/>
          <w:bCs/>
          <w:color w:val="auto"/>
          <w:sz w:val="24"/>
          <w:highlight w:val="none"/>
        </w:rPr>
      </w:pPr>
      <w:bookmarkStart w:id="56" w:name="_Toc254970532"/>
      <w:bookmarkStart w:id="57" w:name="_Toc254970673"/>
      <w:r>
        <w:rPr>
          <w:rFonts w:hint="eastAsia" w:ascii="黑体" w:hAnsi="黑体" w:eastAsia="黑体" w:cs="宋体"/>
          <w:b/>
          <w:bCs/>
          <w:color w:val="auto"/>
          <w:sz w:val="24"/>
          <w:highlight w:val="none"/>
        </w:rPr>
        <w:t>7.特别说明</w:t>
      </w:r>
      <w:bookmarkEnd w:id="56"/>
      <w:bookmarkEnd w:id="57"/>
    </w:p>
    <w:p w14:paraId="5C9B8FE2">
      <w:pPr>
        <w:spacing w:line="360" w:lineRule="auto"/>
        <w:ind w:firstLine="420" w:firstLineChars="200"/>
        <w:rPr>
          <w:rFonts w:ascii="宋体" w:hAnsi="宋体" w:cs="宋体"/>
          <w:color w:val="auto"/>
          <w:szCs w:val="21"/>
          <w:highlight w:val="none"/>
        </w:rPr>
      </w:pPr>
      <w:bookmarkStart w:id="58" w:name="_8.1提供相同品牌产品且通过资格审查、符合性审查的不同投标人参加同一合"/>
      <w:bookmarkEnd w:id="58"/>
      <w:r>
        <w:rPr>
          <w:rFonts w:hint="eastAsia" w:ascii="宋体" w:hAnsi="宋体" w:cs="宋体"/>
          <w:color w:val="auto"/>
          <w:szCs w:val="21"/>
          <w:highlight w:val="none"/>
        </w:rPr>
        <w:t>7.</w:t>
      </w:r>
      <w:r>
        <w:rPr>
          <w:rFonts w:ascii="宋体" w:hAnsi="宋体" w:cs="宋体"/>
          <w:color w:val="auto"/>
          <w:szCs w:val="21"/>
          <w:highlight w:val="none"/>
        </w:rPr>
        <w:t>1</w:t>
      </w:r>
      <w:bookmarkStart w:id="59" w:name="_Hlk65832145"/>
      <w:r>
        <w:rPr>
          <w:rFonts w:hint="eastAsia" w:ascii="宋体" w:hAnsi="宋体"/>
          <w:color w:val="auto"/>
          <w:szCs w:val="21"/>
          <w:highlight w:val="none"/>
        </w:rPr>
        <w:t xml:space="preserve">如果本磋商文件要求提供供应商或制造商的资格、信誉、荣誉、业绩与企业认证等材料的，资格、信誉、荣誉、业绩与企业认证等必须为供应商或者制造商所拥有或自身获得 </w:t>
      </w:r>
      <w:r>
        <w:rPr>
          <w:rFonts w:hint="eastAsia" w:ascii="宋体" w:hAnsi="宋体" w:cs="宋体"/>
          <w:color w:val="auto"/>
          <w:szCs w:val="21"/>
          <w:highlight w:val="none"/>
        </w:rPr>
        <w:t>。</w:t>
      </w:r>
    </w:p>
    <w:bookmarkEnd w:id="59"/>
    <w:p w14:paraId="2890D33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2</w:t>
      </w:r>
      <w:r>
        <w:rPr>
          <w:rFonts w:hint="eastAsia" w:ascii="宋体" w:hAnsi="宋体" w:cs="宋体"/>
          <w:color w:val="auto"/>
          <w:szCs w:val="21"/>
          <w:highlight w:val="none"/>
        </w:rPr>
        <w:t>供应商应仔细阅读磋商文件的所有内容，按照磋商文件的要求提交响应文件，并对所提供的全部资料的真实性承担法律责任。</w:t>
      </w:r>
    </w:p>
    <w:p w14:paraId="7EFC3CA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3</w:t>
      </w:r>
      <w:r>
        <w:rPr>
          <w:rFonts w:hint="eastAsia" w:ascii="宋体" w:hAnsi="宋体" w:cs="宋体"/>
          <w:color w:val="auto"/>
          <w:szCs w:val="21"/>
          <w:highlight w:val="none"/>
        </w:rPr>
        <w:t>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18B3CD7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4</w:t>
      </w:r>
      <w:r>
        <w:rPr>
          <w:rFonts w:hint="eastAsia" w:ascii="宋体" w:hAnsi="宋体" w:cs="宋体"/>
          <w:color w:val="auto"/>
          <w:szCs w:val="21"/>
          <w:highlight w:val="none"/>
        </w:rPr>
        <w:t>在政府采购活动中，采购人员及相关人员与供应商有下列利害关系之一的，应当回避：</w:t>
      </w:r>
    </w:p>
    <w:p w14:paraId="360D594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（1）参加采购活动前3年内与供应商存在劳动关系；</w:t>
      </w:r>
    </w:p>
    <w:p w14:paraId="691368B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（2）参加采购活动前3年内担任供应商的董事、监事；</w:t>
      </w:r>
    </w:p>
    <w:p w14:paraId="32DE437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（3）参加采购活动前3年内是供应商的控股股东或者实际控制人；</w:t>
      </w:r>
    </w:p>
    <w:p w14:paraId="17587B3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（4）与供应商的法定代表人或者负责人有夫妻、直系血亲、三代以内旁系血亲或者近姻亲关系；</w:t>
      </w:r>
    </w:p>
    <w:p w14:paraId="321F5AA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（5）与供应商有其他可能影响政府采购活动公平、公正进行的关系。</w:t>
      </w:r>
    </w:p>
    <w:p w14:paraId="297DFDE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17387AD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5</w:t>
      </w:r>
      <w:r>
        <w:rPr>
          <w:rFonts w:hint="eastAsia" w:ascii="宋体" w:hAnsi="宋体" w:cs="宋体"/>
          <w:color w:val="auto"/>
          <w:szCs w:val="21"/>
          <w:highlight w:val="none"/>
        </w:rPr>
        <w:t>有下列情形之一的视为供应商相互串通竞标，响应文件将被视为无效：</w:t>
      </w:r>
    </w:p>
    <w:p w14:paraId="3C4867F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（1）不同供应商的响应文件由同一单位或者个人编制；或者不同供应商报名的IP地址一致的；或者编制响应文件硬件设备CPU编号、硬盘编号、网卡地址一致的情况。 </w:t>
      </w:r>
    </w:p>
    <w:p w14:paraId="260F0FC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（2）不同供应商委托同一单位或者个人办理竞标事宜；</w:t>
      </w:r>
    </w:p>
    <w:p w14:paraId="17C41DA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（3）不同的供应商的响应文件载明的项目管理员为同一个人；</w:t>
      </w:r>
    </w:p>
    <w:p w14:paraId="4EFC9B4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（4）不同供应商的响应文件异常一致或者报价呈规律性差异；</w:t>
      </w:r>
    </w:p>
    <w:p w14:paraId="5E670FB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（5）不同供应商的响应文件相互混装；</w:t>
      </w:r>
    </w:p>
    <w:p w14:paraId="53A1F6A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（6）不同供应商的磋商保证金从同一单位或者个人账户转出。</w:t>
      </w:r>
    </w:p>
    <w:p w14:paraId="28D369C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6</w:t>
      </w:r>
      <w:r>
        <w:rPr>
          <w:rFonts w:hint="eastAsia" w:ascii="宋体" w:hAnsi="宋体" w:cs="宋体"/>
          <w:color w:val="auto"/>
          <w:szCs w:val="21"/>
          <w:highlight w:val="none"/>
        </w:rPr>
        <w:t>供应商有下列情形之一的，属于恶意串通行为，将报同级监督管理部门：</w:t>
      </w:r>
    </w:p>
    <w:p w14:paraId="255A2AB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（1）供应商直接或者间接从采购人或者采购代理机构处获得其他供应商的相关信息并修改其响应文件；</w:t>
      </w:r>
    </w:p>
    <w:p w14:paraId="0016E74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（2）供应商按照采购人或者采购代理机构的授意撤换、修改响应文件；</w:t>
      </w:r>
    </w:p>
    <w:p w14:paraId="4CE153E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（3）供应商之间协商报价、技术方案等响应文件或者响应文件的实质性内容；</w:t>
      </w:r>
    </w:p>
    <w:p w14:paraId="772A3F8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14:paraId="14BA216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5A5EC5F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（6）供应商之间商定部分供应商放弃参加政府采购活动或者放弃成交；</w:t>
      </w:r>
    </w:p>
    <w:p w14:paraId="5691F4A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（7）供应商与采购人或者采购代理机构之间、供应商相互之间，为谋求特定供应商成交或者排斥其他供应商的其他串通行为。</w:t>
      </w:r>
    </w:p>
    <w:p w14:paraId="03D1C61D">
      <w:pPr>
        <w:keepNext/>
        <w:keepLines/>
        <w:spacing w:line="360" w:lineRule="auto"/>
        <w:ind w:firstLine="640" w:firstLineChars="200"/>
        <w:outlineLvl w:val="2"/>
        <w:rPr>
          <w:rFonts w:ascii="宋体" w:hAnsi="宋体"/>
          <w:color w:val="auto"/>
          <w:sz w:val="32"/>
          <w:szCs w:val="32"/>
          <w:highlight w:val="none"/>
        </w:rPr>
      </w:pPr>
      <w:bookmarkStart w:id="60" w:name="_Toc26559"/>
      <w:bookmarkStart w:id="61" w:name="_Toc254970534"/>
      <w:bookmarkStart w:id="62" w:name="_Toc254970675"/>
      <w:r>
        <w:rPr>
          <w:rFonts w:hint="eastAsia" w:ascii="宋体" w:hAnsi="宋体"/>
          <w:color w:val="auto"/>
          <w:sz w:val="32"/>
          <w:szCs w:val="32"/>
          <w:highlight w:val="none"/>
        </w:rPr>
        <w:t>二、磋商文件</w:t>
      </w:r>
      <w:bookmarkEnd w:id="60"/>
      <w:bookmarkEnd w:id="61"/>
      <w:bookmarkEnd w:id="62"/>
    </w:p>
    <w:p w14:paraId="2A7B399B">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8.磋商文件的构成</w:t>
      </w:r>
    </w:p>
    <w:p w14:paraId="1AA5A4D7">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第一章 竞争性磋商公告；</w:t>
      </w:r>
    </w:p>
    <w:p w14:paraId="5CABC52A">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第二章 采购需求；</w:t>
      </w:r>
    </w:p>
    <w:p w14:paraId="5B5AC6D1">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 xml:space="preserve">第三章 供应商须知； </w:t>
      </w:r>
    </w:p>
    <w:p w14:paraId="11CF1EFA">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第四章 评审程序、评审方法和评审标准；</w:t>
      </w:r>
    </w:p>
    <w:p w14:paraId="1FCFA569">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第五章 响应文件格式；</w:t>
      </w:r>
    </w:p>
    <w:p w14:paraId="19CA7014">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第六章 合同文本；</w:t>
      </w:r>
    </w:p>
    <w:p w14:paraId="26CDDC9D">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第七章 质疑、投诉材料格式。</w:t>
      </w:r>
    </w:p>
    <w:p w14:paraId="62F4F9F8">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9.供应商的询问</w:t>
      </w:r>
    </w:p>
    <w:p w14:paraId="5BF0B0F7">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供应商应认真阅读磋商文件的采购需求，如供应商对磋商文件有疑问的，如要求采购人作出澄清或者修改的，供应商尽应在</w:t>
      </w:r>
      <w:r>
        <w:rPr>
          <w:rFonts w:ascii="宋体" w:hAnsi="宋体"/>
          <w:color w:val="auto"/>
          <w:szCs w:val="21"/>
          <w:highlight w:val="none"/>
        </w:rPr>
        <w:t>提交首次响应文件截止之日前</w:t>
      </w:r>
      <w:r>
        <w:rPr>
          <w:rFonts w:hint="eastAsia" w:ascii="宋体" w:hAnsi="宋体"/>
          <w:color w:val="auto"/>
          <w:szCs w:val="21"/>
          <w:highlight w:val="none"/>
        </w:rPr>
        <w:t>，以书面形式向</w:t>
      </w:r>
      <w:r>
        <w:rPr>
          <w:rFonts w:ascii="宋体" w:hAnsi="宋体"/>
          <w:color w:val="auto"/>
          <w:szCs w:val="21"/>
          <w:highlight w:val="none"/>
        </w:rPr>
        <w:t>采购人、采购代理机构</w:t>
      </w:r>
      <w:r>
        <w:rPr>
          <w:rFonts w:hint="eastAsia" w:ascii="宋体" w:hAnsi="宋体"/>
          <w:color w:val="auto"/>
          <w:szCs w:val="21"/>
          <w:highlight w:val="none"/>
        </w:rPr>
        <w:t>提出。</w:t>
      </w:r>
    </w:p>
    <w:p w14:paraId="5544142F">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10.磋商文件的澄清和修改</w:t>
      </w:r>
    </w:p>
    <w:p w14:paraId="0CBBC1A1">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10.1已获取磋商文件的潜在供应商，若有问题需要澄清，应于应标截止时间前，以书面形式向采购代理机构提出，采购代理机构与采购人研究后，对认为有必要回答的问题，按照本章10.3的内容处理。</w:t>
      </w:r>
    </w:p>
    <w:p w14:paraId="7B384712">
      <w:pPr>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10.2采购人或者采购代理机构可以对已发出的磋商文件进行必要的澄清或者修改，但不得改变采购标的和资格条件。澄清或者修改应当在原公告发布媒体上发布澄清公告。澄清或者修改的内容为磋商文件的组成部分。</w:t>
      </w:r>
    </w:p>
    <w:p w14:paraId="43A3E9E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10.3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3个工作日前，以书面形式（目前为网上公告和系统短信等形式）通知所有获取磋商文件的供应商，不足3个工作日的，应当顺延提交首次响应文件截止之日。</w:t>
      </w:r>
    </w:p>
    <w:p w14:paraId="4C53646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10.4</w:t>
      </w:r>
      <w:r>
        <w:rPr>
          <w:rFonts w:hint="eastAsia" w:ascii="宋体" w:hAnsi="宋体" w:eastAsia="宋体" w:cs="宋体"/>
          <w:color w:val="auto"/>
          <w:highlight w:val="none"/>
          <w:shd w:val="clear" w:color="auto" w:fill="FFFFFF"/>
        </w:rPr>
        <w:t>采购信息更正公告的内容应当包括采购人和采购代理机构名称、地址、联系方式，原公告的采购项目名称及首次公告日期，更正事项、内容及日期，采购项目联系人和电话。</w:t>
      </w:r>
    </w:p>
    <w:p w14:paraId="44DC0C31">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10.5  采购人和采购代理机构可以视采购具体情况，变更提交首次响应文件截止时间和竞谈时间，将变更时间将在“采购文件公告”中“七、其他补充事宜3.网上查询地址”规定的政府采购信息发布媒体上发布更正公告。</w:t>
      </w:r>
    </w:p>
    <w:p w14:paraId="54D2D2A2">
      <w:pPr>
        <w:spacing w:line="360" w:lineRule="auto"/>
        <w:ind w:firstLine="400" w:firstLineChars="200"/>
        <w:rPr>
          <w:rFonts w:ascii="宋体" w:hAnsi="Courier New"/>
          <w:color w:val="auto"/>
          <w:kern w:val="0"/>
          <w:sz w:val="20"/>
          <w:szCs w:val="21"/>
          <w:highlight w:val="none"/>
        </w:rPr>
      </w:pPr>
      <w:r>
        <w:rPr>
          <w:rFonts w:hint="eastAsia" w:ascii="宋体" w:hAnsi="Courier New"/>
          <w:color w:val="auto"/>
          <w:kern w:val="0"/>
          <w:sz w:val="20"/>
          <w:szCs w:val="21"/>
          <w:highlight w:val="none"/>
        </w:rPr>
        <w:t>▲</w:t>
      </w:r>
      <w:r>
        <w:rPr>
          <w:rFonts w:hint="eastAsia" w:ascii="宋体" w:hAnsi="Courier New"/>
          <w:b/>
          <w:color w:val="auto"/>
          <w:kern w:val="0"/>
          <w:sz w:val="20"/>
          <w:szCs w:val="21"/>
          <w:highlight w:val="none"/>
        </w:rPr>
        <w:t>响应文件未按磋商文件的澄清、修改的内容编制，又不符合实质性要求的，其响应文件作无效处理。</w:t>
      </w:r>
    </w:p>
    <w:p w14:paraId="34A40292">
      <w:pPr>
        <w:keepNext/>
        <w:keepLines/>
        <w:spacing w:line="360" w:lineRule="auto"/>
        <w:ind w:firstLine="640" w:firstLineChars="200"/>
        <w:outlineLvl w:val="2"/>
        <w:rPr>
          <w:rFonts w:ascii="宋体" w:hAnsi="宋体"/>
          <w:color w:val="auto"/>
          <w:sz w:val="32"/>
          <w:szCs w:val="32"/>
          <w:highlight w:val="none"/>
        </w:rPr>
      </w:pPr>
      <w:bookmarkStart w:id="63" w:name="_Toc25258"/>
      <w:r>
        <w:rPr>
          <w:rFonts w:hint="eastAsia" w:ascii="宋体" w:hAnsi="宋体"/>
          <w:color w:val="auto"/>
          <w:sz w:val="32"/>
          <w:szCs w:val="32"/>
          <w:highlight w:val="none"/>
        </w:rPr>
        <w:t>三、响应文件的编制</w:t>
      </w:r>
      <w:bookmarkEnd w:id="63"/>
    </w:p>
    <w:p w14:paraId="48D6AED8">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11.响应文件的编制原则</w:t>
      </w:r>
    </w:p>
    <w:p w14:paraId="535E2A8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供应商必须按照磋商文件的要求编制响应文件，并对其提交的响应文件的真实性、合法性承担法律责任。响应文件必须对磋商文件作出实质性响应。</w:t>
      </w:r>
    </w:p>
    <w:p w14:paraId="30D53E07">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12.响应文件的组成</w:t>
      </w:r>
    </w:p>
    <w:p w14:paraId="561F1D8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12.1响应文件由资格证明文件、报价文件、商务和技术文件三部分组成。</w:t>
      </w:r>
    </w:p>
    <w:p w14:paraId="35F97406">
      <w:pPr>
        <w:spacing w:line="360" w:lineRule="auto"/>
        <w:ind w:left="420" w:leftChars="200" w:firstLine="420" w:firstLineChars="200"/>
        <w:rPr>
          <w:rFonts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2.1.1</w:t>
      </w:r>
      <w:r>
        <w:rPr>
          <w:rFonts w:hint="eastAsia" w:ascii="宋体" w:hAnsi="宋体" w:cs="宋体"/>
          <w:color w:val="auto"/>
          <w:szCs w:val="21"/>
          <w:highlight w:val="none"/>
        </w:rPr>
        <w:t>资格证明文件：详见须知前附表</w:t>
      </w:r>
    </w:p>
    <w:p w14:paraId="1BA06C6E">
      <w:pPr>
        <w:spacing w:line="360" w:lineRule="auto"/>
        <w:ind w:left="420" w:leftChars="200" w:firstLine="420" w:firstLineChars="200"/>
        <w:rPr>
          <w:rFonts w:ascii="宋体" w:hAnsi="宋体" w:cs="宋体"/>
          <w:color w:val="auto"/>
          <w:szCs w:val="21"/>
          <w:highlight w:val="none"/>
        </w:rPr>
      </w:pPr>
      <w:r>
        <w:rPr>
          <w:rFonts w:hint="eastAsia" w:ascii="宋体" w:hAnsi="宋体" w:cs="宋体"/>
          <w:color w:val="auto"/>
          <w:szCs w:val="21"/>
          <w:highlight w:val="none"/>
        </w:rPr>
        <w:t>12.1.2商务技术文件：详见须知前附表</w:t>
      </w:r>
    </w:p>
    <w:p w14:paraId="620599F9">
      <w:pPr>
        <w:spacing w:line="360" w:lineRule="auto"/>
        <w:ind w:left="420" w:leftChars="200" w:firstLine="420" w:firstLineChars="200"/>
        <w:rPr>
          <w:rFonts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2.1.</w:t>
      </w:r>
      <w:r>
        <w:rPr>
          <w:rFonts w:hint="eastAsia" w:ascii="宋体" w:hAnsi="宋体" w:cs="宋体"/>
          <w:color w:val="auto"/>
          <w:szCs w:val="21"/>
          <w:highlight w:val="none"/>
        </w:rPr>
        <w:t>3报价文件：详见须知前附表</w:t>
      </w:r>
    </w:p>
    <w:p w14:paraId="08051A4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w:t>
      </w:r>
      <w:r>
        <w:rPr>
          <w:rFonts w:ascii="宋体" w:hAnsi="宋体" w:cs="宋体"/>
          <w:color w:val="auto"/>
          <w:szCs w:val="21"/>
          <w:highlight w:val="none"/>
        </w:rPr>
        <w:t>2</w:t>
      </w:r>
      <w:r>
        <w:rPr>
          <w:rFonts w:hint="eastAsia" w:ascii="宋体" w:hAnsi="宋体" w:cs="宋体"/>
          <w:color w:val="auto"/>
          <w:szCs w:val="21"/>
          <w:highlight w:val="none"/>
        </w:rPr>
        <w:t>响应文件电子版：详见须知前附表</w:t>
      </w:r>
    </w:p>
    <w:p w14:paraId="2D8FD5FA">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13.计量单位</w:t>
      </w:r>
    </w:p>
    <w:p w14:paraId="061811D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磋商文件已有明确规定的，使用磋商文件规定的计量单位；磋商文件没有规定的，应采用中华人民共和国法定计量单位，货币种类为人民币，否则视同未响应。</w:t>
      </w:r>
    </w:p>
    <w:p w14:paraId="407CBD3F">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14.竞标的风险</w:t>
      </w:r>
    </w:p>
    <w:p w14:paraId="6428B78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供应商没有按照磋商文件要求提供全部资料，或者供应商没有对磋商文件在各方面作出实质性响应可能导致其响应无效，是供应商应当考虑的风险。</w:t>
      </w:r>
    </w:p>
    <w:p w14:paraId="7EC56C44">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15.响应报价要求和构成</w:t>
      </w:r>
    </w:p>
    <w:p w14:paraId="0E9B1FAF">
      <w:pPr>
        <w:tabs>
          <w:tab w:val="left" w:pos="2492"/>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15.1响应报价应按“第五章 响应文件格式”中“响应报价表”格式填写。</w:t>
      </w:r>
    </w:p>
    <w:p w14:paraId="27AAAFBF">
      <w:pPr>
        <w:tabs>
          <w:tab w:val="left" w:pos="2492"/>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15.2响应报价的价格构成见“供应商须知前附表”。</w:t>
      </w:r>
    </w:p>
    <w:p w14:paraId="5E05688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15.3响应报价要求</w:t>
      </w:r>
    </w:p>
    <w:p w14:paraId="4444EBF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5.3.1</w:t>
      </w:r>
      <w:r>
        <w:rPr>
          <w:rFonts w:hint="eastAsia" w:ascii="宋体" w:hAnsi="宋体" w:cs="宋体"/>
          <w:color w:val="auto"/>
          <w:szCs w:val="21"/>
          <w:highlight w:val="none"/>
        </w:rPr>
        <w:t>供应商的响应报价应符合以下要求，否则响应文件按无效响应处理：</w:t>
      </w:r>
    </w:p>
    <w:p w14:paraId="7CF137E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（1）供应商必须就“采购需求”中所竞标的每个分标的全部内容分别作完整唯一总价报价，不得存在漏项报价；</w:t>
      </w:r>
    </w:p>
    <w:p w14:paraId="182BF51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）供应商必须就所竞标的分标的单项内容作唯一报价。</w:t>
      </w:r>
    </w:p>
    <w:p w14:paraId="3E9CDB6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15.3.</w:t>
      </w:r>
      <w:r>
        <w:rPr>
          <w:rFonts w:ascii="宋体" w:hAnsi="宋体" w:cs="宋体"/>
          <w:color w:val="auto"/>
          <w:szCs w:val="21"/>
          <w:highlight w:val="none"/>
        </w:rPr>
        <w:t>2</w:t>
      </w:r>
      <w:r>
        <w:rPr>
          <w:rFonts w:hint="eastAsia" w:ascii="宋体" w:hAnsi="宋体" w:cs="宋体"/>
          <w:color w:val="auto"/>
          <w:szCs w:val="21"/>
          <w:highlight w:val="none"/>
        </w:rPr>
        <w:t>响应报价（包含首次报价、最后报价）超过所竞标分标规定的采购预算金额或者最高限价的，其响应文件将作无效处理。</w:t>
      </w:r>
    </w:p>
    <w:p w14:paraId="17D4005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15.3.</w:t>
      </w:r>
      <w:r>
        <w:rPr>
          <w:rFonts w:ascii="宋体" w:hAnsi="宋体" w:cs="宋体"/>
          <w:color w:val="auto"/>
          <w:szCs w:val="21"/>
          <w:highlight w:val="none"/>
        </w:rPr>
        <w:t>3</w:t>
      </w:r>
      <w:bookmarkStart w:id="64" w:name="_Hlk42592874"/>
      <w:r>
        <w:rPr>
          <w:rFonts w:hint="eastAsia" w:ascii="宋体" w:hAnsi="宋体" w:cs="宋体"/>
          <w:color w:val="auto"/>
          <w:szCs w:val="21"/>
          <w:highlight w:val="none"/>
        </w:rPr>
        <w:t>响应报价（包含首次报价、最后报价）超过分项采购预算金额或者最高限价的，其响应文件将作无效处理。</w:t>
      </w:r>
    </w:p>
    <w:bookmarkEnd w:id="64"/>
    <w:p w14:paraId="7C84A794">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16.竞标有效期</w:t>
      </w:r>
    </w:p>
    <w:p w14:paraId="0C2FA05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2368B2D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16.2 竞标有效期应由供应商按“供应商须知前附表”规定的期限作出响应。</w:t>
      </w:r>
    </w:p>
    <w:p w14:paraId="45A5C20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16.3供应商的响应文件在竞标有效期内均保持有效。</w:t>
      </w:r>
    </w:p>
    <w:p w14:paraId="3AEC3687">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17.磋商保证金</w:t>
      </w:r>
    </w:p>
    <w:p w14:paraId="39C8299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详见“供应商须知前附表”。</w:t>
      </w:r>
    </w:p>
    <w:p w14:paraId="3385BA9E">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18.响应文件编制的要求</w:t>
      </w:r>
    </w:p>
    <w:p w14:paraId="434C78A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18.1各供应商在编制响应文件时请按照磋商文件“第五章 响应文件格式”规定的格式进行，混乱的编排导致响应文件被误读或磋商小组查找不到有效文件是供应商的风险。不完整、编排混乱导致响应文件被误读、漏读或者查找不到相关内容的，</w:t>
      </w:r>
      <w:r>
        <w:rPr>
          <w:rFonts w:hint="eastAsia" w:ascii="宋体" w:hAnsi="宋体" w:cs="宋体"/>
          <w:color w:val="auto"/>
          <w:highlight w:val="none"/>
        </w:rPr>
        <w:t>由此引发的</w:t>
      </w:r>
      <w:r>
        <w:rPr>
          <w:rFonts w:hint="eastAsia" w:ascii="宋体" w:hAnsi="宋体" w:cs="宋体"/>
          <w:color w:val="auto"/>
          <w:szCs w:val="21"/>
          <w:highlight w:val="none"/>
        </w:rPr>
        <w:t>后果由供应商承担。</w:t>
      </w:r>
    </w:p>
    <w:p w14:paraId="2012200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18.2响应文件应按资格证明、报价分别编制，商务技术文件合并编制，本磋商只接受电子版响应文件，要求见本章“12.2响应文件电子版要求”。</w:t>
      </w:r>
    </w:p>
    <w:p w14:paraId="36F4B38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w:t>
      </w:r>
      <w:bookmarkStart w:id="65" w:name="_Hlk65832699"/>
      <w:r>
        <w:rPr>
          <w:rFonts w:hint="eastAsia" w:ascii="宋体" w:hAnsi="宋体" w:cs="宋体"/>
          <w:color w:val="auto"/>
          <w:szCs w:val="21"/>
          <w:highlight w:val="none"/>
        </w:rPr>
        <w:t>3</w:t>
      </w:r>
      <w:r>
        <w:rPr>
          <w:rFonts w:hint="eastAsia" w:ascii="宋体" w:hAnsi="宋体"/>
          <w:color w:val="auto"/>
          <w:szCs w:val="21"/>
          <w:highlight w:val="none"/>
        </w:rPr>
        <w:t>响应文件须由供应商在</w:t>
      </w:r>
      <w:r>
        <w:rPr>
          <w:rFonts w:hint="eastAsia" w:ascii="宋体" w:hAnsi="宋体" w:cs="仿宋_GB2312"/>
          <w:color w:val="auto"/>
          <w:kern w:val="0"/>
          <w:szCs w:val="21"/>
          <w:highlight w:val="none"/>
          <w:lang w:val="zh-CN"/>
        </w:rPr>
        <w:t>“</w:t>
      </w:r>
      <w:r>
        <w:rPr>
          <w:rFonts w:hint="eastAsia" w:ascii="宋体" w:hAnsi="宋体"/>
          <w:color w:val="auto"/>
          <w:szCs w:val="21"/>
          <w:highlight w:val="none"/>
        </w:rPr>
        <w:t>第五章 响应文件格式</w:t>
      </w:r>
      <w:r>
        <w:rPr>
          <w:rFonts w:hint="eastAsia" w:ascii="宋体" w:hAnsi="宋体" w:cs="仿宋_GB2312"/>
          <w:color w:val="auto"/>
          <w:kern w:val="0"/>
          <w:szCs w:val="21"/>
          <w:highlight w:val="none"/>
          <w:lang w:val="zh-CN"/>
        </w:rPr>
        <w:t>”</w:t>
      </w:r>
      <w:r>
        <w:rPr>
          <w:rFonts w:hint="eastAsia" w:ascii="宋体" w:hAnsi="宋体"/>
          <w:color w:val="auto"/>
          <w:szCs w:val="21"/>
          <w:highlight w:val="none"/>
        </w:rPr>
        <w:t>规定位置</w:t>
      </w:r>
      <w:r>
        <w:rPr>
          <w:rFonts w:hint="eastAsia" w:ascii="宋体" w:hAnsi="宋体" w:cs="仿宋_GB2312"/>
          <w:color w:val="auto"/>
          <w:szCs w:val="21"/>
          <w:highlight w:val="none"/>
        </w:rPr>
        <w:t>进行签署、盖章</w:t>
      </w:r>
      <w:bookmarkEnd w:id="65"/>
      <w:r>
        <w:rPr>
          <w:rFonts w:hint="eastAsia" w:ascii="宋体" w:hAnsi="宋体" w:cs="宋体"/>
          <w:color w:val="auto"/>
          <w:szCs w:val="21"/>
          <w:highlight w:val="none"/>
        </w:rPr>
        <w:t>，否则其响应文件按无效响应处理。骑缝盖公章不视为在规定位置盖章。</w:t>
      </w:r>
    </w:p>
    <w:p w14:paraId="451F316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18.4响应文件中标注的供应商名称应与营业执照（事业单位法人证书、执业许可证、自然人身份证）及电子公章一致，否则其响应文件按无效响应处理。</w:t>
      </w:r>
    </w:p>
    <w:p w14:paraId="1D05002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18.5响应文件应避免涂改、行间插字或者删除，否则其响应文件按无效响应处理。</w:t>
      </w:r>
    </w:p>
    <w:p w14:paraId="375CAA05">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19.响应文件的密封和标记</w:t>
      </w:r>
    </w:p>
    <w:p w14:paraId="3D59A293">
      <w:pPr>
        <w:spacing w:line="360" w:lineRule="auto"/>
        <w:ind w:firstLine="420" w:firstLineChars="200"/>
        <w:rPr>
          <w:rFonts w:hint="eastAsia" w:ascii="宋体" w:hAnsi="宋体" w:cs="仿宋_GB2312"/>
          <w:color w:val="auto"/>
          <w:kern w:val="0"/>
          <w:szCs w:val="21"/>
          <w:highlight w:val="none"/>
          <w:lang w:val="zh-CN"/>
        </w:rPr>
      </w:pPr>
      <w:r>
        <w:rPr>
          <w:rFonts w:hint="eastAsia" w:ascii="宋体" w:hAnsi="宋体" w:cs="仿宋_GB2312"/>
          <w:color w:val="auto"/>
          <w:kern w:val="0"/>
          <w:szCs w:val="21"/>
          <w:highlight w:val="none"/>
          <w:lang w:val="zh-CN"/>
        </w:rPr>
        <w:t>19.1供应商进行电子交易应安装客户端软件—“广西政府采购云平台电子交易客户端”，并按照磋商文件和电子交易平台的要求编制并加密响应文件。供应商未按规定加密的响应文件，电子交易平台将拒收并提示。</w:t>
      </w:r>
    </w:p>
    <w:p w14:paraId="50483709">
      <w:pPr>
        <w:spacing w:line="360" w:lineRule="auto"/>
        <w:ind w:firstLine="420" w:firstLineChars="200"/>
        <w:rPr>
          <w:rFonts w:hint="eastAsia" w:ascii="宋体" w:hAnsi="宋体" w:cs="仿宋_GB2312"/>
          <w:color w:val="auto"/>
          <w:kern w:val="0"/>
          <w:szCs w:val="21"/>
          <w:highlight w:val="none"/>
          <w:lang w:val="zh-CN"/>
        </w:rPr>
      </w:pPr>
      <w:r>
        <w:rPr>
          <w:rFonts w:hint="eastAsia" w:ascii="宋体" w:hAnsi="宋体" w:cs="仿宋_GB2312"/>
          <w:color w:val="auto"/>
          <w:kern w:val="0"/>
          <w:szCs w:val="21"/>
          <w:highlight w:val="none"/>
          <w:lang w:val="zh-CN"/>
        </w:rPr>
        <w:t>19.2使用“广西政府采购云平台电子交易客户端”需要提前申领CA数字证书，申领流程见该项目采购公告附件。</w:t>
      </w:r>
    </w:p>
    <w:p w14:paraId="4E208657">
      <w:pPr>
        <w:spacing w:line="360" w:lineRule="auto"/>
        <w:ind w:firstLine="420" w:firstLineChars="200"/>
        <w:rPr>
          <w:rFonts w:ascii="黑体" w:hAnsi="黑体" w:eastAsia="黑体" w:cs="宋体"/>
          <w:b/>
          <w:bCs/>
          <w:color w:val="auto"/>
          <w:sz w:val="24"/>
          <w:highlight w:val="none"/>
        </w:rPr>
      </w:pPr>
      <w:r>
        <w:rPr>
          <w:rFonts w:hint="eastAsia" w:ascii="宋体" w:hAnsi="宋体" w:cs="仿宋_GB2312"/>
          <w:color w:val="auto"/>
          <w:kern w:val="0"/>
          <w:szCs w:val="21"/>
          <w:highlight w:val="none"/>
          <w:lang w:val="zh-CN"/>
        </w:rPr>
        <w:t>19.3为确保网上操作合法、有效和安全，供应商应当在响应文件提交截止时间前完成在“政府采购云平台”的身份认证，确保在电子交易过程中能够对相关数据电文进行加密和使用电子签名。</w:t>
      </w:r>
      <w:r>
        <w:rPr>
          <w:rFonts w:hint="eastAsia" w:ascii="黑体" w:hAnsi="黑体" w:eastAsia="黑体" w:cs="宋体"/>
          <w:b/>
          <w:bCs/>
          <w:color w:val="auto"/>
          <w:sz w:val="24"/>
          <w:highlight w:val="none"/>
        </w:rPr>
        <w:t>20.响应文件的提交</w:t>
      </w:r>
    </w:p>
    <w:p w14:paraId="1B04C47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20.1供应商必须在“供应商须知前附表”规定的时间和地点提交响应文件。</w:t>
      </w:r>
    </w:p>
    <w:p w14:paraId="49EF558E">
      <w:pPr>
        <w:spacing w:line="360" w:lineRule="auto"/>
        <w:ind w:firstLine="420" w:firstLineChars="200"/>
        <w:rPr>
          <w:rFonts w:ascii="宋体" w:hAnsi="宋体"/>
          <w:color w:val="auto"/>
          <w:szCs w:val="21"/>
          <w:highlight w:val="none"/>
        </w:rPr>
      </w:pPr>
      <w:r>
        <w:rPr>
          <w:rFonts w:hint="eastAsia" w:ascii="宋体" w:hAnsi="宋体" w:cs="宋体"/>
          <w:color w:val="auto"/>
          <w:szCs w:val="21"/>
          <w:highlight w:val="none"/>
        </w:rPr>
        <w:t>20</w:t>
      </w:r>
      <w:r>
        <w:rPr>
          <w:rFonts w:hint="eastAsia" w:ascii="宋体" w:hAnsi="宋体"/>
          <w:color w:val="auto"/>
          <w:szCs w:val="21"/>
          <w:highlight w:val="none"/>
        </w:rPr>
        <w:t>.2 在响应文件提交截止时间以后，不能补充、修改响应文件。</w:t>
      </w:r>
    </w:p>
    <w:p w14:paraId="039A8770">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20.3 在提交“最后报价”后，供应商不能退出谈判。</w:t>
      </w:r>
    </w:p>
    <w:p w14:paraId="0EFAF2DC">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20.4 电子交易平台收到响应文件，将妥善保存并即时向供应商发出确认回执通知。在响应文件提交截止时间前，除供应商补充、修改或者撤回响应文件外，任何单位和个人不得解密或提取响应文件。</w:t>
      </w:r>
    </w:p>
    <w:p w14:paraId="183B79FE">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20.5 采购机构不可视情况延长提交响应文件的截止时间。</w:t>
      </w:r>
    </w:p>
    <w:p w14:paraId="5124E827">
      <w:pPr>
        <w:spacing w:line="360" w:lineRule="auto"/>
        <w:ind w:firstLine="420" w:firstLineChars="200"/>
        <w:rPr>
          <w:rFonts w:ascii="黑体" w:hAnsi="黑体" w:eastAsia="黑体"/>
          <w:color w:val="auto"/>
          <w:sz w:val="24"/>
          <w:highlight w:val="none"/>
        </w:rPr>
      </w:pPr>
      <w:r>
        <w:rPr>
          <w:rFonts w:hint="eastAsia" w:ascii="宋体" w:hAnsi="宋体"/>
          <w:color w:val="auto"/>
          <w:szCs w:val="21"/>
          <w:highlight w:val="none"/>
        </w:rPr>
        <w:t>20.6备份响应文件。</w:t>
      </w:r>
      <w:r>
        <w:rPr>
          <w:rFonts w:hint="eastAsia" w:hAnsi="宋体"/>
          <w:bCs/>
          <w:color w:val="auto"/>
          <w:szCs w:val="21"/>
          <w:highlight w:val="none"/>
        </w:rPr>
        <w:t>详见在“供应商须知前附表”。</w:t>
      </w:r>
    </w:p>
    <w:p w14:paraId="7B0E2836">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21.首次响应文件的补充、修改与撤回</w:t>
      </w:r>
    </w:p>
    <w:p w14:paraId="0F3C8DC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详见“供应商须知前附表”。</w:t>
      </w:r>
    </w:p>
    <w:p w14:paraId="20F78D3B">
      <w:pPr>
        <w:spacing w:line="360" w:lineRule="auto"/>
        <w:ind w:firstLine="482" w:firstLineChars="200"/>
        <w:rPr>
          <w:rFonts w:ascii="黑体" w:hAnsi="黑体" w:eastAsia="黑体" w:cs="宋体"/>
          <w:b/>
          <w:bCs/>
          <w:color w:val="auto"/>
          <w:sz w:val="24"/>
          <w:highlight w:val="none"/>
        </w:rPr>
      </w:pPr>
      <w:bookmarkStart w:id="66" w:name="_Hlk45702405"/>
      <w:r>
        <w:rPr>
          <w:rFonts w:hint="eastAsia" w:ascii="黑体" w:hAnsi="黑体" w:eastAsia="黑体" w:cs="宋体"/>
          <w:b/>
          <w:bCs/>
          <w:color w:val="auto"/>
          <w:sz w:val="24"/>
          <w:highlight w:val="none"/>
        </w:rPr>
        <w:t>22. 首次响应文件的退回</w:t>
      </w:r>
    </w:p>
    <w:p w14:paraId="5CEFAF9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在首次响应文件提交截止时间止提交响应文件的供应商不足3家时电子响应文件由代理机构在广西政府采购云平台操作退回，除此之外采购人和采购代理机构对已提交的电子响应文件概不退回。</w:t>
      </w:r>
    </w:p>
    <w:p w14:paraId="1D7F2629">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23. 截止时间后的撤回</w:t>
      </w:r>
    </w:p>
    <w:p w14:paraId="39183546">
      <w:pPr>
        <w:spacing w:line="360" w:lineRule="auto"/>
        <w:ind w:firstLine="420" w:firstLineChars="200"/>
        <w:rPr>
          <w:rFonts w:ascii="宋体" w:hAnsi="宋体"/>
          <w:color w:val="auto"/>
          <w:szCs w:val="21"/>
          <w:highlight w:val="none"/>
        </w:rPr>
      </w:pPr>
      <w:r>
        <w:rPr>
          <w:rFonts w:hint="eastAsia" w:ascii="宋体" w:hAnsi="宋体" w:cs="宋体"/>
          <w:color w:val="auto"/>
          <w:szCs w:val="21"/>
          <w:highlight w:val="none"/>
        </w:rPr>
        <w:t>本项目不收取磋商保证金，供应商在首次响应文件提交截止时间后可向采购人、采购代理机构书面申请撤回电子响应文件。</w:t>
      </w:r>
      <w:bookmarkEnd w:id="66"/>
    </w:p>
    <w:p w14:paraId="6FB79A22">
      <w:pPr>
        <w:keepNext/>
        <w:keepLines/>
        <w:spacing w:line="360" w:lineRule="auto"/>
        <w:ind w:firstLine="640" w:firstLineChars="200"/>
        <w:outlineLvl w:val="2"/>
        <w:rPr>
          <w:rFonts w:ascii="宋体" w:hAnsi="宋体"/>
          <w:color w:val="auto"/>
          <w:sz w:val="32"/>
          <w:szCs w:val="32"/>
          <w:highlight w:val="none"/>
        </w:rPr>
      </w:pPr>
      <w:bookmarkStart w:id="67" w:name="_Toc5956"/>
      <w:r>
        <w:rPr>
          <w:rFonts w:hint="eastAsia" w:ascii="宋体" w:hAnsi="宋体"/>
          <w:color w:val="auto"/>
          <w:sz w:val="32"/>
          <w:szCs w:val="32"/>
          <w:highlight w:val="none"/>
        </w:rPr>
        <w:t>四、评审及磋商</w:t>
      </w:r>
      <w:bookmarkEnd w:id="67"/>
    </w:p>
    <w:p w14:paraId="7046BEE6">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24.磋商小组成立</w:t>
      </w:r>
    </w:p>
    <w:p w14:paraId="2AC5D88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24.1磋商小组由采购人代表和评审专家共3人以上单数组成，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7002ACE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55789338">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25.</w:t>
      </w:r>
      <w:r>
        <w:rPr>
          <w:rFonts w:hint="eastAsia" w:ascii="黑体" w:hAnsi="黑体" w:eastAsia="黑体" w:cs="宋体"/>
          <w:b/>
          <w:bCs/>
          <w:color w:val="auto"/>
          <w:sz w:val="24"/>
          <w:highlight w:val="none"/>
        </w:rPr>
        <w:t>首次响应文件的开启</w:t>
      </w:r>
    </w:p>
    <w:p w14:paraId="6AAC557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5.1</w:t>
      </w:r>
      <w:r>
        <w:rPr>
          <w:rFonts w:hint="eastAsia" w:ascii="宋体" w:hAnsi="宋体" w:cs="宋体"/>
          <w:color w:val="auto"/>
          <w:szCs w:val="21"/>
          <w:highlight w:val="none"/>
        </w:rPr>
        <w:t>首次响应文件由磋商小组或者采购代理机构在“供应商须知前附表”规定的时间开启。</w:t>
      </w:r>
    </w:p>
    <w:p w14:paraId="63CE64AD">
      <w:pPr>
        <w:spacing w:line="360" w:lineRule="auto"/>
        <w:ind w:firstLine="420" w:firstLineChars="200"/>
        <w:rPr>
          <w:rFonts w:ascii="宋体" w:hAnsi="宋体"/>
          <w:bCs/>
          <w:color w:val="auto"/>
          <w:kern w:val="0"/>
          <w:szCs w:val="21"/>
          <w:highlight w:val="none"/>
        </w:rPr>
      </w:pPr>
      <w:r>
        <w:rPr>
          <w:rFonts w:ascii="宋体" w:hAnsi="宋体" w:cs="宋体"/>
          <w:color w:val="auto"/>
          <w:kern w:val="0"/>
          <w:szCs w:val="21"/>
          <w:highlight w:val="none"/>
        </w:rPr>
        <w:t xml:space="preserve">25.2 </w:t>
      </w:r>
      <w:r>
        <w:rPr>
          <w:rFonts w:hint="eastAsia" w:ascii="宋体" w:hAnsi="宋体"/>
          <w:bCs/>
          <w:color w:val="auto"/>
          <w:kern w:val="0"/>
          <w:szCs w:val="21"/>
          <w:highlight w:val="none"/>
        </w:rPr>
        <w:t>响应文件解密</w:t>
      </w:r>
    </w:p>
    <w:p w14:paraId="2F3DD4DF">
      <w:pPr>
        <w:spacing w:line="360" w:lineRule="auto"/>
        <w:ind w:firstLine="420" w:firstLineChars="200"/>
        <w:rPr>
          <w:rFonts w:hint="eastAsia" w:ascii="宋体" w:hAnsi="宋体"/>
          <w:bCs/>
          <w:color w:val="auto"/>
          <w:kern w:val="0"/>
          <w:szCs w:val="21"/>
          <w:highlight w:val="none"/>
        </w:rPr>
      </w:pPr>
      <w:r>
        <w:rPr>
          <w:rFonts w:hint="eastAsia" w:ascii="宋体" w:hAnsi="宋体"/>
          <w:bCs/>
          <w:color w:val="auto"/>
          <w:kern w:val="0"/>
          <w:szCs w:val="21"/>
          <w:highlight w:val="none"/>
        </w:rPr>
        <w:t>采购代理机构将在“供应商须知前附表”规定的时间通过电子交易平台组织响应文件开启，采购机构依托电子交易平台发起开始解密指令，供应商的法定代表人或其委托代理人须携带加密时所用的CA锁按平台提示和采购文件的规定登录到广西政府采购云平台电子开标大厅签到并在发起解密指令之时起30分钟内完成对电子响应文件在线解密。发起解密指令之时起5分钟内供应商还未进行解密的，代理机构要通知供应商，供应商没预留联系方式或预留联系方式无效，导致代理机构无法联系到供应商进行解密的，视为响应文件无效。（解密异常情况处理：详见本章26.3 电子交易活动的中止。）</w:t>
      </w:r>
    </w:p>
    <w:p w14:paraId="6ACC83CD">
      <w:pPr>
        <w:spacing w:line="360" w:lineRule="auto"/>
        <w:ind w:firstLine="420" w:firstLineChars="200"/>
        <w:rPr>
          <w:rFonts w:hint="eastAsia" w:ascii="宋体" w:hAnsi="宋体"/>
          <w:bCs/>
          <w:color w:val="auto"/>
          <w:kern w:val="0"/>
          <w:szCs w:val="21"/>
          <w:highlight w:val="none"/>
        </w:rPr>
      </w:pPr>
      <w:r>
        <w:rPr>
          <w:rFonts w:hint="eastAsia" w:ascii="宋体" w:hAnsi="宋体"/>
          <w:bCs/>
          <w:color w:val="auto"/>
          <w:kern w:val="0"/>
          <w:szCs w:val="21"/>
          <w:highlight w:val="none"/>
        </w:rPr>
        <w:t>如供应商成功解密响应文件，但未在广西政府采购云平台电子开标大厅参加谈判的，视同认可谈判过程和结果，由此产生的后果由供应商自行负责。 参与谈判的供应商不足3家的，不得谈判。</w:t>
      </w:r>
    </w:p>
    <w:p w14:paraId="2FDF4815">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26</w:t>
      </w:r>
      <w:r>
        <w:rPr>
          <w:rFonts w:hint="eastAsia" w:ascii="黑体" w:hAnsi="黑体" w:eastAsia="黑体" w:cs="宋体"/>
          <w:b/>
          <w:bCs/>
          <w:color w:val="auto"/>
          <w:sz w:val="24"/>
          <w:highlight w:val="none"/>
        </w:rPr>
        <w:t>.评审程序、评审方法和评审标准</w:t>
      </w:r>
    </w:p>
    <w:p w14:paraId="0D23C9C0">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26.1</w:t>
      </w:r>
      <w:r>
        <w:rPr>
          <w:rFonts w:hint="eastAsia" w:ascii="宋体" w:hAnsi="宋体" w:cs="宋体"/>
          <w:color w:val="auto"/>
          <w:szCs w:val="21"/>
          <w:highlight w:val="none"/>
        </w:rPr>
        <w:t>磋商小组</w:t>
      </w:r>
      <w:r>
        <w:rPr>
          <w:rFonts w:ascii="宋体" w:hAnsi="宋体" w:cs="宋体"/>
          <w:color w:val="auto"/>
          <w:szCs w:val="21"/>
          <w:highlight w:val="none"/>
        </w:rPr>
        <w:t>按照</w:t>
      </w:r>
      <w:r>
        <w:rPr>
          <w:rFonts w:hint="eastAsia" w:ascii="宋体" w:hAnsi="宋体" w:cs="宋体"/>
          <w:color w:val="auto"/>
          <w:szCs w:val="21"/>
          <w:highlight w:val="none"/>
        </w:rPr>
        <w:t>“第四章 评审程序、评审方法和评审标准”</w:t>
      </w:r>
      <w:r>
        <w:rPr>
          <w:rFonts w:ascii="宋体" w:hAnsi="宋体" w:cs="宋体"/>
          <w:color w:val="auto"/>
          <w:szCs w:val="21"/>
          <w:highlight w:val="none"/>
        </w:rPr>
        <w:t>规定的方法、评审因素、标准和程序对</w:t>
      </w:r>
      <w:r>
        <w:rPr>
          <w:rFonts w:hint="eastAsia" w:ascii="宋体" w:hAnsi="宋体" w:cs="宋体"/>
          <w:color w:val="auto"/>
          <w:szCs w:val="21"/>
          <w:highlight w:val="none"/>
        </w:rPr>
        <w:t>响应</w:t>
      </w:r>
      <w:r>
        <w:rPr>
          <w:rFonts w:ascii="宋体" w:hAnsi="宋体" w:cs="宋体"/>
          <w:color w:val="auto"/>
          <w:szCs w:val="21"/>
          <w:highlight w:val="none"/>
        </w:rPr>
        <w:t>文件进行评审。</w:t>
      </w:r>
    </w:p>
    <w:p w14:paraId="010673BF">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 xml:space="preserve">6.2 </w:t>
      </w:r>
      <w:r>
        <w:rPr>
          <w:rFonts w:hint="eastAsia" w:ascii="宋体" w:hAnsi="宋体"/>
          <w:color w:val="auto"/>
          <w:szCs w:val="21"/>
          <w:highlight w:val="none"/>
        </w:rPr>
        <w:t>采购需求负偏离要求及磋商顺序详见 “ 供应商须知前附表”。</w:t>
      </w:r>
    </w:p>
    <w:p w14:paraId="0929A827">
      <w:pPr>
        <w:spacing w:line="360" w:lineRule="auto"/>
        <w:ind w:firstLine="420" w:firstLineChars="200"/>
        <w:rPr>
          <w:rFonts w:ascii="宋体" w:hAnsi="宋体"/>
          <w:color w:val="auto"/>
          <w:highlight w:val="none"/>
        </w:rPr>
      </w:pPr>
      <w:r>
        <w:rPr>
          <w:rFonts w:hint="eastAsia" w:ascii="宋体" w:hAnsi="宋体"/>
          <w:color w:val="auto"/>
          <w:highlight w:val="none"/>
        </w:rPr>
        <w:t>2</w:t>
      </w:r>
      <w:r>
        <w:rPr>
          <w:rFonts w:ascii="宋体" w:hAnsi="宋体"/>
          <w:color w:val="auto"/>
          <w:highlight w:val="none"/>
        </w:rPr>
        <w:t>6.3</w:t>
      </w:r>
      <w:r>
        <w:rPr>
          <w:rFonts w:hint="eastAsia" w:ascii="宋体" w:hAnsi="宋体"/>
          <w:color w:val="auto"/>
          <w:highlight w:val="none"/>
        </w:rPr>
        <w:t>电子交易活动的中止。采购过程中出现以下情形，导致电子交易平台无法正常运行，或者无法保证电子交易的公平、公正和安全时，采购机构可中止电子交易活动：</w:t>
      </w:r>
    </w:p>
    <w:p w14:paraId="1296DC0D">
      <w:pPr>
        <w:spacing w:line="360" w:lineRule="auto"/>
        <w:ind w:firstLine="420" w:firstLineChars="200"/>
        <w:rPr>
          <w:rFonts w:ascii="宋体" w:hAnsi="宋体"/>
          <w:color w:val="auto"/>
          <w:highlight w:val="none"/>
        </w:rPr>
      </w:pPr>
      <w:r>
        <w:rPr>
          <w:rFonts w:hint="eastAsia" w:ascii="宋体" w:hAnsi="宋体"/>
          <w:color w:val="auto"/>
          <w:highlight w:val="none"/>
        </w:rPr>
        <w:t xml:space="preserve">（1）电子交易平台发生故障而无法登录访问的； </w:t>
      </w:r>
    </w:p>
    <w:p w14:paraId="34508840">
      <w:pPr>
        <w:spacing w:line="360" w:lineRule="auto"/>
        <w:ind w:firstLine="420" w:firstLineChars="200"/>
        <w:rPr>
          <w:rFonts w:ascii="宋体" w:hAnsi="宋体"/>
          <w:color w:val="auto"/>
          <w:highlight w:val="none"/>
        </w:rPr>
      </w:pPr>
      <w:r>
        <w:rPr>
          <w:rFonts w:hint="eastAsia" w:ascii="宋体" w:hAnsi="宋体"/>
          <w:color w:val="auto"/>
          <w:highlight w:val="none"/>
        </w:rPr>
        <w:t>（2）电子交易平台应用或数据库出现错误，不能进行正常操作的；</w:t>
      </w:r>
    </w:p>
    <w:p w14:paraId="31674DE7">
      <w:pPr>
        <w:spacing w:line="360" w:lineRule="auto"/>
        <w:ind w:firstLine="420" w:firstLineChars="200"/>
        <w:rPr>
          <w:rFonts w:ascii="宋体" w:hAnsi="宋体"/>
          <w:color w:val="auto"/>
          <w:highlight w:val="none"/>
        </w:rPr>
      </w:pPr>
      <w:r>
        <w:rPr>
          <w:rFonts w:hint="eastAsia" w:ascii="宋体" w:hAnsi="宋体"/>
          <w:color w:val="auto"/>
          <w:highlight w:val="none"/>
        </w:rPr>
        <w:t>（3）电子交易平台发现严重安全漏洞，有潜在泄密危险的；</w:t>
      </w:r>
    </w:p>
    <w:p w14:paraId="3C09B939">
      <w:pPr>
        <w:spacing w:line="360" w:lineRule="auto"/>
        <w:ind w:firstLine="420" w:firstLineChars="200"/>
        <w:rPr>
          <w:rFonts w:ascii="宋体" w:hAnsi="宋体"/>
          <w:color w:val="auto"/>
          <w:highlight w:val="none"/>
        </w:rPr>
      </w:pPr>
      <w:r>
        <w:rPr>
          <w:rFonts w:hint="eastAsia" w:ascii="宋体" w:hAnsi="宋体"/>
          <w:color w:val="auto"/>
          <w:highlight w:val="none"/>
        </w:rPr>
        <w:t xml:space="preserve">（4）病毒发作导致不能进行正常操作的； </w:t>
      </w:r>
    </w:p>
    <w:p w14:paraId="4C2AC681">
      <w:pPr>
        <w:spacing w:line="360" w:lineRule="auto"/>
        <w:ind w:firstLine="420" w:firstLineChars="200"/>
        <w:rPr>
          <w:rFonts w:ascii="宋体" w:hAnsi="宋体"/>
          <w:color w:val="auto"/>
          <w:highlight w:val="none"/>
        </w:rPr>
      </w:pPr>
      <w:r>
        <w:rPr>
          <w:rFonts w:hint="eastAsia" w:ascii="宋体" w:hAnsi="宋体"/>
          <w:color w:val="auto"/>
          <w:highlight w:val="none"/>
        </w:rPr>
        <w:t>（4）其他无法保证电子交易的公平、公正和安全的情况。</w:t>
      </w:r>
    </w:p>
    <w:p w14:paraId="44B99FF2">
      <w:pPr>
        <w:spacing w:line="360" w:lineRule="auto"/>
        <w:ind w:firstLine="420" w:firstLineChars="200"/>
        <w:rPr>
          <w:rFonts w:ascii="宋体" w:hAnsi="宋体"/>
          <w:color w:val="auto"/>
          <w:highlight w:val="none"/>
        </w:rPr>
      </w:pPr>
      <w:r>
        <w:rPr>
          <w:rFonts w:hint="eastAsia" w:ascii="宋体" w:hAnsi="宋体"/>
          <w:color w:val="auto"/>
          <w:highlight w:val="none"/>
        </w:rPr>
        <w:t>26.4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701DA4BC">
      <w:pPr>
        <w:keepNext/>
        <w:keepLines/>
        <w:spacing w:line="360" w:lineRule="auto"/>
        <w:ind w:firstLine="480" w:firstLineChars="150"/>
        <w:outlineLvl w:val="2"/>
        <w:rPr>
          <w:rFonts w:ascii="宋体" w:hAnsi="宋体"/>
          <w:color w:val="auto"/>
          <w:sz w:val="32"/>
          <w:szCs w:val="32"/>
          <w:highlight w:val="none"/>
        </w:rPr>
      </w:pPr>
      <w:bookmarkStart w:id="68" w:name="_Toc31703"/>
      <w:r>
        <w:rPr>
          <w:rFonts w:hint="eastAsia" w:ascii="宋体" w:hAnsi="宋体"/>
          <w:color w:val="auto"/>
          <w:sz w:val="32"/>
          <w:szCs w:val="32"/>
          <w:highlight w:val="none"/>
        </w:rPr>
        <w:t>五、成交及合同</w:t>
      </w:r>
      <w:bookmarkEnd w:id="68"/>
    </w:p>
    <w:p w14:paraId="3E5A040B">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27</w:t>
      </w:r>
      <w:r>
        <w:rPr>
          <w:rFonts w:hint="eastAsia" w:ascii="黑体" w:hAnsi="黑体" w:eastAsia="黑体" w:cs="宋体"/>
          <w:b/>
          <w:bCs/>
          <w:color w:val="auto"/>
          <w:sz w:val="24"/>
          <w:highlight w:val="none"/>
        </w:rPr>
        <w:t>.确定成交供应商及结果公告</w:t>
      </w:r>
    </w:p>
    <w:p w14:paraId="1E41BBF7">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27</w:t>
      </w:r>
      <w:r>
        <w:rPr>
          <w:rFonts w:hint="eastAsia" w:ascii="宋体" w:hAnsi="宋体" w:cs="宋体"/>
          <w:color w:val="auto"/>
          <w:szCs w:val="21"/>
          <w:highlight w:val="none"/>
        </w:rPr>
        <w:t>.1确定成交供应商。</w:t>
      </w:r>
      <w:r>
        <w:rPr>
          <w:rFonts w:hint="eastAsia" w:ascii="宋体" w:hAnsi="宋体" w:cs="宋体"/>
          <w:color w:val="auto"/>
          <w:kern w:val="0"/>
          <w:szCs w:val="21"/>
          <w:highlight w:val="none"/>
          <w:u w:val="single"/>
        </w:rPr>
        <w:t xml:space="preserve"> 由采购人直接委托评审专家确定</w:t>
      </w:r>
      <w:r>
        <w:rPr>
          <w:rFonts w:hint="eastAsia" w:ascii="宋体" w:hAnsi="宋体" w:cs="宋体"/>
          <w:color w:val="auto"/>
          <w:szCs w:val="21"/>
          <w:highlight w:val="none"/>
          <w:u w:val="single"/>
        </w:rPr>
        <w:t>，评审报告提出的排序第一的供应商为成交供应商。</w:t>
      </w:r>
    </w:p>
    <w:p w14:paraId="00F03321">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27</w:t>
      </w:r>
      <w:r>
        <w:rPr>
          <w:rFonts w:hint="eastAsia" w:ascii="宋体" w:hAnsi="宋体" w:cs="宋体"/>
          <w:color w:val="auto"/>
          <w:szCs w:val="21"/>
          <w:highlight w:val="none"/>
        </w:rPr>
        <w:t>.2成交通知及成交结果公告。</w:t>
      </w:r>
      <w:r>
        <w:rPr>
          <w:rFonts w:hint="eastAsia" w:ascii="宋体" w:hAnsi="宋体" w:cs="宋体"/>
          <w:color w:val="auto"/>
          <w:kern w:val="0"/>
          <w:szCs w:val="21"/>
          <w:highlight w:val="none"/>
        </w:rPr>
        <w:t>成交</w:t>
      </w:r>
      <w:r>
        <w:rPr>
          <w:rFonts w:hint="eastAsia" w:ascii="宋体" w:hAnsi="宋体" w:cs="宋体"/>
          <w:color w:val="auto"/>
          <w:szCs w:val="21"/>
          <w:highlight w:val="none"/>
        </w:rPr>
        <w:t>供应商确定后2个工作日内，在省级以上财政部门指定的媒体上公</w:t>
      </w:r>
      <w:r>
        <w:rPr>
          <w:rFonts w:hint="eastAsia" w:ascii="宋体" w:hAnsi="宋体" w:cs="宋体"/>
          <w:color w:val="auto"/>
          <w:kern w:val="0"/>
          <w:szCs w:val="21"/>
          <w:highlight w:val="none"/>
        </w:rPr>
        <w:t>告成交结果（成交通知及成交</w:t>
      </w:r>
      <w:r>
        <w:rPr>
          <w:rFonts w:ascii="宋体" w:hAnsi="宋体" w:cs="宋体"/>
          <w:color w:val="auto"/>
          <w:kern w:val="0"/>
          <w:szCs w:val="21"/>
          <w:highlight w:val="none"/>
        </w:rPr>
        <w:t>结果公告</w:t>
      </w:r>
      <w:r>
        <w:rPr>
          <w:rFonts w:hint="eastAsia" w:ascii="宋体" w:hAnsi="宋体" w:cs="宋体"/>
          <w:color w:val="auto"/>
          <w:kern w:val="0"/>
          <w:szCs w:val="21"/>
          <w:highlight w:val="none"/>
        </w:rPr>
        <w:t>应使用南宁市模板进行公告，公告内容除包含《政府采购公告和公示信息格式规范（2020年版）》要求内容外，还应包含采购人专门面向中小企业预留份额情况及成交供应商评审价格、优惠率等内容），</w:t>
      </w:r>
      <w:r>
        <w:rPr>
          <w:rFonts w:hint="eastAsia" w:ascii="宋体" w:hAnsi="宋体" w:cs="宋体"/>
          <w:color w:val="auto"/>
          <w:szCs w:val="21"/>
          <w:highlight w:val="none"/>
        </w:rPr>
        <w:t>同时向成交供应商发出成交通知书，成交通知书规定签订合同的时间不得超过25日。</w:t>
      </w:r>
    </w:p>
    <w:p w14:paraId="6E70D717">
      <w:pPr>
        <w:spacing w:line="360" w:lineRule="auto"/>
        <w:ind w:firstLine="420" w:firstLineChars="200"/>
        <w:rPr>
          <w:rFonts w:ascii="宋体" w:hAnsi="宋体" w:cs="Courier New"/>
          <w:color w:val="auto"/>
          <w:szCs w:val="21"/>
          <w:highlight w:val="none"/>
        </w:rPr>
      </w:pPr>
      <w:r>
        <w:rPr>
          <w:rFonts w:hint="eastAsia" w:ascii="宋体" w:hAnsi="宋体" w:cs="宋体"/>
          <w:color w:val="auto"/>
          <w:szCs w:val="21"/>
          <w:highlight w:val="none"/>
        </w:rPr>
        <w:t>27.3采购人或者采购代理机构发出成交通知书前，应当对成交供应商信用进行查询核实，对列入失信被执行人、重大税收违法案件当事人名单、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竞磋文件一并保存。</w:t>
      </w:r>
      <w:r>
        <w:rPr>
          <w:rFonts w:hint="eastAsia" w:ascii="宋体" w:hAnsi="宋体" w:cs="Courier New"/>
          <w:color w:val="auto"/>
          <w:szCs w:val="21"/>
          <w:highlight w:val="none"/>
        </w:rPr>
        <w:t>成交供应商享受</w:t>
      </w:r>
      <w:r>
        <w:rPr>
          <w:rFonts w:hint="eastAsia" w:ascii="宋体" w:hAnsi="宋体"/>
          <w:color w:val="auto"/>
          <w:szCs w:val="21"/>
          <w:highlight w:val="none"/>
        </w:rPr>
        <w:t>《政府采购促进中小企业发展管理办法》（财库〔2020〕46号）规定的中小企业扶持</w:t>
      </w:r>
      <w:r>
        <w:rPr>
          <w:rFonts w:hint="eastAsia" w:ascii="宋体" w:hAnsi="宋体" w:cs="Courier New"/>
          <w:color w:val="auto"/>
          <w:szCs w:val="21"/>
          <w:highlight w:val="none"/>
        </w:rPr>
        <w:t>政策的，采购人、采购代理机构应当随成交结果公开成交供应商的《中小企业声明函》。</w:t>
      </w:r>
    </w:p>
    <w:p w14:paraId="247FAF5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7.</w:t>
      </w:r>
      <w:r>
        <w:rPr>
          <w:rFonts w:hint="eastAsia" w:ascii="宋体" w:hAnsi="宋体" w:cs="宋体"/>
          <w:color w:val="auto"/>
          <w:szCs w:val="21"/>
          <w:highlight w:val="none"/>
        </w:rPr>
        <w:t>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557C2AD9">
      <w:pPr>
        <w:spacing w:line="360" w:lineRule="auto"/>
        <w:ind w:firstLine="420" w:firstLineChars="200"/>
        <w:rPr>
          <w:rFonts w:ascii="宋体" w:hAnsi="宋体" w:cs="宋体"/>
          <w:color w:val="auto"/>
          <w:szCs w:val="21"/>
          <w:highlight w:val="none"/>
        </w:rPr>
      </w:pPr>
      <w:r>
        <w:rPr>
          <w:rFonts w:ascii="宋体" w:hAnsi="宋体"/>
          <w:bCs/>
          <w:color w:val="auto"/>
          <w:szCs w:val="21"/>
          <w:highlight w:val="none"/>
        </w:rPr>
        <w:t>27.</w:t>
      </w:r>
      <w:r>
        <w:rPr>
          <w:rFonts w:hint="eastAsia" w:ascii="宋体" w:hAnsi="宋体"/>
          <w:bCs/>
          <w:color w:val="auto"/>
          <w:szCs w:val="21"/>
          <w:highlight w:val="none"/>
        </w:rPr>
        <w:t>5</w:t>
      </w:r>
      <w:r>
        <w:rPr>
          <w:rFonts w:hint="eastAsia" w:ascii="宋体" w:hAnsi="宋体" w:cs="宋体"/>
          <w:color w:val="auto"/>
          <w:szCs w:val="21"/>
          <w:highlight w:val="none"/>
        </w:rPr>
        <w:t>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w:t>
      </w:r>
    </w:p>
    <w:p w14:paraId="16ADA890">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28</w:t>
      </w:r>
      <w:r>
        <w:rPr>
          <w:rFonts w:hint="eastAsia" w:ascii="黑体" w:hAnsi="黑体" w:eastAsia="黑体" w:cs="宋体"/>
          <w:b/>
          <w:bCs/>
          <w:color w:val="auto"/>
          <w:sz w:val="24"/>
          <w:highlight w:val="none"/>
        </w:rPr>
        <w:t>.履约保证金</w:t>
      </w:r>
    </w:p>
    <w:p w14:paraId="4A0FE1D6">
      <w:pPr>
        <w:spacing w:line="360" w:lineRule="auto"/>
        <w:ind w:firstLine="420" w:firstLineChars="200"/>
        <w:rPr>
          <w:rFonts w:ascii="黑体" w:hAnsi="黑体" w:eastAsia="黑体" w:cs="宋体"/>
          <w:b/>
          <w:bCs/>
          <w:color w:val="auto"/>
          <w:sz w:val="24"/>
          <w:highlight w:val="none"/>
        </w:rPr>
      </w:pPr>
      <w:r>
        <w:rPr>
          <w:rFonts w:hint="eastAsia" w:ascii="宋体" w:hAnsi="宋体" w:cs="宋体"/>
          <w:color w:val="auto"/>
          <w:szCs w:val="21"/>
          <w:highlight w:val="none"/>
        </w:rPr>
        <w:t>详见 “供应商须知前附表”</w:t>
      </w:r>
    </w:p>
    <w:p w14:paraId="78FED3BF">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29</w:t>
      </w:r>
      <w:r>
        <w:rPr>
          <w:rFonts w:hint="eastAsia" w:ascii="黑体" w:hAnsi="黑体" w:eastAsia="黑体" w:cs="宋体"/>
          <w:b/>
          <w:bCs/>
          <w:color w:val="auto"/>
          <w:sz w:val="24"/>
          <w:highlight w:val="none"/>
        </w:rPr>
        <w:t>.签订合同</w:t>
      </w:r>
    </w:p>
    <w:p w14:paraId="4C11EB1A">
      <w:pPr>
        <w:adjustRightInd w:val="0"/>
        <w:snapToGrid w:val="0"/>
        <w:spacing w:line="360" w:lineRule="auto"/>
        <w:ind w:firstLine="420" w:firstLineChars="200"/>
        <w:rPr>
          <w:rFonts w:ascii="宋体" w:hAnsi="宋体"/>
          <w:color w:val="auto"/>
          <w:kern w:val="0"/>
          <w:szCs w:val="21"/>
          <w:highlight w:val="none"/>
          <w:lang w:val="zh-CN"/>
        </w:rPr>
      </w:pPr>
      <w:r>
        <w:rPr>
          <w:rFonts w:ascii="宋体" w:hAnsi="宋体" w:cs="宋体"/>
          <w:color w:val="auto"/>
          <w:kern w:val="0"/>
          <w:szCs w:val="21"/>
          <w:highlight w:val="none"/>
        </w:rPr>
        <w:t>29.1</w:t>
      </w:r>
      <w:r>
        <w:rPr>
          <w:rFonts w:hint="eastAsia" w:ascii="宋体" w:hAnsi="宋体"/>
          <w:color w:val="auto"/>
          <w:kern w:val="0"/>
          <w:szCs w:val="21"/>
          <w:highlight w:val="none"/>
        </w:rPr>
        <w:t>采购人与成交供应商应当在</w:t>
      </w:r>
      <w:r>
        <w:rPr>
          <w:rFonts w:hint="eastAsia" w:ascii="宋体" w:hAnsi="宋体" w:cs="宋体"/>
          <w:color w:val="auto"/>
          <w:kern w:val="0"/>
          <w:szCs w:val="21"/>
          <w:highlight w:val="none"/>
        </w:rPr>
        <w:t>成交通知书规定的时间内</w:t>
      </w:r>
      <w:r>
        <w:rPr>
          <w:rFonts w:hint="eastAsia" w:ascii="宋体" w:hAnsi="宋体"/>
          <w:color w:val="auto"/>
          <w:kern w:val="0"/>
          <w:szCs w:val="21"/>
          <w:highlight w:val="none"/>
        </w:rPr>
        <w:t>，按照磋商文件确定的合同文本以及采购标的、服务技术、采购金额、采购数量、技术和服务要求等事项签订政府采购合同。</w:t>
      </w:r>
      <w:r>
        <w:rPr>
          <w:rFonts w:hint="eastAsia" w:ascii="宋体" w:hAnsi="宋体"/>
          <w:color w:val="auto"/>
          <w:kern w:val="0"/>
          <w:szCs w:val="21"/>
          <w:highlight w:val="none"/>
          <w:lang w:val="zh-CN"/>
        </w:rPr>
        <w:t>如成交供应商为联合体的，由联合体成员各方法定代表人或其授权代表与采购人代表签订合同。</w:t>
      </w:r>
    </w:p>
    <w:p w14:paraId="0B362FFE">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29.2采购人不得向成交供应商提出超出磋商文件以外的任何要求作为签订合同的条件，不得与成交供应商订立背离磋商文件确定的合同文本以及采购标的、服务技术、采购金额、采购数量、技术和服务要求等实质性内容的协议。</w:t>
      </w:r>
    </w:p>
    <w:p w14:paraId="4463E473">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29.3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59C10028">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29.4如签订合同并生效后，供应商无故拒绝或延期，除按照合同条款处理外，列入不良行为记录，并给予通报。</w:t>
      </w:r>
    </w:p>
    <w:p w14:paraId="229FADFB">
      <w:pPr>
        <w:adjustRightInd w:val="0"/>
        <w:spacing w:line="360" w:lineRule="auto"/>
        <w:ind w:firstLine="420" w:firstLineChars="200"/>
        <w:rPr>
          <w:rFonts w:ascii="宋体" w:hAnsi="宋体" w:cs="宋体"/>
          <w:color w:val="auto"/>
          <w:kern w:val="0"/>
          <w:sz w:val="24"/>
          <w:szCs w:val="21"/>
          <w:highlight w:val="none"/>
        </w:rPr>
      </w:pPr>
      <w:r>
        <w:rPr>
          <w:rFonts w:hint="eastAsia" w:ascii="宋体" w:hAnsi="宋体" w:cs="仿宋_GB2312"/>
          <w:color w:val="auto"/>
          <w:kern w:val="0"/>
          <w:szCs w:val="21"/>
          <w:highlight w:val="none"/>
        </w:rPr>
        <w:t>29</w:t>
      </w:r>
      <w:r>
        <w:rPr>
          <w:rFonts w:ascii="宋体" w:hAnsi="宋体" w:cs="仿宋_GB2312"/>
          <w:color w:val="auto"/>
          <w:kern w:val="0"/>
          <w:szCs w:val="21"/>
          <w:highlight w:val="none"/>
        </w:rPr>
        <w:t>.5采购合同由采购人与</w:t>
      </w:r>
      <w:r>
        <w:rPr>
          <w:rFonts w:hint="eastAsia" w:ascii="宋体" w:hAnsi="宋体" w:cs="仿宋_GB2312"/>
          <w:color w:val="auto"/>
          <w:kern w:val="0"/>
          <w:szCs w:val="21"/>
          <w:highlight w:val="none"/>
        </w:rPr>
        <w:t>成交</w:t>
      </w:r>
      <w:r>
        <w:rPr>
          <w:rFonts w:ascii="宋体" w:hAnsi="宋体" w:cs="仿宋_GB2312"/>
          <w:color w:val="auto"/>
          <w:kern w:val="0"/>
          <w:szCs w:val="21"/>
          <w:highlight w:val="none"/>
        </w:rPr>
        <w:t>供应商根据</w:t>
      </w:r>
      <w:r>
        <w:rPr>
          <w:rFonts w:hint="eastAsia" w:ascii="宋体" w:hAnsi="宋体"/>
          <w:color w:val="auto"/>
          <w:kern w:val="0"/>
          <w:szCs w:val="21"/>
          <w:highlight w:val="none"/>
        </w:rPr>
        <w:t>磋商文件</w:t>
      </w:r>
      <w:r>
        <w:rPr>
          <w:rFonts w:hint="eastAsia" w:ascii="宋体" w:hAnsi="宋体" w:cs="仿宋_GB2312"/>
          <w:color w:val="auto"/>
          <w:kern w:val="0"/>
          <w:szCs w:val="21"/>
          <w:highlight w:val="none"/>
        </w:rPr>
        <w:t>、响应文件等内容通过政府采购电子交易平台在线签订，自动备案，在线签订须携带的材料见“供应商须</w:t>
      </w:r>
      <w:r>
        <w:rPr>
          <w:rFonts w:hint="eastAsia" w:ascii="宋体" w:hAnsi="宋体"/>
          <w:color w:val="auto"/>
          <w:kern w:val="0"/>
          <w:szCs w:val="21"/>
          <w:highlight w:val="none"/>
        </w:rPr>
        <w:t>知前附表</w:t>
      </w:r>
      <w:r>
        <w:rPr>
          <w:rFonts w:hint="eastAsia" w:ascii="宋体" w:hAnsi="宋体" w:cs="仿宋_GB2312"/>
          <w:color w:val="auto"/>
          <w:kern w:val="0"/>
          <w:szCs w:val="21"/>
          <w:highlight w:val="none"/>
        </w:rPr>
        <w:t>”。</w:t>
      </w:r>
    </w:p>
    <w:p w14:paraId="12435379">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30</w:t>
      </w:r>
      <w:r>
        <w:rPr>
          <w:rFonts w:hint="eastAsia" w:ascii="黑体" w:hAnsi="黑体" w:eastAsia="黑体" w:cs="宋体"/>
          <w:b/>
          <w:bCs/>
          <w:color w:val="auto"/>
          <w:sz w:val="24"/>
          <w:highlight w:val="none"/>
        </w:rPr>
        <w:t>.政府采购合同公告</w:t>
      </w:r>
    </w:p>
    <w:p w14:paraId="69DDACCA">
      <w:pPr>
        <w:spacing w:line="360" w:lineRule="auto"/>
        <w:ind w:firstLine="420" w:firstLineChars="200"/>
        <w:rPr>
          <w:rFonts w:hAnsi="宋体"/>
          <w:color w:val="auto"/>
          <w:highlight w:val="none"/>
        </w:rPr>
      </w:pPr>
      <w:r>
        <w:rPr>
          <w:rFonts w:hint="eastAsia" w:hAnsi="宋体"/>
          <w:color w:val="auto"/>
          <w:highlight w:val="none"/>
        </w:rPr>
        <w:t>采购人或者受托采购代理机构应当自政府采购合同签订之日起2个工作日内，将政府采购合同</w:t>
      </w:r>
      <w:r>
        <w:rPr>
          <w:rFonts w:hint="eastAsia" w:ascii="宋体" w:hAnsi="宋体"/>
          <w:bCs/>
          <w:color w:val="auto"/>
          <w:highlight w:val="none"/>
        </w:rPr>
        <w:t>在以下媒体上发布</w:t>
      </w:r>
      <w:r>
        <w:rPr>
          <w:rFonts w:hint="eastAsia" w:ascii="宋体" w:hAnsi="宋体" w:cs="宋体"/>
          <w:color w:val="auto"/>
          <w:kern w:val="0"/>
          <w:szCs w:val="21"/>
          <w:highlight w:val="none"/>
        </w:rPr>
        <w:t xml:space="preserve"> “广西政府采购网”（http://zfcg.gxzf.gov.cn）</w:t>
      </w:r>
      <w:r>
        <w:rPr>
          <w:rFonts w:hint="eastAsia" w:hAnsi="宋体"/>
          <w:color w:val="auto"/>
          <w:highlight w:val="none"/>
        </w:rPr>
        <w:t>上公告，</w:t>
      </w:r>
      <w:r>
        <w:rPr>
          <w:rFonts w:hAnsi="宋体"/>
          <w:color w:val="auto"/>
          <w:highlight w:val="none"/>
        </w:rPr>
        <w:t>但政府采购合同中涉及国家秘密、商业秘密的内容除外。</w:t>
      </w:r>
    </w:p>
    <w:p w14:paraId="1928CB01">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31</w:t>
      </w:r>
      <w:r>
        <w:rPr>
          <w:rFonts w:hint="eastAsia" w:ascii="黑体" w:hAnsi="黑体" w:eastAsia="黑体" w:cs="宋体"/>
          <w:b/>
          <w:bCs/>
          <w:color w:val="auto"/>
          <w:sz w:val="24"/>
          <w:highlight w:val="none"/>
        </w:rPr>
        <w:t>. 询问、质疑和投诉</w:t>
      </w:r>
    </w:p>
    <w:p w14:paraId="19B51F81">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w:t>
      </w:r>
      <w:r>
        <w:rPr>
          <w:rFonts w:ascii="宋体" w:hAnsi="宋体" w:cs="宋体"/>
          <w:color w:val="auto"/>
          <w:highlight w:val="none"/>
        </w:rPr>
        <w:t>1</w:t>
      </w:r>
      <w:r>
        <w:rPr>
          <w:rFonts w:hint="eastAsia" w:ascii="宋体" w:hAnsi="宋体" w:cs="宋体"/>
          <w:color w:val="auto"/>
          <w:highlight w:val="none"/>
        </w:rPr>
        <w:t>.1供应商对政府采购活动事项有疑问的，可以向采购人、采购代理机构提出询问，采购人或者采购代理机构应当在3个工作日内对供应商依法提出的询问作出答复。</w:t>
      </w:r>
    </w:p>
    <w:p w14:paraId="7919B663">
      <w:pPr>
        <w:spacing w:line="360" w:lineRule="auto"/>
        <w:ind w:firstLine="420" w:firstLineChars="200"/>
        <w:rPr>
          <w:rFonts w:ascii="宋体" w:hAnsi="宋体"/>
          <w:b/>
          <w:color w:val="auto"/>
          <w:szCs w:val="21"/>
          <w:highlight w:val="none"/>
        </w:rPr>
      </w:pPr>
      <w:r>
        <w:rPr>
          <w:rFonts w:hint="eastAsia" w:ascii="宋体" w:hAnsi="宋体" w:cs="宋体"/>
          <w:color w:val="auto"/>
          <w:highlight w:val="none"/>
        </w:rPr>
        <w:t>3</w:t>
      </w:r>
      <w:r>
        <w:rPr>
          <w:rFonts w:ascii="宋体" w:hAnsi="宋体" w:cs="宋体"/>
          <w:color w:val="auto"/>
          <w:highlight w:val="none"/>
        </w:rPr>
        <w:t>1</w:t>
      </w:r>
      <w:r>
        <w:rPr>
          <w:rFonts w:hint="eastAsia" w:ascii="宋体" w:hAnsi="宋体" w:cs="宋体"/>
          <w:color w:val="auto"/>
          <w:highlight w:val="none"/>
        </w:rPr>
        <w:t>.2供应商认为磋商文件、采购过程或者成交结果使自己的合法权益受到损害的，应当在知道或者应知其权益受到损害之日起7个工作日内，以书面形式向采购人、采购代理机构提出质疑，</w:t>
      </w:r>
      <w:r>
        <w:rPr>
          <w:rFonts w:ascii="宋体" w:hAnsi="宋体" w:cs="Arial"/>
          <w:color w:val="auto"/>
          <w:highlight w:val="none"/>
          <w:shd w:val="clear" w:color="auto" w:fill="FFFFFF"/>
        </w:rPr>
        <w:t>接收质疑函的方式、联系部门、联系电话和通讯地址等信息</w:t>
      </w:r>
      <w:r>
        <w:rPr>
          <w:rFonts w:hint="eastAsia" w:ascii="宋体" w:hAnsi="宋体" w:cs="Arial"/>
          <w:color w:val="auto"/>
          <w:highlight w:val="none"/>
          <w:shd w:val="clear" w:color="auto" w:fill="FFFFFF"/>
        </w:rPr>
        <w:t>详见</w:t>
      </w:r>
      <w:r>
        <w:rPr>
          <w:rFonts w:hint="eastAsia" w:ascii="宋体" w:hAnsi="宋体" w:cs="宋体"/>
          <w:color w:val="auto"/>
          <w:szCs w:val="21"/>
          <w:highlight w:val="none"/>
        </w:rPr>
        <w:t>“供应商须知前附表”</w:t>
      </w:r>
      <w:r>
        <w:rPr>
          <w:rFonts w:hint="eastAsia" w:ascii="宋体" w:hAnsi="宋体" w:cs="宋体"/>
          <w:color w:val="auto"/>
          <w:highlight w:val="none"/>
        </w:rPr>
        <w:t>。</w:t>
      </w:r>
      <w:r>
        <w:rPr>
          <w:rFonts w:hint="eastAsia" w:ascii="宋体" w:hAnsi="宋体"/>
          <w:b/>
          <w:color w:val="auto"/>
          <w:szCs w:val="21"/>
          <w:highlight w:val="none"/>
        </w:rPr>
        <w:t xml:space="preserve">具体质疑起算时间及处理方式如下： </w:t>
      </w:r>
    </w:p>
    <w:p w14:paraId="657247B8">
      <w:pPr>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（1）潜在供应商依法获取采购文件后，认为采购文件使自己的权益受到损害的，应当在竞争性磋商采购文件公告期限届满之日起7个工作日内提出质疑。</w:t>
      </w:r>
      <w:r>
        <w:rPr>
          <w:rFonts w:hint="eastAsia" w:ascii="宋体" w:hAnsi="宋体" w:eastAsia="宋体" w:cs="宋体"/>
          <w:color w:val="auto"/>
          <w:highlight w:val="none"/>
        </w:rPr>
        <w:t>委托代理协议无特殊约定的，</w:t>
      </w:r>
      <w:r>
        <w:rPr>
          <w:rFonts w:hint="eastAsia" w:ascii="宋体" w:hAnsi="宋体" w:eastAsia="宋体" w:cs="宋体"/>
          <w:bCs/>
          <w:color w:val="auto"/>
          <w:highlight w:val="none"/>
        </w:rPr>
        <w:t>对竞争性磋商文件中采购需求（含资格要求、采购预算和评分办法）的质疑由采购人受理并负责答复；对竞争性磋商文件中的采购执行程序的质疑由采购代理机构受理并负责答复。</w:t>
      </w:r>
    </w:p>
    <w:p w14:paraId="72F1A1DF">
      <w:pPr>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2）供应商认为采购过程使自己的权益受到损害的，应当在各采购程序环节结束之日起7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048FD2A4">
      <w:pPr>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（3）供应商认为成交结果使自己的权益受到损害的，应当在成交结果公告期限届满之日起7个工作日内提出质疑，由采购人受理并负责答复。</w:t>
      </w:r>
    </w:p>
    <w:p w14:paraId="1C70FC8A">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w:t>
      </w:r>
      <w:r>
        <w:rPr>
          <w:rFonts w:ascii="宋体" w:hAnsi="宋体" w:cs="宋体"/>
          <w:color w:val="auto"/>
          <w:highlight w:val="none"/>
        </w:rPr>
        <w:t>1</w:t>
      </w:r>
      <w:r>
        <w:rPr>
          <w:rFonts w:hint="eastAsia" w:ascii="宋体" w:hAnsi="宋体" w:cs="宋体"/>
          <w:color w:val="auto"/>
          <w:highlight w:val="none"/>
        </w:rPr>
        <w:t>.3供应商提出的询问或者质疑超出采购人对采购代理机构委托授权范围的，采购代理机构应当告知供应商向采购人提出。政府采购评审专家应当配合采购人或者采购代理机构答复供应商的询问和质疑。</w:t>
      </w:r>
    </w:p>
    <w:p w14:paraId="1181B1CE">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w:t>
      </w:r>
      <w:r>
        <w:rPr>
          <w:rFonts w:ascii="宋体" w:hAnsi="宋体" w:cs="宋体"/>
          <w:color w:val="auto"/>
          <w:highlight w:val="none"/>
        </w:rPr>
        <w:t>1</w:t>
      </w:r>
      <w:r>
        <w:rPr>
          <w:rFonts w:hint="eastAsia" w:ascii="宋体" w:hAnsi="宋体" w:cs="宋体"/>
          <w:color w:val="auto"/>
          <w:highlight w:val="none"/>
        </w:rPr>
        <w:t>.4 供应商提出质疑应当提交质疑函和必要的证明材料，针对同一采购程序环节的质疑必须在法定质疑期内一次性提出。质疑函应当包括下列内容</w:t>
      </w:r>
      <w:r>
        <w:rPr>
          <w:rFonts w:hint="eastAsia" w:hAnsi="宋体"/>
          <w:bCs/>
          <w:color w:val="auto"/>
          <w:highlight w:val="none"/>
        </w:rPr>
        <w:t>（质疑函格式后附）</w:t>
      </w:r>
      <w:r>
        <w:rPr>
          <w:rFonts w:hint="eastAsia" w:ascii="宋体" w:hAnsi="宋体" w:cs="宋体"/>
          <w:color w:val="auto"/>
          <w:highlight w:val="none"/>
        </w:rPr>
        <w:t>：</w:t>
      </w:r>
    </w:p>
    <w:p w14:paraId="1AF1ED83">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（1）供应商的姓名或者名称、地址、邮编、联系人及联系电话；</w:t>
      </w:r>
    </w:p>
    <w:p w14:paraId="52ADB122">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（2）质疑项目的名称、编号；</w:t>
      </w:r>
    </w:p>
    <w:p w14:paraId="65D2D16B">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（3）具体、明确的质疑事项和与质疑事项相关的请求；</w:t>
      </w:r>
    </w:p>
    <w:p w14:paraId="1A5C944A">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（4）事实依据；</w:t>
      </w:r>
    </w:p>
    <w:p w14:paraId="3EE0EE21">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（5）必要的法律依据；</w:t>
      </w:r>
    </w:p>
    <w:p w14:paraId="0BADCBC6">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（6）提出质疑的日期。</w:t>
      </w:r>
    </w:p>
    <w:p w14:paraId="607FE20C">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供应商为自然人的，应当由本人签字；供应商为法人或者其他组织的，应当由法定代表人、主要负责人，或者其委托代理人签字或者盖章，并加盖公章。</w:t>
      </w:r>
    </w:p>
    <w:p w14:paraId="7E890690">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w:t>
      </w:r>
      <w:r>
        <w:rPr>
          <w:rFonts w:ascii="宋体" w:hAnsi="宋体" w:cs="宋体"/>
          <w:color w:val="auto"/>
          <w:highlight w:val="none"/>
        </w:rPr>
        <w:t>1.5</w:t>
      </w:r>
      <w:r>
        <w:rPr>
          <w:rFonts w:hint="eastAsia" w:ascii="宋体" w:hAnsi="宋体" w:cs="宋体"/>
          <w:color w:val="auto"/>
          <w:highlight w:val="none"/>
        </w:rPr>
        <w:t>采购人、采购代理机构认为供应商质疑不成立，或者成立但未对成交结果构成影响的，继续开展采购活动；认为供应商质疑成立且影响或者可能影响成交结果的，按照下列情况处理：</w:t>
      </w:r>
    </w:p>
    <w:p w14:paraId="6AF67F9E">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（一）对采购文件提出的质疑，依法通过澄清或者修改可以继续开展采购活动的，澄清或者修改采购文件后继续开展采购活动；否则应当修改采购文件后重新开展采购活动。</w:t>
      </w:r>
    </w:p>
    <w:p w14:paraId="4F0976B6">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（二）对采购过程或者成交结果提出的质疑，合格供应商符合法定数量时，可以从合格的成交候选人中另行确定成交供应商的，应当依法另行确定成交供应商；否则应当重新开展采购活动。</w:t>
      </w:r>
    </w:p>
    <w:p w14:paraId="7C4285A5">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质疑答复导致成交结果改变的，采购人或者采购代理机构应当将有关情况书面报告本级财政部门。</w:t>
      </w:r>
    </w:p>
    <w:p w14:paraId="6BB0655C">
      <w:pPr>
        <w:spacing w:line="360" w:lineRule="auto"/>
        <w:ind w:firstLine="420" w:firstLineChars="200"/>
        <w:rPr>
          <w:rFonts w:ascii="宋体" w:hAnsi="宋体" w:cs="宋体"/>
          <w:color w:val="auto"/>
          <w:highlight w:val="none"/>
        </w:rPr>
      </w:pPr>
      <w:r>
        <w:rPr>
          <w:rFonts w:ascii="宋体" w:hAnsi="宋体" w:cs="宋体"/>
          <w:color w:val="auto"/>
          <w:highlight w:val="none"/>
        </w:rPr>
        <w:t>31</w:t>
      </w:r>
      <w:r>
        <w:rPr>
          <w:rFonts w:hint="eastAsia" w:ascii="宋体" w:hAnsi="宋体" w:cs="宋体"/>
          <w:color w:val="auto"/>
          <w:highlight w:val="none"/>
        </w:rPr>
        <w:t>.</w:t>
      </w:r>
      <w:r>
        <w:rPr>
          <w:rFonts w:ascii="宋体" w:hAnsi="宋体" w:cs="宋体"/>
          <w:color w:val="auto"/>
          <w:highlight w:val="none"/>
        </w:rPr>
        <w:t>6</w:t>
      </w:r>
      <w:r>
        <w:rPr>
          <w:rFonts w:hint="eastAsia" w:ascii="宋体" w:hAnsi="宋体" w:cs="宋体"/>
          <w:color w:val="auto"/>
          <w:highlight w:val="none"/>
        </w:rPr>
        <w:t>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受理投诉方式见“供应商须知前附表”。</w:t>
      </w:r>
      <w:bookmarkStart w:id="69" w:name="_Toc80205930"/>
    </w:p>
    <w:p w14:paraId="0679A8EB">
      <w:pPr>
        <w:keepNext/>
        <w:keepLines/>
        <w:spacing w:line="360" w:lineRule="auto"/>
        <w:ind w:firstLine="315" w:firstLineChars="98"/>
        <w:outlineLvl w:val="2"/>
        <w:rPr>
          <w:rFonts w:ascii="宋体" w:hAnsi="宋体"/>
          <w:bCs/>
          <w:color w:val="auto"/>
          <w:sz w:val="32"/>
          <w:szCs w:val="32"/>
          <w:highlight w:val="none"/>
        </w:rPr>
      </w:pPr>
      <w:bookmarkStart w:id="70" w:name="_Toc12199"/>
      <w:r>
        <w:rPr>
          <w:rFonts w:hint="eastAsia" w:ascii="宋体" w:hAnsi="宋体"/>
          <w:b/>
          <w:bCs/>
          <w:color w:val="auto"/>
          <w:sz w:val="32"/>
          <w:szCs w:val="32"/>
          <w:highlight w:val="none"/>
        </w:rPr>
        <w:t>六</w:t>
      </w:r>
      <w:r>
        <w:rPr>
          <w:rFonts w:hint="eastAsia" w:ascii="宋体" w:hAnsi="宋体"/>
          <w:bCs/>
          <w:color w:val="auto"/>
          <w:sz w:val="32"/>
          <w:szCs w:val="32"/>
          <w:highlight w:val="none"/>
        </w:rPr>
        <w:t>、验收</w:t>
      </w:r>
      <w:bookmarkEnd w:id="69"/>
      <w:bookmarkEnd w:id="70"/>
    </w:p>
    <w:p w14:paraId="3C76CCE7">
      <w:pPr>
        <w:tabs>
          <w:tab w:val="left" w:pos="0"/>
        </w:tabs>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32.验收</w:t>
      </w:r>
    </w:p>
    <w:p w14:paraId="5C415621">
      <w:pPr>
        <w:tabs>
          <w:tab w:val="left" w:pos="0"/>
        </w:tabs>
        <w:spacing w:line="360" w:lineRule="auto"/>
        <w:ind w:firstLine="420" w:firstLineChars="200"/>
        <w:rPr>
          <w:rFonts w:ascii="宋体" w:hAnsi="宋体" w:cs="Helvetica"/>
          <w:color w:val="auto"/>
          <w:kern w:val="0"/>
          <w:szCs w:val="21"/>
          <w:highlight w:val="none"/>
        </w:rPr>
      </w:pPr>
      <w:r>
        <w:rPr>
          <w:rFonts w:hint="eastAsia" w:ascii="宋体" w:hAnsi="宋体" w:cs="Helvetica"/>
          <w:color w:val="auto"/>
          <w:kern w:val="0"/>
          <w:szCs w:val="21"/>
          <w:highlight w:val="none"/>
        </w:rPr>
        <w:t>32.1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4D362D00">
      <w:pPr>
        <w:tabs>
          <w:tab w:val="left" w:pos="0"/>
        </w:tabs>
        <w:spacing w:line="360" w:lineRule="auto"/>
        <w:ind w:firstLine="420" w:firstLineChars="200"/>
        <w:rPr>
          <w:rFonts w:ascii="宋体" w:hAnsi="宋体" w:cs="Helvetica"/>
          <w:color w:val="auto"/>
          <w:kern w:val="0"/>
          <w:szCs w:val="21"/>
          <w:highlight w:val="none"/>
        </w:rPr>
      </w:pPr>
      <w:r>
        <w:rPr>
          <w:rFonts w:hint="eastAsia" w:ascii="宋体" w:hAnsi="宋体" w:cs="Helvetica"/>
          <w:color w:val="auto"/>
          <w:kern w:val="0"/>
          <w:szCs w:val="21"/>
          <w:highlight w:val="none"/>
        </w:rPr>
        <w:t>32.2采购人可以邀请参加本项目的其他供应商或者第三方机构参与验收。参与验收的供应商或者第三方机构的意见作为验收书的参考资料一并存档。</w:t>
      </w:r>
    </w:p>
    <w:p w14:paraId="6FFA97FD">
      <w:pPr>
        <w:tabs>
          <w:tab w:val="left" w:pos="0"/>
        </w:tabs>
        <w:spacing w:line="360" w:lineRule="auto"/>
        <w:ind w:firstLine="420" w:firstLineChars="200"/>
        <w:rPr>
          <w:rFonts w:ascii="宋体" w:hAnsi="宋体" w:cs="Helvetica"/>
          <w:color w:val="auto"/>
          <w:kern w:val="0"/>
          <w:szCs w:val="21"/>
          <w:highlight w:val="none"/>
        </w:rPr>
      </w:pPr>
      <w:r>
        <w:rPr>
          <w:rFonts w:hint="eastAsia" w:ascii="宋体" w:hAnsi="宋体" w:cs="Helvetica"/>
          <w:color w:val="auto"/>
          <w:kern w:val="0"/>
          <w:szCs w:val="21"/>
          <w:highlight w:val="none"/>
        </w:rPr>
        <w:t>32.3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04EAB8D7">
      <w:pPr>
        <w:tabs>
          <w:tab w:val="left" w:pos="0"/>
        </w:tabs>
        <w:spacing w:line="360" w:lineRule="auto"/>
        <w:ind w:firstLine="420" w:firstLineChars="200"/>
        <w:rPr>
          <w:rFonts w:ascii="宋体" w:hAnsi="宋体" w:cs="宋体"/>
          <w:color w:val="auto"/>
          <w:szCs w:val="21"/>
          <w:highlight w:val="none"/>
        </w:rPr>
      </w:pPr>
      <w:r>
        <w:rPr>
          <w:rFonts w:hint="eastAsia" w:ascii="宋体" w:hAnsi="宋体" w:cs="Helvetica"/>
          <w:color w:val="auto"/>
          <w:kern w:val="0"/>
          <w:szCs w:val="21"/>
          <w:highlight w:val="none"/>
        </w:rPr>
        <w:t>32.4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0E0120AB">
      <w:pPr>
        <w:keepNext/>
        <w:keepLines/>
        <w:spacing w:line="360" w:lineRule="auto"/>
        <w:ind w:firstLine="320" w:firstLineChars="100"/>
        <w:outlineLvl w:val="2"/>
        <w:rPr>
          <w:rFonts w:ascii="宋体" w:hAnsi="宋体"/>
          <w:color w:val="auto"/>
          <w:sz w:val="32"/>
          <w:szCs w:val="32"/>
          <w:highlight w:val="none"/>
        </w:rPr>
      </w:pPr>
      <w:bookmarkStart w:id="71" w:name="_Toc30093"/>
      <w:r>
        <w:rPr>
          <w:rFonts w:hint="eastAsia" w:ascii="宋体" w:hAnsi="宋体"/>
          <w:color w:val="auto"/>
          <w:sz w:val="32"/>
          <w:szCs w:val="32"/>
          <w:highlight w:val="none"/>
        </w:rPr>
        <w:t>七、其他事项</w:t>
      </w:r>
      <w:bookmarkEnd w:id="71"/>
    </w:p>
    <w:p w14:paraId="79BF98C9">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3</w:t>
      </w:r>
      <w:r>
        <w:rPr>
          <w:rFonts w:hint="eastAsia" w:ascii="黑体" w:hAnsi="黑体" w:eastAsia="黑体" w:cs="宋体"/>
          <w:b/>
          <w:bCs/>
          <w:color w:val="auto"/>
          <w:sz w:val="24"/>
          <w:highlight w:val="none"/>
        </w:rPr>
        <w:t>3.代理服务费</w:t>
      </w:r>
    </w:p>
    <w:p w14:paraId="199294A1">
      <w:pPr>
        <w:tabs>
          <w:tab w:val="left" w:pos="2835"/>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代理服务收费标准及缴费账户详见“供应商须知前附表”，供应商为联合体的，可以由联合体中的一方或者多方共同交纳代理服务费。</w:t>
      </w:r>
    </w:p>
    <w:p w14:paraId="2E02D017">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34</w:t>
      </w:r>
      <w:r>
        <w:rPr>
          <w:rFonts w:ascii="黑体" w:hAnsi="黑体" w:eastAsia="黑体" w:cs="宋体"/>
          <w:b/>
          <w:bCs/>
          <w:color w:val="auto"/>
          <w:sz w:val="24"/>
          <w:highlight w:val="none"/>
        </w:rPr>
        <w:t>.需要补充的其他内容</w:t>
      </w:r>
    </w:p>
    <w:p w14:paraId="1CA17314">
      <w:pPr>
        <w:spacing w:line="360" w:lineRule="auto"/>
        <w:ind w:firstLine="420" w:firstLineChars="200"/>
        <w:textAlignment w:val="center"/>
        <w:rPr>
          <w:rFonts w:ascii="宋体" w:hAnsi="宋体" w:cs="宋体"/>
          <w:color w:val="auto"/>
          <w:szCs w:val="21"/>
          <w:highlight w:val="none"/>
        </w:rPr>
      </w:pPr>
      <w:r>
        <w:rPr>
          <w:rFonts w:hint="eastAsia" w:ascii="宋体" w:hAnsi="宋体" w:cs="宋体"/>
          <w:color w:val="auto"/>
          <w:szCs w:val="21"/>
          <w:highlight w:val="none"/>
        </w:rPr>
        <w:t>34</w:t>
      </w:r>
      <w:r>
        <w:rPr>
          <w:rFonts w:ascii="宋体" w:hAnsi="宋体" w:cs="宋体"/>
          <w:color w:val="auto"/>
          <w:szCs w:val="21"/>
          <w:highlight w:val="none"/>
        </w:rPr>
        <w:t>.1</w:t>
      </w:r>
      <w:r>
        <w:rPr>
          <w:rFonts w:hint="eastAsia" w:ascii="宋体" w:hAnsi="宋体" w:cs="宋体"/>
          <w:color w:val="auto"/>
          <w:szCs w:val="21"/>
          <w:highlight w:val="none"/>
        </w:rPr>
        <w:t>本磋商文件解释规则详见“供应商须知前附表”。</w:t>
      </w:r>
    </w:p>
    <w:p w14:paraId="71CF2210">
      <w:pPr>
        <w:spacing w:line="360" w:lineRule="auto"/>
        <w:ind w:firstLine="420" w:firstLineChars="200"/>
        <w:textAlignment w:val="center"/>
        <w:rPr>
          <w:rFonts w:ascii="宋体" w:hAnsi="宋体" w:cs="宋体"/>
          <w:color w:val="auto"/>
          <w:szCs w:val="21"/>
          <w:highlight w:val="none"/>
        </w:rPr>
      </w:pPr>
      <w:r>
        <w:rPr>
          <w:rFonts w:ascii="宋体" w:hAnsi="宋体" w:cs="宋体"/>
          <w:color w:val="auto"/>
          <w:szCs w:val="21"/>
          <w:highlight w:val="none"/>
        </w:rPr>
        <w:t>3</w:t>
      </w:r>
      <w:r>
        <w:rPr>
          <w:rFonts w:hint="eastAsia" w:ascii="宋体" w:hAnsi="宋体" w:cs="宋体"/>
          <w:color w:val="auto"/>
          <w:szCs w:val="21"/>
          <w:highlight w:val="none"/>
        </w:rPr>
        <w:t>4</w:t>
      </w:r>
      <w:r>
        <w:rPr>
          <w:rFonts w:ascii="宋体" w:hAnsi="宋体" w:cs="宋体"/>
          <w:color w:val="auto"/>
          <w:szCs w:val="21"/>
          <w:highlight w:val="none"/>
        </w:rPr>
        <w:t>.2</w:t>
      </w:r>
      <w:r>
        <w:rPr>
          <w:rFonts w:hint="eastAsia" w:ascii="宋体" w:hAnsi="宋体" w:cs="宋体"/>
          <w:color w:val="auto"/>
          <w:szCs w:val="21"/>
          <w:highlight w:val="none"/>
        </w:rPr>
        <w:t xml:space="preserve"> 其他事项详见“供应商须知前附表”。</w:t>
      </w:r>
    </w:p>
    <w:p w14:paraId="372ADB7E">
      <w:pPr>
        <w:spacing w:line="360" w:lineRule="auto"/>
        <w:ind w:firstLine="420" w:firstLineChars="200"/>
        <w:textAlignment w:val="center"/>
        <w:rPr>
          <w:rFonts w:ascii="宋体" w:hAnsi="宋体" w:cs="宋体"/>
          <w:color w:val="auto"/>
          <w:szCs w:val="21"/>
          <w:highlight w:val="none"/>
        </w:rPr>
      </w:pPr>
      <w:r>
        <w:rPr>
          <w:rFonts w:hint="eastAsia" w:ascii="宋体" w:hAnsi="宋体" w:cs="宋体"/>
          <w:color w:val="auto"/>
          <w:szCs w:val="21"/>
          <w:highlight w:val="none"/>
        </w:rPr>
        <w:t>34</w:t>
      </w:r>
      <w:r>
        <w:rPr>
          <w:rFonts w:ascii="宋体" w:hAnsi="宋体" w:cs="宋体"/>
          <w:color w:val="auto"/>
          <w:szCs w:val="21"/>
          <w:highlight w:val="none"/>
        </w:rPr>
        <w:t>.3</w:t>
      </w:r>
      <w:r>
        <w:rPr>
          <w:rFonts w:hint="eastAsia" w:ascii="宋体" w:hAnsi="宋体" w:cs="宋体"/>
          <w:color w:val="auto"/>
          <w:szCs w:val="21"/>
          <w:highlight w:val="none"/>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w:t>
      </w:r>
      <w:r>
        <w:rPr>
          <w:rFonts w:hint="eastAsia" w:ascii="宋体" w:hAnsi="宋体"/>
          <w:color w:val="auto"/>
          <w:kern w:val="0"/>
          <w:szCs w:val="21"/>
          <w:highlight w:val="none"/>
        </w:rPr>
        <w:t>服务由中小企业承接，即提供服务的人员为中小企业依照《中华人民共和国劳动合同法》订立劳动合同的从业人员，不对其中涉及的货物的制造商和工程承建商作出要求的</w:t>
      </w:r>
      <w:r>
        <w:rPr>
          <w:rFonts w:hint="eastAsia" w:ascii="宋体" w:hAnsi="宋体" w:cs="宋体"/>
          <w:color w:val="auto"/>
          <w:szCs w:val="21"/>
          <w:highlight w:val="none"/>
        </w:rPr>
        <w:t>，享受本文件规定的中小企业扶持政策。</w:t>
      </w:r>
    </w:p>
    <w:p w14:paraId="1FD0443C">
      <w:pPr>
        <w:spacing w:line="360" w:lineRule="auto"/>
        <w:ind w:firstLine="420" w:firstLineChars="200"/>
        <w:textAlignment w:val="center"/>
        <w:rPr>
          <w:rFonts w:ascii="宋体" w:hAnsi="宋体" w:cs="宋体"/>
          <w:color w:val="auto"/>
          <w:szCs w:val="21"/>
          <w:highlight w:val="none"/>
        </w:rPr>
      </w:pPr>
      <w:r>
        <w:rPr>
          <w:rFonts w:hint="eastAsia" w:ascii="宋体" w:hAnsi="宋体" w:cs="宋体"/>
          <w:color w:val="auto"/>
          <w:szCs w:val="21"/>
          <w:highlight w:val="none"/>
        </w:rPr>
        <w:t>以联合体形式参加政府采购活动，联合体各方均为中小企业的，联合体视同中小企业。其中，联合体各方均为小微企业的，联合体视同小微企业。</w:t>
      </w:r>
    </w:p>
    <w:p w14:paraId="4A25D263">
      <w:pPr>
        <w:spacing w:line="360" w:lineRule="auto"/>
        <w:ind w:firstLine="420" w:firstLineChars="200"/>
        <w:textAlignment w:val="center"/>
        <w:rPr>
          <w:rFonts w:ascii="宋体" w:hAnsi="宋体" w:cs="宋体"/>
          <w:color w:val="auto"/>
          <w:szCs w:val="21"/>
          <w:highlight w:val="none"/>
        </w:rPr>
      </w:pPr>
      <w:r>
        <w:rPr>
          <w:rFonts w:hint="eastAsia" w:ascii="宋体" w:hAnsi="宋体" w:cs="宋体"/>
          <w:color w:val="auto"/>
          <w:szCs w:val="21"/>
          <w:highlight w:val="none"/>
        </w:rPr>
        <w:t>依据本文件规定享受扶持政策获得政府采购合同的，小微企业不得将合同分包给大中型企业，中型企业不得将合同分包给大型企业。</w:t>
      </w:r>
    </w:p>
    <w:p w14:paraId="50857560">
      <w:pPr>
        <w:spacing w:line="360" w:lineRule="auto"/>
        <w:ind w:firstLine="480" w:firstLineChars="200"/>
        <w:rPr>
          <w:rFonts w:ascii="黑体" w:hAnsi="黑体" w:eastAsia="黑体"/>
          <w:color w:val="auto"/>
          <w:sz w:val="24"/>
          <w:highlight w:val="none"/>
        </w:rPr>
      </w:pPr>
      <w:r>
        <w:rPr>
          <w:rFonts w:hint="eastAsia" w:ascii="黑体" w:hAnsi="黑体" w:eastAsia="黑体"/>
          <w:color w:val="auto"/>
          <w:sz w:val="24"/>
          <w:highlight w:val="none"/>
        </w:rPr>
        <w:t>35. 政采贷相关说明</w:t>
      </w:r>
    </w:p>
    <w:p w14:paraId="3CA295A8">
      <w:pPr>
        <w:spacing w:line="360" w:lineRule="auto"/>
        <w:ind w:firstLine="420" w:firstLineChars="200"/>
        <w:textAlignment w:val="center"/>
        <w:rPr>
          <w:b/>
          <w:bCs/>
          <w:color w:val="auto"/>
          <w:kern w:val="44"/>
          <w:sz w:val="44"/>
          <w:szCs w:val="44"/>
          <w:highlight w:val="none"/>
        </w:rPr>
      </w:pPr>
      <w:r>
        <w:rPr>
          <w:rFonts w:hint="eastAsia" w:ascii="宋体" w:hAnsi="宋体"/>
          <w:color w:val="auto"/>
          <w:kern w:val="0"/>
          <w:szCs w:val="21"/>
          <w:highlight w:val="none"/>
        </w:rPr>
        <w:t>为优化政府采购营商环境，缓解供应商资金难题，南宁市政府采购试行政府采购信用融资制度，中标供应商如有融资需求，可凭政府采购合同在“南宁市公共资源交易中心”官网（网址：http://www.nnggzy.org.cn）“交易信息-政府采购-政府采购信用融资”中融资银行和南宁市企业融资服务中心专栏信息申请政府采购信用融资。</w:t>
      </w:r>
      <w:r>
        <w:rPr>
          <w:rFonts w:ascii="宋体" w:hAnsi="宋体"/>
          <w:b/>
          <w:color w:val="auto"/>
          <w:kern w:val="0"/>
          <w:sz w:val="20"/>
          <w:szCs w:val="21"/>
          <w:highlight w:val="none"/>
        </w:rPr>
        <w:br w:type="page"/>
      </w:r>
      <w:r>
        <w:rPr>
          <w:rFonts w:hint="eastAsia"/>
          <w:b/>
          <w:bCs/>
          <w:color w:val="auto"/>
          <w:kern w:val="44"/>
          <w:sz w:val="44"/>
          <w:szCs w:val="44"/>
          <w:highlight w:val="none"/>
        </w:rPr>
        <w:t>第四章</w:t>
      </w:r>
      <w:r>
        <w:rPr>
          <w:rFonts w:hint="eastAsia"/>
          <w:b/>
          <w:bCs/>
          <w:color w:val="auto"/>
          <w:kern w:val="44"/>
          <w:sz w:val="44"/>
          <w:szCs w:val="44"/>
          <w:highlight w:val="none"/>
          <w:lang w:val="en-US" w:eastAsia="zh-CN"/>
        </w:rPr>
        <w:t xml:space="preserve"> </w:t>
      </w:r>
      <w:r>
        <w:rPr>
          <w:rFonts w:hint="eastAsia"/>
          <w:b/>
          <w:bCs/>
          <w:color w:val="auto"/>
          <w:kern w:val="44"/>
          <w:sz w:val="44"/>
          <w:szCs w:val="44"/>
          <w:highlight w:val="none"/>
        </w:rPr>
        <w:t>评审程序、评审方法和评审标准</w:t>
      </w:r>
    </w:p>
    <w:p w14:paraId="06E9B389">
      <w:pPr>
        <w:keepNext/>
        <w:keepLines/>
        <w:spacing w:before="260" w:after="260" w:line="416" w:lineRule="auto"/>
        <w:jc w:val="center"/>
        <w:outlineLvl w:val="1"/>
        <w:rPr>
          <w:rFonts w:ascii="宋体" w:hAnsi="宋体"/>
          <w:bCs/>
          <w:color w:val="auto"/>
          <w:sz w:val="32"/>
          <w:szCs w:val="32"/>
          <w:highlight w:val="none"/>
        </w:rPr>
      </w:pPr>
      <w:bookmarkStart w:id="72" w:name="_Toc11785"/>
      <w:r>
        <w:rPr>
          <w:rFonts w:hint="eastAsia" w:ascii="宋体" w:hAnsi="宋体"/>
          <w:bCs/>
          <w:color w:val="auto"/>
          <w:sz w:val="32"/>
          <w:szCs w:val="32"/>
          <w:highlight w:val="none"/>
        </w:rPr>
        <w:t>第一节 评审程序和评审方法</w:t>
      </w:r>
      <w:bookmarkEnd w:id="72"/>
    </w:p>
    <w:p w14:paraId="366D9679">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1</w:t>
      </w:r>
      <w:r>
        <w:rPr>
          <w:rFonts w:hint="eastAsia" w:ascii="黑体" w:hAnsi="黑体" w:eastAsia="黑体" w:cs="宋体"/>
          <w:b/>
          <w:bCs/>
          <w:color w:val="auto"/>
          <w:sz w:val="24"/>
          <w:highlight w:val="none"/>
        </w:rPr>
        <w:t>.确认磋商文件</w:t>
      </w:r>
    </w:p>
    <w:p w14:paraId="08BD6F6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由磋商小组确认磋商文件。</w:t>
      </w:r>
    </w:p>
    <w:p w14:paraId="00E2FAB2">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2.资格审查</w:t>
      </w:r>
    </w:p>
    <w:p w14:paraId="75918694">
      <w:pPr>
        <w:snapToGrid w:val="0"/>
        <w:spacing w:line="360" w:lineRule="auto"/>
        <w:ind w:firstLine="420" w:firstLineChars="200"/>
        <w:rPr>
          <w:rFonts w:ascii="宋体" w:hAnsi="宋体"/>
          <w:color w:val="auto"/>
          <w:szCs w:val="21"/>
          <w:highlight w:val="none"/>
        </w:rPr>
      </w:pPr>
      <w:r>
        <w:rPr>
          <w:rFonts w:hint="eastAsia" w:ascii="宋体" w:hAnsi="宋体" w:cs="宋体"/>
          <w:color w:val="auto"/>
          <w:szCs w:val="21"/>
          <w:highlight w:val="none"/>
        </w:rPr>
        <w:t>2.1</w:t>
      </w:r>
      <w:r>
        <w:rPr>
          <w:rFonts w:hint="eastAsia" w:ascii="宋体" w:hAnsi="宋体"/>
          <w:color w:val="auto"/>
          <w:szCs w:val="21"/>
          <w:highlight w:val="none"/>
        </w:rPr>
        <w:t>响应文件开启后，磋商小组依法对供应商的资格证明文件进行审查。</w:t>
      </w:r>
    </w:p>
    <w:p w14:paraId="12B42B96">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注：采购人代表或者采购代理机构在资格审查结束前，对供应商进行信用查询。</w:t>
      </w:r>
    </w:p>
    <w:p w14:paraId="272C3D08">
      <w:pPr>
        <w:snapToGrid w:val="0"/>
        <w:spacing w:line="360" w:lineRule="auto"/>
        <w:ind w:firstLine="420" w:firstLineChars="200"/>
        <w:jc w:val="left"/>
        <w:rPr>
          <w:rFonts w:ascii="宋体" w:hAnsi="宋体" w:cs="宋体"/>
          <w:szCs w:val="21"/>
        </w:rPr>
      </w:pPr>
      <w:r>
        <w:rPr>
          <w:rFonts w:hint="eastAsia" w:ascii="宋体" w:hAnsi="宋体" w:cs="宋体"/>
          <w:szCs w:val="21"/>
        </w:rPr>
        <w:t>（1）查询渠道：广西政府采购云平台“信用中国”网站(</w:t>
      </w:r>
      <w:r>
        <w:rPr>
          <w:rFonts w:ascii="Calibri" w:hAnsi="Calibri"/>
        </w:rPr>
        <w:fldChar w:fldCharType="begin"/>
      </w:r>
      <w:r>
        <w:rPr>
          <w:rFonts w:ascii="Calibri" w:hAnsi="Calibri"/>
        </w:rPr>
        <w:instrText xml:space="preserve"> HYPERLINK "http://www.creditchina.gov.cn" </w:instrText>
      </w:r>
      <w:r>
        <w:rPr>
          <w:rFonts w:ascii="Calibri" w:hAnsi="Calibri"/>
        </w:rPr>
        <w:fldChar w:fldCharType="separate"/>
      </w:r>
      <w:r>
        <w:rPr>
          <w:rFonts w:hint="eastAsia" w:ascii="宋体" w:hAnsi="宋体" w:cs="宋体"/>
        </w:rPr>
        <w:t>www.creditchina.gov.cn</w:t>
      </w:r>
      <w:r>
        <w:rPr>
          <w:rFonts w:ascii="宋体" w:hAnsi="宋体" w:cs="宋体"/>
        </w:rPr>
        <w:fldChar w:fldCharType="end"/>
      </w:r>
      <w:r>
        <w:rPr>
          <w:rFonts w:hint="eastAsia" w:ascii="宋体" w:hAnsi="宋体" w:cs="宋体"/>
          <w:szCs w:val="21"/>
        </w:rPr>
        <w:t>)、中国政府采购网(</w:t>
      </w:r>
      <w:r>
        <w:rPr>
          <w:rFonts w:ascii="Calibri" w:hAnsi="Calibri"/>
        </w:rPr>
        <w:fldChar w:fldCharType="begin"/>
      </w:r>
      <w:r>
        <w:rPr>
          <w:rFonts w:ascii="Calibri" w:hAnsi="Calibri"/>
        </w:rPr>
        <w:instrText xml:space="preserve"> HYPERLINK "http://www.ccgp.gov.cn" </w:instrText>
      </w:r>
      <w:r>
        <w:rPr>
          <w:rFonts w:ascii="Calibri" w:hAnsi="Calibri"/>
        </w:rPr>
        <w:fldChar w:fldCharType="separate"/>
      </w:r>
      <w:r>
        <w:rPr>
          <w:rFonts w:hint="eastAsia" w:ascii="宋体" w:hAnsi="宋体" w:cs="宋体"/>
        </w:rPr>
        <w:t>www.ccgp.gov.cn</w:t>
      </w:r>
      <w:r>
        <w:rPr>
          <w:rFonts w:ascii="宋体" w:hAnsi="宋体" w:cs="宋体"/>
        </w:rPr>
        <w:fldChar w:fldCharType="end"/>
      </w:r>
      <w:r>
        <w:rPr>
          <w:rFonts w:hint="eastAsia" w:ascii="宋体" w:hAnsi="宋体" w:cs="宋体"/>
          <w:szCs w:val="21"/>
        </w:rPr>
        <w:t>)链接入口。</w:t>
      </w:r>
    </w:p>
    <w:p w14:paraId="7A2807C2">
      <w:pPr>
        <w:snapToGrid w:val="0"/>
        <w:spacing w:line="360" w:lineRule="auto"/>
        <w:ind w:firstLine="420" w:firstLineChars="200"/>
        <w:rPr>
          <w:rFonts w:ascii="宋体" w:hAnsi="宋体" w:cs="宋体"/>
          <w:szCs w:val="21"/>
        </w:rPr>
      </w:pPr>
      <w:r>
        <w:rPr>
          <w:rFonts w:hint="eastAsia" w:ascii="宋体" w:hAnsi="宋体" w:cs="宋体"/>
          <w:szCs w:val="21"/>
        </w:rPr>
        <w:t>（2）信用查询截止时点：资格审查结束前。</w:t>
      </w:r>
    </w:p>
    <w:p w14:paraId="192AAA6A">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查询记录和证据留存方式：在查询网站中直接打印查询记录，截图另存为电子文档作为评审资料保存。</w:t>
      </w:r>
    </w:p>
    <w:p w14:paraId="2F3EA25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30DCA77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2.2资格审查标准为本磋商文件中载明对供应商资格要求的条件。资格审查采用合格制，凡符合磋商文件规定的供应商资格要求的响应文件均通过资格审查。</w:t>
      </w:r>
    </w:p>
    <w:p w14:paraId="027B051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2.3供应商有下列情形之一的，资格审查不通过，其响应文件按无效响应处理：</w:t>
      </w:r>
    </w:p>
    <w:p w14:paraId="5811005A">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）不具备磋商文件中规定的资格要求的；</w:t>
      </w:r>
    </w:p>
    <w:p w14:paraId="1A0498C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）响应文件未提供任一项“供应商须知前附表”资格证明文件规定的“必须提供”的文件资料的；</w:t>
      </w:r>
    </w:p>
    <w:p w14:paraId="239DE37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）响应文件提供的资格证明文件出现任一项不符合“供应商须知前附表”资格证明文件规定的“必须提供”的文件资料要求或者无效的。</w:t>
      </w:r>
    </w:p>
    <w:p w14:paraId="253C27ED">
      <w:pPr>
        <w:spacing w:line="360" w:lineRule="auto"/>
        <w:ind w:firstLine="420" w:firstLineChars="200"/>
        <w:rPr>
          <w:rFonts w:ascii="宋体" w:hAnsi="宋体" w:cs="宋体"/>
          <w:color w:val="auto"/>
          <w:szCs w:val="21"/>
          <w:highlight w:val="none"/>
        </w:rPr>
      </w:pPr>
      <w:bookmarkStart w:id="73" w:name="_Hlk68601553"/>
      <w:r>
        <w:rPr>
          <w:rFonts w:hint="eastAsia" w:ascii="宋体" w:hAnsi="宋体" w:cs="宋体"/>
          <w:color w:val="auto"/>
          <w:szCs w:val="21"/>
          <w:highlight w:val="none"/>
        </w:rPr>
        <w:t>（4）同一合同项下的不同供应商，单位负责人为同一人或者存在直接控股、管理关系的；为本项目提供过整体设计、规范编制或者项目管理、监理、检测等服务的。</w:t>
      </w:r>
      <w:bookmarkEnd w:id="73"/>
    </w:p>
    <w:p w14:paraId="431E497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2.4通过资格审查的合格供应商不足3家的，不得进入符合性审查环节，</w:t>
      </w:r>
      <w:r>
        <w:rPr>
          <w:rFonts w:hint="eastAsia" w:ascii="宋体" w:hAnsi="宋体"/>
          <w:color w:val="auto"/>
          <w:szCs w:val="21"/>
          <w:highlight w:val="none"/>
        </w:rPr>
        <w:t>采购人或者采购代理机构应当重新开展采购活动。</w:t>
      </w:r>
    </w:p>
    <w:p w14:paraId="6E260D15">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3.符合性审查</w:t>
      </w:r>
    </w:p>
    <w:p w14:paraId="35B7C98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.1</w:t>
      </w:r>
      <w:r>
        <w:rPr>
          <w:rFonts w:hint="eastAsia" w:ascii="宋体" w:hAnsi="宋体" w:cs="宋体"/>
          <w:color w:val="auto"/>
          <w:szCs w:val="21"/>
          <w:highlight w:val="none"/>
        </w:rPr>
        <w:t>由磋商小组对</w:t>
      </w:r>
      <w:r>
        <w:rPr>
          <w:rFonts w:hint="eastAsia" w:ascii="宋体" w:hAnsi="宋体"/>
          <w:color w:val="auto"/>
          <w:szCs w:val="21"/>
          <w:highlight w:val="none"/>
        </w:rPr>
        <w:t>通过资格审查的合格供应商</w:t>
      </w:r>
      <w:r>
        <w:rPr>
          <w:rFonts w:hint="eastAsia" w:ascii="宋体" w:hAnsi="宋体" w:cs="宋体"/>
          <w:color w:val="auto"/>
          <w:szCs w:val="21"/>
          <w:highlight w:val="none"/>
        </w:rPr>
        <w:t>的响应文件的响应报价、商务、技术等实质性要求进行符合性审查，以确定其是否满足磋商文件的实质性要求。</w:t>
      </w:r>
    </w:p>
    <w:p w14:paraId="75633B8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.2</w:t>
      </w:r>
      <w:r>
        <w:rPr>
          <w:rFonts w:hint="eastAsia" w:ascii="宋体" w:hAnsi="宋体" w:cs="宋体"/>
          <w:color w:val="auto"/>
          <w:szCs w:val="21"/>
          <w:highlight w:val="none"/>
        </w:rPr>
        <w:t>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04DF92A6">
      <w:pPr>
        <w:spacing w:line="360" w:lineRule="auto"/>
        <w:ind w:firstLine="420" w:firstLineChars="200"/>
        <w:rPr>
          <w:rFonts w:ascii="宋体" w:hAnsi="宋体" w:cs="宋体"/>
          <w:color w:val="auto"/>
          <w:spacing w:val="-6"/>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3</w:t>
      </w:r>
      <w:r>
        <w:rPr>
          <w:rFonts w:hint="eastAsia" w:ascii="宋体" w:hAnsi="宋体" w:cs="宋体"/>
          <w:color w:val="auto"/>
          <w:szCs w:val="21"/>
          <w:highlight w:val="none"/>
        </w:rPr>
        <w:t>磋商小组要求供应商澄清、说明或者更正响应文件应当以电子澄清函形式作出。供应商的澄清、说明或者更正应当已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公章</w:t>
      </w:r>
      <w:r>
        <w:rPr>
          <w:rFonts w:hint="eastAsia" w:ascii="宋体" w:hAnsi="宋体" w:cs="宋体"/>
          <w:color w:val="auto"/>
          <w:spacing w:val="-6"/>
          <w:szCs w:val="21"/>
          <w:highlight w:val="none"/>
        </w:rPr>
        <w:t>。供应商为自然人的，必须由本人签字并附身份证明。</w:t>
      </w:r>
    </w:p>
    <w:p w14:paraId="476C2717">
      <w:pPr>
        <w:spacing w:line="360" w:lineRule="auto"/>
        <w:ind w:firstLine="396" w:firstLineChars="200"/>
        <w:rPr>
          <w:rFonts w:ascii="宋体" w:hAnsi="宋体" w:cs="宋体"/>
          <w:color w:val="auto"/>
          <w:szCs w:val="21"/>
          <w:highlight w:val="none"/>
        </w:rPr>
      </w:pPr>
      <w:r>
        <w:rPr>
          <w:rFonts w:hint="eastAsia" w:ascii="宋体" w:hAnsi="宋体" w:cs="宋体"/>
          <w:color w:val="auto"/>
          <w:spacing w:val="-6"/>
          <w:szCs w:val="21"/>
          <w:highlight w:val="none"/>
        </w:rPr>
        <w:t>3</w:t>
      </w:r>
      <w:r>
        <w:rPr>
          <w:rFonts w:ascii="宋体" w:hAnsi="宋体" w:cs="宋体"/>
          <w:color w:val="auto"/>
          <w:spacing w:val="-6"/>
          <w:szCs w:val="21"/>
          <w:highlight w:val="none"/>
        </w:rPr>
        <w:t>.4</w:t>
      </w:r>
      <w:r>
        <w:rPr>
          <w:rFonts w:hint="eastAsia" w:ascii="宋体" w:hAnsi="宋体" w:cs="宋体"/>
          <w:color w:val="auto"/>
          <w:szCs w:val="21"/>
          <w:highlight w:val="none"/>
        </w:rPr>
        <w:t xml:space="preserve">首次响应文件报价出现前后不一致的，按照下列规定修正： </w:t>
      </w:r>
    </w:p>
    <w:p w14:paraId="4BFE366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（1）响应文件中报价表内容与响应文件中相应内容不一致的，以报价表为准；</w:t>
      </w:r>
    </w:p>
    <w:p w14:paraId="09FB4B9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（2）大写金额和小写金额不一致的，以大写金额为准；</w:t>
      </w:r>
    </w:p>
    <w:p w14:paraId="6C06810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（3）单价金额小数点或者百分比有明显错位的，以报价表的总价为准，并修改单价；</w:t>
      </w:r>
    </w:p>
    <w:p w14:paraId="4E4F0E4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（4）总价金额与按单价汇总金额不一致的，以单价金额计算结果为准。</w:t>
      </w:r>
    </w:p>
    <w:p w14:paraId="5DB63D3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同时出现两种以上不一致的，按照以上（1）-（4）规定的顺序逐条进行修正。修正后的报价经供应商确认后产生约束力，供应商不确认的，其响应文件按无效响应处理。</w:t>
      </w:r>
    </w:p>
    <w:p w14:paraId="1136321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5</w:t>
      </w:r>
      <w:r>
        <w:rPr>
          <w:rFonts w:hint="eastAsia" w:ascii="宋体" w:hAnsi="宋体" w:cs="宋体"/>
          <w:color w:val="auto"/>
          <w:szCs w:val="21"/>
          <w:highlight w:val="none"/>
        </w:rPr>
        <w:t>商务技术、报价评审</w:t>
      </w:r>
    </w:p>
    <w:p w14:paraId="5E18C0B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在评审时，如发现下列情形之一的，将被视为响应文件无效处理：</w:t>
      </w:r>
    </w:p>
    <w:p w14:paraId="67F183D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（1）商务技术评审</w:t>
      </w:r>
    </w:p>
    <w:p w14:paraId="393A15D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1）响应文件未按磋商文件要求签署、盖章；</w:t>
      </w:r>
    </w:p>
    <w:p w14:paraId="0F738E5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2）委托代理人未能出具有效身份证明或者出具的身份证明与授权委托书中的信息不符； </w:t>
      </w:r>
    </w:p>
    <w:p w14:paraId="52C783B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3）响应文件未提供任一项“供应商须知前附表” 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5C27CDD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4）商务条款中标“▲”的条款发生负偏离的或者允许负偏离的条款数超过“供应商须知前附表”规定项数的或者标明实质性的要求发生负偏离；</w:t>
      </w:r>
    </w:p>
    <w:p w14:paraId="537499F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5）未对竞标有效期作出响应或者响应文件承诺的竞标有效期不满足磋商文件要求；</w:t>
      </w:r>
    </w:p>
    <w:p w14:paraId="1D78EDC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6）响应文件的实质性内容未使用中文表述、使用计量单位不符合磋商文件要求；</w:t>
      </w:r>
    </w:p>
    <w:p w14:paraId="162302B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7）响应文件中的文件资料因填写不齐全或者内容虚假或者出现其他情形而导致被磋商小组认定无效；</w:t>
      </w:r>
    </w:p>
    <w:p w14:paraId="5230150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8）响应文件含有采购人不能接受的附加条件；</w:t>
      </w:r>
    </w:p>
    <w:p w14:paraId="4489B17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9）属于“供应商须知正文”第7.</w:t>
      </w:r>
      <w:r>
        <w:rPr>
          <w:rFonts w:ascii="宋体" w:hAnsi="宋体" w:cs="宋体"/>
          <w:color w:val="auto"/>
          <w:szCs w:val="21"/>
          <w:highlight w:val="none"/>
        </w:rPr>
        <w:t>5</w:t>
      </w:r>
      <w:r>
        <w:rPr>
          <w:rFonts w:hint="eastAsia" w:ascii="宋体" w:hAnsi="宋体" w:cs="宋体"/>
          <w:color w:val="auto"/>
          <w:szCs w:val="21"/>
          <w:highlight w:val="none"/>
        </w:rPr>
        <w:t>条情形；</w:t>
      </w:r>
    </w:p>
    <w:p w14:paraId="4B2EB99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10）技术需求允许负偏离的条款数超过“供应商须知前附表”规定项数；</w:t>
      </w:r>
    </w:p>
    <w:p w14:paraId="430922E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11）虚假竞标，或者出现其他情形而导致被磋商小组认定无效；</w:t>
      </w:r>
    </w:p>
    <w:p w14:paraId="5B849A6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12）竞标技术方案不明确，磋商文件未允许</w:t>
      </w:r>
      <w:r>
        <w:rPr>
          <w:rFonts w:hint="eastAsia" w:ascii="宋体" w:hAnsi="宋体"/>
          <w:color w:val="auto"/>
          <w:szCs w:val="21"/>
          <w:highlight w:val="none"/>
        </w:rPr>
        <w:t>但响应文件中</w:t>
      </w:r>
      <w:r>
        <w:rPr>
          <w:rFonts w:hint="eastAsia" w:ascii="宋体" w:hAnsi="宋体" w:cs="宋体"/>
          <w:color w:val="auto"/>
          <w:szCs w:val="21"/>
          <w:highlight w:val="none"/>
        </w:rPr>
        <w:t>存在一个或者一个以上备选（替代）竞标方案；</w:t>
      </w:r>
    </w:p>
    <w:p w14:paraId="75C766D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13）响应文件标注的项目名称或者项目编号与竞争性磋商文件标注的项目名称或者项目编号不一致的；</w:t>
      </w:r>
    </w:p>
    <w:p w14:paraId="000B356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14）未响应磋商文件实质性要求；</w:t>
      </w:r>
    </w:p>
    <w:p w14:paraId="3D7F3A0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15）法律、法规和磋商文件规定的其他无效情形。</w:t>
      </w:r>
    </w:p>
    <w:p w14:paraId="4E4D8B3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）报价评审</w:t>
      </w:r>
    </w:p>
    <w:p w14:paraId="65622DA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1)响应文件未提供“供应商须知前附表” 报价文件中规定的“响应报价表”；</w:t>
      </w:r>
    </w:p>
    <w:p w14:paraId="1A66884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2）未采用人民币报价或者未按照磋商文件标明的币种报价；</w:t>
      </w:r>
    </w:p>
    <w:p w14:paraId="249B896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供应商未就所竞标分标进行报价或者存在漏项报价；供应商未就所竞标分标的单项内容作唯一报价；供应商未就所竞标分标的全部内容作唯一总价报价；供应商响应文件中存在有选择、有条件报价的（磋商文件允许有备选方案或者其他约定的除外）；</w:t>
      </w:r>
    </w:p>
    <w:p w14:paraId="1850675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响应报价（包含首次报价、最后报价）超过所竞标分标规定的采购预算金额或者最高限价的（如本项目公布了最高限价）；响应报价（包含首次报价、最后报价）超过磋商文件分项采购预算金额或者最高限价的（如本项目公布了最高限价）；</w:t>
      </w:r>
    </w:p>
    <w:p w14:paraId="2A42191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修正后的报价，供应商不确认的；或者经供应商确认修正后的响应报价（包含首次报价、最后报价）超过所竞标分标规定的采购预算金额或者最高限价（如本项目公布了最高限价）；或者经供应商确认修正后响应报价（包含首次报价、最后报价）超过磋商文件分项采购预算金额或者最高限价的（如本项目公布了最高限价）。</w:t>
      </w:r>
    </w:p>
    <w:p w14:paraId="3F85F9F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w:t>
      </w:r>
      <w:r>
        <w:rPr>
          <w:rFonts w:hint="eastAsia" w:ascii="宋体" w:hAnsi="宋体"/>
          <w:color w:val="auto"/>
          <w:szCs w:val="21"/>
          <w:highlight w:val="none"/>
        </w:rPr>
        <w:t>响应文件响应的标的数量及单位与竞争性磋商采购文件要求实质性不一致的。</w:t>
      </w:r>
    </w:p>
    <w:p w14:paraId="12CC290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.6</w:t>
      </w:r>
      <w:r>
        <w:rPr>
          <w:rFonts w:hint="eastAsia" w:ascii="宋体" w:hAnsi="宋体" w:cs="宋体"/>
          <w:color w:val="auto"/>
          <w:szCs w:val="21"/>
          <w:highlight w:val="none"/>
        </w:rPr>
        <w:t>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74831B2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.7</w:t>
      </w:r>
      <w:r>
        <w:rPr>
          <w:rFonts w:hint="eastAsia" w:ascii="宋体" w:hAnsi="宋体" w:cs="宋体"/>
          <w:color w:val="auto"/>
          <w:szCs w:val="21"/>
          <w:highlight w:val="none"/>
        </w:rPr>
        <w:t>非</w:t>
      </w:r>
      <w:r>
        <w:rPr>
          <w:rFonts w:hint="eastAsia" w:ascii="宋体" w:hAnsi="宋体"/>
          <w:color w:val="auto"/>
          <w:szCs w:val="21"/>
          <w:highlight w:val="none"/>
        </w:rPr>
        <w:t>政府购买服务项目，通过符合性审查的合格供应商不足3家的，不得进入磋商环节，采购人或者采购代理机构应当重新开展采购活动。政府购买服务项目，按《财政部关于政府采购竞争性磋商采购方式管理暂行办法有关问题的补充通知》（财库〔2015〕124号）规定，采购过程中通过符合性审查的供应商（社会资本）只有2家的，磋商采购活动可以继续进行。</w:t>
      </w:r>
    </w:p>
    <w:p w14:paraId="730841CF">
      <w:pPr>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4.磋商程序</w:t>
      </w:r>
    </w:p>
    <w:p w14:paraId="31F916CA">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4</w:t>
      </w:r>
      <w:r>
        <w:rPr>
          <w:rFonts w:ascii="宋体" w:hAnsi="宋体" w:cs="宋体"/>
          <w:color w:val="auto"/>
          <w:kern w:val="0"/>
          <w:szCs w:val="21"/>
          <w:highlight w:val="none"/>
        </w:rPr>
        <w:t>.1</w:t>
      </w:r>
      <w:r>
        <w:rPr>
          <w:rFonts w:hint="eastAsia" w:ascii="宋体" w:hAnsi="宋体" w:cs="宋体"/>
          <w:color w:val="auto"/>
          <w:kern w:val="0"/>
          <w:szCs w:val="21"/>
          <w:highlight w:val="none"/>
        </w:rPr>
        <w:t>磋商小组按照“供应商须知前附表”确定的</w:t>
      </w:r>
      <w:r>
        <w:rPr>
          <w:rFonts w:hint="eastAsia" w:ascii="宋体" w:hAnsi="宋体" w:cs="宋体"/>
          <w:color w:val="auto"/>
          <w:szCs w:val="21"/>
          <w:highlight w:val="none"/>
        </w:rPr>
        <w:t>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61040DF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.2</w:t>
      </w:r>
      <w:r>
        <w:rPr>
          <w:rFonts w:hint="eastAsia" w:ascii="宋体" w:hAnsi="宋体" w:cs="宋体"/>
          <w:color w:val="auto"/>
          <w:szCs w:val="21"/>
          <w:highlight w:val="none"/>
        </w:rPr>
        <w:t>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1BBC73F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.3</w:t>
      </w:r>
      <w:r>
        <w:rPr>
          <w:rFonts w:hint="eastAsia" w:ascii="宋体" w:hAnsi="宋体" w:cs="宋体"/>
          <w:color w:val="auto"/>
          <w:szCs w:val="21"/>
          <w:highlight w:val="none"/>
        </w:rPr>
        <w:t>对磋商文件作出的实质性变动是磋商文件的有效组成部分，由磋商小组及时以电子澄清函形式同时通知所有参加磋商的供应商。</w:t>
      </w:r>
    </w:p>
    <w:p w14:paraId="2E5BB99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.4</w:t>
      </w:r>
      <w:r>
        <w:rPr>
          <w:rFonts w:hint="eastAsia" w:ascii="宋体" w:hAnsi="宋体" w:cs="宋体"/>
          <w:color w:val="auto"/>
          <w:szCs w:val="21"/>
          <w:highlight w:val="none"/>
        </w:rPr>
        <w:t>供应商必须按照磋商文件的变动情况和磋商小组的要求以回函的形式重新提交响应文件，并加盖电子公章。供应商为自然人的，必须由本人签字并附身份证明。参加磋商的供应商未在规定时间内重新提交响应文件的，视同退出磋商。</w:t>
      </w:r>
    </w:p>
    <w:p w14:paraId="13D7900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.5</w:t>
      </w:r>
      <w:r>
        <w:rPr>
          <w:rFonts w:hint="eastAsia" w:ascii="宋体" w:hAnsi="宋体" w:cs="宋体"/>
          <w:color w:val="auto"/>
          <w:szCs w:val="21"/>
          <w:highlight w:val="none"/>
        </w:rPr>
        <w:t>磋商中，</w:t>
      </w:r>
      <w:r>
        <w:rPr>
          <w:rFonts w:hint="eastAsia" w:ascii="宋体" w:hAnsi="宋体" w:cs="宋体"/>
          <w:color w:val="auto"/>
          <w:spacing w:val="-6"/>
          <w:szCs w:val="21"/>
          <w:highlight w:val="none"/>
        </w:rPr>
        <w:t>磋商的任何一方不得透露与磋商有关的其他供应商的技术资料、价格和其他信息。</w:t>
      </w:r>
    </w:p>
    <w:p w14:paraId="2099C5E2">
      <w:pPr>
        <w:widowControl/>
        <w:tabs>
          <w:tab w:val="left" w:pos="540"/>
        </w:tabs>
        <w:spacing w:line="360" w:lineRule="auto"/>
        <w:ind w:firstLine="420" w:firstLineChars="200"/>
        <w:jc w:val="left"/>
        <w:rPr>
          <w:rFonts w:ascii="仿宋" w:hAnsi="仿宋" w:eastAsia="仿宋" w:cs="仿宋_GB2312"/>
          <w:b/>
          <w:color w:val="auto"/>
          <w:highlight w:val="none"/>
        </w:rPr>
      </w:pPr>
      <w:r>
        <w:rPr>
          <w:rFonts w:hint="eastAsia" w:ascii="宋体" w:hAnsi="宋体" w:cs="宋体"/>
          <w:color w:val="auto"/>
          <w:szCs w:val="21"/>
          <w:highlight w:val="none"/>
        </w:rPr>
        <w:t>4</w:t>
      </w:r>
      <w:r>
        <w:rPr>
          <w:rFonts w:ascii="宋体" w:hAnsi="宋体" w:cs="宋体"/>
          <w:color w:val="auto"/>
          <w:szCs w:val="21"/>
          <w:highlight w:val="none"/>
        </w:rPr>
        <w:t>.6</w:t>
      </w:r>
      <w:r>
        <w:rPr>
          <w:rFonts w:hint="eastAsia" w:ascii="宋体" w:hAnsi="宋体" w:cs="宋体"/>
          <w:color w:val="auto"/>
          <w:szCs w:val="21"/>
          <w:highlight w:val="none"/>
        </w:rPr>
        <w:t>磋商小组应对磋商过程和重要磋商内容进行记录，作为评标报告一部分，磋商小组在记录上签字确认。</w:t>
      </w:r>
      <w:r>
        <w:rPr>
          <w:rFonts w:hint="eastAsia" w:ascii="仿宋" w:hAnsi="仿宋" w:eastAsia="仿宋" w:cs="仿宋_GB2312"/>
          <w:b/>
          <w:color w:val="auto"/>
          <w:highlight w:val="none"/>
        </w:rPr>
        <w:t>主要内容包括：</w:t>
      </w:r>
    </w:p>
    <w:p w14:paraId="100350CA">
      <w:pPr>
        <w:adjustRightInd w:val="0"/>
        <w:spacing w:line="360" w:lineRule="auto"/>
        <w:ind w:firstLine="396" w:firstLineChars="200"/>
        <w:rPr>
          <w:rFonts w:ascii="宋体" w:hAnsi="宋体" w:cs="宋体"/>
          <w:color w:val="auto"/>
          <w:spacing w:val="-6"/>
          <w:szCs w:val="21"/>
          <w:highlight w:val="none"/>
        </w:rPr>
      </w:pPr>
      <w:r>
        <w:rPr>
          <w:rFonts w:hint="eastAsia" w:ascii="宋体" w:hAnsi="宋体" w:cs="宋体"/>
          <w:color w:val="auto"/>
          <w:spacing w:val="-6"/>
          <w:szCs w:val="21"/>
          <w:highlight w:val="none"/>
        </w:rPr>
        <w:t>（1）按照相关规定进行公示的，公示情况说明；</w:t>
      </w:r>
    </w:p>
    <w:p w14:paraId="356E0618">
      <w:pPr>
        <w:adjustRightInd w:val="0"/>
        <w:spacing w:line="360" w:lineRule="auto"/>
        <w:ind w:firstLine="396" w:firstLineChars="200"/>
        <w:rPr>
          <w:rFonts w:ascii="宋体" w:hAnsi="宋体" w:cs="宋体"/>
          <w:color w:val="auto"/>
          <w:spacing w:val="-6"/>
          <w:szCs w:val="21"/>
          <w:highlight w:val="none"/>
        </w:rPr>
      </w:pPr>
      <w:r>
        <w:rPr>
          <w:rFonts w:hint="eastAsia" w:ascii="宋体" w:hAnsi="宋体" w:cs="宋体"/>
          <w:color w:val="auto"/>
          <w:spacing w:val="-6"/>
          <w:szCs w:val="21"/>
          <w:highlight w:val="none"/>
        </w:rPr>
        <w:t>（2）磋商日期和地点，磋商人员名单；</w:t>
      </w:r>
    </w:p>
    <w:p w14:paraId="094A0CAB">
      <w:pPr>
        <w:adjustRightInd w:val="0"/>
        <w:spacing w:line="360" w:lineRule="auto"/>
        <w:ind w:firstLine="396" w:firstLineChars="200"/>
        <w:rPr>
          <w:rFonts w:ascii="宋体" w:hAnsi="宋体" w:cs="宋体"/>
          <w:color w:val="auto"/>
          <w:spacing w:val="-6"/>
          <w:szCs w:val="21"/>
          <w:highlight w:val="none"/>
        </w:rPr>
      </w:pPr>
      <w:r>
        <w:rPr>
          <w:rFonts w:hint="eastAsia" w:ascii="宋体" w:hAnsi="宋体" w:cs="宋体"/>
          <w:color w:val="auto"/>
          <w:spacing w:val="-6"/>
          <w:szCs w:val="21"/>
          <w:highlight w:val="none"/>
        </w:rPr>
        <w:t>（3）合同主要条款及价格商定情况。</w:t>
      </w:r>
    </w:p>
    <w:p w14:paraId="3AD29634">
      <w:pPr>
        <w:widowControl/>
        <w:tabs>
          <w:tab w:val="left" w:pos="540"/>
        </w:tabs>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7</w:t>
      </w:r>
      <w:r>
        <w:rPr>
          <w:rFonts w:hint="eastAsia" w:ascii="宋体" w:hAnsi="宋体" w:cs="宋体"/>
          <w:color w:val="auto"/>
          <w:szCs w:val="21"/>
          <w:highlight w:val="none"/>
        </w:rPr>
        <w:t>磋商过程中重新提交的响应文件，供应商可以在开启前补充、修改。</w:t>
      </w:r>
    </w:p>
    <w:p w14:paraId="066469B3">
      <w:pPr>
        <w:tabs>
          <w:tab w:val="left" w:pos="2835"/>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.8</w:t>
      </w:r>
      <w:r>
        <w:rPr>
          <w:rFonts w:hint="eastAsia" w:ascii="宋体" w:hAnsi="宋体"/>
          <w:color w:val="auto"/>
          <w:szCs w:val="21"/>
          <w:highlight w:val="none"/>
        </w:rPr>
        <w:t>对磋商过程提交的响应文件进行有效性、完整性和响应程度审查，通过审查的合格供应商不足3家的，采购人或者采购代理机构应当重新开展采购活动。</w:t>
      </w:r>
    </w:p>
    <w:p w14:paraId="5D73E6E0">
      <w:pPr>
        <w:ind w:firstLine="200"/>
        <w:rPr>
          <w:rFonts w:ascii="宋体" w:hAnsi="宋体" w:cs="宋体"/>
          <w:color w:val="auto"/>
          <w:szCs w:val="21"/>
          <w:highlight w:val="none"/>
        </w:rPr>
      </w:pPr>
      <w:r>
        <w:rPr>
          <w:rFonts w:hint="eastAsia" w:ascii="黑体" w:hAnsi="黑体" w:eastAsia="黑体" w:cs="宋体"/>
          <w:b/>
          <w:bCs/>
          <w:color w:val="auto"/>
          <w:sz w:val="24"/>
          <w:highlight w:val="none"/>
        </w:rPr>
        <w:t>5</w:t>
      </w:r>
      <w:r>
        <w:rPr>
          <w:rFonts w:ascii="黑体" w:hAnsi="黑体" w:eastAsia="黑体" w:cs="宋体"/>
          <w:b/>
          <w:bCs/>
          <w:color w:val="auto"/>
          <w:sz w:val="24"/>
          <w:highlight w:val="none"/>
        </w:rPr>
        <w:t>.</w:t>
      </w:r>
      <w:r>
        <w:rPr>
          <w:rFonts w:hint="eastAsia" w:ascii="黑体" w:hAnsi="黑体" w:eastAsia="黑体" w:cs="宋体"/>
          <w:b/>
          <w:bCs/>
          <w:color w:val="auto"/>
          <w:sz w:val="24"/>
          <w:highlight w:val="none"/>
        </w:rPr>
        <w:t xml:space="preserve"> 最后报价</w:t>
      </w:r>
    </w:p>
    <w:p w14:paraId="4A8F4F9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w:t>
      </w:r>
      <w:r>
        <w:rPr>
          <w:rFonts w:ascii="宋体" w:hAnsi="宋体" w:cs="宋体"/>
          <w:color w:val="auto"/>
          <w:szCs w:val="21"/>
          <w:highlight w:val="none"/>
        </w:rPr>
        <w:t>.1</w:t>
      </w:r>
      <w:r>
        <w:rPr>
          <w:rFonts w:hint="eastAsia" w:ascii="宋体" w:hAnsi="宋体" w:cs="宋体"/>
          <w:color w:val="auto"/>
          <w:szCs w:val="21"/>
          <w:highlight w:val="none"/>
        </w:rPr>
        <w:t>磋商文件能够详细列明采购标的的技术、服务要求的，磋商结束后，由磋商小组要求所有继续参加磋商的供应商在规定时间内密封提交最后报价，除本章第5</w:t>
      </w:r>
      <w:r>
        <w:rPr>
          <w:rFonts w:ascii="宋体" w:hAnsi="宋体" w:cs="宋体"/>
          <w:color w:val="auto"/>
          <w:szCs w:val="21"/>
          <w:highlight w:val="none"/>
        </w:rPr>
        <w:t>.3</w:t>
      </w:r>
      <w:r>
        <w:rPr>
          <w:rFonts w:hint="eastAsia" w:ascii="宋体" w:hAnsi="宋体" w:cs="宋体"/>
          <w:color w:val="auto"/>
          <w:szCs w:val="21"/>
          <w:highlight w:val="none"/>
        </w:rPr>
        <w:t>条外，提交最后报价的供应商不得少于3家，否则必须重新采购。</w:t>
      </w:r>
    </w:p>
    <w:p w14:paraId="66D3A73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w:t>
      </w:r>
      <w:r>
        <w:rPr>
          <w:rFonts w:ascii="宋体" w:hAnsi="宋体" w:cs="宋体"/>
          <w:color w:val="auto"/>
          <w:szCs w:val="21"/>
          <w:highlight w:val="none"/>
        </w:rPr>
        <w:t>.2</w:t>
      </w:r>
      <w:r>
        <w:rPr>
          <w:rFonts w:hint="eastAsia" w:ascii="宋体" w:hAnsi="宋体" w:cs="宋体"/>
          <w:color w:val="auto"/>
          <w:szCs w:val="21"/>
          <w:highlight w:val="none"/>
        </w:rPr>
        <w:t>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密封提交最后报价。</w:t>
      </w:r>
    </w:p>
    <w:p w14:paraId="73C8A06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w:t>
      </w:r>
      <w:r>
        <w:rPr>
          <w:rFonts w:ascii="宋体" w:hAnsi="宋体" w:cs="宋体"/>
          <w:color w:val="auto"/>
          <w:szCs w:val="21"/>
          <w:highlight w:val="none"/>
        </w:rPr>
        <w:t>.3</w:t>
      </w:r>
      <w:r>
        <w:rPr>
          <w:rFonts w:hint="eastAsia" w:ascii="宋体" w:hAnsi="宋体" w:cs="宋体"/>
          <w:color w:val="auto"/>
          <w:szCs w:val="21"/>
          <w:highlight w:val="none"/>
        </w:rPr>
        <w:t xml:space="preserve"> 最后报价是供应商响应文件的有效组成部分。符合《政府采购竞争性磋商采购方式管理暂行办法》（财库〔2014〕214号）第三条第四项“市场竞争不充分的科研项目，以及需要扶持的科技成果转化项目”的，提交最后报价的供应商可以为2家。</w:t>
      </w:r>
    </w:p>
    <w:p w14:paraId="7192310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w:t>
      </w:r>
      <w:r>
        <w:rPr>
          <w:rFonts w:ascii="宋体" w:hAnsi="宋体" w:cs="宋体"/>
          <w:color w:val="auto"/>
          <w:szCs w:val="21"/>
          <w:highlight w:val="none"/>
        </w:rPr>
        <w:t>.4</w:t>
      </w:r>
      <w:r>
        <w:rPr>
          <w:rFonts w:hint="eastAsia" w:ascii="宋体" w:hAnsi="宋体" w:cs="宋体"/>
          <w:color w:val="auto"/>
          <w:szCs w:val="21"/>
          <w:highlight w:val="none"/>
        </w:rPr>
        <w:t>已经提交响应文件的供应商，在提交最后报价之前，可以根据磋商情况退出磋商，退出磋商的供应商的响应文件按无效响应处理。</w:t>
      </w:r>
    </w:p>
    <w:p w14:paraId="47C8137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w:t>
      </w:r>
      <w:r>
        <w:rPr>
          <w:rFonts w:ascii="宋体" w:hAnsi="宋体" w:cs="宋体"/>
          <w:color w:val="auto"/>
          <w:szCs w:val="21"/>
          <w:highlight w:val="none"/>
        </w:rPr>
        <w:t>.5</w:t>
      </w:r>
      <w:r>
        <w:rPr>
          <w:rFonts w:hint="eastAsia" w:ascii="宋体" w:hAnsi="宋体" w:cs="宋体"/>
          <w:color w:val="auto"/>
          <w:szCs w:val="21"/>
          <w:highlight w:val="none"/>
        </w:rPr>
        <w:t>供应商未在规定时间内提交最后报价的，视同退出磋商。</w:t>
      </w:r>
    </w:p>
    <w:p w14:paraId="4E5C26C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w:t>
      </w:r>
      <w:r>
        <w:rPr>
          <w:rFonts w:ascii="宋体" w:hAnsi="宋体" w:cs="宋体"/>
          <w:color w:val="auto"/>
          <w:szCs w:val="21"/>
          <w:highlight w:val="none"/>
        </w:rPr>
        <w:t>.6</w:t>
      </w:r>
      <w:r>
        <w:rPr>
          <w:rFonts w:hint="eastAsia" w:ascii="宋体" w:hAnsi="宋体" w:cs="宋体"/>
          <w:color w:val="auto"/>
          <w:szCs w:val="21"/>
          <w:highlight w:val="none"/>
        </w:rPr>
        <w:t>磋商小组收齐某一分标最后报价后统一开启，磋商小组对最后报价进行有效性、完整性和响应程度的审查。</w:t>
      </w:r>
    </w:p>
    <w:p w14:paraId="3C4D948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w:t>
      </w:r>
      <w:r>
        <w:rPr>
          <w:rFonts w:ascii="宋体" w:hAnsi="宋体" w:cs="宋体"/>
          <w:color w:val="auto"/>
          <w:szCs w:val="21"/>
          <w:highlight w:val="none"/>
        </w:rPr>
        <w:t>.7</w:t>
      </w:r>
      <w:r>
        <w:rPr>
          <w:rFonts w:hint="eastAsia" w:ascii="宋体" w:hAnsi="宋体" w:cs="宋体"/>
          <w:color w:val="auto"/>
          <w:szCs w:val="21"/>
          <w:highlight w:val="none"/>
        </w:rPr>
        <w:t>最终响应文件的报价出现前后不一致的，按照本章第3</w:t>
      </w:r>
      <w:r>
        <w:rPr>
          <w:rFonts w:ascii="宋体" w:hAnsi="宋体" w:cs="宋体"/>
          <w:color w:val="auto"/>
          <w:szCs w:val="21"/>
          <w:highlight w:val="none"/>
        </w:rPr>
        <w:t>.4</w:t>
      </w:r>
      <w:r>
        <w:rPr>
          <w:rFonts w:hint="eastAsia" w:ascii="宋体" w:hAnsi="宋体" w:cs="宋体"/>
          <w:color w:val="auto"/>
          <w:szCs w:val="21"/>
          <w:highlight w:val="none"/>
        </w:rPr>
        <w:t xml:space="preserve">条的规定修正。 </w:t>
      </w:r>
    </w:p>
    <w:p w14:paraId="62848EF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w:t>
      </w:r>
      <w:r>
        <w:rPr>
          <w:rFonts w:ascii="宋体" w:hAnsi="宋体" w:cs="宋体"/>
          <w:color w:val="auto"/>
          <w:szCs w:val="21"/>
          <w:highlight w:val="none"/>
        </w:rPr>
        <w:t>.8</w:t>
      </w:r>
      <w:r>
        <w:rPr>
          <w:rFonts w:hint="eastAsia" w:ascii="宋体" w:hAnsi="宋体" w:cs="宋体"/>
          <w:color w:val="auto"/>
          <w:szCs w:val="21"/>
          <w:highlight w:val="none"/>
        </w:rPr>
        <w:t>修正后的最终报价出现下列情形的，按无效响应处理：</w:t>
      </w:r>
    </w:p>
    <w:p w14:paraId="427F9D7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（1）供应商不确认的（全流程电子化评标采取在线确认）；</w:t>
      </w:r>
    </w:p>
    <w:p w14:paraId="66EC2A1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（2）经供应商确认修正后的响应报价（包含首次报价、最后报价）超过所竞标分标规定的采购预算金额或者最高限价的（如本项目公布了最高限价）；</w:t>
      </w:r>
    </w:p>
    <w:p w14:paraId="41F5BDB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（3）经供应商确认修正后的响应报价（包含首次报价、最后报价）超过分项采购预算金额或者最高限价的（如本项目公布了最高限价）。</w:t>
      </w:r>
    </w:p>
    <w:p w14:paraId="6A99FA0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w:t>
      </w:r>
      <w:r>
        <w:rPr>
          <w:rFonts w:ascii="宋体" w:hAnsi="宋体" w:cs="宋体"/>
          <w:color w:val="auto"/>
          <w:szCs w:val="21"/>
          <w:highlight w:val="none"/>
        </w:rPr>
        <w:t>.9</w:t>
      </w:r>
      <w:r>
        <w:rPr>
          <w:rFonts w:hint="eastAsia" w:ascii="宋体" w:hAnsi="宋体" w:cs="宋体"/>
          <w:color w:val="auto"/>
          <w:szCs w:val="21"/>
          <w:highlight w:val="none"/>
        </w:rPr>
        <w:t>经供应商确认修正后的最后报价作为评审及签订合同的依据。</w:t>
      </w:r>
    </w:p>
    <w:p w14:paraId="3AB6137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5.10供应商出现最后报价按无效响应处理或者响应文件按无效处理时</w:t>
      </w:r>
      <w:r>
        <w:rPr>
          <w:rFonts w:hint="eastAsia" w:ascii="宋体" w:hAnsi="宋体"/>
          <w:color w:val="auto"/>
          <w:sz w:val="22"/>
          <w:szCs w:val="22"/>
          <w:highlight w:val="none"/>
        </w:rPr>
        <w:t>，磋商小组应当告知有关供应商</w:t>
      </w:r>
      <w:r>
        <w:rPr>
          <w:rFonts w:hint="eastAsia" w:ascii="宋体" w:hAnsi="宋体" w:cs="宋体"/>
          <w:color w:val="auto"/>
          <w:szCs w:val="21"/>
          <w:highlight w:val="none"/>
        </w:rPr>
        <w:t>。</w:t>
      </w:r>
    </w:p>
    <w:p w14:paraId="072B5EC8">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5.1</w:t>
      </w:r>
      <w:r>
        <w:rPr>
          <w:rFonts w:hint="eastAsia" w:ascii="宋体" w:hAnsi="宋体" w:cs="宋体"/>
          <w:color w:val="auto"/>
          <w:szCs w:val="21"/>
          <w:highlight w:val="none"/>
        </w:rPr>
        <w:t>1最后报价结束后，磋商小组不得再与供应商进行任何形式的商谈。</w:t>
      </w:r>
    </w:p>
    <w:p w14:paraId="7537B14C">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val="en-US" w:eastAsia="zh-CN"/>
        </w:rPr>
        <w:t>5</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en-US" w:eastAsia="zh-CN"/>
        </w:rPr>
        <w:t>1</w:t>
      </w:r>
      <w:r>
        <w:rPr>
          <w:rFonts w:hint="eastAsia" w:ascii="宋体" w:hAnsi="宋体" w:eastAsia="宋体" w:cs="宋体"/>
          <w:b/>
          <w:bCs/>
          <w:color w:val="auto"/>
          <w:szCs w:val="21"/>
          <w:highlight w:val="none"/>
        </w:rPr>
        <w:t>2 异常低价响应审查</w:t>
      </w:r>
    </w:p>
    <w:p w14:paraId="195FCF48">
      <w:pPr>
        <w:spacing w:line="360" w:lineRule="auto"/>
        <w:ind w:firstLine="420" w:firstLineChars="200"/>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（1）</w:t>
      </w:r>
      <w:r>
        <w:rPr>
          <w:rFonts w:hint="eastAsia" w:ascii="宋体" w:hAnsi="宋体" w:eastAsia="宋体" w:cs="宋体"/>
          <w:b w:val="0"/>
          <w:bCs w:val="0"/>
          <w:color w:val="auto"/>
          <w:szCs w:val="21"/>
          <w:highlight w:val="none"/>
          <w:lang w:val="en-US" w:eastAsia="zh-CN"/>
        </w:rPr>
        <w:t>磋商</w:t>
      </w:r>
      <w:r>
        <w:rPr>
          <w:rFonts w:hint="eastAsia" w:ascii="宋体" w:hAnsi="宋体" w:eastAsia="宋体" w:cs="宋体"/>
          <w:b w:val="0"/>
          <w:bCs w:val="0"/>
          <w:color w:val="auto"/>
          <w:szCs w:val="21"/>
          <w:highlight w:val="none"/>
        </w:rPr>
        <w:t>小组在评审中发现下列情形之一的，应当启动异常低价响应审查程序：</w:t>
      </w:r>
    </w:p>
    <w:p w14:paraId="2E9202B1">
      <w:pPr>
        <w:spacing w:line="360" w:lineRule="auto"/>
        <w:ind w:firstLine="420" w:firstLineChars="200"/>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①响应报价低于全部通过符合性审查供应商响应报价平均值</w:t>
      </w:r>
      <w:r>
        <w:rPr>
          <w:rFonts w:hint="eastAsia" w:ascii="宋体" w:hAnsi="宋体" w:eastAsia="宋体" w:cs="宋体"/>
          <w:b w:val="0"/>
          <w:bCs w:val="0"/>
          <w:color w:val="auto"/>
          <w:szCs w:val="21"/>
          <w:highlight w:val="none"/>
          <w:u w:val="single"/>
          <w:lang w:val="en-US" w:eastAsia="zh-CN"/>
        </w:rPr>
        <w:t>50</w:t>
      </w:r>
      <w:r>
        <w:rPr>
          <w:rFonts w:hint="eastAsia" w:ascii="宋体" w:hAnsi="宋体" w:eastAsia="宋体" w:cs="宋体"/>
          <w:b w:val="0"/>
          <w:bCs w:val="0"/>
          <w:color w:val="auto"/>
          <w:szCs w:val="21"/>
          <w:highlight w:val="none"/>
          <w:u w:val="none"/>
        </w:rPr>
        <w:t>%</w:t>
      </w:r>
      <w:r>
        <w:rPr>
          <w:rFonts w:hint="eastAsia" w:ascii="宋体" w:hAnsi="宋体" w:eastAsia="宋体" w:cs="宋体"/>
          <w:b w:val="0"/>
          <w:bCs w:val="0"/>
          <w:color w:val="auto"/>
          <w:szCs w:val="21"/>
          <w:highlight w:val="none"/>
        </w:rPr>
        <w:t>的，即响应报价＜全部通过符合性审查供应商响应报价平均值×</w:t>
      </w:r>
      <w:r>
        <w:rPr>
          <w:rFonts w:hint="eastAsia" w:ascii="宋体" w:hAnsi="宋体" w:eastAsia="宋体" w:cs="宋体"/>
          <w:b w:val="0"/>
          <w:bCs w:val="0"/>
          <w:color w:val="auto"/>
          <w:szCs w:val="21"/>
          <w:highlight w:val="none"/>
          <w:u w:val="single"/>
          <w:lang w:val="en-US" w:eastAsia="zh-CN"/>
        </w:rPr>
        <w:t>50</w:t>
      </w:r>
      <w:r>
        <w:rPr>
          <w:rFonts w:hint="eastAsia" w:ascii="宋体" w:hAnsi="宋体" w:eastAsia="宋体" w:cs="宋体"/>
          <w:b w:val="0"/>
          <w:bCs w:val="0"/>
          <w:color w:val="auto"/>
          <w:szCs w:val="21"/>
          <w:highlight w:val="none"/>
        </w:rPr>
        <w:t>%；</w:t>
      </w:r>
    </w:p>
    <w:p w14:paraId="4D80FE99">
      <w:pPr>
        <w:spacing w:line="360" w:lineRule="auto"/>
        <w:ind w:firstLine="420" w:firstLineChars="200"/>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②响应报价低于通过符合性审查的次低报价供应商响应报价</w:t>
      </w:r>
      <w:r>
        <w:rPr>
          <w:rFonts w:hint="eastAsia" w:ascii="宋体" w:hAnsi="宋体" w:eastAsia="宋体" w:cs="宋体"/>
          <w:b w:val="0"/>
          <w:bCs w:val="0"/>
          <w:color w:val="auto"/>
          <w:szCs w:val="21"/>
          <w:highlight w:val="none"/>
          <w:u w:val="single"/>
          <w:lang w:val="en-US" w:eastAsia="zh-CN"/>
        </w:rPr>
        <w:t>50</w:t>
      </w:r>
      <w:r>
        <w:rPr>
          <w:rFonts w:hint="eastAsia" w:ascii="宋体" w:hAnsi="宋体" w:eastAsia="宋体" w:cs="宋体"/>
          <w:b w:val="0"/>
          <w:bCs w:val="0"/>
          <w:color w:val="auto"/>
          <w:szCs w:val="21"/>
          <w:highlight w:val="none"/>
        </w:rPr>
        <w:t>%的，即响应报价＜通过符合性审查的次低报价供应商响应报价×</w:t>
      </w:r>
      <w:r>
        <w:rPr>
          <w:rFonts w:hint="eastAsia" w:ascii="宋体" w:hAnsi="宋体" w:eastAsia="宋体" w:cs="宋体"/>
          <w:b w:val="0"/>
          <w:bCs w:val="0"/>
          <w:color w:val="auto"/>
          <w:szCs w:val="21"/>
          <w:highlight w:val="none"/>
          <w:u w:val="single"/>
          <w:lang w:val="en-US" w:eastAsia="zh-CN"/>
        </w:rPr>
        <w:t>50</w:t>
      </w:r>
      <w:r>
        <w:rPr>
          <w:rFonts w:hint="eastAsia" w:ascii="宋体" w:hAnsi="宋体" w:eastAsia="宋体" w:cs="宋体"/>
          <w:b w:val="0"/>
          <w:bCs w:val="0"/>
          <w:color w:val="auto"/>
          <w:szCs w:val="21"/>
          <w:highlight w:val="none"/>
        </w:rPr>
        <w:t>%；</w:t>
      </w:r>
    </w:p>
    <w:p w14:paraId="487C17B7">
      <w:pPr>
        <w:spacing w:line="360" w:lineRule="auto"/>
        <w:ind w:firstLine="420" w:firstLineChars="200"/>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③响应报价低于采购项目最高限价</w:t>
      </w:r>
      <w:r>
        <w:rPr>
          <w:rFonts w:hint="eastAsia" w:ascii="宋体" w:hAnsi="宋体" w:eastAsia="宋体" w:cs="宋体"/>
          <w:b w:val="0"/>
          <w:bCs w:val="0"/>
          <w:color w:val="auto"/>
          <w:szCs w:val="21"/>
          <w:highlight w:val="none"/>
          <w:u w:val="single"/>
          <w:lang w:val="en-US" w:eastAsia="zh-CN"/>
        </w:rPr>
        <w:t>50</w:t>
      </w:r>
      <w:r>
        <w:rPr>
          <w:rFonts w:hint="eastAsia" w:ascii="宋体" w:hAnsi="宋体" w:eastAsia="宋体" w:cs="宋体"/>
          <w:b w:val="0"/>
          <w:bCs w:val="0"/>
          <w:color w:val="auto"/>
          <w:szCs w:val="21"/>
          <w:highlight w:val="none"/>
        </w:rPr>
        <w:t>% 的，即响应报价＜采购项目最高限价×</w:t>
      </w:r>
      <w:r>
        <w:rPr>
          <w:rFonts w:hint="eastAsia" w:ascii="宋体" w:hAnsi="宋体" w:eastAsia="宋体" w:cs="宋体"/>
          <w:b w:val="0"/>
          <w:bCs w:val="0"/>
          <w:color w:val="auto"/>
          <w:szCs w:val="21"/>
          <w:highlight w:val="none"/>
          <w:u w:val="single"/>
          <w:lang w:val="en-US" w:eastAsia="zh-CN"/>
        </w:rPr>
        <w:t>50</w:t>
      </w:r>
      <w:r>
        <w:rPr>
          <w:rFonts w:hint="eastAsia" w:ascii="宋体" w:hAnsi="宋体" w:eastAsia="宋体" w:cs="宋体"/>
          <w:b w:val="0"/>
          <w:bCs w:val="0"/>
          <w:color w:val="auto"/>
          <w:szCs w:val="21"/>
          <w:highlight w:val="none"/>
        </w:rPr>
        <w:t>%；</w:t>
      </w:r>
    </w:p>
    <w:p w14:paraId="4B79FF63">
      <w:pPr>
        <w:spacing w:line="360" w:lineRule="auto"/>
        <w:ind w:firstLine="420" w:firstLineChars="200"/>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④</w:t>
      </w:r>
      <w:r>
        <w:rPr>
          <w:rFonts w:hint="eastAsia" w:ascii="宋体" w:hAnsi="宋体" w:eastAsia="宋体" w:cs="宋体"/>
          <w:b w:val="0"/>
          <w:bCs w:val="0"/>
          <w:color w:val="auto"/>
          <w:szCs w:val="21"/>
          <w:highlight w:val="none"/>
          <w:lang w:eastAsia="zh-CN"/>
        </w:rPr>
        <w:t>磋商小组</w:t>
      </w:r>
      <w:r>
        <w:rPr>
          <w:rFonts w:hint="eastAsia" w:ascii="宋体" w:hAnsi="宋体" w:eastAsia="宋体" w:cs="宋体"/>
          <w:b w:val="0"/>
          <w:bCs w:val="0"/>
          <w:color w:val="auto"/>
          <w:szCs w:val="21"/>
          <w:highlight w:val="none"/>
        </w:rPr>
        <w:t>基于专业判断，认为供应商报价过低，有可能影响产品质量或者不能诚信履约的其他情形。</w:t>
      </w:r>
    </w:p>
    <w:p w14:paraId="29D9DC68">
      <w:pPr>
        <w:spacing w:line="360" w:lineRule="auto"/>
        <w:ind w:firstLine="420" w:firstLineChars="200"/>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（2）</w:t>
      </w:r>
      <w:r>
        <w:rPr>
          <w:rFonts w:hint="eastAsia" w:ascii="宋体" w:hAnsi="宋体" w:eastAsia="宋体" w:cs="宋体"/>
          <w:b w:val="0"/>
          <w:bCs w:val="0"/>
          <w:color w:val="auto"/>
          <w:szCs w:val="21"/>
          <w:highlight w:val="none"/>
          <w:lang w:val="en-US" w:eastAsia="zh-CN"/>
        </w:rPr>
        <w:t>磋商</w:t>
      </w:r>
      <w:r>
        <w:rPr>
          <w:rFonts w:hint="eastAsia" w:ascii="宋体" w:hAnsi="宋体" w:eastAsia="宋体" w:cs="宋体"/>
          <w:b w:val="0"/>
          <w:bCs w:val="0"/>
          <w:color w:val="auto"/>
          <w:szCs w:val="21"/>
          <w:highlight w:val="none"/>
        </w:rPr>
        <w:t>小组启动异常低价响应审查后，属于前述第 1 项至第 4 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 30 分钟。其中，属于第③项情形，供应商已随响应文件一并提交相关书面说明及必要的证明材料的，可不再重复提交。</w:t>
      </w:r>
    </w:p>
    <w:p w14:paraId="29EF5507">
      <w:pPr>
        <w:spacing w:line="360" w:lineRule="auto"/>
        <w:ind w:firstLine="420" w:firstLineChars="200"/>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lang w:val="en-US" w:eastAsia="zh-CN"/>
        </w:rPr>
        <w:t>磋商</w:t>
      </w:r>
      <w:r>
        <w:rPr>
          <w:rFonts w:hint="eastAsia" w:ascii="宋体" w:hAnsi="宋体" w:eastAsia="宋体" w:cs="宋体"/>
          <w:b w:val="0"/>
          <w:bCs w:val="0"/>
          <w:color w:val="auto"/>
          <w:szCs w:val="21"/>
          <w:highlight w:val="none"/>
        </w:rPr>
        <w:t>小组依据专业经验，参考同类项目中标（成交）价格、类似产品市场价格水平、行业人工费用标准、国家有关部门指导行业协会发布的行业平均成本等情况，对报价合理性进行判断。相关供应商不能提供书面说明、证明材料，或者提供的书面说明、证明材料不能证明其报价合理性的，</w:t>
      </w:r>
      <w:r>
        <w:rPr>
          <w:rFonts w:hint="eastAsia" w:ascii="宋体" w:hAnsi="宋体" w:eastAsia="宋体" w:cs="宋体"/>
          <w:b w:val="0"/>
          <w:bCs w:val="0"/>
          <w:color w:val="auto"/>
          <w:szCs w:val="21"/>
          <w:highlight w:val="none"/>
          <w:lang w:eastAsia="zh-CN"/>
        </w:rPr>
        <w:t>磋商小组</w:t>
      </w:r>
      <w:r>
        <w:rPr>
          <w:rFonts w:hint="eastAsia" w:ascii="宋体" w:hAnsi="宋体" w:eastAsia="宋体" w:cs="宋体"/>
          <w:b w:val="0"/>
          <w:bCs w:val="0"/>
          <w:color w:val="auto"/>
          <w:szCs w:val="21"/>
          <w:highlight w:val="none"/>
        </w:rPr>
        <w:t>应当将其作为无效响应处理。</w:t>
      </w:r>
    </w:p>
    <w:p w14:paraId="3D7F6CF6">
      <w:pPr>
        <w:spacing w:line="360" w:lineRule="auto"/>
        <w:ind w:firstLine="420" w:firstLineChars="200"/>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采购人、采购代理机构应当为</w:t>
      </w:r>
      <w:r>
        <w:rPr>
          <w:rFonts w:hint="eastAsia" w:ascii="宋体" w:hAnsi="宋体" w:eastAsia="宋体" w:cs="宋体"/>
          <w:b w:val="0"/>
          <w:bCs w:val="0"/>
          <w:color w:val="auto"/>
          <w:szCs w:val="21"/>
          <w:highlight w:val="none"/>
          <w:lang w:eastAsia="zh-CN"/>
        </w:rPr>
        <w:t>磋商小组</w:t>
      </w:r>
      <w:r>
        <w:rPr>
          <w:rFonts w:hint="eastAsia" w:ascii="宋体" w:hAnsi="宋体" w:eastAsia="宋体" w:cs="宋体"/>
          <w:b w:val="0"/>
          <w:bCs w:val="0"/>
          <w:color w:val="auto"/>
          <w:szCs w:val="21"/>
          <w:highlight w:val="none"/>
        </w:rPr>
        <w:t>在评审现场及时获取同类项目中标（成交）价格、类似产品市场价格水平、行业人工费用标准、国家有关部门指导行业协会发布的行业平均成本等相关信息资料提供便利。</w:t>
      </w:r>
      <w:r>
        <w:rPr>
          <w:rFonts w:hint="eastAsia" w:ascii="宋体" w:hAnsi="宋体" w:eastAsia="宋体" w:cs="宋体"/>
          <w:b w:val="0"/>
          <w:bCs w:val="0"/>
          <w:color w:val="auto"/>
          <w:szCs w:val="21"/>
          <w:highlight w:val="none"/>
          <w:lang w:eastAsia="zh-CN"/>
        </w:rPr>
        <w:t>磋商小组</w:t>
      </w:r>
      <w:r>
        <w:rPr>
          <w:rFonts w:hint="eastAsia" w:ascii="宋体" w:hAnsi="宋体" w:eastAsia="宋体" w:cs="宋体"/>
          <w:b w:val="0"/>
          <w:bCs w:val="0"/>
          <w:color w:val="auto"/>
          <w:szCs w:val="21"/>
          <w:highlight w:val="none"/>
        </w:rPr>
        <w:t>借助互联网等渠道查询相关信息的，应当严格遵守评审工作纪律，不得实施影响评审公正的行为。</w:t>
      </w:r>
    </w:p>
    <w:p w14:paraId="4F83857B">
      <w:pPr>
        <w:spacing w:line="360" w:lineRule="auto"/>
        <w:ind w:firstLine="420" w:firstLineChars="200"/>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异常低价响应审查的启动原因、审查意见和审查结果应当在评审报告中记录，并随供应商提供的相关书面说明及证明材料， 以及</w:t>
      </w:r>
      <w:r>
        <w:rPr>
          <w:rFonts w:hint="eastAsia" w:ascii="宋体" w:hAnsi="宋体" w:eastAsia="宋体" w:cs="宋体"/>
          <w:b w:val="0"/>
          <w:bCs w:val="0"/>
          <w:color w:val="auto"/>
          <w:szCs w:val="21"/>
          <w:highlight w:val="none"/>
          <w:lang w:val="en-US" w:eastAsia="zh-CN"/>
        </w:rPr>
        <w:t>磋商</w:t>
      </w:r>
      <w:r>
        <w:rPr>
          <w:rFonts w:hint="eastAsia" w:ascii="宋体" w:hAnsi="宋体" w:eastAsia="宋体" w:cs="宋体"/>
          <w:b w:val="0"/>
          <w:bCs w:val="0"/>
          <w:color w:val="auto"/>
          <w:szCs w:val="21"/>
          <w:highlight w:val="none"/>
        </w:rPr>
        <w:t>小组有关互联网浏览、查询历史一并归档。</w:t>
      </w:r>
    </w:p>
    <w:p w14:paraId="457DD506">
      <w:pPr>
        <w:spacing w:line="360" w:lineRule="auto"/>
        <w:ind w:firstLine="420" w:firstLineChars="200"/>
        <w:rPr>
          <w:rFonts w:hint="eastAsia" w:ascii="宋体" w:hAnsi="宋体" w:cs="宋体"/>
          <w:color w:val="auto"/>
          <w:szCs w:val="21"/>
          <w:highlight w:val="none"/>
        </w:rPr>
      </w:pPr>
    </w:p>
    <w:p w14:paraId="7411F1AC">
      <w:pPr>
        <w:ind w:firstLine="200"/>
        <w:rPr>
          <w:rFonts w:ascii="黑体" w:hAnsi="黑体" w:eastAsia="黑体" w:cs="宋体"/>
          <w:b/>
          <w:bCs/>
          <w:color w:val="auto"/>
          <w:sz w:val="24"/>
          <w:highlight w:val="none"/>
        </w:rPr>
      </w:pPr>
      <w:r>
        <w:rPr>
          <w:rFonts w:hint="eastAsia" w:ascii="黑体" w:hAnsi="黑体" w:eastAsia="黑体" w:cs="宋体"/>
          <w:b/>
          <w:bCs/>
          <w:color w:val="auto"/>
          <w:sz w:val="24"/>
          <w:highlight w:val="none"/>
        </w:rPr>
        <w:t>6</w:t>
      </w:r>
      <w:r>
        <w:rPr>
          <w:rFonts w:ascii="黑体" w:hAnsi="黑体" w:eastAsia="黑体" w:cs="宋体"/>
          <w:b/>
          <w:bCs/>
          <w:color w:val="auto"/>
          <w:sz w:val="24"/>
          <w:highlight w:val="none"/>
        </w:rPr>
        <w:t>.</w:t>
      </w:r>
      <w:r>
        <w:rPr>
          <w:rFonts w:hint="eastAsia" w:ascii="黑体" w:hAnsi="黑体" w:eastAsia="黑体" w:cs="宋体"/>
          <w:b/>
          <w:bCs/>
          <w:color w:val="auto"/>
          <w:sz w:val="24"/>
          <w:highlight w:val="none"/>
        </w:rPr>
        <w:t>比较与评价</w:t>
      </w:r>
    </w:p>
    <w:p w14:paraId="75ECAAE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w:t>
      </w:r>
      <w:r>
        <w:rPr>
          <w:rFonts w:ascii="宋体" w:hAnsi="宋体" w:cs="宋体"/>
          <w:color w:val="auto"/>
          <w:szCs w:val="21"/>
          <w:highlight w:val="none"/>
        </w:rPr>
        <w:t>.1</w:t>
      </w:r>
      <w:r>
        <w:rPr>
          <w:rFonts w:hint="eastAsia" w:ascii="宋体" w:hAnsi="宋体" w:cs="宋体"/>
          <w:color w:val="auto"/>
          <w:szCs w:val="21"/>
          <w:highlight w:val="none"/>
        </w:rPr>
        <w:t>评审方法：综合评分法。</w:t>
      </w:r>
    </w:p>
    <w:p w14:paraId="398952B0">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6.2</w:t>
      </w:r>
      <w:r>
        <w:rPr>
          <w:rFonts w:hint="eastAsia" w:ascii="宋体" w:hAnsi="宋体" w:cs="宋体"/>
          <w:color w:val="auto"/>
          <w:szCs w:val="21"/>
          <w:highlight w:val="none"/>
        </w:rPr>
        <w:t>经磋商确定最终采购需求和提交最后报价的供应商后，由磋商小组采用综合评分法对提交最后报价的供应商的响应文件和最后报价进行综合评分。</w:t>
      </w:r>
    </w:p>
    <w:p w14:paraId="45B454AF">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6.3</w:t>
      </w:r>
      <w:r>
        <w:rPr>
          <w:rFonts w:hint="eastAsia" w:ascii="宋体" w:hAnsi="宋体" w:cs="宋体"/>
          <w:color w:val="auto"/>
          <w:szCs w:val="21"/>
          <w:highlight w:val="none"/>
        </w:rPr>
        <w:t>评审时，磋商小组各成员应当独立对每个有效响应的文件进行评价、打分，然后汇总每个供应商每项评分因素的得分。</w:t>
      </w:r>
    </w:p>
    <w:p w14:paraId="1DBEF43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（1）磋商小组按照磋商文件中规定的评审标准计算各供应商的报价得分。项目评审过程中，不得去掉最后报价中的最高报价和最低报价。</w:t>
      </w:r>
    </w:p>
    <w:p w14:paraId="7164A6E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（2）各供应商的得分为磋商小组所有成员的有效评分的算术平均数。</w:t>
      </w:r>
    </w:p>
    <w:p w14:paraId="75FC233A">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6.4</w:t>
      </w:r>
      <w:r>
        <w:rPr>
          <w:rFonts w:hint="eastAsia" w:ascii="宋体" w:hAnsi="宋体" w:cs="宋体"/>
          <w:color w:val="auto"/>
          <w:szCs w:val="21"/>
          <w:highlight w:val="none"/>
        </w:rPr>
        <w:t>评审价为供应商的最后报价进行政策性扣除后的价格，评审价只是作为评审时使用。最终成交供应商的成交金额等于最后报价（如有修正，以确认修正后的最后报价为准）。</w:t>
      </w:r>
    </w:p>
    <w:p w14:paraId="07B4E6D8">
      <w:pPr>
        <w:spacing w:line="360" w:lineRule="auto"/>
        <w:ind w:firstLine="420" w:firstLineChars="200"/>
        <w:rPr>
          <w:rFonts w:ascii="宋体" w:hAnsi="宋体"/>
          <w:color w:val="auto"/>
          <w:kern w:val="0"/>
          <w:szCs w:val="21"/>
          <w:highlight w:val="none"/>
        </w:rPr>
      </w:pPr>
      <w:r>
        <w:rPr>
          <w:rFonts w:ascii="宋体" w:hAnsi="宋体" w:cs="宋体"/>
          <w:color w:val="auto"/>
          <w:szCs w:val="21"/>
          <w:highlight w:val="none"/>
        </w:rPr>
        <w:t>6.5</w:t>
      </w:r>
      <w:r>
        <w:rPr>
          <w:rFonts w:hint="eastAsia" w:ascii="宋体" w:hAnsi="宋体" w:cs="宋体"/>
          <w:color w:val="auto"/>
          <w:szCs w:val="21"/>
          <w:highlight w:val="none"/>
        </w:rPr>
        <w:t>由磋商小组根据综合评分情况，按照评审得分由高到低顺序推荐3名以上成交候选供应商，并编写评</w:t>
      </w:r>
      <w:r>
        <w:rPr>
          <w:rFonts w:hint="eastAsia" w:ascii="宋体" w:hAnsi="宋体"/>
          <w:color w:val="auto"/>
          <w:kern w:val="0"/>
          <w:szCs w:val="21"/>
          <w:highlight w:val="none"/>
        </w:rPr>
        <w:t>审报告。符合本章第</w:t>
      </w:r>
      <w:r>
        <w:rPr>
          <w:rFonts w:ascii="宋体" w:hAnsi="宋体"/>
          <w:color w:val="auto"/>
          <w:kern w:val="0"/>
          <w:szCs w:val="21"/>
          <w:highlight w:val="none"/>
        </w:rPr>
        <w:t>4.3</w:t>
      </w:r>
      <w:r>
        <w:rPr>
          <w:rFonts w:hint="eastAsia" w:ascii="宋体" w:hAnsi="宋体"/>
          <w:color w:val="auto"/>
          <w:kern w:val="0"/>
          <w:szCs w:val="21"/>
          <w:highlight w:val="none"/>
        </w:rPr>
        <w:t>条情形的，可以推荐2家成交候选供应商。评审得分相同的，按照最后报价由低到高的顺序推荐。评审得分且最后报价相同的，按照技术指标优劣顺序推荐。</w:t>
      </w:r>
    </w:p>
    <w:p w14:paraId="123E1F32">
      <w:pPr>
        <w:spacing w:line="360" w:lineRule="auto"/>
        <w:ind w:firstLine="420" w:firstLineChars="200"/>
        <w:rPr>
          <w:rFonts w:ascii="宋体" w:hAnsi="宋体" w:cs="宋体"/>
          <w:color w:val="auto"/>
          <w:szCs w:val="21"/>
          <w:highlight w:val="none"/>
        </w:rPr>
      </w:pPr>
      <w:r>
        <w:rPr>
          <w:rFonts w:ascii="宋体" w:hAnsi="宋体"/>
          <w:color w:val="auto"/>
          <w:kern w:val="0"/>
          <w:szCs w:val="21"/>
          <w:highlight w:val="none"/>
        </w:rPr>
        <w:t>6.6</w:t>
      </w:r>
      <w:r>
        <w:rPr>
          <w:rFonts w:hint="eastAsia" w:ascii="宋体" w:hAnsi="宋体"/>
          <w:color w:val="auto"/>
          <w:kern w:val="0"/>
          <w:szCs w:val="21"/>
          <w:highlight w:val="none"/>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3E2C77C9">
      <w:pPr>
        <w:ind w:firstLine="200"/>
        <w:rPr>
          <w:rFonts w:ascii="黑体" w:hAnsi="黑体" w:eastAsia="黑体" w:cs="宋体"/>
          <w:b/>
          <w:bCs/>
          <w:color w:val="auto"/>
          <w:sz w:val="24"/>
          <w:highlight w:val="none"/>
        </w:rPr>
      </w:pPr>
      <w:r>
        <w:rPr>
          <w:rFonts w:hint="eastAsia" w:ascii="黑体" w:hAnsi="黑体" w:eastAsia="黑体" w:cs="宋体"/>
          <w:b/>
          <w:bCs/>
          <w:color w:val="auto"/>
          <w:sz w:val="24"/>
          <w:highlight w:val="none"/>
        </w:rPr>
        <w:t>7</w:t>
      </w:r>
      <w:r>
        <w:rPr>
          <w:rFonts w:ascii="黑体" w:hAnsi="黑体" w:eastAsia="黑体" w:cs="宋体"/>
          <w:b/>
          <w:bCs/>
          <w:color w:val="auto"/>
          <w:sz w:val="24"/>
          <w:highlight w:val="none"/>
        </w:rPr>
        <w:t>.</w:t>
      </w:r>
      <w:r>
        <w:rPr>
          <w:rFonts w:hint="eastAsia" w:ascii="黑体" w:hAnsi="黑体" w:eastAsia="黑体" w:cs="宋体"/>
          <w:b/>
          <w:bCs/>
          <w:color w:val="auto"/>
          <w:sz w:val="24"/>
          <w:highlight w:val="none"/>
        </w:rPr>
        <w:t>评审标准</w:t>
      </w:r>
    </w:p>
    <w:p w14:paraId="22ED1A6B">
      <w:pPr>
        <w:spacing w:line="360" w:lineRule="auto"/>
        <w:ind w:firstLine="422" w:firstLineChars="200"/>
        <w:rPr>
          <w:rFonts w:hint="eastAsia" w:ascii="宋体" w:hAnsi="宋体"/>
          <w:bCs/>
          <w:color w:val="auto"/>
          <w:szCs w:val="21"/>
          <w:highlight w:val="none"/>
        </w:rPr>
      </w:pPr>
      <w:r>
        <w:rPr>
          <w:rFonts w:hint="eastAsia" w:ascii="宋体" w:hAnsi="宋体"/>
          <w:b/>
          <w:color w:val="auto"/>
          <w:highlight w:val="none"/>
        </w:rPr>
        <w:t>7.</w:t>
      </w:r>
      <w:r>
        <w:rPr>
          <w:rFonts w:hint="eastAsia" w:ascii="宋体" w:hAnsi="宋体"/>
          <w:bCs/>
          <w:color w:val="auto"/>
          <w:szCs w:val="21"/>
          <w:highlight w:val="none"/>
        </w:rPr>
        <w:t>1评审依据：磋商小组将以磋商响应文件为评审依据，对供应商的报价、技术、商务等方面内容按百分制打分。（计分方法按四舍五入取至百分位）</w:t>
      </w:r>
    </w:p>
    <w:p w14:paraId="779F1E61">
      <w:pPr>
        <w:pStyle w:val="14"/>
      </w:pPr>
    </w:p>
    <w:tbl>
      <w:tblPr>
        <w:tblStyle w:val="30"/>
        <w:tblW w:w="94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9"/>
        <w:gridCol w:w="1158"/>
        <w:gridCol w:w="6719"/>
        <w:gridCol w:w="735"/>
      </w:tblGrid>
      <w:tr w14:paraId="1B182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9" w:type="dxa"/>
            <w:noWrap w:val="0"/>
            <w:vAlign w:val="center"/>
          </w:tcPr>
          <w:p w14:paraId="2A16715B">
            <w:pPr>
              <w:keepNext w:val="0"/>
              <w:keepLines w:val="0"/>
              <w:suppressLineNumbers w:val="0"/>
              <w:spacing w:before="0" w:beforeAutospacing="0" w:after="0" w:afterAutospacing="0" w:line="360" w:lineRule="auto"/>
              <w:ind w:left="0" w:right="0"/>
              <w:jc w:val="center"/>
              <w:rPr>
                <w:rFonts w:hint="default" w:ascii="宋体" w:hAnsi="宋体" w:cs="Times New Roman"/>
                <w:bCs/>
                <w:color w:val="auto"/>
                <w:szCs w:val="21"/>
                <w:highlight w:val="none"/>
              </w:rPr>
            </w:pPr>
            <w:r>
              <w:rPr>
                <w:rFonts w:hint="eastAsia" w:ascii="宋体" w:hAnsi="宋体" w:cs="Times New Roman"/>
                <w:bCs/>
                <w:color w:val="auto"/>
                <w:szCs w:val="21"/>
                <w:highlight w:val="none"/>
              </w:rPr>
              <w:t>序号</w:t>
            </w:r>
          </w:p>
        </w:tc>
        <w:tc>
          <w:tcPr>
            <w:tcW w:w="1158" w:type="dxa"/>
            <w:noWrap w:val="0"/>
            <w:vAlign w:val="center"/>
          </w:tcPr>
          <w:p w14:paraId="2CBFE7A6">
            <w:pPr>
              <w:keepNext w:val="0"/>
              <w:keepLines w:val="0"/>
              <w:suppressLineNumbers w:val="0"/>
              <w:spacing w:before="0" w:beforeAutospacing="0" w:after="0" w:afterAutospacing="0" w:line="360" w:lineRule="auto"/>
              <w:ind w:left="0" w:right="0"/>
              <w:jc w:val="center"/>
              <w:rPr>
                <w:rFonts w:hint="default" w:ascii="宋体" w:hAnsi="宋体" w:cs="Times New Roman"/>
                <w:bCs/>
                <w:color w:val="auto"/>
                <w:szCs w:val="21"/>
                <w:highlight w:val="none"/>
              </w:rPr>
            </w:pPr>
            <w:r>
              <w:rPr>
                <w:rFonts w:hint="eastAsia" w:ascii="宋体" w:hAnsi="宋体" w:cs="Times New Roman"/>
                <w:bCs/>
                <w:color w:val="auto"/>
                <w:szCs w:val="21"/>
                <w:highlight w:val="none"/>
              </w:rPr>
              <w:t>评分类型</w:t>
            </w:r>
          </w:p>
        </w:tc>
        <w:tc>
          <w:tcPr>
            <w:tcW w:w="6719" w:type="dxa"/>
            <w:noWrap w:val="0"/>
            <w:vAlign w:val="center"/>
          </w:tcPr>
          <w:p w14:paraId="2367E319">
            <w:pPr>
              <w:keepNext w:val="0"/>
              <w:keepLines w:val="0"/>
              <w:suppressLineNumbers w:val="0"/>
              <w:spacing w:before="0" w:beforeAutospacing="0" w:after="0" w:afterAutospacing="0" w:line="360" w:lineRule="auto"/>
              <w:ind w:left="0" w:right="0"/>
              <w:jc w:val="center"/>
              <w:rPr>
                <w:rFonts w:hint="default" w:ascii="宋体" w:hAnsi="宋体" w:cs="Times New Roman"/>
                <w:bCs/>
                <w:color w:val="auto"/>
                <w:szCs w:val="21"/>
                <w:highlight w:val="none"/>
              </w:rPr>
            </w:pPr>
            <w:r>
              <w:rPr>
                <w:rFonts w:hint="eastAsia" w:ascii="宋体" w:hAnsi="宋体" w:cs="Times New Roman"/>
                <w:bCs/>
                <w:color w:val="auto"/>
                <w:szCs w:val="21"/>
                <w:highlight w:val="none"/>
              </w:rPr>
              <w:t>评分标准</w:t>
            </w:r>
          </w:p>
        </w:tc>
        <w:tc>
          <w:tcPr>
            <w:tcW w:w="735" w:type="dxa"/>
            <w:noWrap w:val="0"/>
            <w:vAlign w:val="center"/>
          </w:tcPr>
          <w:p w14:paraId="4D4642FA">
            <w:pPr>
              <w:keepNext w:val="0"/>
              <w:keepLines w:val="0"/>
              <w:suppressLineNumbers w:val="0"/>
              <w:spacing w:before="0" w:beforeAutospacing="0" w:after="0" w:afterAutospacing="0" w:line="360" w:lineRule="auto"/>
              <w:ind w:left="0" w:right="0"/>
              <w:jc w:val="center"/>
              <w:rPr>
                <w:rFonts w:hint="default" w:ascii="宋体" w:hAnsi="宋体" w:cs="Times New Roman"/>
                <w:bCs/>
                <w:color w:val="auto"/>
                <w:szCs w:val="21"/>
                <w:highlight w:val="none"/>
              </w:rPr>
            </w:pPr>
            <w:r>
              <w:rPr>
                <w:rFonts w:hint="eastAsia" w:ascii="宋体" w:hAnsi="宋体" w:cs="Times New Roman"/>
                <w:bCs/>
                <w:color w:val="auto"/>
                <w:szCs w:val="21"/>
                <w:highlight w:val="none"/>
              </w:rPr>
              <w:t>分值</w:t>
            </w:r>
          </w:p>
        </w:tc>
      </w:tr>
      <w:tr w14:paraId="6EA15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9" w:type="dxa"/>
            <w:noWrap w:val="0"/>
            <w:vAlign w:val="center"/>
          </w:tcPr>
          <w:p w14:paraId="40C2D5D1">
            <w:pPr>
              <w:keepNext w:val="0"/>
              <w:keepLines w:val="0"/>
              <w:suppressLineNumbers w:val="0"/>
              <w:spacing w:before="0" w:beforeAutospacing="0" w:after="0" w:afterAutospacing="0" w:line="360" w:lineRule="auto"/>
              <w:ind w:left="0" w:right="0"/>
              <w:jc w:val="center"/>
              <w:rPr>
                <w:rFonts w:hint="default" w:ascii="宋体" w:hAnsi="宋体" w:cs="Times New Roman"/>
                <w:bCs/>
                <w:color w:val="auto"/>
                <w:szCs w:val="21"/>
                <w:highlight w:val="none"/>
              </w:rPr>
            </w:pPr>
            <w:r>
              <w:rPr>
                <w:rFonts w:hint="eastAsia" w:ascii="宋体" w:hAnsi="宋体" w:cs="Times New Roman"/>
                <w:bCs/>
                <w:color w:val="auto"/>
                <w:szCs w:val="21"/>
                <w:highlight w:val="none"/>
              </w:rPr>
              <w:t>1</w:t>
            </w:r>
          </w:p>
        </w:tc>
        <w:tc>
          <w:tcPr>
            <w:tcW w:w="1158" w:type="dxa"/>
            <w:noWrap w:val="0"/>
            <w:vAlign w:val="center"/>
          </w:tcPr>
          <w:p w14:paraId="61B7C99F">
            <w:pPr>
              <w:keepNext w:val="0"/>
              <w:keepLines w:val="0"/>
              <w:suppressLineNumbers w:val="0"/>
              <w:spacing w:before="0" w:beforeAutospacing="0" w:after="0" w:afterAutospacing="0" w:line="360" w:lineRule="auto"/>
              <w:ind w:left="0" w:right="0"/>
              <w:jc w:val="center"/>
              <w:rPr>
                <w:rFonts w:hint="default" w:ascii="宋体" w:hAnsi="宋体" w:cs="Times New Roman"/>
                <w:bCs/>
                <w:color w:val="auto"/>
                <w:szCs w:val="21"/>
                <w:highlight w:val="none"/>
              </w:rPr>
            </w:pPr>
            <w:r>
              <w:rPr>
                <w:rFonts w:hint="eastAsia" w:ascii="宋体" w:hAnsi="宋体" w:cs="Times New Roman"/>
                <w:bCs/>
                <w:color w:val="auto"/>
                <w:szCs w:val="21"/>
                <w:highlight w:val="none"/>
              </w:rPr>
              <w:t>报价</w:t>
            </w:r>
          </w:p>
        </w:tc>
        <w:tc>
          <w:tcPr>
            <w:tcW w:w="6719" w:type="dxa"/>
            <w:noWrap w:val="0"/>
            <w:vAlign w:val="top"/>
          </w:tcPr>
          <w:p w14:paraId="36891D5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1.评审报价为供应商的最后报价进行政策性扣除后的价格，评审报价只是作为评审时使用。最终成交供应商的成交金额等于最后报价（如有修正，以确认修正后的最后报价为准）。</w:t>
            </w:r>
          </w:p>
          <w:p w14:paraId="30B3F55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2.政府采购政策性扣除计算方法</w:t>
            </w:r>
          </w:p>
          <w:p w14:paraId="12BF160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（1）按照《政府采购促进中小企业发展管理办法》（财库〔2020〕46号）和</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关于进一步加大政府采购支持中小企业力度的通知</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(财库〔2022〕19号 ）的规定，供应商在其响应文件中提供《中小企业声明函》，且其服务为小型和微型企业承接的，对其最后报价给予20%的扣除。</w:t>
            </w:r>
          </w:p>
          <w:p w14:paraId="3F63559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14:paraId="6CFDC0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3F4E8B2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eastAsia" w:ascii="宋体" w:hAnsi="宋体" w:eastAsia="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01B67E4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w:t>
            </w:r>
            <w:r>
              <w:rPr>
                <w:rFonts w:hint="eastAsia" w:ascii="宋体" w:hAnsi="宋体" w:cs="宋体"/>
                <w:bCs/>
                <w:color w:val="auto"/>
                <w:sz w:val="21"/>
                <w:szCs w:val="21"/>
                <w:highlight w:val="none"/>
                <w:lang w:val="en-US" w:eastAsia="zh-CN"/>
              </w:rPr>
              <w:t>5</w:t>
            </w:r>
            <w:r>
              <w:rPr>
                <w:rFonts w:hint="eastAsia" w:ascii="宋体" w:hAnsi="宋体" w:eastAsia="宋体" w:cs="宋体"/>
                <w:bCs/>
                <w:color w:val="auto"/>
                <w:sz w:val="21"/>
                <w:szCs w:val="21"/>
                <w:highlight w:val="none"/>
              </w:rPr>
              <w:t>）政策性扣除计算方法。</w:t>
            </w:r>
          </w:p>
          <w:p w14:paraId="08761C2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在服务采购项目中，服务由小微企业承接；对符合上述要求的供应商的竞标报价给予20%的扣除，扣除后的价格为评审报价，即评审报价=竞标报价×（1-20%）。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6 %（范围为4%-6%）的扣除，用扣除后的价格参加评审，扣除后的价格为评审报价，即评审报价=竞标报价×（1- 6 %）。除上述情况外，评审报价=竞标报价。</w:t>
            </w:r>
          </w:p>
          <w:p w14:paraId="50FE4B0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w:t>
            </w:r>
            <w:r>
              <w:rPr>
                <w:rFonts w:hint="eastAsia" w:ascii="宋体" w:hAnsi="宋体" w:cs="宋体"/>
                <w:bCs/>
                <w:color w:val="auto"/>
                <w:sz w:val="21"/>
                <w:szCs w:val="21"/>
                <w:highlight w:val="none"/>
                <w:lang w:val="en-US" w:eastAsia="zh-CN"/>
              </w:rPr>
              <w:t>6</w:t>
            </w:r>
            <w:r>
              <w:rPr>
                <w:rFonts w:hint="eastAsia" w:ascii="宋体" w:hAnsi="宋体" w:eastAsia="宋体" w:cs="宋体"/>
                <w:bCs/>
                <w:color w:val="auto"/>
                <w:sz w:val="21"/>
                <w:szCs w:val="21"/>
                <w:highlight w:val="none"/>
              </w:rPr>
              <w:t>）除上述情况外，评审报价＝最后报价。</w:t>
            </w:r>
          </w:p>
          <w:p w14:paraId="0F11421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w:t>
            </w:r>
            <w:r>
              <w:rPr>
                <w:rFonts w:hint="eastAsia" w:ascii="宋体" w:hAnsi="宋体" w:cs="宋体"/>
                <w:bCs/>
                <w:color w:val="auto"/>
                <w:sz w:val="21"/>
                <w:szCs w:val="21"/>
                <w:highlight w:val="none"/>
                <w:lang w:val="en-US" w:eastAsia="zh-CN"/>
              </w:rPr>
              <w:t>7</w:t>
            </w:r>
            <w:r>
              <w:rPr>
                <w:rFonts w:hint="eastAsia" w:ascii="宋体" w:hAnsi="宋体" w:eastAsia="宋体" w:cs="宋体"/>
                <w:bCs/>
                <w:color w:val="auto"/>
                <w:sz w:val="21"/>
                <w:szCs w:val="21"/>
                <w:highlight w:val="none"/>
              </w:rPr>
              <w:t>）以进入比较与评价环节的最低的评审报价为基准价，基准价得分为</w:t>
            </w:r>
            <w:r>
              <w:rPr>
                <w:rFonts w:hint="eastAsia" w:ascii="宋体" w:hAnsi="宋体" w:eastAsia="宋体" w:cs="宋体"/>
                <w:bCs/>
                <w:color w:val="auto"/>
                <w:sz w:val="21"/>
                <w:szCs w:val="21"/>
                <w:highlight w:val="none"/>
                <w:lang w:val="en-US" w:eastAsia="zh-CN"/>
              </w:rPr>
              <w:t>3</w:t>
            </w:r>
            <w:r>
              <w:rPr>
                <w:rFonts w:hint="eastAsia" w:ascii="宋体" w:hAnsi="宋体" w:eastAsia="宋体" w:cs="宋体"/>
                <w:bCs/>
                <w:color w:val="auto"/>
                <w:sz w:val="21"/>
                <w:szCs w:val="21"/>
                <w:highlight w:val="none"/>
              </w:rPr>
              <w:t>0分。</w:t>
            </w:r>
          </w:p>
          <w:p w14:paraId="1724730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w:t>
            </w:r>
            <w:r>
              <w:rPr>
                <w:rFonts w:hint="eastAsia" w:ascii="宋体" w:hAnsi="宋体" w:cs="宋体"/>
                <w:bCs/>
                <w:color w:val="auto"/>
                <w:sz w:val="21"/>
                <w:szCs w:val="21"/>
                <w:highlight w:val="none"/>
                <w:lang w:val="en-US" w:eastAsia="zh-CN"/>
              </w:rPr>
              <w:t>8</w:t>
            </w:r>
            <w:r>
              <w:rPr>
                <w:rFonts w:hint="eastAsia" w:ascii="宋体" w:hAnsi="宋体" w:eastAsia="宋体" w:cs="宋体"/>
                <w:bCs/>
                <w:color w:val="auto"/>
                <w:sz w:val="21"/>
                <w:szCs w:val="21"/>
                <w:highlight w:val="none"/>
              </w:rPr>
              <w:t>）价格分计算公式：</w:t>
            </w:r>
          </w:p>
          <w:p w14:paraId="5AD4013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 xml:space="preserve">报价得分=（基准价/最后报价）× </w:t>
            </w:r>
            <w:r>
              <w:rPr>
                <w:rFonts w:hint="eastAsia" w:ascii="宋体" w:hAnsi="宋体" w:eastAsia="宋体" w:cs="宋体"/>
                <w:bCs/>
                <w:color w:val="auto"/>
                <w:sz w:val="21"/>
                <w:szCs w:val="21"/>
                <w:highlight w:val="none"/>
                <w:lang w:val="en-US" w:eastAsia="zh-CN"/>
              </w:rPr>
              <w:t>3</w:t>
            </w:r>
            <w:r>
              <w:rPr>
                <w:rFonts w:hint="eastAsia" w:ascii="宋体" w:hAnsi="宋体" w:eastAsia="宋体" w:cs="宋体"/>
                <w:bCs/>
                <w:color w:val="auto"/>
                <w:sz w:val="21"/>
                <w:szCs w:val="21"/>
                <w:highlight w:val="none"/>
              </w:rPr>
              <w:t>0分</w:t>
            </w:r>
          </w:p>
        </w:tc>
        <w:tc>
          <w:tcPr>
            <w:tcW w:w="735" w:type="dxa"/>
            <w:noWrap w:val="0"/>
            <w:vAlign w:val="center"/>
          </w:tcPr>
          <w:p w14:paraId="0FFDB8EA">
            <w:pPr>
              <w:keepNext w:val="0"/>
              <w:keepLines w:val="0"/>
              <w:suppressLineNumbers w:val="0"/>
              <w:spacing w:before="0" w:beforeAutospacing="0" w:after="0" w:afterAutospacing="0" w:line="360" w:lineRule="auto"/>
              <w:ind w:left="0" w:right="0"/>
              <w:jc w:val="center"/>
              <w:rPr>
                <w:rFonts w:hint="eastAsia" w:ascii="宋体" w:hAnsi="宋体" w:eastAsia="宋体" w:cs="Times New Roman"/>
                <w:bCs/>
                <w:color w:val="auto"/>
                <w:szCs w:val="21"/>
                <w:highlight w:val="none"/>
                <w:lang w:eastAsia="zh-CN"/>
              </w:rPr>
            </w:pPr>
            <w:r>
              <w:rPr>
                <w:rFonts w:hint="eastAsia" w:ascii="宋体" w:hAnsi="宋体" w:cs="Times New Roman"/>
                <w:bCs/>
                <w:color w:val="auto"/>
                <w:szCs w:val="21"/>
                <w:highlight w:val="none"/>
                <w:lang w:val="en-US" w:eastAsia="zh-CN"/>
              </w:rPr>
              <w:t>0~30</w:t>
            </w:r>
          </w:p>
        </w:tc>
      </w:tr>
      <w:tr w14:paraId="365BE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9" w:type="dxa"/>
            <w:noWrap w:val="0"/>
            <w:vAlign w:val="top"/>
          </w:tcPr>
          <w:p w14:paraId="0D9871DF">
            <w:pPr>
              <w:pStyle w:val="1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2</w:t>
            </w:r>
          </w:p>
        </w:tc>
        <w:tc>
          <w:tcPr>
            <w:tcW w:w="1158" w:type="dxa"/>
            <w:noWrap w:val="0"/>
            <w:vAlign w:val="top"/>
          </w:tcPr>
          <w:p w14:paraId="75765D11">
            <w:pPr>
              <w:pStyle w:val="1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技术分</w:t>
            </w:r>
          </w:p>
        </w:tc>
        <w:tc>
          <w:tcPr>
            <w:tcW w:w="6719" w:type="dxa"/>
            <w:noWrap w:val="0"/>
            <w:vAlign w:val="top"/>
          </w:tcPr>
          <w:p w14:paraId="495794AA">
            <w:pPr>
              <w:pStyle w:val="1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center"/>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评审因素具体内容</w:t>
            </w:r>
          </w:p>
        </w:tc>
        <w:tc>
          <w:tcPr>
            <w:tcW w:w="735" w:type="dxa"/>
            <w:noWrap w:val="0"/>
            <w:vAlign w:val="center"/>
          </w:tcPr>
          <w:p w14:paraId="6B17051D">
            <w:pPr>
              <w:pStyle w:val="1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0~</w:t>
            </w:r>
            <w:r>
              <w:rPr>
                <w:rFonts w:hint="eastAsia" w:hAnsi="宋体" w:cs="宋体"/>
                <w:color w:val="auto"/>
                <w:kern w:val="0"/>
                <w:sz w:val="21"/>
                <w:szCs w:val="21"/>
                <w:highlight w:val="none"/>
                <w:lang w:val="en-US" w:eastAsia="zh-CN"/>
              </w:rPr>
              <w:t>55</w:t>
            </w:r>
          </w:p>
        </w:tc>
      </w:tr>
      <w:tr w14:paraId="6BBD1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trPr>
        <w:tc>
          <w:tcPr>
            <w:tcW w:w="819" w:type="dxa"/>
            <w:noWrap w:val="0"/>
            <w:vAlign w:val="center"/>
          </w:tcPr>
          <w:p w14:paraId="1E702073">
            <w:pPr>
              <w:keepNext w:val="0"/>
              <w:keepLines w:val="0"/>
              <w:suppressLineNumbers w:val="0"/>
              <w:spacing w:before="0" w:beforeAutospacing="0" w:after="0" w:afterAutospacing="0" w:line="360" w:lineRule="auto"/>
              <w:ind w:left="0" w:right="0"/>
              <w:jc w:val="center"/>
              <w:rPr>
                <w:rFonts w:hint="default" w:ascii="宋体" w:hAnsi="宋体" w:eastAsia="宋体" w:cs="Times New Roman"/>
                <w:bCs/>
                <w:color w:val="auto"/>
                <w:szCs w:val="21"/>
                <w:highlight w:val="none"/>
                <w:lang w:val="en-US" w:eastAsia="zh-CN"/>
              </w:rPr>
            </w:pPr>
            <w:r>
              <w:rPr>
                <w:rFonts w:hint="eastAsia" w:ascii="宋体" w:hAnsi="宋体" w:cs="Times New Roman"/>
                <w:bCs/>
                <w:color w:val="auto"/>
                <w:szCs w:val="21"/>
                <w:highlight w:val="none"/>
              </w:rPr>
              <w:t>2</w:t>
            </w:r>
            <w:r>
              <w:rPr>
                <w:rFonts w:hint="eastAsia" w:ascii="宋体" w:hAnsi="宋体" w:cs="Times New Roman"/>
                <w:bCs/>
                <w:color w:val="auto"/>
                <w:szCs w:val="21"/>
                <w:highlight w:val="none"/>
                <w:lang w:val="en-US" w:eastAsia="zh-CN"/>
              </w:rPr>
              <w:t>.1</w:t>
            </w:r>
          </w:p>
        </w:tc>
        <w:tc>
          <w:tcPr>
            <w:tcW w:w="1158" w:type="dxa"/>
            <w:noWrap w:val="0"/>
            <w:vAlign w:val="center"/>
          </w:tcPr>
          <w:p w14:paraId="7F7638ED">
            <w:pPr>
              <w:keepNext w:val="0"/>
              <w:keepLines w:val="0"/>
              <w:suppressLineNumbers w:val="0"/>
              <w:spacing w:before="0" w:beforeAutospacing="0" w:after="0" w:afterAutospacing="0" w:line="360" w:lineRule="auto"/>
              <w:ind w:left="0" w:right="0"/>
              <w:jc w:val="center"/>
              <w:rPr>
                <w:rFonts w:hint="default" w:ascii="宋体" w:hAnsi="宋体" w:eastAsia="宋体" w:cs="Times New Roman"/>
                <w:b w:val="0"/>
                <w:bCs w:val="0"/>
                <w:color w:val="auto"/>
                <w:szCs w:val="21"/>
                <w:highlight w:val="yellow"/>
                <w:lang w:val="en-US" w:eastAsia="zh-CN"/>
              </w:rPr>
            </w:pPr>
            <w:r>
              <w:rPr>
                <w:rFonts w:hint="eastAsia" w:ascii="宋体" w:hAnsi="宋体" w:eastAsia="宋体" w:cs="宋体"/>
                <w:b w:val="0"/>
                <w:bCs w:val="0"/>
                <w:color w:val="auto"/>
                <w:szCs w:val="21"/>
                <w:highlight w:val="none"/>
                <w:lang w:val="en-US" w:eastAsia="zh-CN"/>
              </w:rPr>
              <w:t>线路技术参数响应分（14分）</w:t>
            </w:r>
          </w:p>
        </w:tc>
        <w:tc>
          <w:tcPr>
            <w:tcW w:w="6719" w:type="dxa"/>
            <w:noWrap w:val="0"/>
            <w:vAlign w:val="top"/>
          </w:tcPr>
          <w:p w14:paraId="3E02422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left"/>
              <w:textAlignment w:val="auto"/>
              <w:rPr>
                <w:rFonts w:hint="eastAsia" w:ascii="宋体" w:hAnsi="宋体" w:eastAsia="宋体" w:cs="宋体"/>
                <w:sz w:val="21"/>
                <w:szCs w:val="21"/>
              </w:rPr>
            </w:pPr>
            <w:r>
              <w:rPr>
                <w:rFonts w:hint="eastAsia" w:ascii="宋体" w:hAnsi="宋体" w:eastAsia="宋体" w:cs="宋体"/>
                <w:sz w:val="21"/>
                <w:szCs w:val="21"/>
              </w:rPr>
              <w:t>线路技术参数响应（1</w:t>
            </w:r>
            <w:r>
              <w:rPr>
                <w:rFonts w:hint="eastAsia" w:ascii="宋体" w:hAnsi="宋体" w:eastAsia="宋体" w:cs="宋体"/>
                <w:sz w:val="21"/>
                <w:szCs w:val="21"/>
                <w:lang w:val="en-US" w:eastAsia="zh-CN"/>
              </w:rPr>
              <w:t>4</w:t>
            </w:r>
            <w:r>
              <w:rPr>
                <w:rFonts w:hint="eastAsia" w:ascii="宋体" w:hAnsi="宋体" w:eastAsia="宋体" w:cs="宋体"/>
                <w:sz w:val="21"/>
                <w:szCs w:val="21"/>
              </w:rPr>
              <w:t>分）</w:t>
            </w:r>
          </w:p>
          <w:p w14:paraId="0874EEF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left"/>
              <w:textAlignment w:val="auto"/>
              <w:rPr>
                <w:rFonts w:hint="eastAsia" w:ascii="宋体" w:hAnsi="宋体" w:eastAsia="宋体" w:cs="宋体"/>
                <w:sz w:val="21"/>
                <w:szCs w:val="21"/>
              </w:rPr>
            </w:pPr>
            <w:r>
              <w:rPr>
                <w:rFonts w:hint="eastAsia" w:ascii="宋体" w:hAnsi="宋体" w:eastAsia="宋体" w:cs="宋体"/>
                <w:sz w:val="21"/>
                <w:szCs w:val="21"/>
              </w:rPr>
              <w:t>依据供应商对采购需求中点对点光纤线路和互联网出口专线技术参数的响应情况进行评审：</w:t>
            </w:r>
          </w:p>
          <w:p w14:paraId="06A9ABA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left"/>
              <w:textAlignment w:val="auto"/>
              <w:rPr>
                <w:rFonts w:hint="eastAsia" w:ascii="宋体" w:hAnsi="宋体" w:eastAsia="宋体" w:cs="宋体"/>
                <w:sz w:val="21"/>
                <w:szCs w:val="21"/>
              </w:rPr>
            </w:pPr>
            <w:r>
              <w:rPr>
                <w:rFonts w:hint="eastAsia" w:ascii="宋体" w:hAnsi="宋体" w:eastAsia="宋体" w:cs="宋体"/>
                <w:sz w:val="21"/>
                <w:szCs w:val="21"/>
              </w:rPr>
              <w:t>2.1.1 网络可用率承诺：承诺端到端链路可用率≥99.99%的得3分；≥99.9%且＜99.99%的得2分；＜99.9%的不得分（</w:t>
            </w:r>
            <w:r>
              <w:rPr>
                <w:rFonts w:hint="eastAsia" w:ascii="宋体" w:hAnsi="宋体" w:eastAsia="宋体" w:cs="宋体"/>
                <w:sz w:val="21"/>
                <w:szCs w:val="21"/>
                <w:lang w:val="en-US" w:eastAsia="zh-CN"/>
              </w:rPr>
              <w:t>需承诺</w:t>
            </w:r>
            <w:r>
              <w:rPr>
                <w:rFonts w:hint="eastAsia" w:ascii="宋体" w:hAnsi="宋体" w:eastAsia="宋体" w:cs="宋体"/>
                <w:sz w:val="21"/>
                <w:szCs w:val="21"/>
              </w:rPr>
              <w:t>除计划割接及不可抗力原因外，线路连续中断时间超过2小时的，每2小时免费延长使用30天；中断超过24小时的，按当月服务费的20%进行现金赔偿，否则该项不得分。）；（3分）
</w:t>
            </w:r>
          </w:p>
          <w:p w14:paraId="00AAFCC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left"/>
              <w:textAlignment w:val="auto"/>
              <w:rPr>
                <w:rFonts w:hint="eastAsia" w:ascii="宋体" w:hAnsi="宋体" w:eastAsia="宋体" w:cs="宋体"/>
                <w:sz w:val="21"/>
                <w:szCs w:val="21"/>
              </w:rPr>
            </w:pPr>
            <w:r>
              <w:rPr>
                <w:rFonts w:hint="eastAsia" w:ascii="宋体" w:hAnsi="宋体" w:eastAsia="宋体" w:cs="宋体"/>
                <w:sz w:val="21"/>
                <w:szCs w:val="21"/>
              </w:rPr>
              <w:t>2.1.2 端到端电路平均网络延时≤50ms（其中区内节点间≤20ms），且提供最近3个月内同规格链路的实际延时测试截图或运营商网管系统截图予以证明的；（2分）
</w:t>
            </w:r>
          </w:p>
          <w:p w14:paraId="5E077F1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left"/>
              <w:textAlignment w:val="auto"/>
              <w:rPr>
                <w:rFonts w:hint="eastAsia" w:ascii="宋体" w:hAnsi="宋体" w:eastAsia="宋体" w:cs="宋体"/>
                <w:sz w:val="21"/>
                <w:szCs w:val="21"/>
              </w:rPr>
            </w:pPr>
            <w:r>
              <w:rPr>
                <w:rFonts w:hint="eastAsia" w:ascii="宋体" w:hAnsi="宋体" w:eastAsia="宋体" w:cs="宋体"/>
                <w:sz w:val="21"/>
                <w:szCs w:val="21"/>
              </w:rPr>
              <w:t>2.1.3 端到端电路丢包率≤1%（忙时≤0.5%），且提供实际测试数据证明的；（2分）
</w:t>
            </w:r>
          </w:p>
          <w:p w14:paraId="6A57A91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left"/>
              <w:textAlignment w:val="auto"/>
              <w:rPr>
                <w:rFonts w:hint="eastAsia" w:ascii="宋体" w:hAnsi="宋体" w:eastAsia="宋体" w:cs="宋体"/>
                <w:sz w:val="21"/>
                <w:szCs w:val="21"/>
              </w:rPr>
            </w:pPr>
            <w:r>
              <w:rPr>
                <w:rFonts w:hint="eastAsia" w:ascii="宋体" w:hAnsi="宋体" w:eastAsia="宋体" w:cs="宋体"/>
                <w:sz w:val="21"/>
                <w:szCs w:val="21"/>
              </w:rPr>
              <w:t>2.1.4 2000M互联网带宽裸机测试，上、下行速率对称且稳定在2000Mbit/s</w:t>
            </w:r>
            <w:r>
              <w:rPr>
                <w:rFonts w:hint="eastAsia" w:ascii="宋体" w:hAnsi="宋体" w:eastAsia="宋体" w:cs="宋体"/>
                <w:color w:val="auto"/>
                <w:sz w:val="21"/>
                <w:szCs w:val="21"/>
              </w:rPr>
              <w:t>的得2分</w:t>
            </w:r>
            <w:r>
              <w:rPr>
                <w:rFonts w:hint="eastAsia" w:ascii="宋体" w:hAnsi="宋体" w:eastAsia="宋体" w:cs="宋体"/>
                <w:sz w:val="21"/>
                <w:szCs w:val="21"/>
              </w:rPr>
              <w:t>；承诺可进行72小时持续满负荷打流测试（速率波动不超过±5%）的额外加1分；（3分）
</w:t>
            </w:r>
          </w:p>
          <w:p w14:paraId="491C33D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left"/>
              <w:textAlignment w:val="auto"/>
              <w:rPr>
                <w:rFonts w:hint="eastAsia" w:ascii="宋体" w:hAnsi="宋体" w:eastAsia="宋体" w:cs="宋体"/>
                <w:sz w:val="21"/>
                <w:szCs w:val="21"/>
              </w:rPr>
            </w:pPr>
            <w:r>
              <w:rPr>
                <w:rFonts w:hint="eastAsia" w:ascii="宋体" w:hAnsi="宋体" w:eastAsia="宋体" w:cs="宋体"/>
                <w:sz w:val="21"/>
                <w:szCs w:val="21"/>
              </w:rPr>
              <w:t>2.1.5 采用基于MSTP或更优接入技术，具备最小保障带宽设置机制和QoS机制，且承诺可为政务业务流量设置独立优先级队列（保障带宽不低于总带宽的30%）；（2分）
</w:t>
            </w:r>
          </w:p>
          <w:p w14:paraId="0F982FA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left"/>
              <w:textAlignment w:val="auto"/>
              <w:rPr>
                <w:rFonts w:hint="eastAsia" w:ascii="宋体" w:hAnsi="宋体" w:eastAsia="宋体" w:cs="宋体"/>
                <w:sz w:val="21"/>
                <w:szCs w:val="21"/>
              </w:rPr>
            </w:pPr>
            <w:r>
              <w:rPr>
                <w:rFonts w:hint="eastAsia" w:ascii="宋体" w:hAnsi="宋体" w:eastAsia="宋体" w:cs="宋体"/>
                <w:sz w:val="21"/>
                <w:szCs w:val="21"/>
              </w:rPr>
              <w:t>2.1.6 汇聚层至骨干层具有自愈环保护功能，具备≤50ms保护倒换能力；同时提供物理双路由证明（不同管道、不同光缆路由，非同一管道不同纤芯）的额外加1分；（2分，基础1分+冗余1分）</w:t>
            </w:r>
          </w:p>
          <w:p w14:paraId="709133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left"/>
              <w:textAlignment w:val="auto"/>
              <w:rPr>
                <w:rFonts w:hint="eastAsia" w:ascii="宋体" w:hAnsi="宋体" w:eastAsia="宋体" w:cs="宋体"/>
                <w:bCs/>
                <w:color w:val="auto"/>
                <w:sz w:val="21"/>
                <w:szCs w:val="21"/>
                <w:highlight w:val="yellow"/>
                <w:lang w:val="en-US" w:eastAsia="zh-CN"/>
              </w:rPr>
            </w:pPr>
            <w:r>
              <w:rPr>
                <w:rFonts w:hint="eastAsia" w:ascii="宋体" w:hAnsi="宋体" w:eastAsia="宋体" w:cs="宋体"/>
                <w:sz w:val="21"/>
                <w:szCs w:val="21"/>
              </w:rPr>
              <w:t>评分规则：每满足1项得相应分值，不满足或无法提供证明材料的不扣分但不得分。本项最高1</w:t>
            </w:r>
            <w:r>
              <w:rPr>
                <w:rFonts w:hint="eastAsia" w:ascii="宋体" w:hAnsi="宋体" w:eastAsia="宋体" w:cs="宋体"/>
                <w:sz w:val="21"/>
                <w:szCs w:val="21"/>
                <w:lang w:val="en-US" w:eastAsia="zh-CN"/>
              </w:rPr>
              <w:t>4</w:t>
            </w:r>
            <w:r>
              <w:rPr>
                <w:rFonts w:hint="eastAsia" w:ascii="宋体" w:hAnsi="宋体" w:eastAsia="宋体" w:cs="宋体"/>
                <w:sz w:val="21"/>
                <w:szCs w:val="21"/>
              </w:rPr>
              <w:t>分。</w:t>
            </w:r>
          </w:p>
        </w:tc>
        <w:tc>
          <w:tcPr>
            <w:tcW w:w="735" w:type="dxa"/>
            <w:noWrap w:val="0"/>
            <w:vAlign w:val="center"/>
          </w:tcPr>
          <w:p w14:paraId="02C60D03">
            <w:pPr>
              <w:keepNext w:val="0"/>
              <w:keepLines w:val="0"/>
              <w:suppressLineNumbers w:val="0"/>
              <w:spacing w:before="0" w:beforeAutospacing="0" w:after="0" w:afterAutospacing="0" w:line="360" w:lineRule="auto"/>
              <w:ind w:left="0" w:right="0"/>
              <w:jc w:val="center"/>
              <w:rPr>
                <w:rFonts w:hint="default" w:ascii="宋体" w:hAnsi="宋体" w:eastAsia="宋体" w:cs="Times New Roman"/>
                <w:bCs/>
                <w:color w:val="auto"/>
                <w:szCs w:val="21"/>
                <w:highlight w:val="none"/>
                <w:lang w:val="en-US" w:eastAsia="zh-CN"/>
              </w:rPr>
            </w:pPr>
            <w:r>
              <w:rPr>
                <w:rFonts w:hint="eastAsia" w:ascii="宋体" w:hAnsi="宋体" w:cs="Times New Roman"/>
                <w:bCs/>
                <w:color w:val="auto"/>
                <w:szCs w:val="21"/>
                <w:highlight w:val="none"/>
              </w:rPr>
              <w:t>0~</w:t>
            </w:r>
            <w:r>
              <w:rPr>
                <w:rFonts w:hint="eastAsia" w:ascii="宋体" w:hAnsi="宋体" w:cs="Times New Roman"/>
                <w:bCs/>
                <w:color w:val="auto"/>
                <w:szCs w:val="21"/>
                <w:highlight w:val="none"/>
                <w:lang w:val="en-US" w:eastAsia="zh-CN"/>
              </w:rPr>
              <w:t>14</w:t>
            </w:r>
          </w:p>
        </w:tc>
      </w:tr>
      <w:tr w14:paraId="40099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9" w:type="dxa"/>
            <w:noWrap w:val="0"/>
            <w:vAlign w:val="center"/>
          </w:tcPr>
          <w:p w14:paraId="1398E291">
            <w:pPr>
              <w:keepNext w:val="0"/>
              <w:keepLines w:val="0"/>
              <w:suppressLineNumbers w:val="0"/>
              <w:spacing w:before="0" w:beforeAutospacing="0" w:after="0" w:afterAutospacing="0" w:line="360" w:lineRule="auto"/>
              <w:ind w:left="0" w:right="0"/>
              <w:jc w:val="center"/>
              <w:rPr>
                <w:rFonts w:hint="default" w:ascii="宋体" w:hAnsi="宋体" w:eastAsia="宋体" w:cs="Times New Roman"/>
                <w:bCs/>
                <w:color w:val="auto"/>
                <w:szCs w:val="21"/>
                <w:highlight w:val="none"/>
                <w:lang w:val="en-US" w:eastAsia="zh-CN"/>
              </w:rPr>
            </w:pPr>
            <w:r>
              <w:rPr>
                <w:rFonts w:hint="eastAsia" w:ascii="宋体" w:hAnsi="宋体" w:cs="Times New Roman"/>
                <w:bCs/>
                <w:color w:val="auto"/>
                <w:szCs w:val="21"/>
                <w:highlight w:val="none"/>
                <w:lang w:val="en-US" w:eastAsia="zh-CN"/>
              </w:rPr>
              <w:t>2.2</w:t>
            </w:r>
          </w:p>
        </w:tc>
        <w:tc>
          <w:tcPr>
            <w:tcW w:w="1158" w:type="dxa"/>
            <w:noWrap w:val="0"/>
            <w:vAlign w:val="center"/>
          </w:tcPr>
          <w:p w14:paraId="48DC7790">
            <w:pPr>
              <w:keepNext w:val="0"/>
              <w:keepLines w:val="0"/>
              <w:suppressLineNumbers w:val="0"/>
              <w:spacing w:before="0" w:beforeAutospacing="0" w:after="0" w:afterAutospacing="0" w:line="360" w:lineRule="auto"/>
              <w:ind w:left="0" w:right="0"/>
              <w:jc w:val="center"/>
              <w:rPr>
                <w:rFonts w:hint="eastAsia" w:ascii="宋体" w:hAnsi="宋体" w:eastAsia="宋体" w:cs="Times New Roman"/>
                <w:b w:val="0"/>
                <w:bCs w:val="0"/>
                <w:color w:val="auto"/>
                <w:szCs w:val="21"/>
                <w:highlight w:val="yellow"/>
                <w:lang w:val="en-US" w:eastAsia="zh-CN"/>
              </w:rPr>
            </w:pPr>
            <w:r>
              <w:rPr>
                <w:rFonts w:hint="eastAsia" w:ascii="宋体" w:hAnsi="宋体" w:eastAsia="宋体" w:cs="宋体"/>
                <w:b w:val="0"/>
                <w:bCs w:val="0"/>
                <w:color w:val="auto"/>
                <w:szCs w:val="21"/>
                <w:highlight w:val="none"/>
                <w:lang w:val="en-US" w:eastAsia="zh-CN"/>
              </w:rPr>
              <w:t>网络安全设备技术参数响应分（</w:t>
            </w:r>
            <w:r>
              <w:rPr>
                <w:rFonts w:hint="eastAsia" w:ascii="宋体" w:hAnsi="宋体" w:cs="宋体"/>
                <w:b w:val="0"/>
                <w:bCs w:val="0"/>
                <w:color w:val="auto"/>
                <w:szCs w:val="21"/>
                <w:highlight w:val="none"/>
                <w:lang w:val="en-US" w:eastAsia="zh-CN"/>
              </w:rPr>
              <w:t>9</w:t>
            </w:r>
            <w:r>
              <w:rPr>
                <w:rFonts w:hint="eastAsia" w:ascii="宋体" w:hAnsi="宋体" w:eastAsia="宋体" w:cs="宋体"/>
                <w:b w:val="0"/>
                <w:bCs w:val="0"/>
                <w:color w:val="auto"/>
                <w:szCs w:val="21"/>
                <w:highlight w:val="none"/>
                <w:lang w:val="en-US" w:eastAsia="zh-CN"/>
              </w:rPr>
              <w:t>分）</w:t>
            </w:r>
          </w:p>
        </w:tc>
        <w:tc>
          <w:tcPr>
            <w:tcW w:w="6719" w:type="dxa"/>
            <w:noWrap w:val="0"/>
            <w:vAlign w:val="top"/>
          </w:tcPr>
          <w:p w14:paraId="630A175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left"/>
              <w:textAlignment w:val="auto"/>
              <w:rPr>
                <w:rFonts w:hint="eastAsia" w:ascii="宋体" w:hAnsi="宋体" w:eastAsia="宋体" w:cs="宋体"/>
                <w:sz w:val="21"/>
                <w:szCs w:val="21"/>
              </w:rPr>
            </w:pPr>
            <w:r>
              <w:rPr>
                <w:rFonts w:hint="eastAsia" w:ascii="宋体" w:hAnsi="宋体" w:eastAsia="宋体" w:cs="宋体"/>
                <w:sz w:val="21"/>
                <w:szCs w:val="21"/>
              </w:rPr>
              <w:t>网络安全设备技术参数响应分(满分</w:t>
            </w:r>
            <w:r>
              <w:rPr>
                <w:rFonts w:hint="eastAsia" w:ascii="宋体" w:hAnsi="宋体" w:cs="宋体"/>
                <w:sz w:val="21"/>
                <w:szCs w:val="21"/>
                <w:lang w:val="en-US" w:eastAsia="zh-CN"/>
              </w:rPr>
              <w:t>9</w:t>
            </w:r>
            <w:r>
              <w:rPr>
                <w:rFonts w:hint="eastAsia" w:ascii="宋体" w:hAnsi="宋体" w:eastAsia="宋体" w:cs="宋体"/>
                <w:sz w:val="21"/>
                <w:szCs w:val="21"/>
              </w:rPr>
              <w:t>分)</w:t>
            </w:r>
          </w:p>
          <w:p w14:paraId="1100088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left"/>
              <w:textAlignment w:val="auto"/>
              <w:rPr>
                <w:rFonts w:hint="eastAsia" w:ascii="宋体" w:hAnsi="宋体" w:eastAsia="宋体" w:cs="宋体"/>
                <w:sz w:val="21"/>
                <w:szCs w:val="21"/>
              </w:rPr>
            </w:pPr>
            <w:r>
              <w:rPr>
                <w:rFonts w:hint="eastAsia" w:ascii="宋体" w:hAnsi="宋体" w:eastAsia="宋体" w:cs="宋体"/>
                <w:sz w:val="21"/>
                <w:szCs w:val="21"/>
              </w:rPr>
              <w:t>依据供应商对网络安全设备技术参数的响应情况进行评审，本项分为四个子项独立评分：
</w:t>
            </w:r>
          </w:p>
          <w:p w14:paraId="0302912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left"/>
              <w:textAlignment w:val="auto"/>
              <w:rPr>
                <w:rFonts w:hint="eastAsia" w:ascii="宋体" w:hAnsi="宋体" w:eastAsia="宋体" w:cs="宋体"/>
                <w:sz w:val="21"/>
                <w:szCs w:val="21"/>
              </w:rPr>
            </w:pPr>
            <w:r>
              <w:rPr>
                <w:rFonts w:hint="eastAsia" w:ascii="宋体" w:hAnsi="宋体" w:eastAsia="宋体" w:cs="宋体"/>
                <w:sz w:val="21"/>
                <w:szCs w:val="21"/>
              </w:rPr>
              <w:t>【边界防护设备-下一代防火墙】（满分</w:t>
            </w:r>
            <w:r>
              <w:rPr>
                <w:rFonts w:hint="eastAsia" w:ascii="宋体" w:hAnsi="宋体" w:eastAsia="宋体" w:cs="宋体"/>
                <w:sz w:val="21"/>
                <w:szCs w:val="21"/>
                <w:lang w:val="en-US" w:eastAsia="zh-CN"/>
              </w:rPr>
              <w:t>2</w:t>
            </w:r>
            <w:r>
              <w:rPr>
                <w:rFonts w:hint="eastAsia" w:ascii="宋体" w:hAnsi="宋体" w:eastAsia="宋体" w:cs="宋体"/>
                <w:sz w:val="21"/>
                <w:szCs w:val="21"/>
              </w:rPr>
              <w:t>分）
</w:t>
            </w:r>
          </w:p>
          <w:p w14:paraId="053BFC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left"/>
              <w:textAlignment w:val="auto"/>
              <w:rPr>
                <w:rFonts w:hint="eastAsia" w:ascii="宋体" w:hAnsi="宋体" w:eastAsia="宋体" w:cs="宋体"/>
                <w:color w:val="auto"/>
                <w:sz w:val="21"/>
                <w:szCs w:val="21"/>
              </w:rPr>
            </w:pPr>
            <w:r>
              <w:rPr>
                <w:rFonts w:hint="eastAsia" w:ascii="宋体" w:hAnsi="宋体" w:eastAsia="宋体" w:cs="宋体"/>
                <w:sz w:val="21"/>
                <w:szCs w:val="21"/>
              </w:rPr>
              <w:t>2.2.1 基础性能：网络层吞吐量≥40Gbps、应用层吞吐量≥25Gbps、全威胁吞吐量≥3G、并发连接数≥400万、每秒新建连接数≥15万，满足得1.5分，不满足不得分；（1.5分）
</w:t>
            </w:r>
          </w:p>
          <w:p w14:paraId="07D3857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2.2.</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 xml:space="preserve"> 高可用：支持策略路由负载均衡、双机热备毫秒级切换，</w:t>
            </w:r>
            <w:r>
              <w:rPr>
                <w:rFonts w:hint="eastAsia" w:ascii="宋体" w:hAnsi="宋体" w:cs="宋体"/>
                <w:color w:val="auto"/>
                <w:sz w:val="21"/>
                <w:szCs w:val="21"/>
                <w:lang w:eastAsia="zh-CN"/>
              </w:rPr>
              <w:t>两</w:t>
            </w:r>
            <w:r>
              <w:rPr>
                <w:rFonts w:hint="eastAsia" w:ascii="宋体" w:hAnsi="宋体" w:eastAsia="宋体" w:cs="宋体"/>
                <w:color w:val="auto"/>
                <w:sz w:val="21"/>
                <w:szCs w:val="21"/>
              </w:rPr>
              <w:t>项全部满足得0.5分，缺一项扣0.2</w:t>
            </w:r>
            <w:r>
              <w:rPr>
                <w:rFonts w:hint="eastAsia" w:ascii="宋体" w:hAnsi="宋体" w:cs="宋体"/>
                <w:color w:val="auto"/>
                <w:sz w:val="21"/>
                <w:szCs w:val="21"/>
                <w:lang w:val="en-US" w:eastAsia="zh-CN"/>
              </w:rPr>
              <w:t>5</w:t>
            </w:r>
            <w:r>
              <w:rPr>
                <w:rFonts w:hint="eastAsia" w:ascii="宋体" w:hAnsi="宋体" w:eastAsia="宋体" w:cs="宋体"/>
                <w:color w:val="auto"/>
                <w:sz w:val="21"/>
                <w:szCs w:val="21"/>
              </w:rPr>
              <w:t>分；（0.5分）</w:t>
            </w:r>
          </w:p>
          <w:p w14:paraId="2A63B09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left"/>
              <w:textAlignment w:val="auto"/>
              <w:rPr>
                <w:rFonts w:hint="eastAsia" w:ascii="宋体" w:hAnsi="宋体" w:eastAsia="宋体" w:cs="宋体"/>
                <w:sz w:val="21"/>
                <w:szCs w:val="21"/>
              </w:rPr>
            </w:pPr>
            <w:r>
              <w:rPr>
                <w:rFonts w:hint="eastAsia" w:ascii="宋体" w:hAnsi="宋体" w:eastAsia="宋体" w:cs="宋体"/>
                <w:sz w:val="21"/>
                <w:szCs w:val="21"/>
              </w:rPr>
              <w:t>【上网行为管理与准入控制】（满分3分）
</w:t>
            </w:r>
          </w:p>
          <w:p w14:paraId="636A91C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left"/>
              <w:textAlignment w:val="auto"/>
              <w:rPr>
                <w:rFonts w:hint="eastAsia" w:ascii="宋体" w:hAnsi="宋体" w:eastAsia="宋体" w:cs="宋体"/>
                <w:sz w:val="21"/>
                <w:szCs w:val="21"/>
              </w:rPr>
            </w:pPr>
            <w:r>
              <w:rPr>
                <w:rFonts w:hint="eastAsia" w:ascii="宋体" w:hAnsi="宋体" w:eastAsia="宋体" w:cs="宋体"/>
                <w:sz w:val="21"/>
                <w:szCs w:val="21"/>
              </w:rPr>
              <w:t>2.2.</w:t>
            </w:r>
            <w:r>
              <w:rPr>
                <w:rFonts w:hint="eastAsia" w:ascii="宋体" w:hAnsi="宋体" w:eastAsia="宋体" w:cs="宋体"/>
                <w:sz w:val="21"/>
                <w:szCs w:val="21"/>
                <w:lang w:val="en-US" w:eastAsia="zh-CN"/>
              </w:rPr>
              <w:t>3</w:t>
            </w:r>
            <w:r>
              <w:rPr>
                <w:rFonts w:hint="eastAsia" w:ascii="宋体" w:hAnsi="宋体" w:eastAsia="宋体" w:cs="宋体"/>
                <w:sz w:val="21"/>
                <w:szCs w:val="21"/>
              </w:rPr>
              <w:t xml:space="preserve"> 基础性能：网络层吞吐量≥20Gbps、应用层吞吐量≥9Gbps、带宽性能≥5Gbps、并发连接数≥300万，满足得1分，不满足不得分；（1分）
</w:t>
            </w:r>
          </w:p>
          <w:p w14:paraId="11EC715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left"/>
              <w:textAlignment w:val="auto"/>
              <w:rPr>
                <w:rFonts w:hint="eastAsia" w:ascii="宋体" w:hAnsi="宋体" w:eastAsia="宋体" w:cs="宋体"/>
                <w:sz w:val="21"/>
                <w:szCs w:val="21"/>
              </w:rPr>
            </w:pPr>
            <w:r>
              <w:rPr>
                <w:rFonts w:hint="eastAsia" w:ascii="宋体" w:hAnsi="宋体" w:eastAsia="宋体" w:cs="宋体"/>
                <w:sz w:val="21"/>
                <w:szCs w:val="21"/>
              </w:rPr>
              <w:t>2.2.</w:t>
            </w:r>
            <w:r>
              <w:rPr>
                <w:rFonts w:hint="eastAsia" w:ascii="宋体" w:hAnsi="宋体" w:eastAsia="宋体" w:cs="宋体"/>
                <w:sz w:val="21"/>
                <w:szCs w:val="21"/>
                <w:lang w:val="en-US" w:eastAsia="zh-CN"/>
              </w:rPr>
              <w:t>4</w:t>
            </w:r>
            <w:r>
              <w:rPr>
                <w:rFonts w:hint="eastAsia" w:ascii="宋体" w:hAnsi="宋体" w:eastAsia="宋体" w:cs="宋体"/>
                <w:sz w:val="21"/>
                <w:szCs w:val="21"/>
              </w:rPr>
              <w:t xml:space="preserve"> 准入认证：支持802.1x、Portal、IP/MAC绑定中至少两种认证方式，得1分；不支持的，得0分；（1分）
</w:t>
            </w:r>
          </w:p>
          <w:p w14:paraId="123F694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left"/>
              <w:textAlignment w:val="auto"/>
              <w:rPr>
                <w:rFonts w:hint="eastAsia" w:ascii="宋体" w:hAnsi="宋体" w:eastAsia="宋体" w:cs="宋体"/>
                <w:sz w:val="21"/>
                <w:szCs w:val="21"/>
              </w:rPr>
            </w:pPr>
            <w:r>
              <w:rPr>
                <w:rFonts w:hint="eastAsia" w:ascii="宋体" w:hAnsi="宋体" w:eastAsia="宋体" w:cs="宋体"/>
                <w:sz w:val="21"/>
                <w:szCs w:val="21"/>
              </w:rPr>
              <w:t>2.2.</w:t>
            </w:r>
            <w:r>
              <w:rPr>
                <w:rFonts w:hint="eastAsia" w:ascii="宋体" w:hAnsi="宋体" w:eastAsia="宋体" w:cs="宋体"/>
                <w:sz w:val="21"/>
                <w:szCs w:val="21"/>
                <w:lang w:val="en-US" w:eastAsia="zh-CN"/>
              </w:rPr>
              <w:t>5</w:t>
            </w:r>
            <w:r>
              <w:rPr>
                <w:rFonts w:hint="eastAsia" w:ascii="宋体" w:hAnsi="宋体" w:eastAsia="宋体" w:cs="宋体"/>
                <w:sz w:val="21"/>
                <w:szCs w:val="21"/>
              </w:rPr>
              <w:t xml:space="preserve"> 终端合规与</w:t>
            </w:r>
            <w:r>
              <w:rPr>
                <w:rFonts w:hint="eastAsia" w:ascii="宋体" w:hAnsi="宋体" w:eastAsia="宋体" w:cs="宋体"/>
                <w:sz w:val="21"/>
                <w:szCs w:val="21"/>
                <w:lang w:val="en-US" w:eastAsia="zh-CN"/>
              </w:rPr>
              <w:t>上网行为管理</w:t>
            </w:r>
            <w:r>
              <w:rPr>
                <w:rFonts w:hint="eastAsia" w:ascii="宋体" w:hAnsi="宋体" w:eastAsia="宋体" w:cs="宋体"/>
                <w:sz w:val="21"/>
                <w:szCs w:val="21"/>
              </w:rPr>
              <w:t>：具备终端合规检查（补丁状态、杀毒软件安装、非法外联检测）和</w:t>
            </w:r>
            <w:r>
              <w:rPr>
                <w:rFonts w:hint="eastAsia" w:ascii="宋体" w:hAnsi="宋体" w:eastAsia="宋体" w:cs="宋体"/>
                <w:sz w:val="21"/>
                <w:szCs w:val="21"/>
                <w:lang w:val="en-US" w:eastAsia="zh-CN"/>
              </w:rPr>
              <w:t>上网行为管理能力，内置应用识别规则库，支持多种应用规则数，具备</w:t>
            </w:r>
            <w:r>
              <w:rPr>
                <w:rFonts w:hint="eastAsia" w:ascii="宋体" w:hAnsi="宋体" w:eastAsia="宋体" w:cs="宋体"/>
                <w:sz w:val="21"/>
                <w:szCs w:val="21"/>
              </w:rPr>
              <w:t>分级精准管控互联网与内网应用行为</w:t>
            </w:r>
            <w:r>
              <w:rPr>
                <w:rFonts w:hint="eastAsia" w:ascii="宋体" w:hAnsi="宋体" w:eastAsia="宋体" w:cs="宋体"/>
                <w:sz w:val="21"/>
                <w:szCs w:val="21"/>
                <w:lang w:val="en-US" w:eastAsia="zh-CN"/>
              </w:rPr>
              <w:t>功能</w:t>
            </w:r>
            <w:r>
              <w:rPr>
                <w:rFonts w:hint="eastAsia" w:ascii="宋体" w:hAnsi="宋体" w:eastAsia="宋体" w:cs="宋体"/>
                <w:sz w:val="21"/>
                <w:szCs w:val="21"/>
              </w:rPr>
              <w:t>，两项均满足得1分，仅满足一项得0.5分，均不满足得0分；（1分）</w:t>
            </w:r>
          </w:p>
          <w:p w14:paraId="036215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left"/>
              <w:textAlignment w:val="auto"/>
              <w:rPr>
                <w:rFonts w:hint="eastAsia" w:ascii="宋体" w:hAnsi="宋体" w:eastAsia="宋体" w:cs="宋体"/>
                <w:sz w:val="21"/>
                <w:szCs w:val="21"/>
              </w:rPr>
            </w:pPr>
            <w:r>
              <w:rPr>
                <w:rFonts w:hint="eastAsia" w:ascii="宋体" w:hAnsi="宋体" w:eastAsia="宋体" w:cs="宋体"/>
                <w:sz w:val="21"/>
                <w:szCs w:val="21"/>
              </w:rPr>
              <w:t>【态势感知与威胁检测系统】（满分</w:t>
            </w:r>
            <w:r>
              <w:rPr>
                <w:rFonts w:hint="eastAsia" w:ascii="宋体" w:hAnsi="宋体" w:cs="宋体"/>
                <w:sz w:val="21"/>
                <w:szCs w:val="21"/>
                <w:lang w:val="en-US" w:eastAsia="zh-CN"/>
              </w:rPr>
              <w:t>2</w:t>
            </w:r>
            <w:r>
              <w:rPr>
                <w:rFonts w:hint="eastAsia" w:ascii="宋体" w:hAnsi="宋体" w:eastAsia="宋体" w:cs="宋体"/>
                <w:sz w:val="21"/>
                <w:szCs w:val="21"/>
              </w:rPr>
              <w:t>分）
</w:t>
            </w:r>
          </w:p>
          <w:p w14:paraId="47E097A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left"/>
              <w:textAlignment w:val="auto"/>
              <w:rPr>
                <w:rFonts w:hint="eastAsia" w:ascii="宋体" w:hAnsi="宋体" w:eastAsia="宋体" w:cs="宋体"/>
                <w:sz w:val="21"/>
                <w:szCs w:val="21"/>
              </w:rPr>
            </w:pPr>
            <w:r>
              <w:rPr>
                <w:rFonts w:hint="eastAsia" w:ascii="宋体" w:hAnsi="宋体" w:eastAsia="宋体" w:cs="宋体"/>
                <w:sz w:val="21"/>
                <w:szCs w:val="21"/>
              </w:rPr>
              <w:t>2.2.</w:t>
            </w:r>
            <w:r>
              <w:rPr>
                <w:rFonts w:hint="eastAsia" w:ascii="宋体" w:hAnsi="宋体" w:eastAsia="宋体" w:cs="宋体"/>
                <w:sz w:val="21"/>
                <w:szCs w:val="21"/>
                <w:lang w:val="en-US" w:eastAsia="zh-CN"/>
              </w:rPr>
              <w:t>6</w:t>
            </w:r>
            <w:r>
              <w:rPr>
                <w:rFonts w:hint="eastAsia" w:ascii="宋体" w:hAnsi="宋体" w:eastAsia="宋体" w:cs="宋体"/>
                <w:sz w:val="21"/>
                <w:szCs w:val="21"/>
              </w:rPr>
              <w:t xml:space="preserve"> 探针性能：APT检测性能≥2G，流量解析性能≥5G，满足得1分，不满足不得分；（1分）
</w:t>
            </w:r>
          </w:p>
          <w:p w14:paraId="3E4C1EB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left"/>
              <w:textAlignment w:val="auto"/>
              <w:rPr>
                <w:rFonts w:hint="eastAsia" w:ascii="宋体" w:hAnsi="宋体" w:eastAsia="宋体" w:cs="宋体"/>
                <w:sz w:val="21"/>
                <w:szCs w:val="21"/>
              </w:rPr>
            </w:pPr>
            <w:r>
              <w:rPr>
                <w:rFonts w:hint="eastAsia" w:ascii="宋体" w:hAnsi="宋体" w:eastAsia="宋体" w:cs="宋体"/>
                <w:sz w:val="21"/>
                <w:szCs w:val="21"/>
              </w:rPr>
              <w:t>2.2.</w:t>
            </w:r>
            <w:r>
              <w:rPr>
                <w:rFonts w:hint="eastAsia" w:ascii="宋体" w:hAnsi="宋体" w:eastAsia="宋体" w:cs="宋体"/>
                <w:sz w:val="21"/>
                <w:szCs w:val="21"/>
                <w:lang w:val="en-US" w:eastAsia="zh-CN"/>
              </w:rPr>
              <w:t>7</w:t>
            </w:r>
            <w:r>
              <w:rPr>
                <w:rFonts w:hint="eastAsia" w:ascii="宋体" w:hAnsi="宋体" w:eastAsia="宋体" w:cs="宋体"/>
                <w:sz w:val="21"/>
                <w:szCs w:val="21"/>
              </w:rPr>
              <w:t xml:space="preserve"> 日志</w:t>
            </w:r>
            <w:r>
              <w:rPr>
                <w:rFonts w:hint="eastAsia" w:ascii="宋体" w:hAnsi="宋体" w:cs="宋体"/>
                <w:sz w:val="21"/>
                <w:szCs w:val="21"/>
                <w:lang w:eastAsia="zh-CN"/>
              </w:rPr>
              <w:t>存储时长</w:t>
            </w:r>
            <w:r>
              <w:rPr>
                <w:rFonts w:hint="eastAsia" w:ascii="宋体" w:hAnsi="宋体" w:eastAsia="宋体" w:cs="宋体"/>
                <w:sz w:val="21"/>
                <w:szCs w:val="21"/>
              </w:rPr>
              <w:t>：全域日志汇聚能力，日志留存≥6个月（1分）</w:t>
            </w:r>
          </w:p>
          <w:p w14:paraId="7512768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left"/>
              <w:textAlignment w:val="auto"/>
              <w:rPr>
                <w:rFonts w:hint="eastAsia" w:ascii="宋体" w:hAnsi="宋体" w:eastAsia="宋体" w:cs="宋体"/>
                <w:color w:val="auto"/>
                <w:sz w:val="21"/>
                <w:szCs w:val="21"/>
              </w:rPr>
            </w:pPr>
            <w:r>
              <w:rPr>
                <w:rFonts w:hint="eastAsia" w:ascii="宋体" w:hAnsi="宋体" w:eastAsia="宋体" w:cs="宋体"/>
                <w:sz w:val="21"/>
                <w:szCs w:val="21"/>
              </w:rPr>
              <w:t>【日志分析管理系统】（满分</w:t>
            </w:r>
            <w:r>
              <w:rPr>
                <w:rFonts w:hint="eastAsia" w:ascii="宋体" w:hAnsi="宋体" w:cs="宋体"/>
                <w:sz w:val="21"/>
                <w:szCs w:val="21"/>
                <w:lang w:val="en-US" w:eastAsia="zh-CN"/>
              </w:rPr>
              <w:t>2</w:t>
            </w:r>
            <w:r>
              <w:rPr>
                <w:rFonts w:hint="eastAsia" w:ascii="宋体" w:hAnsi="宋体" w:eastAsia="宋体" w:cs="宋体"/>
                <w:sz w:val="21"/>
                <w:szCs w:val="21"/>
              </w:rPr>
              <w:t>分）
</w:t>
            </w:r>
          </w:p>
          <w:p w14:paraId="6D26078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left"/>
              <w:textAlignment w:val="auto"/>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2.2.8 多路转发能力：支持日志转发给第三方系统平台且支持设置多个日志转发IP地址，得1分。（1分）</w:t>
            </w:r>
          </w:p>
          <w:p w14:paraId="48A61A3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left"/>
              <w:textAlignment w:val="auto"/>
              <w:rPr>
                <w:rFonts w:hint="eastAsia" w:ascii="宋体" w:hAnsi="宋体" w:eastAsia="宋体" w:cs="宋体"/>
                <w:sz w:val="21"/>
                <w:szCs w:val="21"/>
              </w:rPr>
            </w:pPr>
            <w:r>
              <w:rPr>
                <w:rFonts w:hint="eastAsia" w:ascii="宋体" w:hAnsi="宋体" w:eastAsia="宋体" w:cs="宋体"/>
                <w:color w:val="auto"/>
                <w:sz w:val="21"/>
                <w:szCs w:val="21"/>
              </w:rPr>
              <w:t>2.2.</w:t>
            </w:r>
            <w:r>
              <w:rPr>
                <w:rFonts w:hint="eastAsia" w:ascii="宋体" w:hAnsi="宋体" w:cs="宋体"/>
                <w:color w:val="auto"/>
                <w:sz w:val="21"/>
                <w:szCs w:val="21"/>
                <w:lang w:val="en-US" w:eastAsia="zh-CN"/>
              </w:rPr>
              <w:t>9</w:t>
            </w:r>
            <w:r>
              <w:rPr>
                <w:rFonts w:hint="eastAsia" w:ascii="宋体" w:hAnsi="宋体" w:eastAsia="宋体" w:cs="宋体"/>
                <w:sz w:val="21"/>
                <w:szCs w:val="21"/>
              </w:rPr>
              <w:t xml:space="preserve"> 扩展能力：</w:t>
            </w:r>
            <w:r>
              <w:rPr>
                <w:rFonts w:hint="eastAsia" w:ascii="宋体" w:hAnsi="宋体" w:eastAsia="宋体" w:cs="宋体"/>
                <w:color w:val="auto"/>
                <w:sz w:val="21"/>
                <w:szCs w:val="21"/>
              </w:rPr>
              <w:t xml:space="preserve">支持 </w:t>
            </w:r>
            <w:r>
              <w:rPr>
                <w:rFonts w:hint="eastAsia" w:ascii="宋体" w:hAnsi="宋体" w:cs="宋体"/>
                <w:color w:val="auto"/>
                <w:sz w:val="21"/>
                <w:szCs w:val="21"/>
                <w:lang w:eastAsia="zh-CN"/>
              </w:rPr>
              <w:t>三种以上</w:t>
            </w:r>
            <w:r>
              <w:rPr>
                <w:rFonts w:hint="eastAsia" w:ascii="宋体" w:hAnsi="宋体" w:eastAsia="宋体" w:cs="宋体"/>
                <w:color w:val="auto"/>
                <w:sz w:val="21"/>
                <w:szCs w:val="21"/>
              </w:rPr>
              <w:t>协议，且支持其他主流安全设备协议（包括但不限于防火墙、WAF、IDS/IPS、堡垒机等设备的日志接入），并支持自定义报表和自定义告警策略的</w:t>
            </w:r>
            <w:r>
              <w:rPr>
                <w:rFonts w:hint="eastAsia" w:ascii="宋体" w:hAnsi="宋体" w:eastAsia="宋体" w:cs="宋体"/>
                <w:sz w:val="21"/>
                <w:szCs w:val="21"/>
              </w:rPr>
              <w:t>，得1分；仅支持部分协议的，得0.5分；不支持的，得0分；（1分）
</w:t>
            </w:r>
          </w:p>
          <w:p w14:paraId="29374CF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left"/>
              <w:textAlignment w:val="auto"/>
              <w:rPr>
                <w:rFonts w:hint="eastAsia" w:ascii="宋体" w:hAnsi="宋体" w:eastAsia="宋体" w:cs="宋体"/>
                <w:bCs/>
                <w:color w:val="auto"/>
                <w:sz w:val="21"/>
                <w:szCs w:val="21"/>
                <w:highlight w:val="yellow"/>
              </w:rPr>
            </w:pPr>
            <w:r>
              <w:rPr>
                <w:rFonts w:hint="eastAsia" w:ascii="宋体" w:hAnsi="宋体" w:eastAsia="宋体" w:cs="宋体"/>
                <w:sz w:val="21"/>
                <w:szCs w:val="21"/>
              </w:rPr>
              <w:t>评分规则：四项独立评分，本项总分</w:t>
            </w:r>
            <w:r>
              <w:rPr>
                <w:rFonts w:hint="eastAsia" w:ascii="宋体" w:hAnsi="宋体" w:cs="宋体"/>
                <w:sz w:val="21"/>
                <w:szCs w:val="21"/>
                <w:lang w:val="en-US" w:eastAsia="zh-CN"/>
              </w:rPr>
              <w:t>9</w:t>
            </w:r>
            <w:r>
              <w:rPr>
                <w:rFonts w:hint="eastAsia" w:ascii="宋体" w:hAnsi="宋体" w:eastAsia="宋体" w:cs="宋体"/>
                <w:sz w:val="21"/>
                <w:szCs w:val="21"/>
              </w:rPr>
              <w:t>分。所有技术参数须提供厂商官方</w:t>
            </w:r>
            <w:r>
              <w:rPr>
                <w:rFonts w:hint="eastAsia" w:ascii="宋体" w:hAnsi="宋体" w:eastAsia="宋体" w:cs="宋体"/>
                <w:sz w:val="21"/>
                <w:szCs w:val="21"/>
                <w:lang w:val="en-US" w:eastAsia="zh-CN"/>
              </w:rPr>
              <w:t>书面承诺函和</w:t>
            </w:r>
            <w:r>
              <w:rPr>
                <w:rFonts w:hint="eastAsia" w:ascii="宋体" w:hAnsi="宋体" w:eastAsia="宋体" w:cs="宋体"/>
                <w:sz w:val="21"/>
                <w:szCs w:val="21"/>
              </w:rPr>
              <w:t>功能测试截图等材料并加盖投标单位公章，否则对应子项不得分。</w:t>
            </w:r>
          </w:p>
        </w:tc>
        <w:tc>
          <w:tcPr>
            <w:tcW w:w="735" w:type="dxa"/>
            <w:noWrap w:val="0"/>
            <w:vAlign w:val="center"/>
          </w:tcPr>
          <w:p w14:paraId="700D9AF3">
            <w:pPr>
              <w:keepNext w:val="0"/>
              <w:keepLines w:val="0"/>
              <w:suppressLineNumbers w:val="0"/>
              <w:spacing w:before="0" w:beforeAutospacing="0" w:after="0" w:afterAutospacing="0" w:line="360" w:lineRule="auto"/>
              <w:ind w:left="0" w:right="0"/>
              <w:jc w:val="center"/>
              <w:rPr>
                <w:rFonts w:hint="eastAsia" w:ascii="宋体" w:hAnsi="宋体" w:eastAsia="宋体" w:cs="Times New Roman"/>
                <w:bCs/>
                <w:color w:val="auto"/>
                <w:szCs w:val="21"/>
                <w:highlight w:val="none"/>
                <w:lang w:val="en-US" w:eastAsia="zh-CN"/>
              </w:rPr>
            </w:pPr>
            <w:r>
              <w:rPr>
                <w:rFonts w:hint="eastAsia" w:ascii="宋体" w:hAnsi="宋体" w:cs="Times New Roman"/>
                <w:bCs/>
                <w:color w:val="auto"/>
                <w:szCs w:val="21"/>
                <w:highlight w:val="none"/>
              </w:rPr>
              <w:t>0~</w:t>
            </w:r>
            <w:r>
              <w:rPr>
                <w:rFonts w:hint="eastAsia" w:ascii="宋体" w:hAnsi="宋体" w:cs="Times New Roman"/>
                <w:bCs/>
                <w:color w:val="auto"/>
                <w:szCs w:val="21"/>
                <w:highlight w:val="none"/>
                <w:lang w:val="en-US" w:eastAsia="zh-CN"/>
              </w:rPr>
              <w:t>9</w:t>
            </w:r>
          </w:p>
        </w:tc>
      </w:tr>
      <w:tr w14:paraId="39280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9" w:type="dxa"/>
            <w:noWrap w:val="0"/>
            <w:vAlign w:val="center"/>
          </w:tcPr>
          <w:p w14:paraId="75234C7E">
            <w:pPr>
              <w:keepNext w:val="0"/>
              <w:keepLines w:val="0"/>
              <w:suppressLineNumbers w:val="0"/>
              <w:spacing w:before="0" w:beforeAutospacing="0" w:after="0" w:afterAutospacing="0" w:line="360" w:lineRule="auto"/>
              <w:ind w:left="0" w:right="0"/>
              <w:jc w:val="center"/>
              <w:rPr>
                <w:rFonts w:hint="default" w:ascii="宋体" w:hAnsi="宋体" w:cs="Times New Roman"/>
                <w:bCs/>
                <w:color w:val="auto"/>
                <w:szCs w:val="21"/>
                <w:highlight w:val="none"/>
                <w:lang w:val="en-US" w:eastAsia="zh-CN"/>
              </w:rPr>
            </w:pPr>
            <w:r>
              <w:rPr>
                <w:rFonts w:hint="eastAsia" w:ascii="宋体" w:hAnsi="宋体" w:cs="Times New Roman"/>
                <w:bCs/>
                <w:color w:val="auto"/>
                <w:szCs w:val="21"/>
                <w:highlight w:val="none"/>
                <w:lang w:val="en-US" w:eastAsia="zh-CN"/>
              </w:rPr>
              <w:t>2.3</w:t>
            </w:r>
          </w:p>
        </w:tc>
        <w:tc>
          <w:tcPr>
            <w:tcW w:w="1158" w:type="dxa"/>
            <w:noWrap w:val="0"/>
            <w:vAlign w:val="center"/>
          </w:tcPr>
          <w:p w14:paraId="54EF777B">
            <w:pPr>
              <w:keepNext w:val="0"/>
              <w:keepLines w:val="0"/>
              <w:suppressLineNumbers w:val="0"/>
              <w:spacing w:before="0" w:beforeAutospacing="0" w:after="0" w:afterAutospacing="0" w:line="360" w:lineRule="auto"/>
              <w:ind w:left="0" w:right="0"/>
              <w:jc w:val="center"/>
              <w:rPr>
                <w:rFonts w:hint="default" w:ascii="宋体" w:hAnsi="宋体" w:eastAsia="宋体" w:cs="宋体"/>
                <w:b w:val="0"/>
                <w:bCs w:val="0"/>
                <w:color w:val="auto"/>
                <w:szCs w:val="21"/>
                <w:highlight w:val="yellow"/>
                <w:lang w:val="en-US" w:eastAsia="zh-CN"/>
              </w:rPr>
            </w:pPr>
            <w:r>
              <w:rPr>
                <w:rFonts w:hint="eastAsia" w:ascii="宋体" w:hAnsi="宋体" w:eastAsia="宋体" w:cs="宋体"/>
                <w:b w:val="0"/>
                <w:bCs w:val="0"/>
                <w:color w:val="auto"/>
                <w:szCs w:val="21"/>
                <w:highlight w:val="none"/>
                <w:lang w:val="en-US" w:eastAsia="zh-CN"/>
              </w:rPr>
              <w:t>其他设备技术参数响应分（7分）</w:t>
            </w:r>
          </w:p>
        </w:tc>
        <w:tc>
          <w:tcPr>
            <w:tcW w:w="6719" w:type="dxa"/>
            <w:noWrap w:val="0"/>
            <w:vAlign w:val="top"/>
          </w:tcPr>
          <w:p w14:paraId="77B7D1A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left"/>
              <w:textAlignment w:val="auto"/>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其他设备技术参数响应分（7分</w:t>
            </w:r>
            <w:r>
              <w:rPr>
                <w:rFonts w:hint="eastAsia" w:ascii="宋体" w:hAnsi="宋体" w:cs="宋体"/>
                <w:b w:val="0"/>
                <w:bCs w:val="0"/>
                <w:color w:val="auto"/>
                <w:szCs w:val="21"/>
                <w:highlight w:val="none"/>
                <w:lang w:val="en-US" w:eastAsia="zh-CN"/>
              </w:rPr>
              <w:t>满分</w:t>
            </w:r>
            <w:r>
              <w:rPr>
                <w:rFonts w:hint="eastAsia" w:ascii="宋体" w:hAnsi="宋体" w:eastAsia="宋体" w:cs="宋体"/>
                <w:b w:val="0"/>
                <w:bCs w:val="0"/>
                <w:color w:val="auto"/>
                <w:szCs w:val="21"/>
                <w:highlight w:val="none"/>
                <w:lang w:val="en-US" w:eastAsia="zh-CN"/>
              </w:rPr>
              <w:t>）</w:t>
            </w:r>
          </w:p>
          <w:p w14:paraId="4BD86C7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left"/>
              <w:textAlignment w:val="auto"/>
              <w:rPr>
                <w:rFonts w:hint="eastAsia" w:ascii="宋体" w:hAnsi="宋体" w:eastAsia="宋体" w:cs="宋体"/>
                <w:sz w:val="21"/>
                <w:szCs w:val="21"/>
              </w:rPr>
            </w:pPr>
            <w:r>
              <w:rPr>
                <w:rFonts w:hint="eastAsia" w:ascii="宋体" w:hAnsi="宋体" w:eastAsia="宋体" w:cs="宋体"/>
                <w:sz w:val="21"/>
                <w:szCs w:val="21"/>
              </w:rPr>
              <w:t>依据供应商对端点安全软件、UPS及蓄电池、ATS设备、动环监测等技术参数的响应情况进行评审，本项分为</w:t>
            </w:r>
            <w:r>
              <w:rPr>
                <w:rFonts w:hint="eastAsia" w:ascii="宋体" w:hAnsi="宋体" w:eastAsia="宋体" w:cs="宋体"/>
                <w:sz w:val="21"/>
                <w:szCs w:val="21"/>
                <w:lang w:eastAsia="zh-CN"/>
              </w:rPr>
              <w:t>四</w:t>
            </w:r>
            <w:r>
              <w:rPr>
                <w:rFonts w:hint="eastAsia" w:ascii="宋体" w:hAnsi="宋体" w:eastAsia="宋体" w:cs="宋体"/>
                <w:sz w:val="21"/>
                <w:szCs w:val="21"/>
              </w:rPr>
              <w:t>个子项独立评分</w:t>
            </w:r>
            <w:r>
              <w:rPr>
                <w:rFonts w:hint="eastAsia" w:ascii="宋体" w:hAnsi="宋体" w:eastAsia="宋体" w:cs="宋体"/>
                <w:sz w:val="21"/>
                <w:szCs w:val="21"/>
                <w:lang w:eastAsia="zh-CN"/>
              </w:rPr>
              <w:t>：</w:t>
            </w:r>
            <w:r>
              <w:rPr>
                <w:rFonts w:hint="eastAsia" w:ascii="宋体" w:hAnsi="宋体" w:eastAsia="宋体" w:cs="宋体"/>
                <w:sz w:val="21"/>
                <w:szCs w:val="21"/>
              </w:rPr>
              <w:t>
</w:t>
            </w:r>
          </w:p>
          <w:p w14:paraId="6E8DBDA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left"/>
              <w:textAlignment w:val="auto"/>
              <w:rPr>
                <w:rFonts w:hint="eastAsia" w:ascii="宋体" w:hAnsi="宋体" w:eastAsia="宋体" w:cs="宋体"/>
                <w:sz w:val="21"/>
                <w:szCs w:val="21"/>
              </w:rPr>
            </w:pPr>
            <w:r>
              <w:rPr>
                <w:rFonts w:hint="eastAsia" w:ascii="宋体" w:hAnsi="宋体" w:eastAsia="宋体" w:cs="宋体"/>
                <w:sz w:val="21"/>
                <w:szCs w:val="21"/>
              </w:rPr>
              <w:t>【端点安全软件】（满分</w:t>
            </w:r>
            <w:r>
              <w:rPr>
                <w:rFonts w:hint="eastAsia" w:ascii="宋体" w:hAnsi="宋体" w:eastAsia="宋体" w:cs="宋体"/>
                <w:sz w:val="21"/>
                <w:szCs w:val="21"/>
                <w:lang w:val="en-US" w:eastAsia="zh-CN"/>
              </w:rPr>
              <w:t>2</w:t>
            </w:r>
            <w:r>
              <w:rPr>
                <w:rFonts w:hint="eastAsia" w:ascii="宋体" w:hAnsi="宋体" w:eastAsia="宋体" w:cs="宋体"/>
                <w:sz w:val="21"/>
                <w:szCs w:val="21"/>
              </w:rPr>
              <w:t>分）
</w:t>
            </w:r>
          </w:p>
          <w:p w14:paraId="01191B2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left"/>
              <w:textAlignment w:val="auto"/>
              <w:rPr>
                <w:rFonts w:hint="eastAsia" w:ascii="宋体" w:hAnsi="宋体" w:eastAsia="宋体" w:cs="宋体"/>
                <w:sz w:val="21"/>
                <w:szCs w:val="21"/>
              </w:rPr>
            </w:pPr>
            <w:r>
              <w:rPr>
                <w:rFonts w:hint="eastAsia" w:ascii="宋体" w:hAnsi="宋体" w:eastAsia="宋体" w:cs="宋体"/>
                <w:sz w:val="21"/>
                <w:szCs w:val="21"/>
              </w:rPr>
              <w:t>2.3.</w:t>
            </w:r>
            <w:r>
              <w:rPr>
                <w:rFonts w:hint="eastAsia" w:ascii="宋体" w:hAnsi="宋体" w:eastAsia="宋体" w:cs="宋体"/>
                <w:sz w:val="21"/>
                <w:szCs w:val="21"/>
                <w:lang w:val="en-US" w:eastAsia="zh-CN"/>
              </w:rPr>
              <w:t>1</w:t>
            </w:r>
            <w:r>
              <w:rPr>
                <w:rFonts w:hint="eastAsia" w:ascii="宋体" w:hAnsi="宋体" w:eastAsia="宋体" w:cs="宋体"/>
                <w:sz w:val="21"/>
                <w:szCs w:val="21"/>
              </w:rPr>
              <w:t xml:space="preserve"> 集中管控能力：支持统一管理控制台，具备病毒库统一升级、策略统一下发、终端状态实时监控（在线/离线/风险状态一目了然）、违规终端远程隔离能力，四项全部满足得1分，缺一项扣0.3分，扣完为止；（1分）</w:t>
            </w:r>
          </w:p>
          <w:p w14:paraId="615E329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left"/>
              <w:textAlignment w:val="auto"/>
              <w:rPr>
                <w:rFonts w:hint="eastAsia" w:ascii="宋体" w:hAnsi="宋体" w:eastAsia="宋体" w:cs="宋体"/>
                <w:sz w:val="21"/>
                <w:szCs w:val="21"/>
              </w:rPr>
            </w:pPr>
            <w:r>
              <w:rPr>
                <w:rFonts w:hint="eastAsia" w:ascii="宋体" w:hAnsi="宋体" w:eastAsia="宋体" w:cs="宋体"/>
                <w:sz w:val="21"/>
                <w:szCs w:val="21"/>
              </w:rPr>
              <w:t>2.3.</w:t>
            </w:r>
            <w:r>
              <w:rPr>
                <w:rFonts w:hint="eastAsia" w:ascii="宋体" w:hAnsi="宋体" w:eastAsia="宋体" w:cs="宋体"/>
                <w:sz w:val="21"/>
                <w:szCs w:val="21"/>
                <w:lang w:val="en-US" w:eastAsia="zh-CN"/>
              </w:rPr>
              <w:t>2</w:t>
            </w:r>
            <w:r>
              <w:rPr>
                <w:rFonts w:hint="eastAsia" w:ascii="宋体" w:hAnsi="宋体" w:eastAsia="宋体" w:cs="宋体"/>
                <w:sz w:val="21"/>
                <w:szCs w:val="21"/>
              </w:rPr>
              <w:t xml:space="preserve"> 培训与推广配套：提供完整的杀毒软件培训方案（含管理员培训、普通用户操作培训、线上+现场培训形式）和推广计划（含分阶段覆盖率目标、推广时间表、操作手册等配套素材），方案完整详实的得1分；方案笼统的得0.5分；无方案的得0分；（1分）
</w:t>
            </w:r>
          </w:p>
          <w:p w14:paraId="4C7879E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left"/>
              <w:textAlignment w:val="auto"/>
              <w:rPr>
                <w:rFonts w:hint="eastAsia" w:ascii="宋体" w:hAnsi="宋体" w:eastAsia="宋体" w:cs="宋体"/>
                <w:sz w:val="21"/>
                <w:szCs w:val="21"/>
              </w:rPr>
            </w:pPr>
            <w:r>
              <w:rPr>
                <w:rFonts w:hint="eastAsia" w:ascii="宋体" w:hAnsi="宋体" w:eastAsia="宋体" w:cs="宋体"/>
                <w:sz w:val="21"/>
                <w:szCs w:val="21"/>
              </w:rPr>
              <w:t>【UPS主机及铅酸蓄电池】（满分2分）</w:t>
            </w:r>
          </w:p>
          <w:p w14:paraId="6576C41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left"/>
              <w:textAlignment w:val="auto"/>
              <w:rPr>
                <w:rFonts w:hint="eastAsia" w:ascii="宋体" w:hAnsi="宋体" w:eastAsia="宋体" w:cs="宋体"/>
                <w:sz w:val="21"/>
                <w:szCs w:val="21"/>
              </w:rPr>
            </w:pPr>
            <w:r>
              <w:rPr>
                <w:rFonts w:hint="eastAsia" w:ascii="宋体" w:hAnsi="宋体" w:eastAsia="宋体" w:cs="宋体"/>
                <w:sz w:val="21"/>
                <w:szCs w:val="21"/>
              </w:rPr>
              <w:t>2.3.</w:t>
            </w:r>
            <w:r>
              <w:rPr>
                <w:rFonts w:hint="eastAsia" w:ascii="宋体" w:hAnsi="宋体" w:eastAsia="宋体" w:cs="宋体"/>
                <w:sz w:val="21"/>
                <w:szCs w:val="21"/>
                <w:lang w:val="en-US" w:eastAsia="zh-CN"/>
              </w:rPr>
              <w:t>3</w:t>
            </w:r>
            <w:r>
              <w:rPr>
                <w:rFonts w:hint="eastAsia" w:ascii="宋体" w:hAnsi="宋体" w:eastAsia="宋体" w:cs="宋体"/>
                <w:sz w:val="21"/>
                <w:szCs w:val="21"/>
              </w:rPr>
              <w:t xml:space="preserve"> UPS主机性能：功率20KVA，满足单进单出/三进单出/三进三出模式运行；电池电压360-600VDC（30-50节可选），具备输出短路、过载、过温等保护功能，满足得1分，不满足不得分；（1分）
</w:t>
            </w:r>
          </w:p>
          <w:p w14:paraId="3B78E2F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left"/>
              <w:textAlignment w:val="auto"/>
              <w:rPr>
                <w:rFonts w:hint="eastAsia" w:ascii="宋体" w:hAnsi="宋体" w:eastAsia="宋体" w:cs="宋体"/>
                <w:sz w:val="21"/>
                <w:szCs w:val="21"/>
              </w:rPr>
            </w:pPr>
            <w:r>
              <w:rPr>
                <w:rFonts w:hint="eastAsia" w:ascii="宋体" w:hAnsi="宋体" w:eastAsia="宋体" w:cs="宋体"/>
                <w:sz w:val="21"/>
                <w:szCs w:val="21"/>
              </w:rPr>
              <w:t>2.3.</w:t>
            </w:r>
            <w:r>
              <w:rPr>
                <w:rFonts w:hint="eastAsia" w:ascii="宋体" w:hAnsi="宋体" w:eastAsia="宋体" w:cs="宋体"/>
                <w:sz w:val="21"/>
                <w:szCs w:val="21"/>
                <w:lang w:val="en-US" w:eastAsia="zh-CN"/>
              </w:rPr>
              <w:t>4</w:t>
            </w:r>
            <w:r>
              <w:rPr>
                <w:rFonts w:hint="eastAsia" w:ascii="宋体" w:hAnsi="宋体" w:eastAsia="宋体" w:cs="宋体"/>
                <w:sz w:val="21"/>
                <w:szCs w:val="21"/>
              </w:rPr>
              <w:t xml:space="preserve"> 蓄电池配置与性能：配置12V200AH铅酸蓄电池≥32节（含电池柜及连接线），电池容量保存率＞99%，电池密封反应效率＞98%，满足得1分，不满足不得分；（1分）
</w:t>
            </w:r>
          </w:p>
          <w:p w14:paraId="08A6A17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left"/>
              <w:textAlignment w:val="auto"/>
              <w:rPr>
                <w:rFonts w:hint="eastAsia" w:ascii="宋体" w:hAnsi="宋体" w:eastAsia="宋体" w:cs="宋体"/>
                <w:sz w:val="21"/>
                <w:szCs w:val="21"/>
              </w:rPr>
            </w:pPr>
            <w:r>
              <w:rPr>
                <w:rFonts w:hint="eastAsia" w:ascii="宋体" w:hAnsi="宋体" w:eastAsia="宋体" w:cs="宋体"/>
                <w:sz w:val="21"/>
                <w:szCs w:val="21"/>
              </w:rPr>
              <w:t>【ATS自动转换开关】（满分1.5分）
</w:t>
            </w:r>
          </w:p>
          <w:p w14:paraId="398EA7B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left"/>
              <w:textAlignment w:val="auto"/>
              <w:rPr>
                <w:rFonts w:hint="eastAsia" w:ascii="宋体" w:hAnsi="宋体" w:eastAsia="宋体" w:cs="宋体"/>
                <w:sz w:val="21"/>
                <w:szCs w:val="21"/>
              </w:rPr>
            </w:pPr>
            <w:r>
              <w:rPr>
                <w:rFonts w:hint="eastAsia" w:ascii="宋体" w:hAnsi="宋体" w:eastAsia="宋体" w:cs="宋体"/>
                <w:sz w:val="21"/>
                <w:szCs w:val="21"/>
              </w:rPr>
              <w:t>2.3.</w:t>
            </w:r>
            <w:r>
              <w:rPr>
                <w:rFonts w:hint="eastAsia" w:ascii="宋体" w:hAnsi="宋体" w:eastAsia="宋体" w:cs="宋体"/>
                <w:sz w:val="21"/>
                <w:szCs w:val="21"/>
                <w:lang w:val="en-US" w:eastAsia="zh-CN"/>
              </w:rPr>
              <w:t>5</w:t>
            </w:r>
            <w:r>
              <w:rPr>
                <w:rFonts w:hint="eastAsia" w:ascii="宋体" w:hAnsi="宋体" w:eastAsia="宋体" w:cs="宋体"/>
                <w:sz w:val="21"/>
                <w:szCs w:val="21"/>
              </w:rPr>
              <w:t xml:space="preserve"> 基础性能：采用PC型一体式双电源自动转换开关，额定电流不低于100A，短时耐受电流≥10kA，满足得0.5分，不满足不得分；（0.5分）
</w:t>
            </w:r>
          </w:p>
          <w:p w14:paraId="777D04D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left"/>
              <w:textAlignment w:val="auto"/>
              <w:rPr>
                <w:rFonts w:hint="eastAsia" w:ascii="宋体" w:hAnsi="宋体" w:eastAsia="宋体" w:cs="宋体"/>
                <w:sz w:val="21"/>
                <w:szCs w:val="21"/>
              </w:rPr>
            </w:pPr>
            <w:r>
              <w:rPr>
                <w:rFonts w:hint="eastAsia" w:ascii="宋体" w:hAnsi="宋体" w:eastAsia="宋体" w:cs="宋体"/>
                <w:sz w:val="21"/>
                <w:szCs w:val="21"/>
              </w:rPr>
              <w:t>2.3.</w:t>
            </w:r>
            <w:r>
              <w:rPr>
                <w:rFonts w:hint="eastAsia" w:ascii="宋体" w:hAnsi="宋体" w:eastAsia="宋体" w:cs="宋体"/>
                <w:sz w:val="21"/>
                <w:szCs w:val="21"/>
                <w:lang w:val="en-US" w:eastAsia="zh-CN"/>
              </w:rPr>
              <w:t>6</w:t>
            </w:r>
            <w:r>
              <w:rPr>
                <w:rFonts w:hint="eastAsia" w:ascii="宋体" w:hAnsi="宋体" w:eastAsia="宋体" w:cs="宋体"/>
                <w:sz w:val="21"/>
                <w:szCs w:val="21"/>
              </w:rPr>
              <w:t xml:space="preserve"> 安全与通讯：具备机械、电气双重互锁保护功能，标配RS485/Modbus通讯协议，且支持接入动环监控系统实现远程状态监测的，得1分；仅具备基础互锁无通讯功能的，得0.5分；（1分）
</w:t>
            </w:r>
          </w:p>
          <w:p w14:paraId="154C98E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left"/>
              <w:textAlignment w:val="auto"/>
              <w:rPr>
                <w:rFonts w:hint="eastAsia" w:ascii="宋体" w:hAnsi="宋体" w:eastAsia="宋体" w:cs="宋体"/>
                <w:sz w:val="21"/>
                <w:szCs w:val="21"/>
              </w:rPr>
            </w:pPr>
            <w:r>
              <w:rPr>
                <w:rFonts w:hint="eastAsia" w:ascii="宋体" w:hAnsi="宋体" w:eastAsia="宋体" w:cs="宋体"/>
                <w:sz w:val="21"/>
                <w:szCs w:val="21"/>
              </w:rPr>
              <w:t>【动环系统监测服务】（满分1.5分）
</w:t>
            </w:r>
          </w:p>
          <w:p w14:paraId="3D5A05D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left"/>
              <w:textAlignment w:val="auto"/>
              <w:rPr>
                <w:rFonts w:hint="eastAsia" w:ascii="宋体" w:hAnsi="宋体" w:eastAsia="宋体" w:cs="宋体"/>
                <w:sz w:val="21"/>
                <w:szCs w:val="21"/>
              </w:rPr>
            </w:pPr>
            <w:r>
              <w:rPr>
                <w:rFonts w:hint="eastAsia" w:ascii="宋体" w:hAnsi="宋体" w:eastAsia="宋体" w:cs="宋体"/>
                <w:sz w:val="21"/>
                <w:szCs w:val="21"/>
              </w:rPr>
              <w:t>2.3.</w:t>
            </w:r>
            <w:r>
              <w:rPr>
                <w:rFonts w:hint="eastAsia" w:ascii="宋体" w:hAnsi="宋体" w:eastAsia="宋体" w:cs="宋体"/>
                <w:sz w:val="21"/>
                <w:szCs w:val="21"/>
                <w:lang w:val="en-US" w:eastAsia="zh-CN"/>
              </w:rPr>
              <w:t>7</w:t>
            </w:r>
            <w:r>
              <w:rPr>
                <w:rFonts w:hint="eastAsia" w:ascii="宋体" w:hAnsi="宋体" w:eastAsia="宋体" w:cs="宋体"/>
                <w:sz w:val="21"/>
                <w:szCs w:val="21"/>
              </w:rPr>
              <w:t xml:space="preserve"> 监测覆盖面：7×24小时实时监控，包含门禁、漏水、电压、温湿度、火灾等监测功能，满足得0.5分，不满足不得分；（0.5分）
</w:t>
            </w:r>
          </w:p>
          <w:p w14:paraId="39DCBDD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left"/>
              <w:textAlignment w:val="auto"/>
              <w:rPr>
                <w:rFonts w:hint="eastAsia" w:ascii="宋体" w:hAnsi="宋体" w:eastAsia="宋体" w:cs="宋体"/>
                <w:sz w:val="21"/>
                <w:szCs w:val="21"/>
              </w:rPr>
            </w:pPr>
            <w:r>
              <w:rPr>
                <w:rFonts w:hint="eastAsia" w:ascii="宋体" w:hAnsi="宋体" w:eastAsia="宋体" w:cs="宋体"/>
                <w:sz w:val="21"/>
                <w:szCs w:val="21"/>
              </w:rPr>
              <w:t>2.3.</w:t>
            </w:r>
            <w:r>
              <w:rPr>
                <w:rFonts w:hint="eastAsia" w:ascii="宋体" w:hAnsi="宋体" w:eastAsia="宋体" w:cs="宋体"/>
                <w:sz w:val="21"/>
                <w:szCs w:val="21"/>
                <w:lang w:val="en-US" w:eastAsia="zh-CN"/>
              </w:rPr>
              <w:t>8</w:t>
            </w:r>
            <w:r>
              <w:rPr>
                <w:rFonts w:hint="eastAsia" w:ascii="宋体" w:hAnsi="宋体" w:eastAsia="宋体" w:cs="宋体"/>
                <w:sz w:val="21"/>
                <w:szCs w:val="21"/>
              </w:rPr>
              <w:t xml:space="preserve"> 告警与联动：支持多级告警（短信/邮件/平台推送），告警响应时间≤5分钟；支持与UPS、ATS设备联动，在市电中断时自动触发告警并记录断电时长，两项均满足得1分，仅满足告警的得0.5分，均不满足得0分；（1分）
</w:t>
            </w:r>
          </w:p>
          <w:p w14:paraId="0D22BB8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eastAsia" w:ascii="宋体" w:hAnsi="宋体" w:eastAsia="宋体" w:cs="宋体"/>
                <w:color w:val="auto"/>
                <w:kern w:val="0"/>
                <w:sz w:val="21"/>
                <w:szCs w:val="21"/>
                <w:highlight w:val="yellow"/>
                <w:lang w:val="en-US" w:eastAsia="zh-CN"/>
              </w:rPr>
            </w:pPr>
            <w:r>
              <w:rPr>
                <w:rFonts w:hint="eastAsia" w:ascii="宋体" w:hAnsi="宋体" w:eastAsia="宋体" w:cs="宋体"/>
                <w:sz w:val="21"/>
                <w:szCs w:val="21"/>
              </w:rPr>
              <w:t>评分规则：</w:t>
            </w:r>
            <w:r>
              <w:rPr>
                <w:rFonts w:hint="eastAsia" w:ascii="宋体" w:hAnsi="宋体" w:eastAsia="宋体" w:cs="宋体"/>
                <w:sz w:val="21"/>
                <w:szCs w:val="21"/>
                <w:lang w:eastAsia="zh-CN"/>
              </w:rPr>
              <w:t>四</w:t>
            </w:r>
            <w:r>
              <w:rPr>
                <w:rFonts w:hint="eastAsia" w:ascii="宋体" w:hAnsi="宋体" w:eastAsia="宋体" w:cs="宋体"/>
                <w:sz w:val="21"/>
                <w:szCs w:val="21"/>
              </w:rPr>
              <w:t>项独立评分，本项总分</w:t>
            </w:r>
            <w:r>
              <w:rPr>
                <w:rFonts w:hint="eastAsia" w:ascii="宋体" w:hAnsi="宋体" w:eastAsia="宋体" w:cs="宋体"/>
                <w:sz w:val="21"/>
                <w:szCs w:val="21"/>
                <w:lang w:val="en-US" w:eastAsia="zh-CN"/>
              </w:rPr>
              <w:t>7</w:t>
            </w:r>
            <w:r>
              <w:rPr>
                <w:rFonts w:hint="eastAsia" w:ascii="宋体" w:hAnsi="宋体" w:eastAsia="宋体" w:cs="宋体"/>
                <w:sz w:val="21"/>
                <w:szCs w:val="21"/>
              </w:rPr>
              <w:t>分。</w:t>
            </w:r>
            <w:r>
              <w:rPr>
                <w:rFonts w:hint="eastAsia" w:ascii="宋体" w:hAnsi="宋体" w:eastAsia="宋体" w:cs="宋体"/>
                <w:color w:val="auto"/>
                <w:sz w:val="21"/>
                <w:szCs w:val="21"/>
                <w:highlight w:val="none"/>
              </w:rPr>
              <w:t>不满足或无法提供证明材料的不扣分但不得分</w:t>
            </w:r>
            <w:r>
              <w:rPr>
                <w:rFonts w:hint="eastAsia" w:ascii="宋体" w:hAnsi="宋体" w:cs="宋体"/>
                <w:color w:val="auto"/>
                <w:sz w:val="21"/>
                <w:szCs w:val="21"/>
                <w:highlight w:val="none"/>
                <w:lang w:eastAsia="zh-CN"/>
              </w:rPr>
              <w:t>。</w:t>
            </w:r>
          </w:p>
        </w:tc>
        <w:tc>
          <w:tcPr>
            <w:tcW w:w="735" w:type="dxa"/>
            <w:noWrap w:val="0"/>
            <w:vAlign w:val="center"/>
          </w:tcPr>
          <w:p w14:paraId="2CC1A0A7">
            <w:pPr>
              <w:keepNext w:val="0"/>
              <w:keepLines w:val="0"/>
              <w:suppressLineNumbers w:val="0"/>
              <w:spacing w:before="0" w:beforeAutospacing="0" w:after="0" w:afterAutospacing="0" w:line="360" w:lineRule="auto"/>
              <w:ind w:left="0" w:right="0"/>
              <w:jc w:val="center"/>
              <w:rPr>
                <w:rFonts w:hint="eastAsia" w:ascii="宋体" w:hAnsi="宋体" w:eastAsia="宋体" w:cs="Times New Roman"/>
                <w:bCs/>
                <w:color w:val="auto"/>
                <w:szCs w:val="21"/>
                <w:highlight w:val="none"/>
                <w:lang w:val="en-US" w:eastAsia="zh-CN"/>
              </w:rPr>
            </w:pPr>
            <w:r>
              <w:rPr>
                <w:rFonts w:hint="eastAsia" w:ascii="宋体" w:hAnsi="宋体" w:cs="Times New Roman"/>
                <w:bCs/>
                <w:color w:val="auto"/>
                <w:szCs w:val="21"/>
                <w:highlight w:val="none"/>
              </w:rPr>
              <w:t>0~</w:t>
            </w:r>
            <w:r>
              <w:rPr>
                <w:rFonts w:hint="eastAsia" w:ascii="宋体" w:hAnsi="宋体" w:cs="Times New Roman"/>
                <w:bCs/>
                <w:color w:val="auto"/>
                <w:szCs w:val="21"/>
                <w:highlight w:val="none"/>
                <w:lang w:val="en-US" w:eastAsia="zh-CN"/>
              </w:rPr>
              <w:t>7</w:t>
            </w:r>
          </w:p>
        </w:tc>
      </w:tr>
      <w:tr w14:paraId="75880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9" w:type="dxa"/>
            <w:shd w:val="clear" w:color="auto" w:fill="auto"/>
            <w:noWrap w:val="0"/>
            <w:vAlign w:val="center"/>
          </w:tcPr>
          <w:p w14:paraId="561A29E9">
            <w:pPr>
              <w:keepNext w:val="0"/>
              <w:keepLines w:val="0"/>
              <w:suppressLineNumbers w:val="0"/>
              <w:spacing w:before="0" w:beforeAutospacing="0" w:after="0" w:afterAutospacing="0" w:line="360" w:lineRule="auto"/>
              <w:ind w:left="0" w:leftChars="0" w:right="0" w:rightChars="0"/>
              <w:jc w:val="center"/>
              <w:rPr>
                <w:rFonts w:hint="eastAsia" w:ascii="宋体" w:hAnsi="宋体" w:eastAsia="WenQuanYi Micro Hei" w:cs="Times New Roman"/>
                <w:bCs/>
                <w:color w:val="auto"/>
                <w:kern w:val="2"/>
                <w:sz w:val="21"/>
                <w:szCs w:val="21"/>
                <w:highlight w:val="none"/>
                <w:lang w:val="en-US" w:eastAsia="zh-CN" w:bidi="ar-SA"/>
              </w:rPr>
            </w:pPr>
            <w:r>
              <w:rPr>
                <w:rFonts w:hint="default" w:ascii="WenQuanYi Micro Hei" w:hAnsi="WenQuanYi Micro Hei" w:eastAsia="WenQuanYi Micro Hei" w:cs="WenQuanYi Micro Hei"/>
                <w:sz w:val="20"/>
                <w:szCs w:val="20"/>
              </w:rPr>
              <w:t>2.</w:t>
            </w:r>
            <w:r>
              <w:rPr>
                <w:rFonts w:hint="eastAsia" w:ascii="WenQuanYi Micro Hei" w:hAnsi="WenQuanYi Micro Hei" w:eastAsia="WenQuanYi Micro Hei" w:cs="WenQuanYi Micro Hei"/>
                <w:sz w:val="20"/>
                <w:szCs w:val="20"/>
                <w:lang w:val="en-US" w:eastAsia="zh-CN"/>
              </w:rPr>
              <w:t>4</w:t>
            </w:r>
          </w:p>
        </w:tc>
        <w:tc>
          <w:tcPr>
            <w:tcW w:w="1158" w:type="dxa"/>
            <w:shd w:val="clear" w:color="auto" w:fill="auto"/>
            <w:noWrap w:val="0"/>
            <w:vAlign w:val="center"/>
          </w:tcPr>
          <w:p w14:paraId="42EA4F57">
            <w:pPr>
              <w:keepNext w:val="0"/>
              <w:keepLines w:val="0"/>
              <w:numPr>
                <w:ilvl w:val="0"/>
                <w:numId w:val="0"/>
              </w:numPr>
              <w:suppressLineNumbers w:val="0"/>
              <w:spacing w:before="0" w:beforeAutospacing="0" w:after="0" w:afterAutospacing="0" w:line="360" w:lineRule="auto"/>
              <w:ind w:left="0" w:leftChars="0" w:right="0" w:rightChars="0" w:firstLine="0" w:firstLineChars="0"/>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Times New Roman"/>
                <w:color w:val="auto"/>
                <w:kern w:val="0"/>
                <w:szCs w:val="21"/>
                <w:highlight w:val="none"/>
              </w:rPr>
              <w:t>翻墙行为管控分（</w:t>
            </w:r>
            <w:r>
              <w:rPr>
                <w:rFonts w:hint="eastAsia" w:ascii="宋体" w:hAnsi="宋体" w:cs="Times New Roman"/>
                <w:color w:val="auto"/>
                <w:kern w:val="0"/>
                <w:szCs w:val="21"/>
                <w:highlight w:val="none"/>
                <w:lang w:val="en-US" w:eastAsia="zh-CN"/>
              </w:rPr>
              <w:t>8</w:t>
            </w:r>
            <w:r>
              <w:rPr>
                <w:rFonts w:hint="eastAsia" w:ascii="宋体" w:hAnsi="宋体" w:eastAsia="宋体" w:cs="Times New Roman"/>
                <w:color w:val="auto"/>
                <w:kern w:val="0"/>
                <w:szCs w:val="21"/>
                <w:highlight w:val="none"/>
              </w:rPr>
              <w:t>分）</w:t>
            </w:r>
          </w:p>
        </w:tc>
        <w:tc>
          <w:tcPr>
            <w:tcW w:w="6719" w:type="dxa"/>
            <w:shd w:val="clear" w:color="auto" w:fill="auto"/>
            <w:noWrap w:val="0"/>
            <w:vAlign w:val="top"/>
          </w:tcPr>
          <w:p w14:paraId="398960E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left"/>
              <w:textAlignment w:val="auto"/>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翻墙行为管控分（</w:t>
            </w:r>
            <w:r>
              <w:rPr>
                <w:rFonts w:hint="eastAsia" w:ascii="宋体" w:hAnsi="宋体" w:cs="Times New Roman"/>
                <w:color w:val="auto"/>
                <w:kern w:val="0"/>
                <w:szCs w:val="21"/>
                <w:highlight w:val="none"/>
                <w:lang w:val="en-US" w:eastAsia="zh-CN"/>
              </w:rPr>
              <w:t>8</w:t>
            </w:r>
            <w:r>
              <w:rPr>
                <w:rFonts w:hint="eastAsia" w:ascii="宋体" w:hAnsi="宋体" w:eastAsia="宋体" w:cs="Times New Roman"/>
                <w:color w:val="auto"/>
                <w:kern w:val="0"/>
                <w:szCs w:val="21"/>
                <w:highlight w:val="none"/>
              </w:rPr>
              <w:t>分</w:t>
            </w:r>
            <w:r>
              <w:rPr>
                <w:rFonts w:hint="eastAsia" w:ascii="宋体" w:hAnsi="宋体" w:cs="Times New Roman"/>
                <w:color w:val="auto"/>
                <w:kern w:val="0"/>
                <w:szCs w:val="21"/>
                <w:highlight w:val="none"/>
                <w:lang w:val="en-US" w:eastAsia="zh-CN"/>
              </w:rPr>
              <w:t>满分</w:t>
            </w:r>
            <w:r>
              <w:rPr>
                <w:rFonts w:hint="eastAsia" w:ascii="宋体" w:hAnsi="宋体" w:eastAsia="宋体" w:cs="Times New Roman"/>
                <w:color w:val="auto"/>
                <w:kern w:val="0"/>
                <w:szCs w:val="21"/>
                <w:highlight w:val="none"/>
              </w:rPr>
              <w:t>）</w:t>
            </w:r>
          </w:p>
          <w:p w14:paraId="4E64563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left"/>
              <w:textAlignment w:val="auto"/>
              <w:rPr>
                <w:rFonts w:hint="eastAsia" w:ascii="宋体" w:hAnsi="宋体" w:eastAsia="宋体" w:cs="宋体"/>
                <w:sz w:val="21"/>
                <w:szCs w:val="21"/>
              </w:rPr>
            </w:pPr>
            <w:r>
              <w:rPr>
                <w:rFonts w:hint="eastAsia" w:ascii="宋体" w:hAnsi="宋体" w:eastAsia="宋体" w:cs="宋体"/>
                <w:sz w:val="21"/>
                <w:szCs w:val="21"/>
              </w:rPr>
              <w:t>依据供应商对翻墙行为识别、管控、处置全流程技术措施的响应情况进行评审：
</w:t>
            </w:r>
          </w:p>
          <w:p w14:paraId="7EBF9A9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left"/>
              <w:textAlignment w:val="auto"/>
              <w:rPr>
                <w:rFonts w:hint="eastAsia" w:ascii="宋体" w:hAnsi="宋体" w:eastAsia="宋体" w:cs="宋体"/>
                <w:sz w:val="21"/>
                <w:szCs w:val="21"/>
              </w:rPr>
            </w:pPr>
            <w:r>
              <w:rPr>
                <w:rFonts w:hint="eastAsia" w:ascii="宋体" w:hAnsi="宋体" w:eastAsia="宋体" w:cs="宋体"/>
                <w:sz w:val="21"/>
                <w:szCs w:val="21"/>
              </w:rPr>
              <w:t>【翻墙识别技术覆盖面】（满分2分）</w:t>
            </w:r>
          </w:p>
          <w:p w14:paraId="5C082CD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left"/>
              <w:textAlignment w:val="auto"/>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cs="宋体"/>
                <w:sz w:val="21"/>
                <w:szCs w:val="21"/>
                <w:lang w:val="en-US" w:eastAsia="zh-CN"/>
              </w:rPr>
              <w:t>4</w:t>
            </w:r>
            <w:r>
              <w:rPr>
                <w:rFonts w:hint="eastAsia" w:ascii="宋体" w:hAnsi="宋体" w:eastAsia="宋体" w:cs="宋体"/>
                <w:sz w:val="21"/>
                <w:szCs w:val="21"/>
              </w:rPr>
              <w:t>.1 部署以下技术手段，每覆盖一类得0.5分，满分2分：①DNS劫持检测与DNS隧道识别（0.5分）；②VPN流量深度检测，覆盖IPSec、SSL VPN、L2TP等主流协议（0.5分）；③代理工具特征库匹配，覆盖SSR、</w:t>
            </w:r>
            <w:r>
              <w:rPr>
                <w:rFonts w:hint="eastAsia" w:ascii="宋体" w:hAnsi="宋体" w:eastAsia="宋体" w:cs="宋体"/>
                <w:color w:val="auto"/>
                <w:sz w:val="21"/>
                <w:szCs w:val="21"/>
                <w:lang w:val="en-US" w:eastAsia="zh-CN"/>
              </w:rPr>
              <w:t>clash</w:t>
            </w:r>
            <w:r>
              <w:rPr>
                <w:rFonts w:hint="eastAsia" w:ascii="宋体" w:hAnsi="宋体" w:eastAsia="宋体" w:cs="宋体"/>
                <w:sz w:val="21"/>
                <w:szCs w:val="21"/>
              </w:rPr>
              <w:t>、V2Ray、Trojan、Shadowsocks等主流翻墙工具（0.5分）；④Tor网络流量识别与阻断（0.5分）。须提供功能测试截图或厂商</w:t>
            </w:r>
            <w:r>
              <w:rPr>
                <w:rFonts w:hint="eastAsia" w:ascii="宋体" w:hAnsi="宋体" w:eastAsia="宋体" w:cs="宋体"/>
                <w:sz w:val="21"/>
                <w:szCs w:val="21"/>
                <w:lang w:val="en-US" w:eastAsia="zh-CN"/>
              </w:rPr>
              <w:t>书面承诺函</w:t>
            </w:r>
            <w:r>
              <w:rPr>
                <w:rFonts w:hint="eastAsia" w:ascii="宋体" w:hAnsi="宋体" w:eastAsia="宋体" w:cs="宋体"/>
                <w:sz w:val="21"/>
                <w:szCs w:val="21"/>
              </w:rPr>
              <w:t>证明，无证明材料不得分。
</w:t>
            </w:r>
          </w:p>
          <w:p w14:paraId="4E5434F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left"/>
              <w:textAlignment w:val="auto"/>
              <w:rPr>
                <w:rFonts w:hint="eastAsia" w:ascii="宋体" w:hAnsi="宋体" w:eastAsia="宋体" w:cs="宋体"/>
                <w:sz w:val="21"/>
                <w:szCs w:val="21"/>
              </w:rPr>
            </w:pPr>
            <w:r>
              <w:rPr>
                <w:rFonts w:hint="eastAsia" w:ascii="宋体" w:hAnsi="宋体" w:eastAsia="宋体" w:cs="宋体"/>
                <w:sz w:val="21"/>
                <w:szCs w:val="21"/>
              </w:rPr>
              <w:t>【管控策略精细化程度】（满分1.5分）
</w:t>
            </w:r>
          </w:p>
          <w:p w14:paraId="1659D26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left"/>
              <w:textAlignment w:val="auto"/>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cs="宋体"/>
                <w:sz w:val="21"/>
                <w:szCs w:val="21"/>
                <w:lang w:val="en-US" w:eastAsia="zh-CN"/>
              </w:rPr>
              <w:t>4</w:t>
            </w:r>
            <w:r>
              <w:rPr>
                <w:rFonts w:hint="eastAsia" w:ascii="宋体" w:hAnsi="宋体" w:eastAsia="宋体" w:cs="宋体"/>
                <w:sz w:val="21"/>
                <w:szCs w:val="21"/>
              </w:rPr>
              <w:t>.2 支持按部门、按用户组、按时间段设置差异化翻墙管控规则（如下班时间开放/上班时间禁止），满足得0.5分；仅支持全局一刀切策略的，得0.2分；不支持的，得0分；（0.5分）
</w:t>
            </w:r>
          </w:p>
          <w:p w14:paraId="5BDDBC7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left"/>
              <w:textAlignment w:val="auto"/>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cs="宋体"/>
                <w:sz w:val="21"/>
                <w:szCs w:val="21"/>
                <w:lang w:val="en-US" w:eastAsia="zh-CN"/>
              </w:rPr>
              <w:t>4</w:t>
            </w:r>
            <w:r>
              <w:rPr>
                <w:rFonts w:hint="eastAsia" w:ascii="宋体" w:hAnsi="宋体" w:eastAsia="宋体" w:cs="宋体"/>
                <w:sz w:val="21"/>
                <w:szCs w:val="21"/>
              </w:rPr>
              <w:t>.3 支持对加密翻墙流量（TLS/SSL加密隧道）的深度检测与识别，提供检测原理说明或测试截图的，得0.5分；仅能识别明文代理的，得0分；（0.5分）
</w:t>
            </w:r>
          </w:p>
          <w:p w14:paraId="2BC044D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left"/>
              <w:textAlignment w:val="auto"/>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cs="宋体"/>
                <w:sz w:val="21"/>
                <w:szCs w:val="21"/>
                <w:lang w:val="en-US" w:eastAsia="zh-CN"/>
              </w:rPr>
              <w:t>4</w:t>
            </w:r>
            <w:r>
              <w:rPr>
                <w:rFonts w:hint="eastAsia" w:ascii="宋体" w:hAnsi="宋体" w:eastAsia="宋体" w:cs="宋体"/>
                <w:sz w:val="21"/>
                <w:szCs w:val="21"/>
              </w:rPr>
              <w:t>.4 支持对翻墙行为的审计溯源，可记录源IP、目标IP、使用工具类型、发生时间、持续时长等完整日志，日志留存≥6个月的，得0.5分；留存＜6个月的，得0分；（0.5分）
</w:t>
            </w:r>
          </w:p>
          <w:p w14:paraId="1F2DAC1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left"/>
              <w:textAlignment w:val="auto"/>
              <w:rPr>
                <w:rFonts w:hint="eastAsia" w:ascii="宋体" w:hAnsi="宋体" w:eastAsia="宋体" w:cs="宋体"/>
                <w:sz w:val="21"/>
                <w:szCs w:val="21"/>
              </w:rPr>
            </w:pPr>
            <w:r>
              <w:rPr>
                <w:rFonts w:hint="eastAsia" w:ascii="宋体" w:hAnsi="宋体" w:eastAsia="宋体" w:cs="宋体"/>
                <w:sz w:val="21"/>
                <w:szCs w:val="21"/>
              </w:rPr>
              <w:t>【告警与处置闭环】（满分</w:t>
            </w:r>
            <w:r>
              <w:rPr>
                <w:rFonts w:hint="eastAsia" w:ascii="宋体" w:hAnsi="宋体" w:cs="宋体"/>
                <w:sz w:val="21"/>
                <w:szCs w:val="21"/>
                <w:lang w:val="en-US" w:eastAsia="zh-CN"/>
              </w:rPr>
              <w:t>3</w:t>
            </w:r>
            <w:r>
              <w:rPr>
                <w:rFonts w:hint="eastAsia" w:ascii="宋体" w:hAnsi="宋体" w:eastAsia="宋体" w:cs="宋体"/>
                <w:sz w:val="21"/>
                <w:szCs w:val="21"/>
              </w:rPr>
              <w:t>.5分）
</w:t>
            </w:r>
          </w:p>
          <w:p w14:paraId="5C18243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left"/>
              <w:textAlignment w:val="auto"/>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cs="宋体"/>
                <w:sz w:val="21"/>
                <w:szCs w:val="21"/>
                <w:lang w:val="en-US" w:eastAsia="zh-CN"/>
              </w:rPr>
              <w:t>4</w:t>
            </w:r>
            <w:r>
              <w:rPr>
                <w:rFonts w:hint="eastAsia" w:ascii="宋体" w:hAnsi="宋体" w:eastAsia="宋体" w:cs="宋体"/>
                <w:sz w:val="21"/>
                <w:szCs w:val="21"/>
              </w:rPr>
              <w:t>.5 检测到翻墙行为后实时告警（短信/邮件/平台推送），告警响应时间≤5分钟的，得0.5分；＞5分钟的，得0.2分；无告警能力的，得0分；（0.5分）
</w:t>
            </w:r>
          </w:p>
          <w:p w14:paraId="66401B2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left"/>
              <w:textAlignment w:val="auto"/>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cs="宋体"/>
                <w:sz w:val="21"/>
                <w:szCs w:val="21"/>
                <w:lang w:val="en-US" w:eastAsia="zh-CN"/>
              </w:rPr>
              <w:t>4</w:t>
            </w:r>
            <w:r>
              <w:rPr>
                <w:rFonts w:hint="eastAsia" w:ascii="宋体" w:hAnsi="宋体" w:eastAsia="宋体" w:cs="宋体"/>
                <w:sz w:val="21"/>
                <w:szCs w:val="21"/>
              </w:rPr>
              <w:t>.6 支持自动阻断翻墙连接（非仅告警），阻断后可引导用户跳转至合规提示页面（告知违规行为及后果）的，得0.5分；仅阻断无提示页面的，得0.3分；无自动阻断的，得0分；（0.5分）
</w:t>
            </w:r>
          </w:p>
          <w:p w14:paraId="77554DD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2.</w:t>
            </w:r>
            <w:r>
              <w:rPr>
                <w:rFonts w:hint="eastAsia" w:ascii="宋体" w:hAnsi="宋体" w:cs="宋体"/>
                <w:sz w:val="21"/>
                <w:szCs w:val="21"/>
                <w:lang w:val="en-US" w:eastAsia="zh-CN"/>
              </w:rPr>
              <w:t>4</w:t>
            </w:r>
            <w:r>
              <w:rPr>
                <w:rFonts w:hint="eastAsia" w:ascii="宋体" w:hAnsi="宋体" w:eastAsia="宋体" w:cs="宋体"/>
                <w:sz w:val="21"/>
                <w:szCs w:val="21"/>
              </w:rPr>
              <w:t>.7 具备完整的处置闭环流程：发现→告警→阻断→取证（截图/日志存档）→通知管理员→生成违规报告，六项环节均有具体描述的得0.5分；缺一项扣0.1分，扣完为止；（0.5分）</w:t>
            </w:r>
          </w:p>
          <w:p w14:paraId="4D9BC06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cs="宋体"/>
                <w:sz w:val="21"/>
                <w:szCs w:val="21"/>
                <w:lang w:val="en-US" w:eastAsia="zh-CN"/>
              </w:rPr>
              <w:t>4</w:t>
            </w:r>
            <w:r>
              <w:rPr>
                <w:rFonts w:hint="eastAsia" w:ascii="宋体" w:hAnsi="宋体" w:eastAsia="宋体" w:cs="宋体"/>
                <w:sz w:val="21"/>
                <w:szCs w:val="21"/>
                <w:lang w:val="en-US" w:eastAsia="zh-CN"/>
              </w:rPr>
              <w:t>.8 具备防翻墙专项态势可视化大屏UI功能，可直观展示翻墙违规统计、告警信息、翻墙用户top等信息的得</w:t>
            </w:r>
            <w:r>
              <w:rPr>
                <w:rFonts w:hint="eastAsia" w:ascii="宋体" w:hAnsi="宋体" w:cs="宋体"/>
                <w:sz w:val="21"/>
                <w:szCs w:val="21"/>
                <w:lang w:val="en-US" w:eastAsia="zh-CN"/>
              </w:rPr>
              <w:t>2</w:t>
            </w:r>
            <w:r>
              <w:rPr>
                <w:rFonts w:hint="eastAsia" w:ascii="宋体" w:hAnsi="宋体" w:eastAsia="宋体" w:cs="宋体"/>
                <w:sz w:val="21"/>
                <w:szCs w:val="21"/>
                <w:lang w:val="en-US" w:eastAsia="zh-CN"/>
              </w:rPr>
              <w:t>分 （</w:t>
            </w:r>
            <w:r>
              <w:rPr>
                <w:rFonts w:hint="eastAsia" w:ascii="宋体" w:hAnsi="宋体" w:cs="宋体"/>
                <w:sz w:val="21"/>
                <w:szCs w:val="21"/>
                <w:lang w:val="en-US" w:eastAsia="zh-CN"/>
              </w:rPr>
              <w:t>2</w:t>
            </w:r>
            <w:r>
              <w:rPr>
                <w:rFonts w:hint="eastAsia" w:ascii="宋体" w:hAnsi="宋体" w:eastAsia="宋体" w:cs="宋体"/>
                <w:sz w:val="21"/>
                <w:szCs w:val="21"/>
                <w:lang w:val="en-US" w:eastAsia="zh-CN"/>
              </w:rPr>
              <w:t>分）</w:t>
            </w:r>
          </w:p>
          <w:p w14:paraId="4BE5AC1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left"/>
              <w:textAlignment w:val="auto"/>
              <w:rPr>
                <w:rFonts w:hint="eastAsia" w:ascii="宋体" w:hAnsi="宋体" w:eastAsia="宋体" w:cs="宋体"/>
                <w:sz w:val="21"/>
                <w:szCs w:val="21"/>
              </w:rPr>
            </w:pPr>
            <w:r>
              <w:rPr>
                <w:rFonts w:hint="eastAsia" w:ascii="宋体" w:hAnsi="宋体" w:eastAsia="宋体" w:cs="宋体"/>
                <w:sz w:val="21"/>
                <w:szCs w:val="21"/>
              </w:rPr>
              <w:t>【特征库更新与持续对抗能力】（满分1分）
</w:t>
            </w:r>
          </w:p>
          <w:p w14:paraId="652D5F7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left"/>
              <w:textAlignment w:val="auto"/>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cs="宋体"/>
                <w:sz w:val="21"/>
                <w:szCs w:val="21"/>
                <w:lang w:val="en-US" w:eastAsia="zh-CN"/>
              </w:rPr>
              <w:t>4</w:t>
            </w:r>
            <w:r>
              <w:rPr>
                <w:rFonts w:hint="eastAsia" w:ascii="宋体" w:hAnsi="宋体" w:eastAsia="宋体" w:cs="宋体"/>
                <w:sz w:val="21"/>
                <w:szCs w:val="21"/>
              </w:rPr>
              <w:t>.</w:t>
            </w:r>
            <w:r>
              <w:rPr>
                <w:rFonts w:hint="eastAsia" w:ascii="宋体" w:hAnsi="宋体" w:eastAsia="宋体" w:cs="宋体"/>
                <w:sz w:val="21"/>
                <w:szCs w:val="21"/>
                <w:lang w:val="en-US" w:eastAsia="zh-CN"/>
              </w:rPr>
              <w:t>9</w:t>
            </w:r>
            <w:r>
              <w:rPr>
                <w:rFonts w:hint="eastAsia" w:ascii="宋体" w:hAnsi="宋体" w:eastAsia="宋体" w:cs="宋体"/>
                <w:sz w:val="21"/>
                <w:szCs w:val="21"/>
              </w:rPr>
              <w:t xml:space="preserve"> 承诺翻墙工具特征库月度更新，重大新型翻墙工具出现后48小时内提供升级包的，得0.5分；仅承诺季度更新的，得0.2分；无更新承诺的，得0分（须提供书面承诺函）；（0.5分）
</w:t>
            </w:r>
          </w:p>
          <w:p w14:paraId="0FC130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left"/>
              <w:textAlignment w:val="auto"/>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cs="宋体"/>
                <w:sz w:val="21"/>
                <w:szCs w:val="21"/>
                <w:lang w:val="en-US" w:eastAsia="zh-CN"/>
              </w:rPr>
              <w:t>4</w:t>
            </w:r>
            <w:r>
              <w:rPr>
                <w:rFonts w:hint="eastAsia" w:ascii="宋体" w:hAnsi="宋体" w:eastAsia="宋体" w:cs="宋体"/>
                <w:sz w:val="21"/>
                <w:szCs w:val="21"/>
              </w:rPr>
              <w:t>.</w:t>
            </w:r>
            <w:r>
              <w:rPr>
                <w:rFonts w:hint="eastAsia" w:ascii="宋体" w:hAnsi="宋体" w:eastAsia="宋体" w:cs="宋体"/>
                <w:sz w:val="21"/>
                <w:szCs w:val="21"/>
                <w:lang w:val="en-US" w:eastAsia="zh-CN"/>
              </w:rPr>
              <w:t>10</w:t>
            </w:r>
            <w:r>
              <w:rPr>
                <w:rFonts w:hint="eastAsia" w:ascii="宋体" w:hAnsi="宋体" w:eastAsia="宋体" w:cs="宋体"/>
                <w:sz w:val="21"/>
                <w:szCs w:val="21"/>
              </w:rPr>
              <w:t xml:space="preserve"> 具备未知翻墙工具的检测能力（如基于流量异常行为分析、机器学习模型识别非标加密隧道等非特征库依赖手段），提供技术说明或测试报告的，得0.5分；仅依赖静态特征库的，得0分；（0.5分）
</w:t>
            </w:r>
          </w:p>
          <w:p w14:paraId="7F23AF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评分规则：四项独立评分，本项总分</w:t>
            </w:r>
            <w:r>
              <w:rPr>
                <w:rFonts w:hint="eastAsia" w:ascii="宋体" w:hAnsi="宋体" w:cs="宋体"/>
                <w:sz w:val="21"/>
                <w:szCs w:val="21"/>
                <w:lang w:val="en-US" w:eastAsia="zh-CN"/>
              </w:rPr>
              <w:t>8</w:t>
            </w:r>
            <w:r>
              <w:rPr>
                <w:rFonts w:hint="eastAsia" w:ascii="宋体" w:hAnsi="宋体" w:eastAsia="宋体" w:cs="宋体"/>
                <w:sz w:val="21"/>
                <w:szCs w:val="21"/>
              </w:rPr>
              <w:t>分。所有技术参数须提供厂商官方</w:t>
            </w:r>
            <w:r>
              <w:rPr>
                <w:rFonts w:hint="eastAsia" w:ascii="宋体" w:hAnsi="宋体" w:eastAsia="宋体" w:cs="宋体"/>
                <w:sz w:val="21"/>
                <w:szCs w:val="21"/>
                <w:lang w:val="en-US" w:eastAsia="zh-CN"/>
              </w:rPr>
              <w:t>书面承诺函</w:t>
            </w:r>
            <w:r>
              <w:rPr>
                <w:rFonts w:hint="eastAsia" w:ascii="宋体" w:hAnsi="宋体" w:eastAsia="宋体" w:cs="宋体"/>
                <w:color w:val="auto"/>
                <w:sz w:val="21"/>
                <w:szCs w:val="21"/>
                <w:lang w:val="en-US" w:eastAsia="zh-CN"/>
              </w:rPr>
              <w:t>或</w:t>
            </w:r>
            <w:r>
              <w:rPr>
                <w:rFonts w:hint="eastAsia" w:ascii="宋体" w:hAnsi="宋体" w:eastAsia="宋体" w:cs="宋体"/>
                <w:sz w:val="21"/>
                <w:szCs w:val="21"/>
              </w:rPr>
              <w:t>功能测试截图等材料并加盖投标单位公章，否则对应子项不得分。</w:t>
            </w:r>
          </w:p>
        </w:tc>
        <w:tc>
          <w:tcPr>
            <w:tcW w:w="735" w:type="dxa"/>
            <w:noWrap w:val="0"/>
            <w:vAlign w:val="center"/>
          </w:tcPr>
          <w:p w14:paraId="7AFCAF93">
            <w:pPr>
              <w:keepNext w:val="0"/>
              <w:keepLines w:val="0"/>
              <w:suppressLineNumbers w:val="0"/>
              <w:spacing w:before="0" w:beforeAutospacing="0" w:after="0" w:afterAutospacing="0" w:line="360" w:lineRule="auto"/>
              <w:ind w:left="0" w:right="0"/>
              <w:jc w:val="center"/>
              <w:rPr>
                <w:rFonts w:hint="eastAsia" w:ascii="宋体" w:hAnsi="宋体" w:cs="Times New Roman"/>
                <w:bCs/>
                <w:color w:val="auto"/>
                <w:szCs w:val="21"/>
                <w:highlight w:val="none"/>
                <w:lang w:val="en-US" w:eastAsia="zh-CN"/>
              </w:rPr>
            </w:pPr>
            <w:r>
              <w:rPr>
                <w:rFonts w:hint="eastAsia" w:ascii="宋体" w:hAnsi="宋体" w:cs="Times New Roman"/>
                <w:bCs/>
                <w:color w:val="auto"/>
                <w:szCs w:val="21"/>
                <w:highlight w:val="none"/>
                <w:lang w:val="en-US" w:eastAsia="zh-CN"/>
              </w:rPr>
              <w:t>0-8</w:t>
            </w:r>
          </w:p>
        </w:tc>
      </w:tr>
      <w:tr w14:paraId="27425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9" w:type="dxa"/>
            <w:noWrap w:val="0"/>
            <w:vAlign w:val="center"/>
          </w:tcPr>
          <w:p w14:paraId="2FCE429D">
            <w:pPr>
              <w:keepNext w:val="0"/>
              <w:keepLines w:val="0"/>
              <w:suppressLineNumbers w:val="0"/>
              <w:spacing w:before="0" w:beforeAutospacing="0" w:after="0" w:afterAutospacing="0" w:line="360" w:lineRule="auto"/>
              <w:ind w:left="0" w:right="0"/>
              <w:jc w:val="center"/>
              <w:rPr>
                <w:rFonts w:hint="default" w:ascii="宋体" w:hAnsi="宋体" w:cs="Times New Roman"/>
                <w:bCs/>
                <w:color w:val="auto"/>
                <w:szCs w:val="21"/>
                <w:highlight w:val="none"/>
                <w:lang w:val="en-US" w:eastAsia="zh-CN"/>
              </w:rPr>
            </w:pPr>
            <w:r>
              <w:rPr>
                <w:rFonts w:hint="eastAsia" w:ascii="宋体" w:hAnsi="宋体" w:cs="Times New Roman"/>
                <w:bCs/>
                <w:color w:val="auto"/>
                <w:szCs w:val="21"/>
                <w:highlight w:val="none"/>
                <w:lang w:val="en-US" w:eastAsia="zh-CN"/>
              </w:rPr>
              <w:t>2.5</w:t>
            </w:r>
          </w:p>
        </w:tc>
        <w:tc>
          <w:tcPr>
            <w:tcW w:w="1158" w:type="dxa"/>
            <w:noWrap w:val="0"/>
            <w:vAlign w:val="center"/>
          </w:tcPr>
          <w:p w14:paraId="0309F8FD">
            <w:pPr>
              <w:keepNext w:val="0"/>
              <w:keepLines w:val="0"/>
              <w:suppressLineNumbers w:val="0"/>
              <w:spacing w:before="0" w:beforeAutospacing="0" w:after="0" w:afterAutospacing="0" w:line="360" w:lineRule="auto"/>
              <w:ind w:left="0" w:right="0"/>
              <w:jc w:val="center"/>
              <w:rPr>
                <w:rFonts w:hint="eastAsia" w:ascii="宋体" w:hAnsi="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技术方案分（9分）</w:t>
            </w:r>
          </w:p>
        </w:tc>
        <w:tc>
          <w:tcPr>
            <w:tcW w:w="6719" w:type="dxa"/>
            <w:noWrap w:val="0"/>
            <w:vAlign w:val="top"/>
          </w:tcPr>
          <w:p w14:paraId="28F234D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left"/>
              <w:textAlignment w:val="auto"/>
              <w:rPr>
                <w:rFonts w:hint="eastAsia" w:ascii="宋体" w:hAnsi="宋体" w:eastAsia="宋体" w:cs="宋体"/>
                <w:sz w:val="21"/>
                <w:szCs w:val="21"/>
              </w:rPr>
            </w:pPr>
            <w:r>
              <w:rPr>
                <w:rFonts w:hint="eastAsia" w:ascii="宋体" w:hAnsi="宋体" w:eastAsia="宋体" w:cs="宋体"/>
                <w:sz w:val="21"/>
                <w:szCs w:val="21"/>
              </w:rPr>
              <w:t>依据供应商提供的技术方案进行评审，方案须包含以下</w:t>
            </w:r>
            <w:r>
              <w:rPr>
                <w:rFonts w:hint="eastAsia" w:ascii="宋体" w:hAnsi="宋体" w:eastAsia="宋体" w:cs="宋体"/>
                <w:sz w:val="21"/>
                <w:szCs w:val="21"/>
                <w:lang w:eastAsia="zh-CN"/>
              </w:rPr>
              <w:t>四</w:t>
            </w:r>
            <w:r>
              <w:rPr>
                <w:rFonts w:hint="eastAsia" w:ascii="宋体" w:hAnsi="宋体" w:eastAsia="宋体" w:cs="宋体"/>
                <w:sz w:val="21"/>
                <w:szCs w:val="21"/>
              </w:rPr>
              <w:t>个组成部分：</w:t>
            </w:r>
          </w:p>
          <w:p w14:paraId="1CC0267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left"/>
              <w:textAlignment w:val="auto"/>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cs="宋体"/>
                <w:sz w:val="21"/>
                <w:szCs w:val="21"/>
                <w:lang w:val="en-US" w:eastAsia="zh-CN"/>
              </w:rPr>
              <w:t>5</w:t>
            </w:r>
            <w:r>
              <w:rPr>
                <w:rFonts w:hint="eastAsia" w:ascii="宋体" w:hAnsi="宋体" w:eastAsia="宋体" w:cs="宋体"/>
                <w:sz w:val="21"/>
                <w:szCs w:val="21"/>
              </w:rPr>
              <w:t>.1 网络规划与组网方案（2分）。提供完整网络拓扑示意图，清晰说明68条100M和5条300M点对点光纤专线的组网方式，明确MSTP或更优技术的实施方案，标注核心节点、汇聚节点、接入节点的层级关系和链路冗余路径。拓扑图清晰完整、标注规范的得2分；拓扑图存在遗漏或标注不清的得1分；未提供拓扑图的得0分。
</w:t>
            </w:r>
          </w:p>
          <w:p w14:paraId="029FF77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left"/>
              <w:textAlignment w:val="auto"/>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cs="宋体"/>
                <w:sz w:val="21"/>
                <w:szCs w:val="21"/>
                <w:lang w:val="en-US" w:eastAsia="zh-CN"/>
              </w:rPr>
              <w:t>5</w:t>
            </w:r>
            <w:r>
              <w:rPr>
                <w:rFonts w:hint="eastAsia" w:ascii="宋体" w:hAnsi="宋体" w:eastAsia="宋体" w:cs="宋体"/>
                <w:sz w:val="21"/>
                <w:szCs w:val="21"/>
              </w:rPr>
              <w:t>.2 线路性能保障方案（2分）。针对网络可用率≥99.9%、延时≤50ms、丢包率≤1%三项核心指标，逐项提供具体保障措施和技术实现路径，须包含：①监测手段（如何实时掌握线路质量）；②故障定位机制（出问题后多长时间能定位到哪一段）；③应急切换预案（主链路中断后备用链路如何接管）。三项均有具体描述的得2分；缺一项扣0.7分，扣完为止。
</w:t>
            </w:r>
          </w:p>
          <w:p w14:paraId="6376CC8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left"/>
              <w:textAlignment w:val="auto"/>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cs="宋体"/>
                <w:sz w:val="21"/>
                <w:szCs w:val="21"/>
                <w:lang w:val="en-US" w:eastAsia="zh-CN"/>
              </w:rPr>
              <w:t>5</w:t>
            </w:r>
            <w:r>
              <w:rPr>
                <w:rFonts w:hint="eastAsia" w:ascii="宋体" w:hAnsi="宋体" w:eastAsia="宋体" w:cs="宋体"/>
                <w:sz w:val="21"/>
                <w:szCs w:val="21"/>
              </w:rPr>
              <w:t>.3 网络安全防护与准入管控方案（3分）。明确以下内容的部署方案和联动机制：①边界防护部署：上网行为管理、下一代防火墙、态势感知系统、日志管理系统等设备的物理部署位置和策略配置思路（1分）；②安全准入与用户验证：准入认证方式选型依据、终端合规检查流程、单点登录实现路径（1分）；③翻墙管控部署方案：翻墙识别设备/模块的部署位置（串联/旁路/镜像）、与边界防火墙和态势感知的联动机制、告警通知链路设计（1分）。
</w:t>
            </w:r>
          </w:p>
          <w:p w14:paraId="0372C50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left"/>
              <w:textAlignment w:val="auto"/>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cs="宋体"/>
                <w:sz w:val="21"/>
                <w:szCs w:val="21"/>
                <w:lang w:val="en-US" w:eastAsia="zh-CN"/>
              </w:rPr>
              <w:t>5</w:t>
            </w:r>
            <w:r>
              <w:rPr>
                <w:rFonts w:hint="eastAsia" w:ascii="宋体" w:hAnsi="宋体" w:eastAsia="宋体" w:cs="宋体"/>
                <w:sz w:val="21"/>
                <w:szCs w:val="21"/>
              </w:rPr>
              <w:t>.4 设备配置与部署方案（2分）。提供各设备（UPS、蓄电池、ATS、交换机、安全设备等）的安装位置规划、布线方案和系统集成方案，须包含：①机柜空间规划图；②强弱电分离布线说明；③接地与防雷措施。三项均有具体描述的得2分；缺一项扣0.7分，扣完为止。
</w:t>
            </w:r>
          </w:p>
          <w:p w14:paraId="091083C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sz w:val="21"/>
                <w:szCs w:val="21"/>
              </w:rPr>
              <w:t>本项最高</w:t>
            </w:r>
            <w:r>
              <w:rPr>
                <w:rFonts w:hint="eastAsia" w:ascii="宋体" w:hAnsi="宋体" w:eastAsia="宋体" w:cs="宋体"/>
                <w:sz w:val="21"/>
                <w:szCs w:val="21"/>
                <w:lang w:val="en-US" w:eastAsia="zh-CN"/>
              </w:rPr>
              <w:t>9</w:t>
            </w:r>
            <w:r>
              <w:rPr>
                <w:rFonts w:hint="eastAsia" w:ascii="宋体" w:hAnsi="宋体" w:eastAsia="宋体" w:cs="宋体"/>
                <w:sz w:val="21"/>
                <w:szCs w:val="21"/>
              </w:rPr>
              <w:t>分，最低0分。</w:t>
            </w:r>
          </w:p>
        </w:tc>
        <w:tc>
          <w:tcPr>
            <w:tcW w:w="735" w:type="dxa"/>
            <w:noWrap w:val="0"/>
            <w:vAlign w:val="center"/>
          </w:tcPr>
          <w:p w14:paraId="5D6DE17B">
            <w:pPr>
              <w:keepNext w:val="0"/>
              <w:keepLines w:val="0"/>
              <w:suppressLineNumbers w:val="0"/>
              <w:spacing w:before="0" w:beforeAutospacing="0" w:after="0" w:afterAutospacing="0" w:line="360" w:lineRule="auto"/>
              <w:ind w:left="0" w:right="0"/>
              <w:jc w:val="center"/>
              <w:rPr>
                <w:rFonts w:hint="eastAsia" w:ascii="宋体" w:hAnsi="宋体" w:eastAsia="宋体" w:cs="Times New Roman"/>
                <w:bCs/>
                <w:color w:val="auto"/>
                <w:szCs w:val="21"/>
                <w:highlight w:val="none"/>
                <w:lang w:val="en-US" w:eastAsia="zh-CN"/>
              </w:rPr>
            </w:pPr>
            <w:r>
              <w:rPr>
                <w:rFonts w:hint="eastAsia" w:ascii="宋体" w:hAnsi="宋体" w:cs="Times New Roman"/>
                <w:bCs/>
                <w:color w:val="auto"/>
                <w:szCs w:val="21"/>
                <w:highlight w:val="none"/>
                <w:lang w:val="en-US" w:eastAsia="zh-CN"/>
              </w:rPr>
              <w:t>0</w:t>
            </w:r>
            <w:r>
              <w:rPr>
                <w:rFonts w:hint="eastAsia" w:ascii="宋体" w:hAnsi="宋体" w:cs="Times New Roman"/>
                <w:bCs/>
                <w:color w:val="auto"/>
                <w:szCs w:val="21"/>
                <w:highlight w:val="none"/>
              </w:rPr>
              <w:t>~</w:t>
            </w:r>
            <w:r>
              <w:rPr>
                <w:rFonts w:hint="eastAsia" w:ascii="宋体" w:hAnsi="宋体" w:cs="Times New Roman"/>
                <w:bCs/>
                <w:color w:val="auto"/>
                <w:szCs w:val="21"/>
                <w:highlight w:val="none"/>
                <w:lang w:val="en-US" w:eastAsia="zh-CN"/>
              </w:rPr>
              <w:t>9</w:t>
            </w:r>
          </w:p>
        </w:tc>
      </w:tr>
      <w:tr w14:paraId="35BAC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9" w:type="dxa"/>
            <w:noWrap w:val="0"/>
            <w:vAlign w:val="center"/>
          </w:tcPr>
          <w:p w14:paraId="6ECBBCE0">
            <w:pPr>
              <w:keepNext w:val="0"/>
              <w:keepLines w:val="0"/>
              <w:suppressLineNumbers w:val="0"/>
              <w:spacing w:before="0" w:beforeAutospacing="0" w:after="0" w:afterAutospacing="0" w:line="360" w:lineRule="auto"/>
              <w:ind w:left="0" w:right="0"/>
              <w:jc w:val="center"/>
              <w:rPr>
                <w:rFonts w:hint="default" w:ascii="宋体" w:hAnsi="宋体" w:cs="Times New Roman"/>
                <w:bCs/>
                <w:color w:val="auto"/>
                <w:szCs w:val="21"/>
                <w:highlight w:val="none"/>
                <w:lang w:val="en-US" w:eastAsia="zh-CN"/>
              </w:rPr>
            </w:pPr>
            <w:r>
              <w:rPr>
                <w:rFonts w:hint="eastAsia" w:ascii="宋体" w:hAnsi="宋体" w:cs="Times New Roman"/>
                <w:bCs/>
                <w:color w:val="auto"/>
                <w:szCs w:val="21"/>
                <w:highlight w:val="none"/>
                <w:lang w:val="en-US" w:eastAsia="zh-CN"/>
              </w:rPr>
              <w:t>2.6</w:t>
            </w:r>
          </w:p>
        </w:tc>
        <w:tc>
          <w:tcPr>
            <w:tcW w:w="1158" w:type="dxa"/>
            <w:noWrap w:val="0"/>
            <w:vAlign w:val="center"/>
          </w:tcPr>
          <w:p w14:paraId="3664023A">
            <w:pPr>
              <w:keepNext w:val="0"/>
              <w:keepLines w:val="0"/>
              <w:suppressLineNumbers w:val="0"/>
              <w:spacing w:before="0" w:beforeAutospacing="0" w:after="0" w:afterAutospacing="0" w:line="360" w:lineRule="auto"/>
              <w:ind w:left="0" w:right="0"/>
              <w:jc w:val="center"/>
              <w:rPr>
                <w:rFonts w:hint="eastAsia" w:ascii="宋体" w:hAnsi="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实施方案分（8分）</w:t>
            </w:r>
          </w:p>
        </w:tc>
        <w:tc>
          <w:tcPr>
            <w:tcW w:w="6719" w:type="dxa"/>
            <w:noWrap w:val="0"/>
            <w:vAlign w:val="top"/>
          </w:tcPr>
          <w:p w14:paraId="2D1B057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依据供应商提供的实施方案进行评审，方案须包含以下组成部分：</w:t>
            </w:r>
          </w:p>
          <w:p w14:paraId="75E374F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2.6.1</w:t>
            </w:r>
            <w:r>
              <w:rPr>
                <w:rFonts w:hint="eastAsia" w:ascii="宋体" w:hAnsi="宋体" w:eastAsia="宋体" w:cs="宋体"/>
                <w:color w:val="auto"/>
                <w:kern w:val="0"/>
                <w:sz w:val="21"/>
                <w:szCs w:val="21"/>
                <w:highlight w:val="none"/>
                <w:lang w:val="en-US" w:eastAsia="zh-CN"/>
              </w:rPr>
              <w:tab/>
            </w:r>
            <w:r>
              <w:rPr>
                <w:rFonts w:hint="eastAsia" w:ascii="宋体" w:hAnsi="宋体" w:eastAsia="宋体" w:cs="宋体"/>
                <w:color w:val="auto"/>
                <w:kern w:val="0"/>
                <w:sz w:val="21"/>
                <w:szCs w:val="21"/>
                <w:highlight w:val="none"/>
                <w:lang w:val="en-US" w:eastAsia="zh-CN"/>
              </w:rPr>
              <w:t>项目组织与人员安排</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2分</w:t>
            </w:r>
            <w:r>
              <w:rPr>
                <w:rFonts w:hint="eastAsia" w:ascii="宋体" w:hAnsi="宋体" w:eastAsia="宋体" w:cs="宋体"/>
                <w:color w:val="auto"/>
                <w:kern w:val="0"/>
                <w:sz w:val="21"/>
                <w:szCs w:val="21"/>
                <w:highlight w:val="none"/>
                <w:lang w:eastAsia="zh-CN"/>
              </w:rPr>
              <w:t>）</w:t>
            </w:r>
          </w:p>
          <w:p w14:paraId="53BB6FD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提供项目管理组织机构图，明确项目经理1人、实施负责人1人及各岗位职责；实施人员数量：10人以下得1分，10-19人得</w:t>
            </w:r>
            <w:r>
              <w:rPr>
                <w:rFonts w:hint="eastAsia" w:ascii="宋体" w:hAnsi="宋体" w:cs="宋体"/>
                <w:color w:val="auto"/>
                <w:kern w:val="0"/>
                <w:sz w:val="21"/>
                <w:szCs w:val="21"/>
                <w:highlight w:val="none"/>
                <w:lang w:val="en-US" w:eastAsia="zh-CN"/>
              </w:rPr>
              <w:t>1.5</w:t>
            </w:r>
            <w:r>
              <w:rPr>
                <w:rFonts w:hint="eastAsia" w:ascii="宋体" w:hAnsi="宋体" w:eastAsia="宋体" w:cs="宋体"/>
                <w:color w:val="auto"/>
                <w:kern w:val="0"/>
                <w:sz w:val="21"/>
                <w:szCs w:val="21"/>
                <w:highlight w:val="none"/>
                <w:lang w:val="en-US" w:eastAsia="zh-CN"/>
              </w:rPr>
              <w:t>分，20人及以上得</w:t>
            </w:r>
            <w:r>
              <w:rPr>
                <w:rFonts w:hint="eastAsia" w:ascii="宋体" w:hAnsi="宋体" w:cs="宋体"/>
                <w:color w:val="auto"/>
                <w:kern w:val="0"/>
                <w:sz w:val="21"/>
                <w:szCs w:val="21"/>
                <w:highlight w:val="none"/>
                <w:lang w:val="en-US" w:eastAsia="zh-CN"/>
              </w:rPr>
              <w:t>2</w:t>
            </w:r>
            <w:r>
              <w:rPr>
                <w:rFonts w:hint="eastAsia" w:ascii="宋体" w:hAnsi="宋体" w:eastAsia="宋体" w:cs="宋体"/>
                <w:color w:val="auto"/>
                <w:kern w:val="0"/>
                <w:sz w:val="21"/>
                <w:szCs w:val="21"/>
                <w:highlight w:val="none"/>
                <w:lang w:val="en-US" w:eastAsia="zh-CN"/>
              </w:rPr>
              <w:t>分</w:t>
            </w:r>
            <w:r>
              <w:rPr>
                <w:rFonts w:hint="eastAsia" w:ascii="宋体" w:hAnsi="宋体" w:eastAsia="宋体" w:cs="宋体"/>
                <w:color w:val="auto"/>
                <w:kern w:val="0"/>
                <w:sz w:val="21"/>
                <w:szCs w:val="21"/>
                <w:highlight w:val="none"/>
                <w:lang w:eastAsia="zh-CN"/>
              </w:rPr>
              <w:t>；</w:t>
            </w:r>
          </w:p>
          <w:p w14:paraId="16BC37D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2.6.2</w:t>
            </w:r>
            <w:r>
              <w:rPr>
                <w:rFonts w:hint="eastAsia" w:ascii="宋体" w:hAnsi="宋体" w:eastAsia="宋体" w:cs="宋体"/>
                <w:color w:val="auto"/>
                <w:kern w:val="0"/>
                <w:sz w:val="21"/>
                <w:szCs w:val="21"/>
                <w:highlight w:val="none"/>
                <w:lang w:val="en-US" w:eastAsia="zh-CN"/>
              </w:rPr>
              <w:tab/>
            </w:r>
            <w:r>
              <w:rPr>
                <w:rFonts w:hint="eastAsia" w:ascii="宋体" w:hAnsi="宋体" w:eastAsia="宋体" w:cs="宋体"/>
                <w:color w:val="auto"/>
                <w:kern w:val="0"/>
                <w:sz w:val="21"/>
                <w:szCs w:val="21"/>
                <w:highlight w:val="none"/>
                <w:lang w:val="en-US" w:eastAsia="zh-CN"/>
              </w:rPr>
              <w:t>施工进度计划</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2分</w:t>
            </w:r>
            <w:r>
              <w:rPr>
                <w:rFonts w:hint="eastAsia" w:ascii="宋体" w:hAnsi="宋体" w:eastAsia="宋体" w:cs="宋体"/>
                <w:color w:val="auto"/>
                <w:kern w:val="0"/>
                <w:sz w:val="21"/>
                <w:szCs w:val="21"/>
                <w:highlight w:val="none"/>
                <w:lang w:eastAsia="zh-CN"/>
              </w:rPr>
              <w:t>）</w:t>
            </w:r>
          </w:p>
          <w:p w14:paraId="00CF7A9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提供详细进度计划表，明确10个日历日内开通所有线路、30个日历日内完成所有设备安装调试的分阶段时间节点</w:t>
            </w:r>
            <w:r>
              <w:rPr>
                <w:rFonts w:hint="eastAsia" w:ascii="宋体" w:hAnsi="宋体" w:eastAsia="宋体" w:cs="宋体"/>
                <w:color w:val="auto"/>
                <w:kern w:val="0"/>
                <w:sz w:val="21"/>
                <w:szCs w:val="21"/>
                <w:highlight w:val="none"/>
                <w:lang w:eastAsia="zh-CN"/>
              </w:rPr>
              <w:t>；</w:t>
            </w:r>
          </w:p>
          <w:p w14:paraId="4DA82AA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2.6.3</w:t>
            </w:r>
            <w:r>
              <w:rPr>
                <w:rFonts w:hint="eastAsia" w:ascii="宋体" w:hAnsi="宋体" w:eastAsia="宋体" w:cs="宋体"/>
                <w:color w:val="auto"/>
                <w:kern w:val="0"/>
                <w:sz w:val="21"/>
                <w:szCs w:val="21"/>
                <w:highlight w:val="none"/>
                <w:lang w:val="en-US" w:eastAsia="zh-CN"/>
              </w:rPr>
              <w:tab/>
            </w:r>
            <w:r>
              <w:rPr>
                <w:rFonts w:hint="eastAsia" w:ascii="宋体" w:hAnsi="宋体" w:eastAsia="宋体" w:cs="宋体"/>
                <w:color w:val="auto"/>
                <w:kern w:val="0"/>
                <w:sz w:val="21"/>
                <w:szCs w:val="21"/>
                <w:highlight w:val="none"/>
                <w:lang w:val="en-US" w:eastAsia="zh-CN"/>
              </w:rPr>
              <w:t>安全保障措施</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2分</w:t>
            </w:r>
            <w:r>
              <w:rPr>
                <w:rFonts w:hint="eastAsia" w:ascii="宋体" w:hAnsi="宋体" w:eastAsia="宋体" w:cs="宋体"/>
                <w:color w:val="auto"/>
                <w:kern w:val="0"/>
                <w:sz w:val="21"/>
                <w:szCs w:val="21"/>
                <w:highlight w:val="none"/>
                <w:lang w:eastAsia="zh-CN"/>
              </w:rPr>
              <w:t>）</w:t>
            </w:r>
          </w:p>
          <w:p w14:paraId="3868924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提供实施安全保障措施、文明施工管理措施</w:t>
            </w:r>
            <w:r>
              <w:rPr>
                <w:rFonts w:hint="eastAsia" w:ascii="宋体" w:hAnsi="宋体" w:eastAsia="宋体" w:cs="宋体"/>
                <w:color w:val="auto"/>
                <w:kern w:val="0"/>
                <w:sz w:val="21"/>
                <w:szCs w:val="21"/>
                <w:highlight w:val="none"/>
                <w:lang w:eastAsia="zh-CN"/>
              </w:rPr>
              <w:t>；</w:t>
            </w:r>
          </w:p>
          <w:p w14:paraId="030021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2.6.4</w:t>
            </w:r>
            <w:r>
              <w:rPr>
                <w:rFonts w:hint="eastAsia" w:ascii="宋体" w:hAnsi="宋体" w:eastAsia="宋体" w:cs="宋体"/>
                <w:color w:val="auto"/>
                <w:kern w:val="0"/>
                <w:sz w:val="21"/>
                <w:szCs w:val="21"/>
                <w:highlight w:val="none"/>
                <w:lang w:val="en-US" w:eastAsia="zh-CN"/>
              </w:rPr>
              <w:tab/>
            </w:r>
            <w:r>
              <w:rPr>
                <w:rFonts w:hint="eastAsia" w:ascii="宋体" w:hAnsi="宋体" w:eastAsia="宋体" w:cs="宋体"/>
                <w:color w:val="auto"/>
                <w:kern w:val="0"/>
                <w:sz w:val="21"/>
                <w:szCs w:val="21"/>
                <w:highlight w:val="none"/>
                <w:lang w:val="en-US" w:eastAsia="zh-CN"/>
              </w:rPr>
              <w:t>进度控制与风险管理</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1分</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ab/>
            </w:r>
          </w:p>
          <w:p w14:paraId="2CE186B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提供进度控制措施、赶工措施和项目风险管理措施</w:t>
            </w:r>
            <w:r>
              <w:rPr>
                <w:rFonts w:hint="eastAsia" w:ascii="宋体" w:hAnsi="宋体" w:eastAsia="宋体" w:cs="宋体"/>
                <w:color w:val="auto"/>
                <w:kern w:val="0"/>
                <w:sz w:val="21"/>
                <w:szCs w:val="21"/>
                <w:highlight w:val="none"/>
                <w:lang w:eastAsia="zh-CN"/>
              </w:rPr>
              <w:t>；</w:t>
            </w:r>
          </w:p>
          <w:p w14:paraId="5DC9437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2.6.5</w:t>
            </w:r>
            <w:r>
              <w:rPr>
                <w:rFonts w:hint="eastAsia" w:ascii="宋体" w:hAnsi="宋体" w:eastAsia="宋体" w:cs="宋体"/>
                <w:color w:val="auto"/>
                <w:kern w:val="0"/>
                <w:sz w:val="21"/>
                <w:szCs w:val="21"/>
                <w:highlight w:val="none"/>
                <w:lang w:val="en-US" w:eastAsia="zh-CN"/>
              </w:rPr>
              <w:tab/>
            </w:r>
            <w:r>
              <w:rPr>
                <w:rFonts w:hint="eastAsia" w:ascii="宋体" w:hAnsi="宋体" w:eastAsia="宋体" w:cs="宋体"/>
                <w:color w:val="auto"/>
                <w:kern w:val="0"/>
                <w:sz w:val="21"/>
                <w:szCs w:val="21"/>
                <w:highlight w:val="none"/>
                <w:lang w:val="en-US" w:eastAsia="zh-CN"/>
              </w:rPr>
              <w:t>系统联调与验收方案</w:t>
            </w:r>
            <w:r>
              <w:rPr>
                <w:rFonts w:hint="eastAsia" w:ascii="宋体" w:hAnsi="宋体" w:eastAsia="宋体" w:cs="宋体"/>
                <w:color w:val="auto"/>
                <w:kern w:val="0"/>
                <w:sz w:val="21"/>
                <w:szCs w:val="21"/>
                <w:highlight w:val="none"/>
                <w:lang w:val="en-US" w:eastAsia="zh-CN"/>
              </w:rPr>
              <w:tab/>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1分</w:t>
            </w:r>
            <w:r>
              <w:rPr>
                <w:rFonts w:hint="eastAsia" w:ascii="宋体" w:hAnsi="宋体" w:eastAsia="宋体" w:cs="宋体"/>
                <w:color w:val="auto"/>
                <w:kern w:val="0"/>
                <w:sz w:val="21"/>
                <w:szCs w:val="21"/>
                <w:highlight w:val="none"/>
                <w:lang w:eastAsia="zh-CN"/>
              </w:rPr>
              <w:t>）</w:t>
            </w:r>
          </w:p>
          <w:p w14:paraId="0FDAC6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提供系统联调方案和项目验收方案</w:t>
            </w:r>
            <w:r>
              <w:rPr>
                <w:rFonts w:hint="eastAsia" w:ascii="宋体" w:hAnsi="宋体" w:eastAsia="宋体" w:cs="宋体"/>
                <w:color w:val="auto"/>
                <w:kern w:val="0"/>
                <w:sz w:val="21"/>
                <w:szCs w:val="21"/>
                <w:highlight w:val="none"/>
                <w:lang w:eastAsia="zh-CN"/>
              </w:rPr>
              <w:t>；</w:t>
            </w:r>
          </w:p>
          <w:p w14:paraId="5EC6BE0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评分规则：每缺少1个方案组成要素扣相应分值，要素内容不完整或存在明显缺陷的酌情扣分（每处缺陷扣0.5-1分，扣完为止）。本项最高8分，最低0分。</w:t>
            </w:r>
          </w:p>
        </w:tc>
        <w:tc>
          <w:tcPr>
            <w:tcW w:w="735" w:type="dxa"/>
            <w:noWrap w:val="0"/>
            <w:vAlign w:val="center"/>
          </w:tcPr>
          <w:p w14:paraId="47AA861F">
            <w:pPr>
              <w:keepNext w:val="0"/>
              <w:keepLines w:val="0"/>
              <w:suppressLineNumbers w:val="0"/>
              <w:spacing w:before="0" w:beforeAutospacing="0" w:after="0" w:afterAutospacing="0" w:line="360" w:lineRule="auto"/>
              <w:ind w:left="0" w:right="0"/>
              <w:jc w:val="center"/>
              <w:rPr>
                <w:rFonts w:hint="default" w:ascii="宋体" w:hAnsi="宋体" w:cs="Times New Roman"/>
                <w:bCs/>
                <w:color w:val="auto"/>
                <w:szCs w:val="21"/>
                <w:highlight w:val="none"/>
                <w:lang w:val="en-US" w:eastAsia="zh-CN"/>
              </w:rPr>
            </w:pPr>
            <w:r>
              <w:rPr>
                <w:rFonts w:hint="eastAsia" w:ascii="宋体" w:hAnsi="宋体" w:cs="Times New Roman"/>
                <w:bCs/>
                <w:color w:val="auto"/>
                <w:szCs w:val="21"/>
                <w:highlight w:val="none"/>
                <w:lang w:val="en-US" w:eastAsia="zh-CN"/>
              </w:rPr>
              <w:t>0</w:t>
            </w:r>
            <w:r>
              <w:rPr>
                <w:rFonts w:hint="eastAsia" w:ascii="宋体" w:hAnsi="宋体" w:cs="Times New Roman"/>
                <w:bCs/>
                <w:color w:val="auto"/>
                <w:szCs w:val="21"/>
                <w:highlight w:val="none"/>
              </w:rPr>
              <w:t>~</w:t>
            </w:r>
            <w:r>
              <w:rPr>
                <w:rFonts w:hint="eastAsia" w:ascii="宋体" w:hAnsi="宋体" w:cs="Times New Roman"/>
                <w:bCs/>
                <w:color w:val="auto"/>
                <w:szCs w:val="21"/>
                <w:highlight w:val="none"/>
                <w:lang w:val="en-US" w:eastAsia="zh-CN"/>
              </w:rPr>
              <w:t>8</w:t>
            </w:r>
          </w:p>
        </w:tc>
      </w:tr>
      <w:tr w14:paraId="6D271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819" w:type="dxa"/>
            <w:noWrap w:val="0"/>
            <w:vAlign w:val="center"/>
          </w:tcPr>
          <w:p w14:paraId="12ADDD70">
            <w:pPr>
              <w:pStyle w:val="18"/>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w:t>
            </w:r>
          </w:p>
        </w:tc>
        <w:tc>
          <w:tcPr>
            <w:tcW w:w="1158" w:type="dxa"/>
            <w:noWrap w:val="0"/>
            <w:vAlign w:val="center"/>
          </w:tcPr>
          <w:p w14:paraId="5BEA34DD">
            <w:pPr>
              <w:pStyle w:val="18"/>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商务分</w:t>
            </w:r>
          </w:p>
        </w:tc>
        <w:tc>
          <w:tcPr>
            <w:tcW w:w="6719" w:type="dxa"/>
            <w:noWrap w:val="0"/>
            <w:vAlign w:val="center"/>
          </w:tcPr>
          <w:p w14:paraId="159A47BA">
            <w:pPr>
              <w:pStyle w:val="1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评审因素具体内容</w:t>
            </w:r>
          </w:p>
        </w:tc>
        <w:tc>
          <w:tcPr>
            <w:tcW w:w="735" w:type="dxa"/>
            <w:noWrap w:val="0"/>
            <w:vAlign w:val="center"/>
          </w:tcPr>
          <w:p w14:paraId="0C4AF91C">
            <w:pPr>
              <w:pStyle w:val="18"/>
              <w:keepNext w:val="0"/>
              <w:keepLines w:val="0"/>
              <w:suppressLineNumbers w:val="0"/>
              <w:spacing w:before="0" w:beforeAutospacing="0" w:after="0" w:afterAutospacing="0" w:line="360" w:lineRule="auto"/>
              <w:ind w:left="0" w:right="0"/>
              <w:jc w:val="center"/>
              <w:rPr>
                <w:rFonts w:hint="default" w:ascii="宋体" w:hAnsi="宋体" w:eastAsia="宋体" w:cs="宋体"/>
                <w:color w:val="FF0000"/>
                <w:kern w:val="0"/>
                <w:sz w:val="21"/>
                <w:szCs w:val="21"/>
                <w:highlight w:val="none"/>
                <w:lang w:val="en-US"/>
              </w:rPr>
            </w:pPr>
            <w:r>
              <w:rPr>
                <w:rFonts w:hint="eastAsia" w:ascii="宋体" w:hAnsi="宋体" w:eastAsia="宋体" w:cs="宋体"/>
                <w:color w:val="auto"/>
                <w:kern w:val="0"/>
                <w:sz w:val="21"/>
                <w:szCs w:val="21"/>
                <w:highlight w:val="none"/>
              </w:rPr>
              <w:t>0~</w:t>
            </w:r>
            <w:r>
              <w:rPr>
                <w:rFonts w:hint="eastAsia" w:hAnsi="宋体" w:eastAsia="宋体" w:cs="宋体"/>
                <w:color w:val="auto"/>
                <w:kern w:val="0"/>
                <w:sz w:val="21"/>
                <w:szCs w:val="21"/>
                <w:highlight w:val="none"/>
                <w:lang w:val="en-US" w:eastAsia="zh-CN"/>
              </w:rPr>
              <w:t>1</w:t>
            </w:r>
            <w:r>
              <w:rPr>
                <w:rFonts w:hint="eastAsia" w:hAnsi="宋体" w:cs="宋体"/>
                <w:color w:val="auto"/>
                <w:kern w:val="0"/>
                <w:sz w:val="21"/>
                <w:szCs w:val="21"/>
                <w:highlight w:val="none"/>
                <w:lang w:val="en-US" w:eastAsia="zh-CN"/>
              </w:rPr>
              <w:t>5</w:t>
            </w:r>
          </w:p>
        </w:tc>
      </w:tr>
      <w:tr w14:paraId="4D07E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71" w:hRule="atLeast"/>
        </w:trPr>
        <w:tc>
          <w:tcPr>
            <w:tcW w:w="819" w:type="dxa"/>
            <w:noWrap w:val="0"/>
            <w:vAlign w:val="center"/>
          </w:tcPr>
          <w:p w14:paraId="1DD638A5">
            <w:pPr>
              <w:keepNext w:val="0"/>
              <w:keepLines w:val="0"/>
              <w:suppressLineNumbers w:val="0"/>
              <w:spacing w:before="0" w:beforeAutospacing="0" w:after="0" w:afterAutospacing="0" w:line="360" w:lineRule="auto"/>
              <w:ind w:left="0" w:right="0"/>
              <w:jc w:val="center"/>
              <w:rPr>
                <w:rFonts w:hint="default" w:ascii="宋体" w:hAnsi="宋体" w:cs="Times New Roman"/>
                <w:bCs/>
                <w:color w:val="auto"/>
                <w:kern w:val="2"/>
                <w:sz w:val="21"/>
                <w:szCs w:val="21"/>
                <w:highlight w:val="none"/>
                <w:lang w:val="en-US" w:eastAsia="zh-CN" w:bidi="ar-SA"/>
              </w:rPr>
            </w:pPr>
            <w:r>
              <w:rPr>
                <w:rFonts w:hint="eastAsia" w:ascii="宋体" w:hAnsi="宋体" w:cs="Times New Roman"/>
                <w:bCs/>
                <w:color w:val="auto"/>
                <w:szCs w:val="21"/>
                <w:highlight w:val="none"/>
                <w:lang w:val="en-US" w:eastAsia="zh-CN"/>
              </w:rPr>
              <w:t>3.1</w:t>
            </w:r>
          </w:p>
        </w:tc>
        <w:tc>
          <w:tcPr>
            <w:tcW w:w="1158" w:type="dxa"/>
            <w:noWrap w:val="0"/>
            <w:vAlign w:val="center"/>
          </w:tcPr>
          <w:p w14:paraId="486A0806">
            <w:pPr>
              <w:keepNext w:val="0"/>
              <w:keepLines w:val="0"/>
              <w:suppressLineNumbers w:val="0"/>
              <w:spacing w:before="0" w:beforeAutospacing="0" w:after="0" w:afterAutospacing="0" w:line="360" w:lineRule="auto"/>
              <w:ind w:left="0" w:right="0"/>
              <w:jc w:val="center"/>
              <w:rPr>
                <w:rFonts w:hint="eastAsia" w:ascii="宋体" w:hAnsi="宋体" w:cs="宋体"/>
                <w:b w:val="0"/>
                <w:bCs w:val="0"/>
                <w:color w:val="auto"/>
                <w:kern w:val="2"/>
                <w:sz w:val="21"/>
                <w:szCs w:val="21"/>
                <w:highlight w:val="none"/>
                <w:lang w:val="en-US" w:eastAsia="zh-CN" w:bidi="ar-SA"/>
              </w:rPr>
            </w:pPr>
            <w:r>
              <w:rPr>
                <w:rFonts w:hint="eastAsia" w:ascii="宋体" w:hAnsi="宋体" w:cs="宋体"/>
                <w:b w:val="0"/>
                <w:bCs w:val="0"/>
                <w:color w:val="auto"/>
                <w:szCs w:val="21"/>
                <w:highlight w:val="none"/>
                <w:lang w:val="en-US" w:eastAsia="zh-CN"/>
              </w:rPr>
              <w:t>售后服务方案分（8分）</w:t>
            </w:r>
          </w:p>
        </w:tc>
        <w:tc>
          <w:tcPr>
            <w:tcW w:w="6719" w:type="dxa"/>
            <w:noWrap w:val="0"/>
            <w:vAlign w:val="top"/>
          </w:tcPr>
          <w:p w14:paraId="50DE06F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eastAsia" w:ascii="宋体" w:hAnsi="宋体" w:eastAsia="宋体" w:cs="宋体"/>
                <w:sz w:val="21"/>
                <w:szCs w:val="21"/>
              </w:rPr>
            </w:pPr>
            <w:r>
              <w:rPr>
                <w:rFonts w:hint="eastAsia" w:ascii="宋体" w:hAnsi="宋体" w:eastAsia="宋体" w:cs="宋体"/>
                <w:sz w:val="21"/>
                <w:szCs w:val="21"/>
              </w:rPr>
              <w:t>依据供应商提供的售后服务方案进行评审，方案须包含以下六个组成部分：
</w:t>
            </w:r>
          </w:p>
          <w:p w14:paraId="632A29E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eastAsia" w:ascii="宋体" w:hAnsi="宋体" w:eastAsia="宋体" w:cs="宋体"/>
                <w:sz w:val="21"/>
                <w:szCs w:val="21"/>
              </w:rPr>
            </w:pPr>
            <w:r>
              <w:rPr>
                <w:rFonts w:hint="eastAsia" w:ascii="宋体" w:hAnsi="宋体" w:eastAsia="宋体" w:cs="宋体"/>
                <w:sz w:val="21"/>
                <w:szCs w:val="21"/>
              </w:rPr>
              <w:t>3.1.1 售后服务体系与组织架构（1.5分）。提供售后服务体系、组织架构及人员配置，须明确标注驻场人员数量、远程支持人员数量、技术专家梯队（L1-L3分级），三项均明确的得1.5分；仅提供笼统人员名单的得0.8分；未提供的得0分。
</w:t>
            </w:r>
          </w:p>
          <w:p w14:paraId="04A7CAA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eastAsia" w:ascii="宋体" w:hAnsi="宋体" w:eastAsia="宋体" w:cs="宋体"/>
                <w:sz w:val="21"/>
                <w:szCs w:val="21"/>
              </w:rPr>
            </w:pPr>
            <w:r>
              <w:rPr>
                <w:rFonts w:hint="eastAsia" w:ascii="宋体" w:hAnsi="宋体" w:eastAsia="宋体" w:cs="宋体"/>
                <w:sz w:val="21"/>
                <w:szCs w:val="21"/>
              </w:rPr>
              <w:t>3.1.2 故障处理与维护流程（1.5分）。提供完整的故障处理流程和维护保障流程，须包含：①故障分级标准（一般/严重/紧急对应的定义和升级机制）；②故障处理闭环流程（受理→定位→修复→验证→归档）；③定期巡检机制（频次、内容、输出物）。三项均有具体描述的得1.5分；缺一项扣0.5分，扣完为止。
</w:t>
            </w:r>
          </w:p>
          <w:p w14:paraId="6A745C6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eastAsia" w:ascii="宋体" w:hAnsi="宋体" w:eastAsia="宋体" w:cs="宋体"/>
                <w:sz w:val="21"/>
                <w:szCs w:val="21"/>
              </w:rPr>
            </w:pPr>
            <w:r>
              <w:rPr>
                <w:rFonts w:hint="eastAsia" w:ascii="宋体" w:hAnsi="宋体" w:eastAsia="宋体" w:cs="宋体"/>
                <w:sz w:val="21"/>
                <w:szCs w:val="21"/>
              </w:rPr>
              <w:t>3.1.3 响应时效承诺（2分）。须提供书面承诺函，满足以下全部条件的得2分，缺一项扣0.5分，扣完为止：①7×24小时电话/在线支持；②30分钟内响应；③2小时内到达现场（隆安县范围内）；④4小时内解决一般故障；⑤重大故障2小时内恢复业务。
</w:t>
            </w:r>
          </w:p>
          <w:p w14:paraId="58B6EC8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eastAsia" w:ascii="宋体" w:hAnsi="宋体" w:eastAsia="宋体" w:cs="宋体"/>
                <w:sz w:val="21"/>
                <w:szCs w:val="21"/>
              </w:rPr>
            </w:pPr>
            <w:r>
              <w:rPr>
                <w:rFonts w:hint="eastAsia" w:ascii="宋体" w:hAnsi="宋体" w:eastAsia="宋体" w:cs="宋体"/>
                <w:sz w:val="21"/>
                <w:szCs w:val="21"/>
              </w:rPr>
              <w:t>3.1.4 本地化服务能力（1.5分）。在隆安县本地设有售后服务机构（提供营业执照或租赁合同）</w:t>
            </w:r>
            <w:r>
              <w:rPr>
                <w:rFonts w:hint="eastAsia" w:ascii="宋体" w:hAnsi="宋体" w:cs="宋体"/>
                <w:sz w:val="21"/>
                <w:szCs w:val="21"/>
                <w:lang w:eastAsia="zh-CN"/>
              </w:rPr>
              <w:t>或</w:t>
            </w:r>
            <w:r>
              <w:rPr>
                <w:rFonts w:hint="eastAsia" w:ascii="宋体" w:hAnsi="宋体" w:eastAsia="宋体" w:cs="宋体"/>
                <w:sz w:val="21"/>
                <w:szCs w:val="21"/>
              </w:rPr>
              <w:t>承诺成交后15天内在隆安县设立售后服务机构并提供专属服务团队名单和联系方式的得</w:t>
            </w:r>
            <w:r>
              <w:rPr>
                <w:rFonts w:hint="eastAsia" w:ascii="宋体" w:hAnsi="宋体" w:cs="宋体"/>
                <w:sz w:val="21"/>
                <w:szCs w:val="21"/>
                <w:lang w:val="en-US" w:eastAsia="zh-CN"/>
              </w:rPr>
              <w:t>1</w:t>
            </w:r>
            <w:r>
              <w:rPr>
                <w:rFonts w:hint="eastAsia" w:ascii="宋体" w:hAnsi="宋体" w:eastAsia="宋体" w:cs="宋体"/>
                <w:sz w:val="21"/>
                <w:szCs w:val="21"/>
              </w:rPr>
              <w:t>.5分；无本地服务能力的得0分。
</w:t>
            </w:r>
          </w:p>
          <w:p w14:paraId="677EFFF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eastAsia" w:ascii="宋体" w:hAnsi="宋体" w:eastAsia="宋体" w:cs="宋体"/>
                <w:sz w:val="21"/>
                <w:szCs w:val="21"/>
              </w:rPr>
            </w:pPr>
            <w:r>
              <w:rPr>
                <w:rFonts w:hint="eastAsia" w:ascii="宋体" w:hAnsi="宋体" w:eastAsia="宋体" w:cs="宋体"/>
                <w:sz w:val="21"/>
                <w:szCs w:val="21"/>
              </w:rPr>
              <w:t>3.1.</w:t>
            </w:r>
            <w:r>
              <w:rPr>
                <w:rFonts w:hint="eastAsia" w:ascii="宋体" w:hAnsi="宋体" w:eastAsia="宋体" w:cs="宋体"/>
                <w:sz w:val="21"/>
                <w:szCs w:val="21"/>
                <w:lang w:val="en-US" w:eastAsia="zh-CN"/>
              </w:rPr>
              <w:t>5</w:t>
            </w:r>
            <w:r>
              <w:rPr>
                <w:rFonts w:hint="eastAsia" w:ascii="宋体" w:hAnsi="宋体" w:eastAsia="宋体" w:cs="宋体"/>
                <w:sz w:val="21"/>
                <w:szCs w:val="21"/>
              </w:rPr>
              <w:t xml:space="preserve"> 应急保障与备件库（1分）。提供应急维护方案和应急组织架构，且承诺在隆安县或南宁市设有备件库（提供备件清单和库存照片或租赁证明），可实现4小时内更换故障硬件的得1分；仅提供应急方案但无备件库证明的得0.5分；无方案的得0分。
</w:t>
            </w:r>
          </w:p>
          <w:p w14:paraId="026C78D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eastAsia" w:ascii="宋体" w:hAnsi="宋体" w:eastAsia="宋体" w:cs="宋体"/>
                <w:sz w:val="21"/>
                <w:szCs w:val="21"/>
              </w:rPr>
            </w:pPr>
            <w:r>
              <w:rPr>
                <w:rFonts w:hint="eastAsia" w:ascii="宋体" w:hAnsi="宋体" w:eastAsia="宋体" w:cs="宋体"/>
                <w:sz w:val="21"/>
                <w:szCs w:val="21"/>
              </w:rPr>
              <w:t>3.1.</w:t>
            </w:r>
            <w:r>
              <w:rPr>
                <w:rFonts w:hint="eastAsia" w:ascii="宋体" w:hAnsi="宋体" w:eastAsia="宋体" w:cs="宋体"/>
                <w:sz w:val="21"/>
                <w:szCs w:val="21"/>
                <w:lang w:val="en-US" w:eastAsia="zh-CN"/>
              </w:rPr>
              <w:t>6</w:t>
            </w:r>
            <w:r>
              <w:rPr>
                <w:rFonts w:hint="eastAsia" w:ascii="宋体" w:hAnsi="宋体" w:eastAsia="宋体" w:cs="宋体"/>
                <w:sz w:val="21"/>
                <w:szCs w:val="21"/>
              </w:rPr>
              <w:t xml:space="preserve"> 培训与技术回访（0.5分）。提供免费培训计划（含杀毒软件操作培训、安全意识培训、管理员进阶培训）和定期回访方案（每季度至少一次现场回访），方案完整的得0.5分；方案笼统的得0.2分；无方案的得0分。
</w:t>
            </w:r>
          </w:p>
          <w:p w14:paraId="1820DEC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sz w:val="21"/>
                <w:szCs w:val="21"/>
              </w:rPr>
              <w:t>评分规则：每缺少1个方案组成要素扣相应分值，要素内容不完整或存在明显缺陷的酌情扣分（每处缺陷扣0.5-1分，扣完为止）。本项最高8分，最低0分。</w:t>
            </w:r>
          </w:p>
        </w:tc>
        <w:tc>
          <w:tcPr>
            <w:tcW w:w="735" w:type="dxa"/>
            <w:noWrap w:val="0"/>
            <w:vAlign w:val="center"/>
          </w:tcPr>
          <w:p w14:paraId="64D089DA">
            <w:pPr>
              <w:pStyle w:val="18"/>
              <w:keepNext w:val="0"/>
              <w:keepLines w:val="0"/>
              <w:suppressLineNumbers w:val="0"/>
              <w:spacing w:before="0" w:beforeAutospacing="0" w:after="0" w:afterAutospacing="0" w:line="360" w:lineRule="auto"/>
              <w:ind w:left="0" w:right="0"/>
              <w:jc w:val="center"/>
              <w:rPr>
                <w:rFonts w:hint="default" w:ascii="宋体" w:hAnsi="宋体" w:eastAsia="宋体" w:cs="宋体"/>
                <w:color w:val="auto"/>
                <w:kern w:val="0"/>
                <w:sz w:val="21"/>
                <w:szCs w:val="21"/>
                <w:highlight w:val="none"/>
                <w:lang w:val="en-US" w:eastAsia="zh-CN"/>
              </w:rPr>
            </w:pPr>
            <w:r>
              <w:rPr>
                <w:rFonts w:hint="eastAsia" w:hAnsi="宋体" w:eastAsia="宋体" w:cs="宋体"/>
                <w:color w:val="auto"/>
                <w:kern w:val="0"/>
                <w:sz w:val="21"/>
                <w:szCs w:val="21"/>
                <w:highlight w:val="none"/>
                <w:lang w:val="en-US" w:eastAsia="zh-CN"/>
              </w:rPr>
              <w:t>0~8</w:t>
            </w:r>
          </w:p>
        </w:tc>
      </w:tr>
      <w:tr w14:paraId="0C521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9" w:hRule="atLeast"/>
        </w:trPr>
        <w:tc>
          <w:tcPr>
            <w:tcW w:w="819" w:type="dxa"/>
            <w:noWrap w:val="0"/>
            <w:vAlign w:val="center"/>
          </w:tcPr>
          <w:p w14:paraId="759F672D">
            <w:pPr>
              <w:keepNext w:val="0"/>
              <w:keepLines w:val="0"/>
              <w:suppressLineNumbers w:val="0"/>
              <w:spacing w:before="0" w:beforeAutospacing="0" w:after="0" w:afterAutospacing="0" w:line="360" w:lineRule="auto"/>
              <w:ind w:left="0" w:right="0"/>
              <w:jc w:val="center"/>
              <w:rPr>
                <w:rFonts w:hint="default"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3.2</w:t>
            </w:r>
          </w:p>
        </w:tc>
        <w:tc>
          <w:tcPr>
            <w:tcW w:w="1158" w:type="dxa"/>
            <w:noWrap w:val="0"/>
            <w:vAlign w:val="center"/>
          </w:tcPr>
          <w:p w14:paraId="6F52A5EF">
            <w:pPr>
              <w:keepNext w:val="0"/>
              <w:keepLines w:val="0"/>
              <w:suppressLineNumbers w:val="0"/>
              <w:spacing w:before="0" w:beforeAutospacing="0" w:after="0" w:afterAutospacing="0" w:line="360" w:lineRule="auto"/>
              <w:ind w:left="0" w:right="0"/>
              <w:rPr>
                <w:rFonts w:hint="default" w:ascii="Times New Roman" w:hAnsi="Times New Roman" w:cs="Times New Roman"/>
                <w:color w:val="auto"/>
                <w:lang w:val="en-US" w:eastAsia="zh-CN"/>
              </w:rPr>
            </w:pPr>
            <w:r>
              <w:rPr>
                <w:rFonts w:hint="eastAsia" w:ascii="Times New Roman" w:hAnsi="Times New Roman" w:cs="Times New Roman"/>
                <w:color w:val="auto"/>
                <w:highlight w:val="none"/>
                <w:lang w:val="en-US" w:eastAsia="zh-CN"/>
              </w:rPr>
              <w:t>业绩分（2分）</w:t>
            </w:r>
          </w:p>
          <w:p w14:paraId="09CCC59B">
            <w:pPr>
              <w:keepNext w:val="0"/>
              <w:keepLines w:val="0"/>
              <w:suppressLineNumbers w:val="0"/>
              <w:spacing w:before="0" w:beforeAutospacing="0" w:after="0" w:afterAutospacing="0" w:line="360" w:lineRule="auto"/>
              <w:ind w:left="0" w:right="0"/>
              <w:jc w:val="center"/>
              <w:rPr>
                <w:rFonts w:hint="default" w:ascii="宋体" w:hAnsi="宋体" w:eastAsia="宋体" w:cs="宋体"/>
                <w:bCs/>
                <w:color w:val="auto"/>
                <w:szCs w:val="21"/>
                <w:highlight w:val="none"/>
                <w:lang w:val="en-US" w:eastAsia="zh-CN"/>
              </w:rPr>
            </w:pPr>
          </w:p>
        </w:tc>
        <w:tc>
          <w:tcPr>
            <w:tcW w:w="6719" w:type="dxa"/>
            <w:noWrap w:val="0"/>
            <w:vAlign w:val="top"/>
          </w:tcPr>
          <w:p w14:paraId="63BA837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highlight w:val="none"/>
                <w:lang w:val="en-US" w:eastAsia="zh-CN"/>
              </w:rPr>
              <w:t>业绩分（满分2分）</w:t>
            </w:r>
          </w:p>
          <w:p w14:paraId="0C78AF3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供应商2021年以来（以合同签订时间为准）完成同类电子政务外网线路租用或网络安全运维服务项目业绩的，每项得</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分，满分</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w:t>
            </w:r>
          </w:p>
          <w:p w14:paraId="475F22F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注：须提供有效的合同复印件或中标（成交）通知书并加盖供应商公章，否则不得分。</w:t>
            </w:r>
          </w:p>
        </w:tc>
        <w:tc>
          <w:tcPr>
            <w:tcW w:w="735" w:type="dxa"/>
            <w:noWrap w:val="0"/>
            <w:vAlign w:val="center"/>
          </w:tcPr>
          <w:p w14:paraId="0249D33D">
            <w:pPr>
              <w:keepNext w:val="0"/>
              <w:keepLines w:val="0"/>
              <w:suppressLineNumbers w:val="0"/>
              <w:spacing w:before="0" w:beforeAutospacing="0" w:after="0" w:afterAutospacing="0" w:line="360" w:lineRule="auto"/>
              <w:ind w:left="0" w:right="0"/>
              <w:jc w:val="center"/>
              <w:rPr>
                <w:rFonts w:hint="default"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rPr>
              <w:t>0~</w:t>
            </w:r>
            <w:r>
              <w:rPr>
                <w:rFonts w:hint="eastAsia" w:ascii="宋体" w:hAnsi="宋体" w:eastAsia="宋体" w:cs="宋体"/>
                <w:bCs/>
                <w:color w:val="auto"/>
                <w:szCs w:val="21"/>
                <w:highlight w:val="none"/>
                <w:lang w:val="en-US" w:eastAsia="zh-CN"/>
              </w:rPr>
              <w:t>2</w:t>
            </w:r>
          </w:p>
        </w:tc>
      </w:tr>
      <w:tr w14:paraId="0742E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9" w:type="dxa"/>
            <w:noWrap w:val="0"/>
            <w:vAlign w:val="center"/>
          </w:tcPr>
          <w:p w14:paraId="24A0DBE1">
            <w:pPr>
              <w:keepNext w:val="0"/>
              <w:keepLines w:val="0"/>
              <w:suppressLineNumbers w:val="0"/>
              <w:spacing w:before="0" w:beforeAutospacing="0" w:after="0" w:afterAutospacing="0" w:line="360" w:lineRule="auto"/>
              <w:ind w:left="0" w:right="0"/>
              <w:jc w:val="center"/>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3.3</w:t>
            </w:r>
          </w:p>
        </w:tc>
        <w:tc>
          <w:tcPr>
            <w:tcW w:w="1158" w:type="dxa"/>
            <w:noWrap w:val="0"/>
            <w:vAlign w:val="center"/>
          </w:tcPr>
          <w:p w14:paraId="16E6113A">
            <w:pPr>
              <w:keepNext w:val="0"/>
              <w:keepLines w:val="0"/>
              <w:numPr>
                <w:ilvl w:val="0"/>
                <w:numId w:val="0"/>
              </w:numPr>
              <w:suppressLineNumbers w:val="0"/>
              <w:spacing w:before="0" w:beforeAutospacing="0" w:after="0" w:afterAutospacing="0" w:line="360" w:lineRule="auto"/>
              <w:ind w:left="0" w:right="0"/>
              <w:rPr>
                <w:rFonts w:hint="eastAsia" w:ascii="宋体" w:hAnsi="宋体" w:eastAsia="宋体" w:cs="Times New Roman"/>
                <w:color w:val="auto"/>
                <w:kern w:val="0"/>
                <w:szCs w:val="21"/>
                <w:highlight w:val="none"/>
                <w:lang w:eastAsia="zh-CN"/>
              </w:rPr>
            </w:pPr>
            <w:r>
              <w:rPr>
                <w:rFonts w:hint="eastAsia" w:ascii="宋体" w:hAnsi="宋体" w:eastAsia="宋体" w:cs="Times New Roman"/>
                <w:color w:val="auto"/>
                <w:kern w:val="0"/>
                <w:szCs w:val="21"/>
                <w:highlight w:val="none"/>
              </w:rPr>
              <w:t>拟投入本项目人员</w:t>
            </w:r>
            <w:r>
              <w:rPr>
                <w:rFonts w:hint="eastAsia" w:ascii="宋体" w:hAnsi="宋体" w:eastAsia="宋体" w:cs="Times New Roman"/>
                <w:color w:val="auto"/>
                <w:kern w:val="0"/>
                <w:szCs w:val="21"/>
                <w:highlight w:val="none"/>
                <w:lang w:eastAsia="zh-CN"/>
              </w:rPr>
              <w:t>（</w:t>
            </w:r>
            <w:r>
              <w:rPr>
                <w:rFonts w:hint="eastAsia" w:ascii="宋体" w:hAnsi="宋体" w:eastAsia="宋体" w:cs="Times New Roman"/>
                <w:color w:val="auto"/>
                <w:kern w:val="0"/>
                <w:szCs w:val="21"/>
                <w:highlight w:val="none"/>
                <w:lang w:val="en-US" w:eastAsia="zh-CN"/>
              </w:rPr>
              <w:t>5分</w:t>
            </w:r>
            <w:r>
              <w:rPr>
                <w:rFonts w:hint="eastAsia" w:ascii="宋体" w:hAnsi="宋体" w:eastAsia="宋体" w:cs="Times New Roman"/>
                <w:color w:val="auto"/>
                <w:kern w:val="0"/>
                <w:szCs w:val="21"/>
                <w:highlight w:val="none"/>
                <w:lang w:eastAsia="zh-CN"/>
              </w:rPr>
              <w:t>）</w:t>
            </w:r>
          </w:p>
          <w:p w14:paraId="097472C2">
            <w:pPr>
              <w:keepNext w:val="0"/>
              <w:keepLines w:val="0"/>
              <w:suppressLineNumbers w:val="0"/>
              <w:spacing w:before="0" w:beforeAutospacing="0" w:after="0" w:afterAutospacing="0" w:line="360" w:lineRule="auto"/>
              <w:ind w:left="0" w:right="0"/>
              <w:jc w:val="center"/>
              <w:rPr>
                <w:rFonts w:hint="default" w:ascii="宋体" w:hAnsi="宋体" w:eastAsia="宋体" w:cs="宋体"/>
                <w:bCs/>
                <w:color w:val="auto"/>
                <w:szCs w:val="21"/>
                <w:highlight w:val="none"/>
                <w:lang w:val="en-US" w:eastAsia="zh-CN"/>
              </w:rPr>
            </w:pPr>
          </w:p>
        </w:tc>
        <w:tc>
          <w:tcPr>
            <w:tcW w:w="6719" w:type="dxa"/>
            <w:noWrap w:val="0"/>
            <w:vAlign w:val="top"/>
          </w:tcPr>
          <w:p w14:paraId="4213E004">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eastAsia" w:ascii="宋体" w:hAnsi="宋体" w:eastAsia="宋体" w:cs="宋体"/>
                <w:sz w:val="21"/>
                <w:szCs w:val="21"/>
              </w:rPr>
            </w:pPr>
            <w:r>
              <w:rPr>
                <w:rFonts w:hint="eastAsia" w:ascii="宋体" w:hAnsi="宋体" w:eastAsia="宋体" w:cs="宋体"/>
                <w:color w:val="auto"/>
                <w:kern w:val="0"/>
                <w:sz w:val="21"/>
                <w:szCs w:val="21"/>
                <w:highlight w:val="none"/>
              </w:rPr>
              <w:t>拟投入本项目人员</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满分5分</w:t>
            </w:r>
            <w:r>
              <w:rPr>
                <w:rFonts w:hint="eastAsia" w:ascii="宋体" w:hAnsi="宋体" w:eastAsia="宋体" w:cs="宋体"/>
                <w:color w:val="auto"/>
                <w:kern w:val="0"/>
                <w:sz w:val="21"/>
                <w:szCs w:val="21"/>
                <w:highlight w:val="none"/>
                <w:lang w:eastAsia="zh-CN"/>
              </w:rPr>
              <w:t>）</w:t>
            </w:r>
          </w:p>
          <w:p w14:paraId="4BF576C9">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eastAsia" w:ascii="宋体" w:hAnsi="宋体" w:eastAsia="宋体" w:cs="宋体"/>
                <w:sz w:val="21"/>
                <w:szCs w:val="21"/>
              </w:rPr>
            </w:pPr>
            <w:r>
              <w:rPr>
                <w:rFonts w:hint="eastAsia" w:ascii="宋体" w:hAnsi="宋体" w:eastAsia="宋体" w:cs="宋体"/>
                <w:sz w:val="21"/>
                <w:szCs w:val="21"/>
              </w:rPr>
              <w:t>3.3.1 项目负责人（2分）：拟投入的项目负责人具备以下条件，每项得1分，满分2分：①具有信息系统项目管理师（高级）或PMP证书；②具有注册信息安全专业人员（CISP）或CISAW证书。（需提供证书扫描件并加盖投标人单位公章及</w:t>
            </w:r>
            <w:r>
              <w:rPr>
                <w:rFonts w:hint="eastAsia" w:ascii="宋体" w:hAnsi="宋体" w:eastAsia="宋体" w:cs="宋体"/>
                <w:sz w:val="21"/>
                <w:szCs w:val="21"/>
                <w:highlight w:val="none"/>
              </w:rPr>
              <w:t>人员履约时须为投标人在职员工，投标时可提供人员履约承诺函，中标后补充提供社保缴纳证明核验）</w:t>
            </w:r>
          </w:p>
          <w:p w14:paraId="37D682DD">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sz w:val="21"/>
                <w:szCs w:val="21"/>
              </w:rPr>
              <w:t>3.3.2 技术团队（3分）：①拟投入本项目的技术人员中，具有CCIE/HCIE（网络方向）</w:t>
            </w:r>
            <w:r>
              <w:rPr>
                <w:rFonts w:hint="eastAsia" w:ascii="宋体" w:hAnsi="宋体" w:cs="宋体"/>
                <w:sz w:val="21"/>
                <w:szCs w:val="21"/>
                <w:lang w:eastAsia="zh-CN"/>
              </w:rPr>
              <w:t>、</w:t>
            </w:r>
            <w:r>
              <w:rPr>
                <w:rFonts w:hint="eastAsia" w:ascii="宋体" w:hAnsi="宋体" w:eastAsia="宋体" w:cs="宋体"/>
                <w:sz w:val="21"/>
                <w:szCs w:val="21"/>
              </w:rPr>
              <w:t>CISP（安全方向）</w:t>
            </w:r>
            <w:r>
              <w:rPr>
                <w:rFonts w:hint="eastAsia" w:ascii="宋体" w:hAnsi="宋体" w:eastAsia="宋体" w:cs="宋体"/>
                <w:sz w:val="21"/>
                <w:szCs w:val="21"/>
                <w:highlight w:val="none"/>
              </w:rPr>
              <w:t>或网络规划设计师（高级，计算机技术与软件专业技术资格）认证的每人得1分</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同一人员持有上述多项认证的，不重复计分</w:t>
            </w:r>
            <w:r>
              <w:rPr>
                <w:rFonts w:hint="eastAsia" w:ascii="宋体" w:hAnsi="宋体" w:cs="宋体"/>
                <w:sz w:val="21"/>
                <w:szCs w:val="21"/>
                <w:highlight w:val="none"/>
                <w:lang w:eastAsia="zh-CN"/>
              </w:rPr>
              <w:t>）</w:t>
            </w:r>
            <w:r>
              <w:rPr>
                <w:rFonts w:hint="eastAsia" w:ascii="宋体" w:hAnsi="宋体" w:eastAsia="宋体" w:cs="宋体"/>
                <w:sz w:val="21"/>
                <w:szCs w:val="21"/>
              </w:rPr>
              <w:t>，最高2分；②具有通信工程师（中级及以上）或信息系统集成项目管理工程师（中级）证书的每人得0.5</w:t>
            </w:r>
            <w:r>
              <w:rPr>
                <w:rFonts w:hint="eastAsia" w:ascii="宋体" w:hAnsi="宋体" w:eastAsia="宋体" w:cs="宋体"/>
                <w:sz w:val="21"/>
                <w:szCs w:val="21"/>
                <w:highlight w:val="none"/>
              </w:rPr>
              <w:t>分</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同一人员持有上述多项认证的，不重复计分</w:t>
            </w:r>
            <w:r>
              <w:rPr>
                <w:rFonts w:hint="eastAsia" w:ascii="宋体" w:hAnsi="宋体" w:cs="宋体"/>
                <w:sz w:val="21"/>
                <w:szCs w:val="21"/>
                <w:highlight w:val="none"/>
                <w:lang w:eastAsia="zh-CN"/>
              </w:rPr>
              <w:t>）</w:t>
            </w:r>
            <w:r>
              <w:rPr>
                <w:rFonts w:hint="eastAsia" w:ascii="宋体" w:hAnsi="宋体" w:eastAsia="宋体" w:cs="宋体"/>
                <w:sz w:val="21"/>
                <w:szCs w:val="21"/>
                <w:highlight w:val="none"/>
              </w:rPr>
              <w:t>，最高1分。（需提供证书扫描件并加盖投标人单位公章及人员履约时须为投标人在职员工，投标时可提供人员履约承诺函，中标后补充提供社保缴纳证明核验）</w:t>
            </w:r>
          </w:p>
        </w:tc>
        <w:tc>
          <w:tcPr>
            <w:tcW w:w="735" w:type="dxa"/>
            <w:noWrap w:val="0"/>
            <w:vAlign w:val="center"/>
          </w:tcPr>
          <w:p w14:paraId="3400F586">
            <w:pPr>
              <w:keepNext w:val="0"/>
              <w:keepLines w:val="0"/>
              <w:suppressLineNumbers w:val="0"/>
              <w:spacing w:before="0" w:beforeAutospacing="0" w:after="0" w:afterAutospacing="0" w:line="360" w:lineRule="auto"/>
              <w:ind w:left="0" w:right="0"/>
              <w:jc w:val="center"/>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rPr>
              <w:t>0~</w:t>
            </w:r>
            <w:r>
              <w:rPr>
                <w:rFonts w:hint="eastAsia" w:ascii="宋体" w:hAnsi="宋体" w:eastAsia="宋体" w:cs="宋体"/>
                <w:bCs/>
                <w:color w:val="auto"/>
                <w:szCs w:val="21"/>
                <w:highlight w:val="none"/>
                <w:lang w:val="en-US" w:eastAsia="zh-CN"/>
              </w:rPr>
              <w:t>5</w:t>
            </w:r>
          </w:p>
        </w:tc>
      </w:tr>
      <w:tr w14:paraId="5720C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6" w:hRule="atLeast"/>
        </w:trPr>
        <w:tc>
          <w:tcPr>
            <w:tcW w:w="819" w:type="dxa"/>
            <w:noWrap w:val="0"/>
            <w:vAlign w:val="center"/>
          </w:tcPr>
          <w:p w14:paraId="504FA34A">
            <w:pPr>
              <w:keepNext w:val="0"/>
              <w:keepLines w:val="0"/>
              <w:suppressLineNumbers w:val="0"/>
              <w:spacing w:before="0" w:beforeAutospacing="0" w:after="0" w:afterAutospacing="0" w:line="360" w:lineRule="auto"/>
              <w:ind w:left="0" w:right="0"/>
              <w:jc w:val="center"/>
              <w:rPr>
                <w:rFonts w:hint="default" w:ascii="宋体" w:hAnsi="宋体" w:eastAsia="宋体" w:cs="宋体"/>
                <w:bCs/>
                <w:color w:val="auto"/>
                <w:szCs w:val="21"/>
                <w:highlight w:val="none"/>
                <w:lang w:val="en-US" w:eastAsia="zh-CN"/>
              </w:rPr>
            </w:pPr>
            <w:bookmarkStart w:id="74" w:name="_Toc80205935"/>
            <w:r>
              <w:rPr>
                <w:rFonts w:hint="eastAsia" w:ascii="宋体" w:hAnsi="宋体" w:eastAsia="宋体" w:cs="宋体"/>
                <w:bCs/>
                <w:color w:val="auto"/>
                <w:szCs w:val="21"/>
                <w:highlight w:val="none"/>
                <w:lang w:val="en-US" w:eastAsia="zh-CN"/>
              </w:rPr>
              <w:t>4.</w:t>
            </w:r>
          </w:p>
        </w:tc>
        <w:tc>
          <w:tcPr>
            <w:tcW w:w="1158" w:type="dxa"/>
            <w:noWrap w:val="0"/>
            <w:vAlign w:val="center"/>
          </w:tcPr>
          <w:p w14:paraId="4DC01116">
            <w:pPr>
              <w:keepNext w:val="0"/>
              <w:keepLines w:val="0"/>
              <w:suppressLineNumbers w:val="0"/>
              <w:spacing w:before="0" w:beforeAutospacing="0" w:after="0" w:afterAutospacing="0" w:line="360" w:lineRule="auto"/>
              <w:ind w:left="0" w:right="0"/>
              <w:jc w:val="both"/>
              <w:rPr>
                <w:rFonts w:hint="default"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诚信分</w:t>
            </w:r>
          </w:p>
        </w:tc>
        <w:tc>
          <w:tcPr>
            <w:tcW w:w="6719" w:type="dxa"/>
            <w:noWrap w:val="0"/>
            <w:vAlign w:val="top"/>
          </w:tcPr>
          <w:p w14:paraId="3473446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eastAsia" w:ascii="宋体" w:hAnsi="宋体" w:eastAsia="宋体" w:cs="宋体"/>
                <w:color w:val="auto"/>
                <w:kern w:val="0"/>
                <w:sz w:val="21"/>
                <w:szCs w:val="21"/>
                <w:highlight w:val="none"/>
                <w:lang w:val="en-US" w:eastAsia="zh-CN"/>
              </w:rPr>
            </w:pPr>
            <w:bookmarkStart w:id="270" w:name="_GoBack"/>
            <w:r>
              <w:rPr>
                <w:rFonts w:hint="eastAsia" w:ascii="宋体" w:hAnsi="宋体" w:eastAsia="宋体" w:cs="宋体"/>
                <w:color w:val="auto"/>
                <w:kern w:val="0"/>
                <w:sz w:val="21"/>
                <w:szCs w:val="21"/>
                <w:highlight w:val="none"/>
                <w:lang w:val="en-US" w:eastAsia="zh-CN"/>
              </w:rPr>
              <w:t>投标供应商在投标截止之日前一年内在政府采购活动中存在违约违规情形的（以财政部门书面认定材料为评分依据）每次扣除3分，最高扣6分。</w:t>
            </w:r>
            <w:bookmarkEnd w:id="270"/>
          </w:p>
        </w:tc>
        <w:tc>
          <w:tcPr>
            <w:tcW w:w="735" w:type="dxa"/>
            <w:noWrap w:val="0"/>
            <w:vAlign w:val="center"/>
          </w:tcPr>
          <w:p w14:paraId="640A820A">
            <w:pPr>
              <w:keepNext w:val="0"/>
              <w:keepLines w:val="0"/>
              <w:suppressLineNumbers w:val="0"/>
              <w:spacing w:before="0" w:beforeAutospacing="0" w:after="0" w:afterAutospacing="0" w:line="360" w:lineRule="auto"/>
              <w:ind w:left="0" w:right="0"/>
              <w:jc w:val="center"/>
              <w:rPr>
                <w:rFonts w:hint="default"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-6~0</w:t>
            </w:r>
          </w:p>
        </w:tc>
      </w:tr>
      <w:tr w14:paraId="060F9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8696" w:type="dxa"/>
            <w:gridSpan w:val="3"/>
            <w:noWrap w:val="0"/>
            <w:vAlign w:val="center"/>
          </w:tcPr>
          <w:p w14:paraId="235FB060">
            <w:pPr>
              <w:keepNext w:val="0"/>
              <w:keepLines w:val="0"/>
              <w:suppressLineNumbers w:val="0"/>
              <w:tabs>
                <w:tab w:val="left" w:pos="1287"/>
              </w:tabs>
              <w:spacing w:before="0" w:beforeAutospacing="0" w:after="0" w:afterAutospacing="0" w:line="360" w:lineRule="auto"/>
              <w:ind w:left="0" w:right="0"/>
              <w:rPr>
                <w:rFonts w:hint="eastAsia" w:ascii="宋体" w:hAnsi="宋体" w:eastAsia="宋体" w:cs="Times New Roman"/>
                <w:color w:val="auto"/>
                <w:kern w:val="0"/>
                <w:szCs w:val="21"/>
                <w:highlight w:val="none"/>
                <w:lang w:val="en-US" w:eastAsia="zh-CN"/>
              </w:rPr>
            </w:pPr>
            <w:r>
              <w:rPr>
                <w:rFonts w:hint="eastAsia" w:ascii="宋体" w:hAnsi="宋体" w:eastAsia="宋体" w:cs="宋体"/>
                <w:color w:val="auto"/>
                <w:szCs w:val="21"/>
                <w:highlight w:val="none"/>
              </w:rPr>
              <w:t>总得分=1+2+3</w:t>
            </w:r>
            <w:r>
              <w:rPr>
                <w:rFonts w:hint="eastAsia" w:ascii="宋体" w:hAnsi="宋体" w:eastAsia="宋体" w:cs="宋体"/>
                <w:color w:val="auto"/>
                <w:szCs w:val="21"/>
                <w:highlight w:val="none"/>
                <w:lang w:val="en-US" w:eastAsia="zh-CN"/>
              </w:rPr>
              <w:t>+4</w:t>
            </w:r>
          </w:p>
        </w:tc>
        <w:tc>
          <w:tcPr>
            <w:tcW w:w="735" w:type="dxa"/>
            <w:noWrap w:val="0"/>
            <w:vAlign w:val="center"/>
          </w:tcPr>
          <w:p w14:paraId="6B6342A5">
            <w:pPr>
              <w:keepNext w:val="0"/>
              <w:keepLines w:val="0"/>
              <w:suppressLineNumbers w:val="0"/>
              <w:spacing w:before="0" w:beforeAutospacing="0" w:after="0" w:afterAutospacing="0" w:line="360" w:lineRule="auto"/>
              <w:ind w:left="0" w:right="0"/>
              <w:jc w:val="center"/>
              <w:rPr>
                <w:rFonts w:hint="eastAsia" w:ascii="宋体" w:hAnsi="宋体" w:eastAsia="宋体" w:cs="宋体"/>
                <w:bCs/>
                <w:color w:val="auto"/>
                <w:szCs w:val="21"/>
                <w:highlight w:val="none"/>
                <w:lang w:val="en-US" w:eastAsia="zh-CN"/>
              </w:rPr>
            </w:pPr>
          </w:p>
        </w:tc>
      </w:tr>
    </w:tbl>
    <w:p w14:paraId="0713E36C">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7.2.终止竞争性磋商采购活动</w:t>
      </w:r>
    </w:p>
    <w:p w14:paraId="4B7AB7C2">
      <w:pPr>
        <w:spacing w:line="360" w:lineRule="auto"/>
        <w:ind w:firstLine="420" w:firstLineChars="200"/>
        <w:rPr>
          <w:rFonts w:ascii="宋体" w:hAnsi="宋体"/>
          <w:bCs/>
          <w:color w:val="auto"/>
          <w:sz w:val="32"/>
          <w:szCs w:val="32"/>
          <w:highlight w:val="none"/>
        </w:rPr>
      </w:pPr>
      <w:r>
        <w:rPr>
          <w:rFonts w:hint="eastAsia" w:ascii="宋体" w:hAnsi="宋体" w:cs="宋体"/>
          <w:color w:val="auto"/>
          <w:highlight w:val="none"/>
        </w:rPr>
        <w:t>磋商小组发现竞争性磋商文件存在歧义、重大缺陷导致评审工作无法进行，或者竞争性磋商文件内容违反国家有关规定的，要停止评审工作并向采购人或采购代理机构书面说明情况，采购人或采购代理机构应当修改竞争性磋商文件后重新组织采购活动；发现供应商提供虚假材料、串通等违法违规行为的，要及时向采购人或采购代理机构报告。</w:t>
      </w:r>
    </w:p>
    <w:p w14:paraId="7C03CE83">
      <w:pPr>
        <w:keepNext/>
        <w:keepLines/>
        <w:spacing w:line="360" w:lineRule="auto"/>
        <w:ind w:firstLine="640" w:firstLineChars="200"/>
        <w:jc w:val="center"/>
        <w:outlineLvl w:val="1"/>
        <w:rPr>
          <w:rFonts w:ascii="宋体" w:hAnsi="宋体"/>
          <w:bCs/>
          <w:color w:val="auto"/>
          <w:sz w:val="32"/>
          <w:szCs w:val="32"/>
          <w:highlight w:val="none"/>
        </w:rPr>
      </w:pPr>
      <w:bookmarkStart w:id="75" w:name="_Toc7033"/>
      <w:r>
        <w:rPr>
          <w:rFonts w:hint="eastAsia" w:ascii="宋体" w:hAnsi="宋体"/>
          <w:bCs/>
          <w:color w:val="auto"/>
          <w:sz w:val="32"/>
          <w:szCs w:val="32"/>
          <w:highlight w:val="none"/>
        </w:rPr>
        <w:t>第二节 评标报告</w:t>
      </w:r>
      <w:bookmarkEnd w:id="74"/>
      <w:bookmarkEnd w:id="75"/>
    </w:p>
    <w:p w14:paraId="79113ADD">
      <w:pPr>
        <w:spacing w:line="360" w:lineRule="auto"/>
        <w:ind w:firstLine="480" w:firstLineChars="200"/>
        <w:rPr>
          <w:rFonts w:ascii="黑体" w:hAnsi="黑体" w:eastAsia="黑体" w:cs="宋体"/>
          <w:color w:val="auto"/>
          <w:sz w:val="24"/>
          <w:szCs w:val="32"/>
          <w:highlight w:val="none"/>
        </w:rPr>
      </w:pPr>
      <w:r>
        <w:rPr>
          <w:rFonts w:hint="eastAsia" w:ascii="黑体" w:hAnsi="黑体" w:eastAsia="黑体" w:cs="宋体"/>
          <w:color w:val="auto"/>
          <w:sz w:val="24"/>
          <w:szCs w:val="32"/>
          <w:highlight w:val="none"/>
        </w:rPr>
        <w:t>1.成交标准</w:t>
      </w:r>
    </w:p>
    <w:p w14:paraId="63B2E034">
      <w:pPr>
        <w:spacing w:line="360" w:lineRule="auto"/>
        <w:ind w:firstLine="420" w:firstLineChars="200"/>
        <w:rPr>
          <w:rFonts w:ascii="宋体" w:hAnsi="宋体" w:cs="宋体"/>
          <w:color w:val="auto"/>
          <w:sz w:val="24"/>
          <w:highlight w:val="none"/>
        </w:rPr>
      </w:pPr>
      <w:r>
        <w:rPr>
          <w:rFonts w:hint="eastAsia" w:ascii="宋体" w:hAnsi="宋体"/>
          <w:bCs/>
          <w:color w:val="auto"/>
          <w:szCs w:val="21"/>
          <w:highlight w:val="none"/>
        </w:rPr>
        <w:t>由磋商小组根据综合评分情况，按照评审得分由高到低顺序推荐3名以上成交候选供应商</w:t>
      </w:r>
      <w:r>
        <w:rPr>
          <w:rFonts w:hint="eastAsia" w:ascii="宋体" w:hAnsi="宋体" w:cs="宋体"/>
          <w:color w:val="auto"/>
          <w:highlight w:val="none"/>
        </w:rPr>
        <w:t>,并在线编写电子评审报告</w:t>
      </w:r>
      <w:r>
        <w:rPr>
          <w:rFonts w:hint="eastAsia" w:ascii="宋体" w:hAnsi="宋体"/>
          <w:bCs/>
          <w:color w:val="auto"/>
          <w:szCs w:val="21"/>
          <w:highlight w:val="none"/>
        </w:rPr>
        <w:t>。符合本章第一节第5</w:t>
      </w:r>
      <w:r>
        <w:rPr>
          <w:rFonts w:ascii="宋体" w:hAnsi="宋体"/>
          <w:bCs/>
          <w:color w:val="auto"/>
          <w:szCs w:val="21"/>
          <w:highlight w:val="none"/>
        </w:rPr>
        <w:t>.3</w:t>
      </w:r>
      <w:r>
        <w:rPr>
          <w:rFonts w:hint="eastAsia" w:ascii="宋体" w:hAnsi="宋体"/>
          <w:bCs/>
          <w:color w:val="auto"/>
          <w:szCs w:val="21"/>
          <w:highlight w:val="none"/>
        </w:rPr>
        <w:t>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服务需求偏离分由高到低排序）。评审得分、最后报价（不计算价格折扣）、技术得分、服务需求偏离分均相同的，由磋商小组随机抽取推荐。</w:t>
      </w:r>
    </w:p>
    <w:p w14:paraId="4EAC6943">
      <w:pPr>
        <w:spacing w:line="360" w:lineRule="auto"/>
        <w:ind w:firstLine="480" w:firstLineChars="200"/>
        <w:rPr>
          <w:rFonts w:ascii="黑体" w:hAnsi="黑体" w:eastAsia="黑体" w:cs="宋体"/>
          <w:color w:val="auto"/>
          <w:sz w:val="24"/>
          <w:szCs w:val="32"/>
          <w:highlight w:val="none"/>
        </w:rPr>
      </w:pPr>
      <w:r>
        <w:rPr>
          <w:rFonts w:hint="eastAsia" w:ascii="黑体" w:hAnsi="黑体" w:eastAsia="黑体" w:cs="宋体"/>
          <w:color w:val="auto"/>
          <w:sz w:val="24"/>
          <w:szCs w:val="32"/>
          <w:highlight w:val="none"/>
        </w:rPr>
        <w:t>2.评标争议</w:t>
      </w:r>
      <w:r>
        <w:rPr>
          <w:rFonts w:ascii="黑体" w:hAnsi="黑体" w:eastAsia="黑体" w:cs="宋体"/>
          <w:color w:val="auto"/>
          <w:sz w:val="24"/>
          <w:szCs w:val="32"/>
          <w:highlight w:val="none"/>
        </w:rPr>
        <w:t>事项</w:t>
      </w:r>
      <w:r>
        <w:rPr>
          <w:rFonts w:hint="eastAsia" w:ascii="黑体" w:hAnsi="黑体" w:eastAsia="黑体" w:cs="宋体"/>
          <w:color w:val="auto"/>
          <w:sz w:val="24"/>
          <w:szCs w:val="32"/>
          <w:highlight w:val="none"/>
        </w:rPr>
        <w:t>处理</w:t>
      </w:r>
    </w:p>
    <w:p w14:paraId="456F553D">
      <w:pPr>
        <w:adjustRightInd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磋商小组</w:t>
      </w:r>
      <w:r>
        <w:rPr>
          <w:rFonts w:ascii="宋体" w:hAnsi="宋体" w:cs="宋体"/>
          <w:color w:val="auto"/>
          <w:highlight w:val="none"/>
        </w:rPr>
        <w:t>成员对需要共同认定的事项存在争议的，应当按照少数服从多数的原则作出结论。持不同意见的</w:t>
      </w:r>
      <w:r>
        <w:rPr>
          <w:rFonts w:hint="eastAsia" w:ascii="宋体" w:hAnsi="宋体" w:cs="宋体"/>
          <w:color w:val="auto"/>
          <w:highlight w:val="none"/>
        </w:rPr>
        <w:t>磋商小组</w:t>
      </w:r>
      <w:r>
        <w:rPr>
          <w:rFonts w:ascii="宋体" w:hAnsi="宋体" w:cs="宋体"/>
          <w:color w:val="auto"/>
          <w:highlight w:val="none"/>
        </w:rPr>
        <w:t>成员应当在评标报告上签署不同意见及理由，否则视为同意评标报告。</w:t>
      </w:r>
    </w:p>
    <w:p w14:paraId="30DD9BBD">
      <w:pPr>
        <w:keepNext/>
        <w:keepLines/>
        <w:spacing w:line="360" w:lineRule="auto"/>
        <w:ind w:firstLine="640" w:firstLineChars="200"/>
        <w:jc w:val="center"/>
        <w:outlineLvl w:val="1"/>
        <w:rPr>
          <w:rFonts w:ascii="宋体" w:hAnsi="宋体"/>
          <w:bCs/>
          <w:color w:val="auto"/>
          <w:sz w:val="32"/>
          <w:szCs w:val="32"/>
          <w:highlight w:val="none"/>
        </w:rPr>
      </w:pPr>
      <w:bookmarkStart w:id="76" w:name="_Toc11822"/>
      <w:bookmarkStart w:id="77" w:name="_Toc80205936"/>
      <w:r>
        <w:rPr>
          <w:rFonts w:hint="eastAsia" w:ascii="宋体" w:hAnsi="宋体"/>
          <w:bCs/>
          <w:color w:val="auto"/>
          <w:sz w:val="32"/>
          <w:szCs w:val="32"/>
          <w:highlight w:val="none"/>
        </w:rPr>
        <w:t>第三节 评审过程的保密与录像</w:t>
      </w:r>
      <w:bookmarkEnd w:id="76"/>
      <w:bookmarkEnd w:id="77"/>
    </w:p>
    <w:p w14:paraId="657B5175">
      <w:pPr>
        <w:spacing w:line="360" w:lineRule="auto"/>
        <w:ind w:firstLine="480" w:firstLineChars="200"/>
        <w:rPr>
          <w:rFonts w:ascii="黑体" w:hAnsi="黑体" w:eastAsia="黑体" w:cs="宋体"/>
          <w:color w:val="auto"/>
          <w:sz w:val="24"/>
          <w:szCs w:val="32"/>
          <w:highlight w:val="none"/>
        </w:rPr>
      </w:pPr>
      <w:r>
        <w:rPr>
          <w:rFonts w:hint="eastAsia" w:ascii="黑体" w:hAnsi="黑体" w:eastAsia="黑体" w:cs="宋体"/>
          <w:color w:val="auto"/>
          <w:sz w:val="24"/>
          <w:szCs w:val="32"/>
          <w:highlight w:val="none"/>
        </w:rPr>
        <w:t>1.保密。</w:t>
      </w:r>
    </w:p>
    <w:p w14:paraId="15C5FE3C">
      <w:pPr>
        <w:widowControl/>
        <w:spacing w:line="360" w:lineRule="auto"/>
        <w:ind w:firstLine="420" w:firstLineChars="200"/>
        <w:rPr>
          <w:rFonts w:ascii="宋体" w:hAnsi="宋体" w:cs="宋体"/>
          <w:color w:val="auto"/>
          <w:highlight w:val="none"/>
        </w:rPr>
      </w:pPr>
      <w:r>
        <w:rPr>
          <w:rFonts w:ascii="宋体" w:hAnsi="宋体" w:cs="宋体"/>
          <w:color w:val="auto"/>
          <w:highlight w:val="none"/>
        </w:rPr>
        <w:t>评审活动在严格保密的情况下进行。评审过程中凡是与采购响应文件评审和比较、中标成交供应商推荐等评审有关的情况，以及涉及国家秘密和商业秘密等信息，评审委员会成员、采购人和采购机构工作人员、相关监督人员等与评审有关的人员应当予以保密。</w:t>
      </w:r>
    </w:p>
    <w:p w14:paraId="5A07F515">
      <w:pPr>
        <w:widowControl/>
        <w:spacing w:line="360" w:lineRule="auto"/>
        <w:ind w:firstLine="480" w:firstLineChars="200"/>
        <w:rPr>
          <w:rFonts w:ascii="黑体" w:hAnsi="黑体" w:eastAsia="黑体" w:cs="宋体"/>
          <w:color w:val="auto"/>
          <w:sz w:val="24"/>
          <w:szCs w:val="32"/>
          <w:highlight w:val="none"/>
        </w:rPr>
      </w:pPr>
      <w:r>
        <w:rPr>
          <w:rFonts w:hint="eastAsia" w:ascii="黑体" w:hAnsi="黑体" w:eastAsia="黑体" w:cs="宋体"/>
          <w:color w:val="auto"/>
          <w:sz w:val="24"/>
          <w:szCs w:val="32"/>
          <w:highlight w:val="none"/>
        </w:rPr>
        <w:t>2.录音录像。</w:t>
      </w:r>
    </w:p>
    <w:p w14:paraId="50C24D15">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采购代理机构对评审工作现场及操作屏幕进行全过程录音录像，录音录像资料作为采购项目文件随其他文件一并存档。</w:t>
      </w:r>
    </w:p>
    <w:p w14:paraId="6ED212F4">
      <w:pPr>
        <w:spacing w:line="400" w:lineRule="exact"/>
        <w:ind w:firstLine="420" w:firstLineChars="200"/>
        <w:outlineLvl w:val="9"/>
        <w:rPr>
          <w:rFonts w:ascii="宋体" w:hAnsi="宋体" w:cs="宋体"/>
          <w:color w:val="auto"/>
          <w:highlight w:val="none"/>
        </w:rPr>
      </w:pPr>
    </w:p>
    <w:p w14:paraId="249CDDDA">
      <w:pPr>
        <w:spacing w:line="400" w:lineRule="exact"/>
        <w:ind w:firstLine="420" w:firstLineChars="200"/>
        <w:outlineLvl w:val="9"/>
        <w:rPr>
          <w:rFonts w:ascii="宋体" w:hAnsi="宋体" w:cs="宋体"/>
          <w:color w:val="auto"/>
          <w:highlight w:val="none"/>
        </w:rPr>
      </w:pPr>
    </w:p>
    <w:p w14:paraId="72AF418E">
      <w:pPr>
        <w:keepNext/>
        <w:keepLines/>
        <w:spacing w:before="260" w:after="260" w:line="416" w:lineRule="auto"/>
        <w:outlineLvl w:val="9"/>
        <w:rPr>
          <w:rFonts w:ascii="Cambria" w:hAnsi="Cambria"/>
          <w:b/>
          <w:bCs/>
          <w:color w:val="auto"/>
          <w:sz w:val="32"/>
          <w:szCs w:val="32"/>
          <w:highlight w:val="none"/>
        </w:rPr>
      </w:pPr>
    </w:p>
    <w:p w14:paraId="00354A65">
      <w:pPr>
        <w:keepNext/>
        <w:keepLines/>
        <w:spacing w:before="260" w:after="260" w:line="416" w:lineRule="auto"/>
        <w:jc w:val="center"/>
        <w:outlineLvl w:val="9"/>
        <w:rPr>
          <w:rFonts w:ascii="Cambria" w:hAnsi="Cambria"/>
          <w:b/>
          <w:bCs/>
          <w:color w:val="auto"/>
          <w:sz w:val="32"/>
          <w:szCs w:val="32"/>
          <w:highlight w:val="none"/>
        </w:rPr>
      </w:pPr>
      <w:r>
        <w:rPr>
          <w:rFonts w:ascii="Cambria" w:hAnsi="Cambria"/>
          <w:b/>
          <w:bCs/>
          <w:color w:val="auto"/>
          <w:sz w:val="32"/>
          <w:szCs w:val="32"/>
          <w:highlight w:val="none"/>
        </w:rPr>
        <w:br w:type="page"/>
      </w:r>
    </w:p>
    <w:p w14:paraId="3E3F85DA">
      <w:pPr>
        <w:keepNext/>
        <w:keepLines/>
        <w:spacing w:before="260" w:after="260" w:line="416" w:lineRule="auto"/>
        <w:jc w:val="center"/>
        <w:outlineLvl w:val="9"/>
        <w:rPr>
          <w:rFonts w:ascii="Cambria" w:hAnsi="Cambria"/>
          <w:b/>
          <w:bCs/>
          <w:color w:val="auto"/>
          <w:sz w:val="32"/>
          <w:szCs w:val="32"/>
          <w:highlight w:val="none"/>
        </w:rPr>
      </w:pPr>
    </w:p>
    <w:p w14:paraId="2E52A2CA">
      <w:pPr>
        <w:keepNext/>
        <w:keepLines/>
        <w:spacing w:before="260" w:after="260" w:line="416" w:lineRule="auto"/>
        <w:jc w:val="center"/>
        <w:outlineLvl w:val="9"/>
        <w:rPr>
          <w:rFonts w:ascii="Cambria" w:hAnsi="Cambria"/>
          <w:b/>
          <w:bCs/>
          <w:color w:val="auto"/>
          <w:sz w:val="32"/>
          <w:szCs w:val="32"/>
          <w:highlight w:val="none"/>
        </w:rPr>
      </w:pPr>
    </w:p>
    <w:p w14:paraId="3A68B1C4">
      <w:pPr>
        <w:keepNext/>
        <w:keepLines/>
        <w:spacing w:before="260" w:after="260" w:line="416" w:lineRule="auto"/>
        <w:jc w:val="center"/>
        <w:outlineLvl w:val="9"/>
        <w:rPr>
          <w:rFonts w:ascii="Cambria" w:hAnsi="Cambria"/>
          <w:b/>
          <w:bCs/>
          <w:color w:val="auto"/>
          <w:sz w:val="32"/>
          <w:szCs w:val="32"/>
          <w:highlight w:val="none"/>
        </w:rPr>
      </w:pPr>
    </w:p>
    <w:p w14:paraId="09BFEFDC">
      <w:pPr>
        <w:keepNext/>
        <w:keepLines/>
        <w:spacing w:before="260" w:after="260" w:line="416" w:lineRule="auto"/>
        <w:jc w:val="center"/>
        <w:outlineLvl w:val="9"/>
        <w:rPr>
          <w:rFonts w:ascii="Cambria" w:hAnsi="Cambria"/>
          <w:b/>
          <w:bCs/>
          <w:color w:val="auto"/>
          <w:sz w:val="32"/>
          <w:szCs w:val="32"/>
          <w:highlight w:val="none"/>
        </w:rPr>
      </w:pPr>
    </w:p>
    <w:p w14:paraId="1E960ADE">
      <w:pPr>
        <w:keepNext/>
        <w:keepLines/>
        <w:spacing w:before="260" w:after="260" w:line="416" w:lineRule="auto"/>
        <w:jc w:val="center"/>
        <w:outlineLvl w:val="9"/>
        <w:rPr>
          <w:rFonts w:ascii="Cambria" w:hAnsi="Cambria"/>
          <w:b/>
          <w:bCs/>
          <w:color w:val="auto"/>
          <w:sz w:val="32"/>
          <w:szCs w:val="32"/>
          <w:highlight w:val="none"/>
        </w:rPr>
      </w:pPr>
    </w:p>
    <w:p w14:paraId="261421C4">
      <w:pPr>
        <w:keepNext/>
        <w:keepLines/>
        <w:spacing w:before="340" w:after="330" w:line="578" w:lineRule="auto"/>
        <w:jc w:val="center"/>
        <w:outlineLvl w:val="0"/>
        <w:rPr>
          <w:b/>
          <w:bCs/>
          <w:color w:val="auto"/>
          <w:kern w:val="44"/>
          <w:sz w:val="44"/>
          <w:szCs w:val="44"/>
          <w:highlight w:val="none"/>
        </w:rPr>
        <w:sectPr>
          <w:footerReference r:id="rId12" w:type="first"/>
          <w:footerReference r:id="rId11" w:type="default"/>
          <w:pgSz w:w="11910" w:h="16840"/>
          <w:pgMar w:top="1340" w:right="1500" w:bottom="280" w:left="1680" w:header="720" w:footer="720" w:gutter="0"/>
          <w:pgBorders>
            <w:top w:val="none" w:sz="0" w:space="0"/>
            <w:left w:val="none" w:sz="0" w:space="0"/>
            <w:bottom w:val="none" w:sz="0" w:space="0"/>
            <w:right w:val="none" w:sz="0" w:space="0"/>
          </w:pgBorders>
          <w:pgNumType w:fmt="decimal"/>
          <w:cols w:space="720" w:num="1"/>
        </w:sectPr>
      </w:pPr>
      <w:bookmarkStart w:id="78" w:name="_Toc17909"/>
      <w:r>
        <w:rPr>
          <w:rFonts w:hint="eastAsia"/>
          <w:b/>
          <w:bCs/>
          <w:color w:val="auto"/>
          <w:kern w:val="44"/>
          <w:sz w:val="44"/>
          <w:szCs w:val="44"/>
          <w:highlight w:val="none"/>
        </w:rPr>
        <w:t>第五章</w:t>
      </w:r>
      <w:r>
        <w:rPr>
          <w:rFonts w:hint="eastAsia"/>
          <w:b/>
          <w:bCs/>
          <w:color w:val="auto"/>
          <w:kern w:val="44"/>
          <w:sz w:val="44"/>
          <w:szCs w:val="44"/>
          <w:highlight w:val="none"/>
          <w:lang w:val="en-US" w:eastAsia="zh-CN"/>
        </w:rPr>
        <w:t xml:space="preserve"> </w:t>
      </w:r>
      <w:r>
        <w:rPr>
          <w:rFonts w:hint="eastAsia"/>
          <w:b/>
          <w:bCs/>
          <w:color w:val="auto"/>
          <w:kern w:val="44"/>
          <w:sz w:val="44"/>
          <w:szCs w:val="44"/>
          <w:highlight w:val="none"/>
        </w:rPr>
        <w:t>响应文件格式</w:t>
      </w:r>
      <w:bookmarkEnd w:id="78"/>
    </w:p>
    <w:p w14:paraId="7CB8E12D">
      <w:pPr>
        <w:pStyle w:val="3"/>
        <w:jc w:val="center"/>
        <w:outlineLvl w:val="1"/>
        <w:rPr>
          <w:rFonts w:hint="eastAsia" w:ascii="宋体" w:hAnsi="宋体"/>
          <w:b w:val="0"/>
          <w:color w:val="auto"/>
          <w:highlight w:val="none"/>
          <w:lang w:val="en-US" w:eastAsia="zh-CN"/>
        </w:rPr>
      </w:pPr>
      <w:bookmarkStart w:id="79" w:name="_Toc11295"/>
      <w:bookmarkStart w:id="80" w:name="_Toc80886942"/>
      <w:bookmarkStart w:id="81" w:name="_Toc80205938"/>
      <w:r>
        <w:rPr>
          <w:rFonts w:hint="eastAsia" w:ascii="宋体" w:hAnsi="宋体"/>
          <w:b w:val="0"/>
          <w:color w:val="auto"/>
          <w:highlight w:val="none"/>
          <w:lang w:val="en-US" w:eastAsia="zh-CN"/>
        </w:rPr>
        <w:t>第一节 封面格式</w:t>
      </w:r>
      <w:bookmarkEnd w:id="79"/>
      <w:bookmarkEnd w:id="80"/>
      <w:bookmarkEnd w:id="81"/>
    </w:p>
    <w:p w14:paraId="322D4B1D">
      <w:pPr>
        <w:snapToGrid w:val="0"/>
        <w:spacing w:before="120" w:beforeLines="50" w:after="50"/>
        <w:rPr>
          <w:rFonts w:hint="eastAsia" w:ascii="宋体" w:hAnsi="宋体"/>
          <w:color w:val="auto"/>
          <w:sz w:val="24"/>
          <w:szCs w:val="20"/>
          <w:highlight w:val="none"/>
        </w:rPr>
      </w:pPr>
    </w:p>
    <w:p w14:paraId="03FDC64B">
      <w:pPr>
        <w:snapToGrid w:val="0"/>
        <w:spacing w:before="120" w:beforeLines="50" w:after="50"/>
        <w:jc w:val="center"/>
        <w:rPr>
          <w:rFonts w:hint="eastAsia" w:ascii="宋体" w:hAnsi="宋体"/>
          <w:bCs/>
          <w:color w:val="auto"/>
          <w:sz w:val="24"/>
          <w:szCs w:val="20"/>
          <w:highlight w:val="none"/>
        </w:rPr>
      </w:pPr>
    </w:p>
    <w:p w14:paraId="65BF7938">
      <w:pPr>
        <w:snapToGrid w:val="0"/>
        <w:spacing w:before="120" w:beforeLines="50" w:after="50"/>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响  应  文  件</w:t>
      </w:r>
    </w:p>
    <w:p w14:paraId="176CC162">
      <w:pPr>
        <w:snapToGrid w:val="0"/>
        <w:spacing w:before="120" w:beforeLines="50" w:after="50"/>
        <w:rPr>
          <w:rFonts w:hint="eastAsia" w:ascii="宋体" w:hAnsi="宋体"/>
          <w:bCs/>
          <w:color w:val="auto"/>
          <w:sz w:val="24"/>
          <w:szCs w:val="20"/>
          <w:highlight w:val="none"/>
        </w:rPr>
      </w:pPr>
    </w:p>
    <w:p w14:paraId="54AFDD5C">
      <w:pPr>
        <w:snapToGrid w:val="0"/>
        <w:spacing w:before="120" w:beforeLines="50" w:after="50"/>
        <w:rPr>
          <w:rFonts w:hint="eastAsia" w:ascii="宋体" w:hAnsi="宋体"/>
          <w:bCs/>
          <w:color w:val="auto"/>
          <w:sz w:val="24"/>
          <w:szCs w:val="20"/>
          <w:highlight w:val="none"/>
        </w:rPr>
      </w:pPr>
    </w:p>
    <w:p w14:paraId="4F26BC51">
      <w:pPr>
        <w:snapToGrid w:val="0"/>
        <w:spacing w:before="120" w:beforeLines="50" w:after="50"/>
        <w:rPr>
          <w:rFonts w:hint="eastAsia" w:ascii="仿宋_GB2312" w:hAnsi="仿宋_GB2312" w:eastAsia="仿宋_GB2312" w:cs="仿宋_GB2312"/>
          <w:bCs/>
          <w:color w:val="auto"/>
          <w:sz w:val="32"/>
          <w:szCs w:val="32"/>
          <w:highlight w:val="none"/>
        </w:rPr>
      </w:pPr>
    </w:p>
    <w:p w14:paraId="4A321058">
      <w:pPr>
        <w:snapToGrid w:val="0"/>
        <w:spacing w:before="120" w:beforeLines="50" w:after="50"/>
        <w:ind w:firstLine="640" w:firstLineChars="200"/>
        <w:rPr>
          <w:rFonts w:hint="eastAsia" w:ascii="宋体" w:hAnsi="宋体" w:eastAsia="宋体" w:cs="仿宋_GB2312"/>
          <w:bCs/>
          <w:color w:val="auto"/>
          <w:sz w:val="32"/>
          <w:szCs w:val="32"/>
          <w:highlight w:val="none"/>
          <w:lang w:eastAsia="zh-CN"/>
        </w:rPr>
      </w:pPr>
      <w:r>
        <w:rPr>
          <w:rFonts w:hint="eastAsia" w:ascii="宋体" w:hAnsi="宋体" w:cs="仿宋_GB2312"/>
          <w:bCs/>
          <w:color w:val="auto"/>
          <w:sz w:val="32"/>
          <w:szCs w:val="32"/>
          <w:highlight w:val="none"/>
        </w:rPr>
        <w:t>项目名称：</w:t>
      </w:r>
      <w:r>
        <w:rPr>
          <w:rFonts w:hint="eastAsia" w:ascii="宋体" w:hAnsi="宋体" w:cs="仿宋_GB2312"/>
          <w:bCs/>
          <w:color w:val="auto"/>
          <w:sz w:val="32"/>
          <w:szCs w:val="32"/>
          <w:highlight w:val="none"/>
          <w:lang w:eastAsia="zh-CN"/>
        </w:rPr>
        <w:t>隆安县电子政务外网一期线路租用及设备升级服务项目</w:t>
      </w:r>
    </w:p>
    <w:p w14:paraId="0EC52547">
      <w:pPr>
        <w:snapToGrid w:val="0"/>
        <w:spacing w:before="120" w:beforeLines="50" w:after="50"/>
        <w:ind w:firstLine="480" w:firstLineChars="150"/>
        <w:rPr>
          <w:rFonts w:hint="eastAsia" w:ascii="宋体" w:hAnsi="宋体" w:cs="仿宋_GB2312"/>
          <w:bCs/>
          <w:color w:val="auto"/>
          <w:sz w:val="32"/>
          <w:szCs w:val="32"/>
          <w:highlight w:val="none"/>
        </w:rPr>
      </w:pPr>
    </w:p>
    <w:p w14:paraId="7134732A">
      <w:pPr>
        <w:snapToGrid w:val="0"/>
        <w:spacing w:before="120" w:beforeLines="50" w:after="50"/>
        <w:ind w:firstLine="640" w:firstLineChars="200"/>
        <w:rPr>
          <w:rFonts w:hint="eastAsia" w:ascii="宋体" w:hAnsi="宋体" w:eastAsia="宋体" w:cs="仿宋_GB2312"/>
          <w:bCs/>
          <w:color w:val="auto"/>
          <w:sz w:val="32"/>
          <w:szCs w:val="32"/>
          <w:highlight w:val="none"/>
          <w:lang w:eastAsia="zh-CN"/>
        </w:rPr>
      </w:pPr>
      <w:r>
        <w:rPr>
          <w:rFonts w:hint="eastAsia" w:ascii="宋体" w:hAnsi="宋体" w:cs="仿宋_GB2312"/>
          <w:bCs/>
          <w:color w:val="auto"/>
          <w:sz w:val="32"/>
          <w:szCs w:val="32"/>
          <w:highlight w:val="none"/>
        </w:rPr>
        <w:t>项目编号：</w:t>
      </w:r>
    </w:p>
    <w:p w14:paraId="7B1DB43D">
      <w:pPr>
        <w:snapToGrid w:val="0"/>
        <w:spacing w:before="120" w:beforeLines="50" w:after="50"/>
        <w:ind w:firstLine="480" w:firstLineChars="150"/>
        <w:rPr>
          <w:rFonts w:hint="eastAsia" w:ascii="宋体" w:hAnsi="宋体" w:cs="仿宋_GB2312"/>
          <w:bCs/>
          <w:color w:val="auto"/>
          <w:sz w:val="32"/>
          <w:szCs w:val="32"/>
          <w:highlight w:val="none"/>
        </w:rPr>
      </w:pPr>
    </w:p>
    <w:p w14:paraId="06373761">
      <w:pPr>
        <w:snapToGrid w:val="0"/>
        <w:spacing w:before="120"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25267A72">
      <w:pPr>
        <w:snapToGrid w:val="0"/>
        <w:spacing w:before="120" w:beforeLines="50" w:after="50"/>
        <w:rPr>
          <w:rFonts w:hint="eastAsia" w:ascii="宋体" w:hAnsi="宋体" w:cs="仿宋_GB2312"/>
          <w:bCs/>
          <w:color w:val="auto"/>
          <w:sz w:val="32"/>
          <w:szCs w:val="32"/>
          <w:highlight w:val="none"/>
        </w:rPr>
      </w:pPr>
    </w:p>
    <w:p w14:paraId="433CB9F1">
      <w:pPr>
        <w:snapToGrid w:val="0"/>
        <w:spacing w:before="120"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301430F3">
      <w:pPr>
        <w:snapToGrid w:val="0"/>
        <w:spacing w:before="120" w:beforeLines="50" w:after="50"/>
        <w:rPr>
          <w:rFonts w:hint="eastAsia" w:ascii="宋体" w:hAnsi="宋体" w:cs="仿宋_GB2312"/>
          <w:bCs/>
          <w:color w:val="auto"/>
          <w:sz w:val="32"/>
          <w:szCs w:val="32"/>
          <w:highlight w:val="none"/>
        </w:rPr>
      </w:pPr>
    </w:p>
    <w:p w14:paraId="302DA125">
      <w:pPr>
        <w:snapToGrid w:val="0"/>
        <w:spacing w:before="120" w:beforeLines="50" w:after="50"/>
        <w:ind w:firstLine="480" w:firstLineChars="150"/>
        <w:jc w:val="center"/>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首次响应文件提交截止时间前不得解密</w:t>
      </w:r>
    </w:p>
    <w:p w14:paraId="2F207D47">
      <w:pPr>
        <w:snapToGrid w:val="0"/>
        <w:spacing w:before="120" w:beforeLines="50" w:after="50"/>
        <w:ind w:firstLine="5440" w:firstLineChars="1700"/>
        <w:jc w:val="center"/>
        <w:rPr>
          <w:rFonts w:hint="eastAsia" w:ascii="宋体" w:hAnsi="宋体" w:cs="仿宋_GB2312"/>
          <w:bCs/>
          <w:color w:val="auto"/>
          <w:sz w:val="32"/>
          <w:szCs w:val="32"/>
          <w:highlight w:val="none"/>
        </w:rPr>
      </w:pPr>
    </w:p>
    <w:p w14:paraId="5F852A53">
      <w:pPr>
        <w:snapToGrid w:val="0"/>
        <w:spacing w:before="120" w:beforeLines="50" w:after="50"/>
        <w:ind w:firstLine="645"/>
        <w:jc w:val="center"/>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年    月    日</w:t>
      </w:r>
    </w:p>
    <w:p w14:paraId="0B40E047">
      <w:pPr>
        <w:rPr>
          <w:color w:val="auto"/>
          <w:highlight w:val="none"/>
        </w:rPr>
        <w:sectPr>
          <w:pgSz w:w="11910" w:h="16840"/>
          <w:pgMar w:top="1340" w:right="1500" w:bottom="280" w:left="1680" w:header="720" w:footer="720" w:gutter="0"/>
          <w:pgBorders>
            <w:top w:val="none" w:sz="0" w:space="0"/>
            <w:left w:val="none" w:sz="0" w:space="0"/>
            <w:bottom w:val="none" w:sz="0" w:space="0"/>
            <w:right w:val="none" w:sz="0" w:space="0"/>
          </w:pgBorders>
          <w:pgNumType w:fmt="decimal"/>
          <w:cols w:space="720" w:num="1"/>
        </w:sectPr>
      </w:pPr>
    </w:p>
    <w:p w14:paraId="50C7A9B9">
      <w:pPr>
        <w:pStyle w:val="3"/>
        <w:jc w:val="center"/>
        <w:outlineLvl w:val="1"/>
        <w:rPr>
          <w:rFonts w:hint="eastAsia" w:ascii="宋体" w:hAnsi="宋体"/>
          <w:bCs w:val="0"/>
          <w:color w:val="auto"/>
          <w:highlight w:val="none"/>
        </w:rPr>
      </w:pPr>
      <w:bookmarkStart w:id="82" w:name="_Toc80886943"/>
      <w:bookmarkStart w:id="83" w:name="_Toc22932"/>
      <w:bookmarkStart w:id="84" w:name="_Toc80205939"/>
      <w:r>
        <w:rPr>
          <w:rFonts w:hint="eastAsia" w:ascii="宋体" w:hAnsi="宋体"/>
          <w:bCs w:val="0"/>
          <w:color w:val="auto"/>
          <w:highlight w:val="none"/>
        </w:rPr>
        <w:t>第二节 资格证明文件格式</w:t>
      </w:r>
      <w:bookmarkEnd w:id="82"/>
      <w:bookmarkEnd w:id="83"/>
      <w:bookmarkEnd w:id="84"/>
    </w:p>
    <w:p w14:paraId="72054213">
      <w:pPr>
        <w:snapToGrid w:val="0"/>
        <w:spacing w:before="120" w:beforeLines="50" w:after="50"/>
        <w:rPr>
          <w:rFonts w:hint="eastAsia" w:ascii="宋体" w:hAnsi="宋体"/>
          <w:bCs/>
          <w:color w:val="auto"/>
          <w:sz w:val="32"/>
          <w:szCs w:val="20"/>
          <w:highlight w:val="none"/>
        </w:rPr>
      </w:pPr>
      <w:r>
        <w:rPr>
          <w:rFonts w:hint="eastAsia" w:ascii="宋体" w:hAnsi="宋体"/>
          <w:color w:val="auto"/>
          <w:sz w:val="24"/>
          <w:highlight w:val="none"/>
        </w:rPr>
        <w:t xml:space="preserve">                                                    </w:t>
      </w:r>
      <w:r>
        <w:rPr>
          <w:rFonts w:hint="eastAsia" w:ascii="宋体" w:hAnsi="宋体"/>
          <w:bCs/>
          <w:color w:val="auto"/>
          <w:highlight w:val="none"/>
        </w:rPr>
        <w:t>全流程电子文件</w:t>
      </w:r>
    </w:p>
    <w:p w14:paraId="3E6E42F2">
      <w:pPr>
        <w:snapToGrid w:val="0"/>
        <w:spacing w:before="120" w:beforeLines="50" w:after="50"/>
        <w:rPr>
          <w:rFonts w:hint="eastAsia" w:ascii="宋体" w:hAnsi="宋体"/>
          <w:color w:val="auto"/>
          <w:sz w:val="24"/>
          <w:szCs w:val="20"/>
          <w:highlight w:val="none"/>
        </w:rPr>
      </w:pPr>
    </w:p>
    <w:p w14:paraId="75C3391C">
      <w:pPr>
        <w:snapToGrid w:val="0"/>
        <w:spacing w:before="120" w:beforeLines="50" w:after="50"/>
        <w:rPr>
          <w:rFonts w:hint="eastAsia" w:ascii="宋体" w:hAnsi="宋体"/>
          <w:color w:val="auto"/>
          <w:sz w:val="24"/>
          <w:szCs w:val="20"/>
          <w:highlight w:val="none"/>
        </w:rPr>
      </w:pPr>
    </w:p>
    <w:p w14:paraId="60A3F3BC">
      <w:pPr>
        <w:snapToGrid w:val="0"/>
        <w:spacing w:before="120" w:beforeLines="50" w:after="50"/>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资  格  证  明  文  件（封面）</w:t>
      </w:r>
    </w:p>
    <w:p w14:paraId="50B038A5">
      <w:pPr>
        <w:snapToGrid w:val="0"/>
        <w:spacing w:before="120" w:beforeLines="50" w:after="50"/>
        <w:rPr>
          <w:rFonts w:hint="eastAsia" w:ascii="宋体" w:hAnsi="宋体"/>
          <w:bCs/>
          <w:color w:val="auto"/>
          <w:sz w:val="24"/>
          <w:szCs w:val="20"/>
          <w:highlight w:val="none"/>
        </w:rPr>
      </w:pPr>
    </w:p>
    <w:p w14:paraId="7995943A">
      <w:pPr>
        <w:snapToGrid w:val="0"/>
        <w:spacing w:before="120" w:beforeLines="50" w:after="50"/>
        <w:rPr>
          <w:rFonts w:hint="eastAsia" w:ascii="宋体" w:hAnsi="宋体"/>
          <w:bCs/>
          <w:color w:val="auto"/>
          <w:sz w:val="24"/>
          <w:szCs w:val="20"/>
          <w:highlight w:val="none"/>
        </w:rPr>
      </w:pPr>
    </w:p>
    <w:p w14:paraId="0EF525FF">
      <w:pPr>
        <w:snapToGrid w:val="0"/>
        <w:spacing w:before="120" w:beforeLines="50" w:after="50"/>
        <w:rPr>
          <w:rFonts w:hint="eastAsia" w:ascii="宋体" w:hAnsi="宋体"/>
          <w:bCs/>
          <w:color w:val="auto"/>
          <w:sz w:val="24"/>
          <w:szCs w:val="20"/>
          <w:highlight w:val="none"/>
        </w:rPr>
      </w:pPr>
    </w:p>
    <w:p w14:paraId="7B4D7480">
      <w:pPr>
        <w:snapToGrid w:val="0"/>
        <w:spacing w:before="120" w:beforeLines="50" w:after="50"/>
        <w:rPr>
          <w:rFonts w:hint="eastAsia" w:ascii="宋体" w:hAnsi="宋体"/>
          <w:bCs/>
          <w:color w:val="auto"/>
          <w:sz w:val="24"/>
          <w:szCs w:val="20"/>
          <w:highlight w:val="none"/>
        </w:rPr>
      </w:pPr>
    </w:p>
    <w:p w14:paraId="58B8D15E">
      <w:pPr>
        <w:snapToGrid w:val="0"/>
        <w:spacing w:before="120" w:beforeLines="50" w:after="50"/>
        <w:rPr>
          <w:rFonts w:hint="eastAsia" w:ascii="宋体" w:hAnsi="宋体"/>
          <w:bCs/>
          <w:color w:val="auto"/>
          <w:sz w:val="24"/>
          <w:szCs w:val="20"/>
          <w:highlight w:val="none"/>
        </w:rPr>
      </w:pPr>
    </w:p>
    <w:p w14:paraId="42D0217E">
      <w:pPr>
        <w:snapToGrid w:val="0"/>
        <w:spacing w:before="120" w:beforeLines="50" w:after="50"/>
        <w:ind w:firstLine="640" w:firstLineChars="200"/>
        <w:rPr>
          <w:rFonts w:hint="eastAsia" w:ascii="宋体" w:hAnsi="宋体" w:eastAsia="宋体" w:cs="仿宋_GB2312"/>
          <w:bCs/>
          <w:color w:val="auto"/>
          <w:sz w:val="32"/>
          <w:szCs w:val="32"/>
          <w:highlight w:val="none"/>
          <w:lang w:eastAsia="zh-CN"/>
        </w:rPr>
      </w:pPr>
      <w:r>
        <w:rPr>
          <w:rFonts w:hint="eastAsia" w:ascii="宋体" w:hAnsi="宋体" w:cs="仿宋_GB2312"/>
          <w:bCs/>
          <w:color w:val="auto"/>
          <w:sz w:val="32"/>
          <w:szCs w:val="32"/>
          <w:highlight w:val="none"/>
        </w:rPr>
        <w:t>项目名称：</w:t>
      </w:r>
      <w:r>
        <w:rPr>
          <w:rFonts w:hint="eastAsia" w:ascii="宋体" w:hAnsi="宋体" w:cs="仿宋_GB2312"/>
          <w:bCs/>
          <w:color w:val="auto"/>
          <w:sz w:val="32"/>
          <w:szCs w:val="32"/>
          <w:highlight w:val="none"/>
          <w:lang w:eastAsia="zh-CN"/>
        </w:rPr>
        <w:t>隆安县电子政务外网一期线路租用及设备升级服务项目</w:t>
      </w:r>
    </w:p>
    <w:p w14:paraId="018B74EC">
      <w:pPr>
        <w:snapToGrid w:val="0"/>
        <w:spacing w:before="120" w:beforeLines="50" w:after="50"/>
        <w:ind w:firstLine="720" w:firstLineChars="225"/>
        <w:rPr>
          <w:rFonts w:hint="eastAsia" w:ascii="宋体" w:hAnsi="宋体" w:cs="仿宋_GB2312"/>
          <w:bCs/>
          <w:color w:val="auto"/>
          <w:sz w:val="32"/>
          <w:szCs w:val="32"/>
          <w:highlight w:val="none"/>
        </w:rPr>
      </w:pPr>
    </w:p>
    <w:p w14:paraId="66F5EBDF">
      <w:pPr>
        <w:snapToGrid w:val="0"/>
        <w:spacing w:before="120" w:beforeLines="50" w:after="50"/>
        <w:ind w:firstLine="720" w:firstLineChars="225"/>
        <w:rPr>
          <w:rFonts w:hint="eastAsia" w:ascii="宋体" w:hAnsi="宋体" w:eastAsia="宋体" w:cs="仿宋_GB2312"/>
          <w:bCs/>
          <w:color w:val="auto"/>
          <w:sz w:val="32"/>
          <w:szCs w:val="32"/>
          <w:highlight w:val="none"/>
          <w:lang w:eastAsia="zh-CN"/>
        </w:rPr>
      </w:pPr>
      <w:r>
        <w:rPr>
          <w:rFonts w:hint="eastAsia" w:ascii="宋体" w:hAnsi="宋体" w:cs="仿宋_GB2312"/>
          <w:bCs/>
          <w:color w:val="auto"/>
          <w:sz w:val="32"/>
          <w:szCs w:val="32"/>
          <w:highlight w:val="none"/>
        </w:rPr>
        <w:t>项目编号：</w:t>
      </w:r>
    </w:p>
    <w:p w14:paraId="60D3327A">
      <w:pPr>
        <w:snapToGrid w:val="0"/>
        <w:spacing w:before="120" w:beforeLines="50" w:after="50"/>
        <w:ind w:firstLine="720" w:firstLineChars="225"/>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 xml:space="preserve"> </w:t>
      </w:r>
    </w:p>
    <w:p w14:paraId="13ACCAF8">
      <w:pPr>
        <w:snapToGrid w:val="0"/>
        <w:spacing w:before="120" w:beforeLines="50" w:after="50"/>
        <w:ind w:firstLine="720" w:firstLineChars="225"/>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7D0C4C16">
      <w:pPr>
        <w:snapToGrid w:val="0"/>
        <w:spacing w:before="120" w:beforeLines="50" w:after="50"/>
        <w:ind w:firstLine="720" w:firstLineChars="225"/>
        <w:rPr>
          <w:rFonts w:hint="eastAsia" w:ascii="宋体" w:hAnsi="宋体" w:cs="仿宋_GB2312"/>
          <w:bCs/>
          <w:color w:val="auto"/>
          <w:sz w:val="32"/>
          <w:szCs w:val="32"/>
          <w:highlight w:val="none"/>
        </w:rPr>
      </w:pPr>
    </w:p>
    <w:p w14:paraId="1FDD64C7">
      <w:pPr>
        <w:pStyle w:val="7"/>
        <w:snapToGrid w:val="0"/>
        <w:spacing w:before="50" w:after="50"/>
        <w:ind w:firstLine="720" w:firstLineChars="225"/>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6C784F39">
      <w:pPr>
        <w:pStyle w:val="7"/>
        <w:snapToGrid w:val="0"/>
        <w:spacing w:before="50" w:after="50"/>
        <w:ind w:firstLine="720" w:firstLineChars="225"/>
        <w:rPr>
          <w:rFonts w:hint="eastAsia" w:ascii="宋体" w:hAnsi="宋体" w:cs="仿宋_GB2312"/>
          <w:bCs/>
          <w:color w:val="auto"/>
          <w:sz w:val="32"/>
          <w:szCs w:val="32"/>
          <w:highlight w:val="none"/>
        </w:rPr>
      </w:pPr>
    </w:p>
    <w:p w14:paraId="320B8BEF">
      <w:pPr>
        <w:pStyle w:val="7"/>
        <w:snapToGrid w:val="0"/>
        <w:spacing w:before="50" w:after="50"/>
        <w:ind w:firstLine="720" w:firstLineChars="225"/>
        <w:rPr>
          <w:rFonts w:hint="eastAsia" w:ascii="宋体" w:hAnsi="宋体" w:cs="仿宋_GB2312"/>
          <w:bCs/>
          <w:color w:val="auto"/>
          <w:sz w:val="32"/>
          <w:szCs w:val="32"/>
          <w:highlight w:val="none"/>
        </w:rPr>
      </w:pPr>
    </w:p>
    <w:p w14:paraId="246897D2">
      <w:pPr>
        <w:pStyle w:val="7"/>
        <w:snapToGrid w:val="0"/>
        <w:spacing w:before="50" w:after="50"/>
        <w:ind w:firstLine="720" w:firstLineChars="225"/>
        <w:rPr>
          <w:rFonts w:hint="eastAsia" w:ascii="宋体" w:hAnsi="宋体" w:cs="仿宋_GB2312"/>
          <w:bCs/>
          <w:color w:val="auto"/>
          <w:sz w:val="32"/>
          <w:szCs w:val="32"/>
          <w:highlight w:val="none"/>
        </w:rPr>
      </w:pPr>
    </w:p>
    <w:p w14:paraId="7DD1EC14">
      <w:pPr>
        <w:pStyle w:val="7"/>
        <w:snapToGrid w:val="0"/>
        <w:spacing w:before="50" w:after="50"/>
        <w:ind w:firstLine="1280" w:firstLineChars="400"/>
        <w:rPr>
          <w:rFonts w:hint="eastAsia" w:ascii="宋体" w:hAnsi="宋体" w:cs="仿宋_GB2312"/>
          <w:bCs/>
          <w:color w:val="auto"/>
          <w:sz w:val="32"/>
          <w:szCs w:val="32"/>
          <w:highlight w:val="none"/>
        </w:rPr>
      </w:pPr>
    </w:p>
    <w:p w14:paraId="68183F49">
      <w:pPr>
        <w:snapToGrid w:val="0"/>
        <w:spacing w:before="120" w:beforeLines="50" w:after="50"/>
        <w:jc w:val="center"/>
        <w:rPr>
          <w:rFonts w:hint="eastAsia"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6AE9AA36">
      <w:pPr>
        <w:snapToGrid w:val="0"/>
        <w:spacing w:before="120" w:beforeLines="50" w:after="50" w:line="360" w:lineRule="auto"/>
        <w:jc w:val="left"/>
        <w:rPr>
          <w:rFonts w:hint="eastAsia" w:ascii="宋体" w:hAnsi="宋体"/>
          <w:b/>
          <w:bCs/>
          <w:color w:val="auto"/>
          <w:sz w:val="32"/>
          <w:szCs w:val="32"/>
          <w:highlight w:val="none"/>
        </w:rPr>
      </w:pPr>
      <w:r>
        <w:rPr>
          <w:rFonts w:ascii="宋体" w:hAnsi="宋体"/>
          <w:color w:val="auto"/>
          <w:sz w:val="24"/>
          <w:highlight w:val="none"/>
        </w:rPr>
        <w:br w:type="page"/>
      </w:r>
      <w:r>
        <w:rPr>
          <w:rFonts w:hint="eastAsia" w:ascii="宋体" w:hAnsi="宋体"/>
          <w:b/>
          <w:bCs/>
          <w:color w:val="auto"/>
          <w:sz w:val="32"/>
          <w:szCs w:val="32"/>
          <w:highlight w:val="none"/>
        </w:rPr>
        <w:t xml:space="preserve"> </w:t>
      </w:r>
    </w:p>
    <w:p w14:paraId="2E3227F6">
      <w:pPr>
        <w:jc w:val="center"/>
        <w:rPr>
          <w:rFonts w:hint="eastAsia" w:ascii="仿宋_GB2312" w:hAnsi="仿宋" w:eastAsia="仿宋_GB2312" w:cs="仿宋_GB2312"/>
          <w:b/>
          <w:color w:val="auto"/>
          <w:kern w:val="0"/>
          <w:sz w:val="36"/>
          <w:szCs w:val="36"/>
          <w:highlight w:val="none"/>
        </w:rPr>
      </w:pPr>
      <w:r>
        <w:rPr>
          <w:rFonts w:hint="eastAsia" w:ascii="仿宋_GB2312" w:hAnsi="仿宋" w:eastAsia="仿宋_GB2312" w:cs="仿宋_GB2312"/>
          <w:b/>
          <w:color w:val="auto"/>
          <w:kern w:val="0"/>
          <w:sz w:val="36"/>
          <w:szCs w:val="36"/>
          <w:highlight w:val="none"/>
        </w:rPr>
        <w:t>资格证明文件目录</w:t>
      </w:r>
    </w:p>
    <w:p w14:paraId="2112AEA8">
      <w:pPr>
        <w:snapToGrid w:val="0"/>
        <w:spacing w:line="360" w:lineRule="auto"/>
        <w:rPr>
          <w:rFonts w:hint="eastAsia" w:ascii="仿宋_GB2312" w:hAnsi="仿宋" w:eastAsia="仿宋_GB2312" w:cs="仿宋_GB2312"/>
          <w:color w:val="auto"/>
          <w:kern w:val="0"/>
          <w:sz w:val="24"/>
          <w:highlight w:val="none"/>
        </w:rPr>
      </w:pPr>
    </w:p>
    <w:p w14:paraId="0D2EE446">
      <w:pPr>
        <w:tabs>
          <w:tab w:val="left" w:pos="3479"/>
        </w:tabs>
        <w:spacing w:line="520" w:lineRule="exact"/>
        <w:jc w:val="left"/>
        <w:rPr>
          <w:rFonts w:hint="eastAsia" w:ascii="宋体" w:hAnsi="宋体"/>
          <w:color w:val="auto"/>
          <w:sz w:val="28"/>
          <w:szCs w:val="28"/>
          <w:highlight w:val="none"/>
        </w:rPr>
      </w:pPr>
      <w:r>
        <w:rPr>
          <w:rFonts w:hint="eastAsia" w:ascii="宋体" w:hAnsi="宋体"/>
          <w:color w:val="auto"/>
          <w:sz w:val="28"/>
          <w:szCs w:val="28"/>
          <w:highlight w:val="none"/>
        </w:rPr>
        <w:t>根据</w:t>
      </w:r>
      <w:r>
        <w:rPr>
          <w:rFonts w:hint="eastAsia" w:ascii="宋体" w:hAnsi="宋体"/>
          <w:color w:val="auto"/>
          <w:sz w:val="28"/>
          <w:szCs w:val="28"/>
          <w:highlight w:val="none"/>
          <w:lang w:val="en-US" w:eastAsia="zh-CN"/>
        </w:rPr>
        <w:t>磋商</w:t>
      </w:r>
      <w:r>
        <w:rPr>
          <w:rFonts w:hint="eastAsia" w:ascii="宋体" w:hAnsi="宋体"/>
          <w:color w:val="auto"/>
          <w:sz w:val="28"/>
          <w:szCs w:val="28"/>
          <w:highlight w:val="none"/>
        </w:rPr>
        <w:t>文件规定及供应商提供的材料自行编写目录（部分格式后附）。</w:t>
      </w:r>
    </w:p>
    <w:p w14:paraId="6A1CD6CA">
      <w:pPr>
        <w:spacing w:line="360" w:lineRule="auto"/>
        <w:rPr>
          <w:rFonts w:hint="eastAsia" w:ascii="仿宋_GB2312" w:hAnsi="仿宋_GB2312" w:eastAsia="仿宋_GB2312" w:cs="仿宋_GB2312"/>
          <w:b/>
          <w:bCs/>
          <w:color w:val="auto"/>
          <w:sz w:val="24"/>
          <w:highlight w:val="none"/>
        </w:rPr>
      </w:pPr>
    </w:p>
    <w:p w14:paraId="52EC334E">
      <w:pPr>
        <w:snapToGrid w:val="0"/>
        <w:spacing w:before="120" w:beforeLines="50" w:after="50" w:line="360" w:lineRule="auto"/>
        <w:ind w:left="142" w:firstLine="420" w:firstLineChars="200"/>
        <w:jc w:val="left"/>
        <w:rPr>
          <w:rFonts w:hint="eastAsia" w:ascii="宋体" w:hAnsi="宋体"/>
          <w:color w:val="auto"/>
          <w:szCs w:val="21"/>
          <w:highlight w:val="none"/>
        </w:rPr>
      </w:pPr>
    </w:p>
    <w:p w14:paraId="0355976C">
      <w:pPr>
        <w:spacing w:line="300" w:lineRule="auto"/>
        <w:rPr>
          <w:rFonts w:hint="eastAsia" w:ascii="宋体" w:hAnsi="宋体"/>
          <w:color w:val="auto"/>
          <w:szCs w:val="21"/>
          <w:highlight w:val="none"/>
        </w:rPr>
      </w:pPr>
    </w:p>
    <w:p w14:paraId="3E2D2E1D">
      <w:pPr>
        <w:spacing w:line="300" w:lineRule="auto"/>
        <w:rPr>
          <w:rFonts w:hint="eastAsia" w:ascii="宋体" w:hAnsi="宋体"/>
          <w:color w:val="auto"/>
          <w:szCs w:val="21"/>
          <w:highlight w:val="none"/>
        </w:rPr>
      </w:pPr>
    </w:p>
    <w:p w14:paraId="1DC77E7D">
      <w:pPr>
        <w:spacing w:line="300" w:lineRule="auto"/>
        <w:rPr>
          <w:rFonts w:hint="eastAsia" w:ascii="宋体" w:hAnsi="宋体"/>
          <w:color w:val="auto"/>
          <w:szCs w:val="21"/>
          <w:highlight w:val="none"/>
        </w:rPr>
      </w:pPr>
    </w:p>
    <w:p w14:paraId="3D9B8185">
      <w:pPr>
        <w:spacing w:line="300" w:lineRule="auto"/>
        <w:rPr>
          <w:rFonts w:hint="eastAsia" w:ascii="宋体" w:hAnsi="宋体"/>
          <w:color w:val="auto"/>
          <w:szCs w:val="21"/>
          <w:highlight w:val="none"/>
        </w:rPr>
      </w:pPr>
    </w:p>
    <w:p w14:paraId="187AABAF">
      <w:pPr>
        <w:spacing w:line="300" w:lineRule="auto"/>
        <w:rPr>
          <w:rFonts w:hint="eastAsia" w:ascii="宋体" w:hAnsi="宋体"/>
          <w:color w:val="auto"/>
          <w:szCs w:val="21"/>
          <w:highlight w:val="none"/>
        </w:rPr>
      </w:pPr>
    </w:p>
    <w:p w14:paraId="5E622118">
      <w:pPr>
        <w:spacing w:line="300" w:lineRule="auto"/>
        <w:rPr>
          <w:rFonts w:hint="eastAsia" w:ascii="宋体" w:hAnsi="宋体"/>
          <w:color w:val="auto"/>
          <w:szCs w:val="21"/>
          <w:highlight w:val="none"/>
        </w:rPr>
      </w:pPr>
    </w:p>
    <w:p w14:paraId="4C4CBC41">
      <w:pPr>
        <w:spacing w:line="300" w:lineRule="auto"/>
        <w:rPr>
          <w:rFonts w:hint="eastAsia" w:ascii="宋体" w:hAnsi="宋体"/>
          <w:color w:val="auto"/>
          <w:szCs w:val="21"/>
          <w:highlight w:val="none"/>
        </w:rPr>
      </w:pPr>
    </w:p>
    <w:p w14:paraId="24EAE6E0">
      <w:pPr>
        <w:spacing w:line="300" w:lineRule="auto"/>
        <w:rPr>
          <w:rFonts w:hint="eastAsia" w:ascii="宋体" w:hAnsi="宋体"/>
          <w:color w:val="auto"/>
          <w:szCs w:val="21"/>
          <w:highlight w:val="none"/>
        </w:rPr>
      </w:pPr>
    </w:p>
    <w:p w14:paraId="16AA233A">
      <w:pPr>
        <w:spacing w:line="300" w:lineRule="auto"/>
        <w:rPr>
          <w:rFonts w:hint="eastAsia" w:ascii="宋体" w:hAnsi="宋体"/>
          <w:color w:val="auto"/>
          <w:szCs w:val="21"/>
          <w:highlight w:val="none"/>
        </w:rPr>
      </w:pPr>
    </w:p>
    <w:p w14:paraId="1734261B">
      <w:pPr>
        <w:pStyle w:val="18"/>
        <w:spacing w:line="360" w:lineRule="auto"/>
        <w:ind w:firstLine="400" w:firstLineChars="200"/>
        <w:rPr>
          <w:rFonts w:ascii="仿宋" w:hAnsi="仿宋" w:eastAsia="仿宋" w:cs="仿宋_GB2312"/>
          <w:b/>
          <w:color w:val="auto"/>
          <w:sz w:val="30"/>
          <w:szCs w:val="30"/>
          <w:highlight w:val="none"/>
        </w:rPr>
      </w:pPr>
      <w:r>
        <w:rPr>
          <w:rFonts w:hAnsi="宋体"/>
          <w:color w:val="auto"/>
          <w:highlight w:val="none"/>
        </w:rPr>
        <w:br w:type="page"/>
      </w:r>
      <w:r>
        <w:rPr>
          <w:rFonts w:hint="eastAsia" w:hAnsi="宋体"/>
          <w:color w:val="auto"/>
          <w:highlight w:val="none"/>
        </w:rPr>
        <w:t xml:space="preserve"> </w:t>
      </w:r>
      <w:r>
        <w:rPr>
          <w:rFonts w:hAnsi="宋体"/>
          <w:color w:val="auto"/>
          <w:highlight w:val="none"/>
        </w:rPr>
        <w:t xml:space="preserve"> </w:t>
      </w:r>
      <w:r>
        <w:rPr>
          <w:rFonts w:hint="eastAsia" w:hAnsi="宋体"/>
          <w:color w:val="auto"/>
          <w:highlight w:val="none"/>
        </w:rPr>
        <w:t xml:space="preserve"> </w:t>
      </w:r>
      <w:r>
        <w:rPr>
          <w:rFonts w:hint="eastAsia" w:ascii="仿宋" w:hAnsi="仿宋" w:eastAsia="仿宋" w:cs="仿宋_GB2312"/>
          <w:b/>
          <w:color w:val="auto"/>
          <w:sz w:val="30"/>
          <w:szCs w:val="30"/>
          <w:highlight w:val="none"/>
        </w:rPr>
        <w:t>一、营业执照(或事业法人登记证或其他工商等登记证明材料)复印件（</w:t>
      </w:r>
      <w:r>
        <w:rPr>
          <w:rFonts w:hint="eastAsia" w:ascii="仿宋" w:hAnsi="仿宋" w:eastAsia="仿宋" w:cs="仿宋_GB2312"/>
          <w:b/>
          <w:color w:val="auto"/>
          <w:sz w:val="30"/>
          <w:szCs w:val="30"/>
          <w:highlight w:val="none"/>
          <w:lang w:eastAsia="zh-CN"/>
        </w:rPr>
        <w:t>供应商</w:t>
      </w:r>
      <w:r>
        <w:rPr>
          <w:rFonts w:hint="eastAsia" w:ascii="仿宋" w:hAnsi="仿宋" w:eastAsia="仿宋" w:cs="仿宋_GB2312"/>
          <w:b/>
          <w:color w:val="auto"/>
          <w:sz w:val="30"/>
          <w:szCs w:val="30"/>
          <w:highlight w:val="none"/>
        </w:rPr>
        <w:t>为自然人的，提供自然人的身份证明）</w:t>
      </w:r>
    </w:p>
    <w:p w14:paraId="176FA880">
      <w:pPr>
        <w:pStyle w:val="18"/>
        <w:spacing w:line="360" w:lineRule="auto"/>
        <w:ind w:firstLine="602" w:firstLineChars="200"/>
        <w:rPr>
          <w:rFonts w:ascii="仿宋" w:hAnsi="仿宋" w:eastAsia="仿宋" w:cs="仿宋_GB2312"/>
          <w:b/>
          <w:color w:val="auto"/>
          <w:sz w:val="30"/>
          <w:szCs w:val="30"/>
          <w:highlight w:val="none"/>
        </w:rPr>
      </w:pPr>
    </w:p>
    <w:p w14:paraId="223E9C64">
      <w:pPr>
        <w:autoSpaceDE w:val="0"/>
        <w:autoSpaceDN w:val="0"/>
        <w:spacing w:line="360" w:lineRule="auto"/>
        <w:ind w:left="4365" w:leftChars="1850" w:hanging="480" w:hangingChars="2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14:paraId="6A274E0A">
      <w:pPr>
        <w:autoSpaceDE w:val="0"/>
        <w:autoSpaceDN w:val="0"/>
        <w:spacing w:line="360" w:lineRule="auto"/>
        <w:ind w:firstLine="6120" w:firstLineChars="2550"/>
        <w:rPr>
          <w:rFonts w:ascii="仿宋_GB2312" w:hAnsi="仿宋" w:eastAsia="仿宋_GB2312" w:cs="仿宋_GB2312"/>
          <w:b/>
          <w:bCs/>
          <w:color w:val="auto"/>
          <w:sz w:val="24"/>
          <w:highlight w:val="none"/>
        </w:rPr>
      </w:pPr>
      <w:r>
        <w:rPr>
          <w:rFonts w:hint="eastAsia" w:ascii="仿宋_GB2312" w:hAnsi="仿宋" w:eastAsia="仿宋_GB2312" w:cs="仿宋_GB2312"/>
          <w:color w:val="auto"/>
          <w:kern w:val="0"/>
          <w:sz w:val="24"/>
          <w:highlight w:val="none"/>
          <w:lang w:val="zh-CN"/>
        </w:rPr>
        <w:t>日期：  年  月   日</w:t>
      </w:r>
    </w:p>
    <w:p w14:paraId="4E1E15F9">
      <w:pPr>
        <w:snapToGrid w:val="0"/>
        <w:spacing w:before="120" w:beforeLines="50" w:after="50"/>
        <w:rPr>
          <w:rFonts w:ascii="宋体" w:hAnsi="宋体"/>
          <w:color w:val="auto"/>
          <w:sz w:val="24"/>
          <w:szCs w:val="20"/>
          <w:highlight w:val="none"/>
        </w:rPr>
      </w:pPr>
    </w:p>
    <w:p w14:paraId="4D8F7B7A">
      <w:pPr>
        <w:pStyle w:val="18"/>
        <w:spacing w:line="360" w:lineRule="auto"/>
        <w:ind w:firstLine="602" w:firstLineChars="200"/>
        <w:rPr>
          <w:rFonts w:hint="eastAsia" w:ascii="仿宋" w:hAnsi="仿宋" w:eastAsia="仿宋" w:cs="仿宋_GB2312"/>
          <w:b/>
          <w:color w:val="auto"/>
          <w:sz w:val="30"/>
          <w:szCs w:val="30"/>
          <w:highlight w:val="none"/>
        </w:rPr>
      </w:pPr>
      <w:r>
        <w:rPr>
          <w:rFonts w:hint="eastAsia" w:ascii="仿宋" w:hAnsi="仿宋" w:eastAsia="仿宋" w:cs="仿宋_GB2312"/>
          <w:b/>
          <w:color w:val="auto"/>
          <w:sz w:val="30"/>
          <w:szCs w:val="30"/>
          <w:highlight w:val="none"/>
          <w:lang w:eastAsia="zh-CN"/>
        </w:rPr>
        <w:t>二、</w:t>
      </w:r>
      <w:r>
        <w:rPr>
          <w:rFonts w:hint="eastAsia" w:ascii="仿宋" w:hAnsi="仿宋" w:eastAsia="仿宋" w:cs="仿宋_GB2312"/>
          <w:b/>
          <w:color w:val="auto"/>
          <w:sz w:val="30"/>
          <w:szCs w:val="30"/>
          <w:highlight w:val="none"/>
        </w:rPr>
        <w:t>符合参与政府采购活动的资格条件依法缴纳税收、社会保障资金等方面的材料</w:t>
      </w:r>
    </w:p>
    <w:p w14:paraId="4D8843CA">
      <w:pPr>
        <w:spacing w:line="300" w:lineRule="auto"/>
        <w:rPr>
          <w:rFonts w:hint="eastAsia" w:ascii="宋体" w:hAnsi="宋体"/>
          <w:color w:val="auto"/>
          <w:szCs w:val="21"/>
          <w:highlight w:val="none"/>
        </w:rPr>
      </w:pPr>
    </w:p>
    <w:p w14:paraId="2249F71D">
      <w:pPr>
        <w:autoSpaceDE w:val="0"/>
        <w:autoSpaceDN w:val="0"/>
        <w:spacing w:line="360" w:lineRule="auto"/>
        <w:ind w:left="4365" w:leftChars="1850" w:hanging="480" w:hangingChars="2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14:paraId="0161202B">
      <w:pPr>
        <w:autoSpaceDE w:val="0"/>
        <w:autoSpaceDN w:val="0"/>
        <w:spacing w:line="360" w:lineRule="auto"/>
        <w:ind w:firstLine="6120" w:firstLineChars="2550"/>
        <w:rPr>
          <w:rFonts w:ascii="仿宋_GB2312" w:hAnsi="仿宋" w:eastAsia="仿宋_GB2312" w:cs="仿宋_GB2312"/>
          <w:b/>
          <w:bCs/>
          <w:color w:val="auto"/>
          <w:sz w:val="24"/>
          <w:highlight w:val="none"/>
        </w:rPr>
      </w:pPr>
      <w:r>
        <w:rPr>
          <w:rFonts w:hint="eastAsia" w:ascii="仿宋_GB2312" w:hAnsi="仿宋" w:eastAsia="仿宋_GB2312" w:cs="仿宋_GB2312"/>
          <w:color w:val="auto"/>
          <w:kern w:val="0"/>
          <w:sz w:val="24"/>
          <w:highlight w:val="none"/>
          <w:lang w:val="zh-CN"/>
        </w:rPr>
        <w:t>日期：  年  月   日</w:t>
      </w:r>
    </w:p>
    <w:p w14:paraId="143529CE">
      <w:pPr>
        <w:spacing w:line="300" w:lineRule="auto"/>
        <w:rPr>
          <w:rFonts w:hint="eastAsia" w:ascii="宋体" w:hAnsi="宋体"/>
          <w:color w:val="auto"/>
          <w:szCs w:val="21"/>
          <w:highlight w:val="none"/>
        </w:rPr>
      </w:pPr>
    </w:p>
    <w:p w14:paraId="3709A635">
      <w:pPr>
        <w:spacing w:line="300" w:lineRule="auto"/>
        <w:ind w:firstLine="596" w:firstLineChars="198"/>
        <w:rPr>
          <w:rFonts w:hint="eastAsia" w:ascii="仿宋" w:hAnsi="仿宋" w:eastAsia="仿宋" w:cs="仿宋_GB2312"/>
          <w:b/>
          <w:color w:val="auto"/>
          <w:kern w:val="0"/>
          <w:sz w:val="30"/>
          <w:szCs w:val="30"/>
          <w:highlight w:val="none"/>
        </w:rPr>
      </w:pPr>
      <w:r>
        <w:rPr>
          <w:rFonts w:hint="eastAsia" w:ascii="仿宋" w:hAnsi="仿宋" w:eastAsia="仿宋" w:cs="仿宋_GB2312"/>
          <w:b/>
          <w:color w:val="auto"/>
          <w:kern w:val="0"/>
          <w:sz w:val="30"/>
          <w:szCs w:val="30"/>
          <w:highlight w:val="none"/>
        </w:rPr>
        <w:t>三、财务状况报告方面的材料</w:t>
      </w:r>
    </w:p>
    <w:p w14:paraId="67C357CE">
      <w:pPr>
        <w:spacing w:line="300" w:lineRule="auto"/>
        <w:rPr>
          <w:rFonts w:hint="eastAsia" w:ascii="宋体" w:hAnsi="宋体"/>
          <w:color w:val="auto"/>
          <w:szCs w:val="21"/>
          <w:highlight w:val="none"/>
        </w:rPr>
      </w:pPr>
    </w:p>
    <w:p w14:paraId="5B040851">
      <w:pPr>
        <w:autoSpaceDE w:val="0"/>
        <w:autoSpaceDN w:val="0"/>
        <w:spacing w:line="360" w:lineRule="auto"/>
        <w:ind w:left="4365" w:leftChars="1850" w:hanging="480" w:hangingChars="2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14:paraId="36AD6FE7">
      <w:pPr>
        <w:autoSpaceDE w:val="0"/>
        <w:autoSpaceDN w:val="0"/>
        <w:spacing w:line="360" w:lineRule="auto"/>
        <w:ind w:firstLine="6120" w:firstLineChars="2550"/>
        <w:rPr>
          <w:rFonts w:hint="eastAsia" w:ascii="仿宋_GB2312" w:hAnsi="仿宋" w:eastAsia="仿宋_GB2312" w:cs="仿宋_GB2312"/>
          <w:b/>
          <w:bCs/>
          <w:color w:val="auto"/>
          <w:sz w:val="24"/>
          <w:highlight w:val="none"/>
        </w:rPr>
      </w:pPr>
      <w:r>
        <w:rPr>
          <w:rFonts w:hint="eastAsia" w:ascii="仿宋_GB2312" w:hAnsi="仿宋" w:eastAsia="仿宋_GB2312" w:cs="仿宋_GB2312"/>
          <w:color w:val="auto"/>
          <w:kern w:val="0"/>
          <w:sz w:val="24"/>
          <w:highlight w:val="none"/>
          <w:lang w:val="zh-CN"/>
        </w:rPr>
        <w:t>日期：  年  月   日</w:t>
      </w:r>
    </w:p>
    <w:p w14:paraId="1DD46E68">
      <w:pPr>
        <w:spacing w:line="320" w:lineRule="exact"/>
        <w:jc w:val="left"/>
        <w:rPr>
          <w:rFonts w:hint="eastAsia" w:ascii="宋体" w:hAnsi="宋体"/>
          <w:color w:val="auto"/>
          <w:szCs w:val="21"/>
          <w:highlight w:val="none"/>
        </w:rPr>
      </w:pPr>
      <w:r>
        <w:rPr>
          <w:rFonts w:hint="eastAsia" w:ascii="宋体" w:hAnsi="宋体"/>
          <w:color w:val="auto"/>
          <w:szCs w:val="21"/>
          <w:highlight w:val="none"/>
        </w:rPr>
        <w:t xml:space="preserve"> </w:t>
      </w:r>
    </w:p>
    <w:p w14:paraId="7F418B35">
      <w:pPr>
        <w:snapToGrid w:val="0"/>
        <w:spacing w:before="120" w:beforeLines="50" w:after="50" w:line="360" w:lineRule="auto"/>
        <w:jc w:val="center"/>
        <w:rPr>
          <w:rFonts w:hint="eastAsia" w:ascii="宋体" w:hAnsi="宋体"/>
          <w:b/>
          <w:color w:val="auto"/>
          <w:sz w:val="24"/>
          <w:highlight w:val="none"/>
        </w:rPr>
      </w:pPr>
    </w:p>
    <w:p w14:paraId="52233F43">
      <w:pPr>
        <w:spacing w:line="360" w:lineRule="auto"/>
        <w:ind w:firstLine="596" w:firstLineChars="198"/>
        <w:contextualSpacing/>
        <w:rPr>
          <w:rFonts w:hint="eastAsia" w:ascii="仿宋" w:hAnsi="仿宋" w:eastAsia="仿宋" w:cs="仿宋_GB2312"/>
          <w:b/>
          <w:color w:val="auto"/>
          <w:kern w:val="0"/>
          <w:sz w:val="30"/>
          <w:szCs w:val="30"/>
          <w:highlight w:val="none"/>
        </w:rPr>
      </w:pPr>
      <w:r>
        <w:rPr>
          <w:rFonts w:hint="eastAsia" w:ascii="仿宋" w:hAnsi="仿宋" w:eastAsia="仿宋" w:cs="仿宋_GB2312"/>
          <w:b/>
          <w:color w:val="auto"/>
          <w:kern w:val="0"/>
          <w:sz w:val="30"/>
          <w:szCs w:val="30"/>
          <w:highlight w:val="none"/>
        </w:rPr>
        <w:t>四、供应商直接控股股东信息</w:t>
      </w:r>
    </w:p>
    <w:p w14:paraId="5E53D399">
      <w:pPr>
        <w:spacing w:line="360" w:lineRule="auto"/>
        <w:contextualSpacing/>
        <w:jc w:val="center"/>
        <w:rPr>
          <w:rFonts w:hint="eastAsia" w:ascii="宋体" w:hAnsi="宋体"/>
          <w:b/>
          <w:color w:val="auto"/>
          <w:sz w:val="24"/>
          <w:highlight w:val="none"/>
        </w:rPr>
      </w:pPr>
    </w:p>
    <w:tbl>
      <w:tblPr>
        <w:tblStyle w:val="30"/>
        <w:tblW w:w="0" w:type="auto"/>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1F0200C8">
        <w:tblPrEx>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C1809CC">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9C525C2">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C0217DD">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541FE8D">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C242B26">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7DE37102">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39C5BDA">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FD7307D">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9B808BA">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165C018">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4B55D21">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auto"/>
                <w:kern w:val="0"/>
                <w:sz w:val="24"/>
                <w:highlight w:val="none"/>
              </w:rPr>
            </w:pPr>
          </w:p>
        </w:tc>
      </w:tr>
      <w:tr w14:paraId="328C2922">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78F6503">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DC69FDB">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54DFF81">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D1C83C4">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1DE3847">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auto"/>
                <w:kern w:val="0"/>
                <w:sz w:val="24"/>
                <w:highlight w:val="none"/>
              </w:rPr>
            </w:pPr>
          </w:p>
        </w:tc>
      </w:tr>
      <w:tr w14:paraId="04EB946D">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CC56F74">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A6A77B2">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EFD74E2">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0EE0A6B">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372056D">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auto"/>
                <w:kern w:val="0"/>
                <w:sz w:val="24"/>
                <w:highlight w:val="none"/>
              </w:rPr>
            </w:pPr>
          </w:p>
        </w:tc>
      </w:tr>
      <w:tr w14:paraId="795E8D23">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A4565D4">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14B4777">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1EBB6B7">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9C2936C">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0518F5D">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auto"/>
                <w:kern w:val="0"/>
                <w:sz w:val="24"/>
                <w:highlight w:val="none"/>
              </w:rPr>
            </w:pPr>
          </w:p>
        </w:tc>
      </w:tr>
    </w:tbl>
    <w:p w14:paraId="5469D7B2">
      <w:pPr>
        <w:spacing w:line="360" w:lineRule="auto"/>
        <w:contextualSpacing/>
        <w:jc w:val="left"/>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注：</w:t>
      </w:r>
    </w:p>
    <w:p w14:paraId="072DC2ED">
      <w:pPr>
        <w:spacing w:line="360" w:lineRule="auto"/>
        <w:ind w:firstLine="480" w:firstLineChars="200"/>
        <w:contextualSpacing/>
        <w:jc w:val="left"/>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5318B89E">
      <w:pPr>
        <w:spacing w:line="360" w:lineRule="auto"/>
        <w:ind w:firstLine="480" w:firstLineChars="200"/>
        <w:contextualSpacing/>
        <w:jc w:val="left"/>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2.本表所指的控股关系仅限于直接控股关系，不包括间接的控股关系。公司实际控制人与公司之间的关系不属于本表所指的直接控股关系。</w:t>
      </w:r>
    </w:p>
    <w:p w14:paraId="13259350">
      <w:pPr>
        <w:spacing w:line="360" w:lineRule="auto"/>
        <w:ind w:firstLine="480" w:firstLineChars="200"/>
        <w:contextualSpacing/>
        <w:jc w:val="left"/>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3.供应商不存在直接控股股东的，则填“无”。</w:t>
      </w:r>
    </w:p>
    <w:p w14:paraId="1950AC8B">
      <w:pPr>
        <w:snapToGrid w:val="0"/>
        <w:spacing w:line="360" w:lineRule="auto"/>
        <w:jc w:val="left"/>
        <w:rPr>
          <w:rFonts w:hint="eastAsia" w:ascii="宋体" w:hAnsi="宋体" w:cs="宋体"/>
          <w:color w:val="auto"/>
          <w:sz w:val="24"/>
          <w:highlight w:val="none"/>
        </w:rPr>
      </w:pPr>
    </w:p>
    <w:p w14:paraId="0DBCA927">
      <w:pPr>
        <w:snapToGrid w:val="0"/>
        <w:spacing w:line="360" w:lineRule="auto"/>
        <w:jc w:val="left"/>
        <w:rPr>
          <w:rFonts w:hint="eastAsia" w:ascii="宋体" w:hAnsi="宋体" w:cs="宋体"/>
          <w:color w:val="auto"/>
          <w:sz w:val="24"/>
          <w:highlight w:val="none"/>
        </w:rPr>
      </w:pPr>
    </w:p>
    <w:p w14:paraId="75C36D9A">
      <w:pPr>
        <w:snapToGrid w:val="0"/>
        <w:spacing w:line="360" w:lineRule="auto"/>
        <w:jc w:val="left"/>
        <w:rPr>
          <w:rFonts w:hint="eastAsia" w:ascii="宋体" w:hAnsi="宋体" w:cs="宋体"/>
          <w:color w:val="auto"/>
          <w:sz w:val="24"/>
          <w:highlight w:val="none"/>
        </w:rPr>
      </w:pPr>
    </w:p>
    <w:p w14:paraId="5861946F">
      <w:pPr>
        <w:autoSpaceDE w:val="0"/>
        <w:autoSpaceDN w:val="0"/>
        <w:spacing w:line="360" w:lineRule="auto"/>
        <w:ind w:left="4365" w:leftChars="1850" w:hanging="480" w:hangingChars="2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14:paraId="5249D20F">
      <w:pPr>
        <w:autoSpaceDE w:val="0"/>
        <w:autoSpaceDN w:val="0"/>
        <w:spacing w:line="360" w:lineRule="auto"/>
        <w:ind w:firstLine="6120" w:firstLineChars="2550"/>
        <w:rPr>
          <w:rFonts w:hint="eastAsia" w:ascii="仿宋_GB2312" w:hAnsi="仿宋" w:eastAsia="仿宋_GB2312" w:cs="仿宋_GB2312"/>
          <w:b/>
          <w:bCs/>
          <w:color w:val="auto"/>
          <w:sz w:val="24"/>
          <w:highlight w:val="none"/>
        </w:rPr>
      </w:pPr>
      <w:r>
        <w:rPr>
          <w:rFonts w:hint="eastAsia" w:ascii="仿宋_GB2312" w:hAnsi="仿宋" w:eastAsia="仿宋_GB2312" w:cs="仿宋_GB2312"/>
          <w:color w:val="auto"/>
          <w:kern w:val="0"/>
          <w:sz w:val="24"/>
          <w:highlight w:val="none"/>
          <w:lang w:val="zh-CN"/>
        </w:rPr>
        <w:t>日期：  年  月   日</w:t>
      </w:r>
    </w:p>
    <w:p w14:paraId="1F7776C6">
      <w:pPr>
        <w:snapToGrid w:val="0"/>
        <w:rPr>
          <w:rFonts w:hint="eastAsia" w:ascii="仿宋" w:hAnsi="仿宋" w:eastAsia="仿宋" w:cs="仿宋_GB2312"/>
          <w:b/>
          <w:color w:val="auto"/>
          <w:kern w:val="0"/>
          <w:sz w:val="30"/>
          <w:szCs w:val="30"/>
          <w:highlight w:val="none"/>
        </w:rPr>
      </w:pPr>
    </w:p>
    <w:p w14:paraId="1EE61546">
      <w:pPr>
        <w:snapToGrid w:val="0"/>
        <w:ind w:firstLine="596" w:firstLineChars="198"/>
        <w:rPr>
          <w:rFonts w:hint="eastAsia" w:ascii="仿宋" w:hAnsi="仿宋" w:eastAsia="仿宋" w:cs="仿宋_GB2312"/>
          <w:b/>
          <w:color w:val="auto"/>
          <w:kern w:val="0"/>
          <w:sz w:val="30"/>
          <w:szCs w:val="30"/>
          <w:highlight w:val="none"/>
        </w:rPr>
      </w:pPr>
      <w:r>
        <w:rPr>
          <w:rFonts w:hint="eastAsia" w:ascii="仿宋" w:hAnsi="仿宋" w:eastAsia="仿宋" w:cs="仿宋_GB2312"/>
          <w:b/>
          <w:color w:val="auto"/>
          <w:kern w:val="0"/>
          <w:sz w:val="30"/>
          <w:szCs w:val="30"/>
          <w:highlight w:val="none"/>
        </w:rPr>
        <w:t>五、供应商直接管理关系信息表</w:t>
      </w:r>
    </w:p>
    <w:p w14:paraId="31214CDE">
      <w:pPr>
        <w:snapToGrid w:val="0"/>
        <w:spacing w:line="360" w:lineRule="auto"/>
        <w:jc w:val="center"/>
        <w:rPr>
          <w:rFonts w:hint="eastAsia" w:ascii="宋体" w:hAnsi="宋体"/>
          <w:b/>
          <w:color w:val="auto"/>
          <w:sz w:val="24"/>
          <w:highlight w:val="none"/>
        </w:rPr>
      </w:pPr>
    </w:p>
    <w:tbl>
      <w:tblPr>
        <w:tblStyle w:val="30"/>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14:paraId="45D45FD7">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92A6F3F">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5EAC4FB">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b/>
                <w:bCs/>
                <w:color w:val="auto"/>
                <w:kern w:val="0"/>
                <w:sz w:val="24"/>
                <w:highlight w:val="none"/>
              </w:rPr>
            </w:pPr>
            <w:r>
              <w:rPr>
                <w:rFonts w:hint="eastAsia" w:ascii="宋体" w:hAnsi="宋体" w:cs="宋体"/>
                <w:b/>
                <w:bCs/>
                <w:color w:val="auto"/>
                <w:kern w:val="0"/>
                <w:sz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17167D4">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b/>
                <w:bCs/>
                <w:color w:val="auto"/>
                <w:kern w:val="0"/>
                <w:sz w:val="24"/>
                <w:highlight w:val="none"/>
              </w:rPr>
            </w:pPr>
            <w:r>
              <w:rPr>
                <w:rFonts w:hint="eastAsia" w:ascii="宋体" w:hAnsi="宋体" w:cs="宋体"/>
                <w:b/>
                <w:bCs/>
                <w:color w:val="auto"/>
                <w:kern w:val="0"/>
                <w:sz w:val="24"/>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0E310AD">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2985012D">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3E0D42A">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auto"/>
                <w:kern w:val="0"/>
                <w:sz w:val="24"/>
                <w:highlight w:val="none"/>
              </w:rPr>
            </w:pPr>
            <w:r>
              <w:rPr>
                <w:rFonts w:hint="eastAsia" w:ascii="宋体" w:hAnsi="宋体" w:cs="宋体"/>
                <w:color w:val="auto"/>
                <w:kern w:val="0"/>
                <w:sz w:val="24"/>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80D825C">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BBB79A2">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88A8AEE">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auto"/>
                <w:kern w:val="0"/>
                <w:sz w:val="24"/>
                <w:highlight w:val="none"/>
              </w:rPr>
            </w:pPr>
          </w:p>
        </w:tc>
      </w:tr>
      <w:tr w14:paraId="0209174B">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5A3649D">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auto"/>
                <w:kern w:val="0"/>
                <w:sz w:val="24"/>
                <w:highlight w:val="none"/>
              </w:rPr>
            </w:pPr>
            <w:r>
              <w:rPr>
                <w:rFonts w:hint="eastAsia" w:ascii="宋体" w:hAnsi="宋体" w:cs="宋体"/>
                <w:color w:val="auto"/>
                <w:kern w:val="0"/>
                <w:sz w:val="24"/>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B47603D">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182BA90">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798CE0B">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auto"/>
                <w:kern w:val="0"/>
                <w:sz w:val="24"/>
                <w:highlight w:val="none"/>
              </w:rPr>
            </w:pPr>
          </w:p>
        </w:tc>
      </w:tr>
      <w:tr w14:paraId="08037BB4">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FFD92BC">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auto"/>
                <w:kern w:val="0"/>
                <w:sz w:val="24"/>
                <w:highlight w:val="none"/>
              </w:rPr>
            </w:pPr>
            <w:r>
              <w:rPr>
                <w:rFonts w:hint="eastAsia" w:ascii="宋体" w:hAnsi="宋体" w:cs="宋体"/>
                <w:color w:val="auto"/>
                <w:kern w:val="0"/>
                <w:sz w:val="24"/>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6440C3E">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8893D4C">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0845C72">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auto"/>
                <w:kern w:val="0"/>
                <w:sz w:val="24"/>
                <w:highlight w:val="none"/>
              </w:rPr>
            </w:pPr>
          </w:p>
        </w:tc>
      </w:tr>
      <w:tr w14:paraId="704FA3E5">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92DC2D3">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auto"/>
                <w:kern w:val="0"/>
                <w:sz w:val="24"/>
                <w:highlight w:val="none"/>
              </w:rPr>
            </w:pPr>
            <w:r>
              <w:rPr>
                <w:rFonts w:hint="eastAsia" w:ascii="宋体" w:hAnsi="宋体" w:cs="宋体"/>
                <w:color w:val="auto"/>
                <w:kern w:val="0"/>
                <w:sz w:val="24"/>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503A827">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5339FD9">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8D7F48C">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auto"/>
                <w:kern w:val="0"/>
                <w:sz w:val="24"/>
                <w:highlight w:val="none"/>
              </w:rPr>
            </w:pPr>
          </w:p>
        </w:tc>
      </w:tr>
    </w:tbl>
    <w:p w14:paraId="6481C532">
      <w:pPr>
        <w:spacing w:line="360" w:lineRule="auto"/>
        <w:ind w:firstLine="480" w:firstLineChars="200"/>
        <w:contextualSpacing/>
        <w:jc w:val="left"/>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注：</w:t>
      </w:r>
    </w:p>
    <w:p w14:paraId="07575472">
      <w:pPr>
        <w:spacing w:line="360" w:lineRule="auto"/>
        <w:ind w:firstLine="480" w:firstLineChars="200"/>
        <w:contextualSpacing/>
        <w:jc w:val="left"/>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1.管理关系：是指不具有出资持股关系的其他单位之间存在的管理与被管理关系，如一些上下级关系的事业单位和团体组织。</w:t>
      </w:r>
    </w:p>
    <w:p w14:paraId="1027EF61">
      <w:pPr>
        <w:spacing w:line="360" w:lineRule="auto"/>
        <w:ind w:firstLine="480" w:firstLineChars="200"/>
        <w:contextualSpacing/>
        <w:jc w:val="left"/>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2.本表所指的管理关系仅限于直接管理关系，不包括间接的管理关系。</w:t>
      </w:r>
    </w:p>
    <w:p w14:paraId="610C4BC1">
      <w:pPr>
        <w:spacing w:line="360" w:lineRule="auto"/>
        <w:ind w:firstLine="480" w:firstLineChars="200"/>
        <w:contextualSpacing/>
        <w:jc w:val="left"/>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3.供应商不存在直接管理关系的，则填“无”。</w:t>
      </w:r>
    </w:p>
    <w:p w14:paraId="07A08291">
      <w:pPr>
        <w:spacing w:line="360" w:lineRule="auto"/>
        <w:contextualSpacing/>
        <w:jc w:val="left"/>
        <w:rPr>
          <w:rFonts w:hint="eastAsia"/>
          <w:color w:val="auto"/>
          <w:sz w:val="24"/>
          <w:highlight w:val="none"/>
        </w:rPr>
      </w:pPr>
    </w:p>
    <w:p w14:paraId="6D9C8311">
      <w:pPr>
        <w:autoSpaceDE w:val="0"/>
        <w:autoSpaceDN w:val="0"/>
        <w:spacing w:line="360" w:lineRule="auto"/>
        <w:ind w:left="4365" w:leftChars="1850" w:hanging="480" w:hangingChars="2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14:paraId="60BF71F1">
      <w:pPr>
        <w:autoSpaceDE w:val="0"/>
        <w:autoSpaceDN w:val="0"/>
        <w:spacing w:line="360" w:lineRule="auto"/>
        <w:ind w:firstLine="6120" w:firstLineChars="2550"/>
        <w:rPr>
          <w:rFonts w:hint="eastAsia" w:ascii="仿宋_GB2312" w:hAnsi="仿宋" w:eastAsia="仿宋_GB2312" w:cs="仿宋_GB2312"/>
          <w:b/>
          <w:bCs/>
          <w:color w:val="auto"/>
          <w:sz w:val="24"/>
          <w:highlight w:val="none"/>
        </w:rPr>
      </w:pPr>
      <w:r>
        <w:rPr>
          <w:rFonts w:hint="eastAsia" w:ascii="仿宋_GB2312" w:hAnsi="仿宋" w:eastAsia="仿宋_GB2312" w:cs="仿宋_GB2312"/>
          <w:color w:val="auto"/>
          <w:kern w:val="0"/>
          <w:sz w:val="24"/>
          <w:highlight w:val="none"/>
          <w:lang w:val="zh-CN"/>
        </w:rPr>
        <w:t>日期：  年  月   日</w:t>
      </w:r>
    </w:p>
    <w:p w14:paraId="36EAD29C">
      <w:pPr>
        <w:spacing w:line="360" w:lineRule="auto"/>
        <w:ind w:right="480" w:firstLine="240" w:firstLineChars="100"/>
        <w:contextualSpacing/>
        <w:jc w:val="center"/>
        <w:rPr>
          <w:rFonts w:ascii="宋体" w:hAnsi="宋体"/>
          <w:color w:val="auto"/>
          <w:sz w:val="28"/>
          <w:szCs w:val="28"/>
          <w:highlight w:val="none"/>
        </w:rPr>
      </w:pPr>
      <w:r>
        <w:rPr>
          <w:rFonts w:hint="eastAsia" w:ascii="宋体" w:hAnsi="宋体"/>
          <w:color w:val="auto"/>
          <w:sz w:val="24"/>
          <w:highlight w:val="none"/>
        </w:rPr>
        <w:t xml:space="preserve">                                  </w:t>
      </w:r>
    </w:p>
    <w:p w14:paraId="19C3336A">
      <w:pPr>
        <w:spacing w:line="320" w:lineRule="exact"/>
        <w:ind w:firstLine="560" w:firstLineChars="200"/>
        <w:jc w:val="left"/>
        <w:rPr>
          <w:rFonts w:ascii="宋体" w:hAnsi="宋体"/>
          <w:color w:val="auto"/>
          <w:sz w:val="28"/>
          <w:szCs w:val="28"/>
          <w:highlight w:val="none"/>
        </w:rPr>
      </w:pPr>
      <w:r>
        <w:rPr>
          <w:rFonts w:ascii="宋体" w:hAnsi="宋体"/>
          <w:color w:val="auto"/>
          <w:sz w:val="28"/>
          <w:szCs w:val="28"/>
          <w:highlight w:val="none"/>
        </w:rPr>
        <w:br w:type="page"/>
      </w:r>
      <w:r>
        <w:rPr>
          <w:rFonts w:hint="eastAsia" w:ascii="仿宋" w:hAnsi="仿宋" w:eastAsia="仿宋" w:cs="仿宋_GB2312"/>
          <w:b/>
          <w:color w:val="auto"/>
          <w:kern w:val="0"/>
          <w:sz w:val="30"/>
          <w:szCs w:val="30"/>
          <w:highlight w:val="none"/>
        </w:rPr>
        <w:t>六、资格声明函</w:t>
      </w:r>
    </w:p>
    <w:p w14:paraId="0FCCFFC0">
      <w:pPr>
        <w:spacing w:line="320" w:lineRule="exact"/>
        <w:jc w:val="center"/>
        <w:rPr>
          <w:rFonts w:hint="eastAsia" w:ascii="宋体" w:hAnsi="宋体"/>
          <w:b/>
          <w:color w:val="auto"/>
          <w:sz w:val="32"/>
          <w:szCs w:val="32"/>
          <w:highlight w:val="none"/>
        </w:rPr>
      </w:pPr>
    </w:p>
    <w:p w14:paraId="64079133">
      <w:pPr>
        <w:spacing w:line="320" w:lineRule="exact"/>
        <w:jc w:val="center"/>
        <w:rPr>
          <w:rFonts w:hint="eastAsia" w:ascii="宋体" w:hAnsi="宋体"/>
          <w:b/>
          <w:color w:val="auto"/>
          <w:sz w:val="32"/>
          <w:szCs w:val="32"/>
          <w:highlight w:val="none"/>
        </w:rPr>
      </w:pPr>
      <w:r>
        <w:rPr>
          <w:rFonts w:hint="eastAsia" w:ascii="宋体" w:hAnsi="宋体"/>
          <w:b/>
          <w:color w:val="auto"/>
          <w:sz w:val="32"/>
          <w:szCs w:val="32"/>
          <w:highlight w:val="none"/>
        </w:rPr>
        <w:t>资格声明函</w:t>
      </w:r>
    </w:p>
    <w:p w14:paraId="349ACF22">
      <w:pPr>
        <w:spacing w:line="320" w:lineRule="exact"/>
        <w:jc w:val="center"/>
        <w:rPr>
          <w:rFonts w:hint="eastAsia" w:ascii="宋体" w:hAnsi="宋体"/>
          <w:color w:val="auto"/>
          <w:sz w:val="24"/>
          <w:szCs w:val="20"/>
          <w:highlight w:val="none"/>
        </w:rPr>
      </w:pPr>
    </w:p>
    <w:p w14:paraId="23F3C9FC">
      <w:pPr>
        <w:spacing w:line="360" w:lineRule="auto"/>
        <w:contextualSpacing/>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rPr>
        <w:t>致：</w:t>
      </w:r>
      <w:r>
        <w:rPr>
          <w:rFonts w:hint="eastAsia" w:ascii="仿宋_GB2312" w:hAnsi="宋体" w:eastAsia="仿宋_GB2312" w:cs="宋体"/>
          <w:color w:val="auto"/>
          <w:sz w:val="24"/>
          <w:highlight w:val="none"/>
          <w:u w:val="single"/>
          <w:lang w:eastAsia="zh-CN"/>
        </w:rPr>
        <w:t>隆安县政府集中采购中心</w:t>
      </w:r>
      <w:r>
        <w:rPr>
          <w:rFonts w:hint="eastAsia" w:ascii="仿宋_GB2312" w:hAnsi="宋体" w:eastAsia="仿宋_GB2312" w:cs="宋体"/>
          <w:color w:val="auto"/>
          <w:sz w:val="24"/>
          <w:highlight w:val="none"/>
        </w:rPr>
        <w:t>：</w:t>
      </w:r>
    </w:p>
    <w:p w14:paraId="48808FC6">
      <w:pPr>
        <w:spacing w:line="360" w:lineRule="auto"/>
        <w:ind w:firstLine="480" w:firstLineChars="200"/>
        <w:contextualSpacing/>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u w:val="single"/>
        </w:rPr>
        <w:t>（供应商名称）</w:t>
      </w:r>
      <w:r>
        <w:rPr>
          <w:rFonts w:hint="eastAsia" w:ascii="仿宋_GB2312" w:hAnsi="宋体" w:eastAsia="仿宋_GB2312" w:cs="宋体"/>
          <w:color w:val="auto"/>
          <w:sz w:val="24"/>
          <w:highlight w:val="none"/>
        </w:rPr>
        <w:t>系中华人民共和国合法供应商，经营地址</w:t>
      </w:r>
      <w:r>
        <w:rPr>
          <w:rFonts w:hint="eastAsia" w:ascii="仿宋_GB2312" w:hAnsi="宋体" w:eastAsia="仿宋_GB2312" w:cs="宋体"/>
          <w:color w:val="auto"/>
          <w:sz w:val="24"/>
          <w:highlight w:val="none"/>
          <w:u w:val="single"/>
        </w:rPr>
        <w:t xml:space="preserve">                              </w:t>
      </w:r>
      <w:r>
        <w:rPr>
          <w:rFonts w:hint="eastAsia" w:ascii="仿宋_GB2312" w:hAnsi="宋体" w:eastAsia="仿宋_GB2312" w:cs="宋体"/>
          <w:color w:val="auto"/>
          <w:sz w:val="24"/>
          <w:highlight w:val="none"/>
        </w:rPr>
        <w:t>。</w:t>
      </w:r>
    </w:p>
    <w:p w14:paraId="5DBCDE31">
      <w:pPr>
        <w:spacing w:line="360" w:lineRule="auto"/>
        <w:ind w:firstLine="480" w:firstLineChars="200"/>
        <w:contextualSpacing/>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rPr>
        <w:t>我方愿意参加贵方组织的</w:t>
      </w:r>
      <w:r>
        <w:rPr>
          <w:rFonts w:hint="eastAsia" w:ascii="仿宋_GB2312" w:hAnsi="宋体" w:eastAsia="仿宋_GB2312" w:cs="宋体"/>
          <w:color w:val="auto"/>
          <w:sz w:val="24"/>
          <w:highlight w:val="none"/>
          <w:u w:val="single"/>
          <w:lang w:eastAsia="zh-CN"/>
        </w:rPr>
        <w:t>隆安县电子政务外网一期线路租用及设备升级服务项目</w:t>
      </w:r>
      <w:r>
        <w:rPr>
          <w:rFonts w:hint="eastAsia" w:ascii="仿宋_GB2312" w:hAnsi="宋体" w:eastAsia="仿宋_GB2312" w:cs="宋体"/>
          <w:color w:val="auto"/>
          <w:sz w:val="24"/>
          <w:highlight w:val="none"/>
          <w:u w:val="single"/>
        </w:rPr>
        <w:t>）</w:t>
      </w:r>
      <w:r>
        <w:rPr>
          <w:rFonts w:hint="eastAsia" w:ascii="仿宋_GB2312" w:hAnsi="宋体" w:eastAsia="仿宋_GB2312" w:cs="宋体"/>
          <w:color w:val="auto"/>
          <w:sz w:val="24"/>
          <w:highlight w:val="none"/>
        </w:rPr>
        <w:t>项目的竞标，为便于贵方公正、择优地确定成交供应商及其竞标产品和服务，我方就本次竞标有关事项郑重声明如下：</w:t>
      </w:r>
    </w:p>
    <w:p w14:paraId="0A672372">
      <w:pPr>
        <w:spacing w:line="360" w:lineRule="auto"/>
        <w:ind w:firstLine="480" w:firstLineChars="200"/>
        <w:contextualSpacing/>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rPr>
        <w:t>1.我方向贵方提交的所有响应文件、资料都是准确的和真实的。</w:t>
      </w:r>
    </w:p>
    <w:p w14:paraId="7219DCA3">
      <w:pPr>
        <w:spacing w:line="360" w:lineRule="auto"/>
        <w:ind w:firstLine="480" w:firstLineChars="200"/>
        <w:contextualSpacing/>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758C2633">
      <w:pPr>
        <w:spacing w:line="360" w:lineRule="auto"/>
        <w:ind w:firstLine="480" w:firstLineChars="200"/>
        <w:contextualSpacing/>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rPr>
        <w:t>3.在此，我方宣布同意如下：</w:t>
      </w:r>
    </w:p>
    <w:p w14:paraId="22B349CC">
      <w:pPr>
        <w:spacing w:line="360" w:lineRule="auto"/>
        <w:ind w:firstLine="480" w:firstLineChars="200"/>
        <w:contextualSpacing/>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rPr>
        <w:t>（1）将按磋商文件的约定履行合同责任和义务；</w:t>
      </w:r>
    </w:p>
    <w:p w14:paraId="5C55053F">
      <w:pPr>
        <w:spacing w:line="360" w:lineRule="auto"/>
        <w:ind w:firstLine="480" w:firstLineChars="200"/>
        <w:contextualSpacing/>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rPr>
        <w:t>（2）已详细审查全部磋商文件，包括澄清或者更正公告（如有）；</w:t>
      </w:r>
    </w:p>
    <w:p w14:paraId="045F8779">
      <w:pPr>
        <w:spacing w:line="360" w:lineRule="auto"/>
        <w:ind w:firstLine="480" w:firstLineChars="200"/>
        <w:contextualSpacing/>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rPr>
        <w:t>（3）同意提供按照贵方可能要求的与谈判有关的一切数据或者资料；</w:t>
      </w:r>
    </w:p>
    <w:p w14:paraId="1D7E6DC5">
      <w:pPr>
        <w:spacing w:line="360" w:lineRule="auto"/>
        <w:ind w:firstLine="480" w:firstLineChars="200"/>
        <w:contextualSpacing/>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rPr>
        <w:t>（4）响应磋商文件规定的竞标有效期。</w:t>
      </w:r>
    </w:p>
    <w:p w14:paraId="4845C425">
      <w:pPr>
        <w:spacing w:line="360" w:lineRule="auto"/>
        <w:ind w:firstLine="480" w:firstLineChars="200"/>
        <w:contextualSpacing/>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rPr>
        <w:t>4.我方承诺已经具备《中华人民共和国政府采购法》第二十二条中规定的参加政府采购活动的供应商应当具备的条件并按本项目响应文件“第三章”“第二节供应商须知前附表”中“资格证明文件组成”完整提供证明材料。</w:t>
      </w:r>
    </w:p>
    <w:p w14:paraId="1C30DD36">
      <w:pPr>
        <w:spacing w:line="360" w:lineRule="auto"/>
        <w:ind w:firstLine="480" w:firstLineChars="200"/>
        <w:contextualSpacing/>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7EDDEDD6">
      <w:pPr>
        <w:spacing w:line="360" w:lineRule="auto"/>
        <w:ind w:firstLine="480" w:firstLineChars="200"/>
        <w:contextualSpacing/>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0FD957CB">
      <w:pPr>
        <w:spacing w:line="360" w:lineRule="auto"/>
        <w:ind w:firstLine="480" w:firstLineChars="200"/>
        <w:contextualSpacing/>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rPr>
        <w:t>□我方本次响应文件</w:t>
      </w:r>
      <w:r>
        <w:rPr>
          <w:rFonts w:hint="eastAsia" w:ascii="仿宋_GB2312" w:hAnsi="宋体" w:eastAsia="仿宋_GB2312" w:cs="宋体"/>
          <w:color w:val="auto"/>
          <w:kern w:val="0"/>
          <w:sz w:val="24"/>
          <w:highlight w:val="none"/>
        </w:rPr>
        <w:t>内容中</w:t>
      </w:r>
      <w:r>
        <w:rPr>
          <w:rFonts w:hint="eastAsia" w:ascii="仿宋_GB2312" w:hAnsi="宋体" w:eastAsia="仿宋_GB2312" w:cs="宋体"/>
          <w:color w:val="auto"/>
          <w:sz w:val="24"/>
          <w:highlight w:val="none"/>
        </w:rPr>
        <w:t>未</w:t>
      </w:r>
      <w:r>
        <w:rPr>
          <w:rFonts w:hint="eastAsia" w:ascii="仿宋_GB2312" w:hAnsi="宋体" w:eastAsia="仿宋_GB2312" w:cs="宋体"/>
          <w:color w:val="auto"/>
          <w:kern w:val="0"/>
          <w:sz w:val="24"/>
          <w:highlight w:val="none"/>
        </w:rPr>
        <w:t>涉及商业秘密；</w:t>
      </w:r>
    </w:p>
    <w:p w14:paraId="7B0E4B10">
      <w:pPr>
        <w:spacing w:line="360" w:lineRule="auto"/>
        <w:ind w:firstLine="480" w:firstLineChars="200"/>
        <w:contextualSpacing/>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rPr>
        <w:t>□我方本次响应文件</w:t>
      </w:r>
      <w:r>
        <w:rPr>
          <w:rFonts w:hint="eastAsia" w:ascii="仿宋_GB2312" w:hAnsi="宋体" w:eastAsia="仿宋_GB2312" w:cs="宋体"/>
          <w:color w:val="auto"/>
          <w:kern w:val="0"/>
          <w:sz w:val="24"/>
          <w:highlight w:val="none"/>
        </w:rPr>
        <w:t>涉及商业秘密的内容有：</w:t>
      </w:r>
      <w:r>
        <w:rPr>
          <w:rFonts w:hint="eastAsia" w:ascii="仿宋_GB2312" w:hAnsi="宋体" w:eastAsia="仿宋_GB2312" w:cs="宋体"/>
          <w:color w:val="auto"/>
          <w:kern w:val="0"/>
          <w:sz w:val="24"/>
          <w:highlight w:val="none"/>
          <w:u w:val="single"/>
        </w:rPr>
        <w:t xml:space="preserve">                         </w:t>
      </w:r>
      <w:r>
        <w:rPr>
          <w:rFonts w:hint="eastAsia" w:ascii="仿宋_GB2312" w:hAnsi="宋体" w:eastAsia="仿宋_GB2312" w:cs="宋体"/>
          <w:color w:val="auto"/>
          <w:kern w:val="0"/>
          <w:sz w:val="24"/>
          <w:highlight w:val="none"/>
        </w:rPr>
        <w:t>；</w:t>
      </w:r>
    </w:p>
    <w:p w14:paraId="296145DC">
      <w:pPr>
        <w:pStyle w:val="18"/>
        <w:spacing w:line="360" w:lineRule="auto"/>
        <w:ind w:firstLine="480" w:firstLineChars="200"/>
        <w:contextualSpacing/>
        <w:rPr>
          <w:rFonts w:hint="eastAsia" w:ascii="仿宋_GB2312" w:hAnsi="宋体" w:eastAsia="仿宋_GB2312" w:cs="宋体"/>
          <w:color w:val="auto"/>
          <w:sz w:val="24"/>
          <w:szCs w:val="24"/>
          <w:highlight w:val="none"/>
          <w:u w:val="single"/>
        </w:rPr>
      </w:pPr>
      <w:r>
        <w:rPr>
          <w:rFonts w:hint="eastAsia" w:ascii="仿宋_GB2312" w:hAnsi="宋体" w:eastAsia="仿宋_GB2312" w:cs="宋体"/>
          <w:color w:val="auto"/>
          <w:sz w:val="24"/>
          <w:szCs w:val="24"/>
          <w:highlight w:val="none"/>
        </w:rPr>
        <w:t>7.与本</w:t>
      </w:r>
      <w:r>
        <w:rPr>
          <w:rFonts w:hint="eastAsia" w:ascii="仿宋_GB2312" w:hAnsi="宋体" w:eastAsia="仿宋_GB2312" w:cs="宋体"/>
          <w:color w:val="auto"/>
          <w:sz w:val="24"/>
          <w:szCs w:val="24"/>
          <w:highlight w:val="none"/>
          <w:lang w:eastAsia="zh-CN"/>
        </w:rPr>
        <w:t>磋商</w:t>
      </w:r>
      <w:r>
        <w:rPr>
          <w:rFonts w:hint="eastAsia" w:ascii="仿宋_GB2312" w:hAnsi="宋体" w:eastAsia="仿宋_GB2312" w:cs="宋体"/>
          <w:color w:val="auto"/>
          <w:sz w:val="24"/>
          <w:szCs w:val="24"/>
          <w:highlight w:val="none"/>
        </w:rPr>
        <w:t>有关的一切正式往来信函请寄：</w:t>
      </w:r>
      <w:r>
        <w:rPr>
          <w:rFonts w:hint="eastAsia" w:ascii="仿宋_GB2312" w:hAnsi="宋体" w:eastAsia="仿宋_GB2312" w:cs="宋体"/>
          <w:color w:val="auto"/>
          <w:sz w:val="24"/>
          <w:szCs w:val="24"/>
          <w:highlight w:val="none"/>
          <w:u w:val="single"/>
        </w:rPr>
        <w:t xml:space="preserve">                  </w:t>
      </w:r>
      <w:r>
        <w:rPr>
          <w:rFonts w:hint="eastAsia" w:ascii="仿宋_GB2312" w:hAnsi="宋体" w:eastAsia="仿宋_GB2312" w:cs="宋体"/>
          <w:color w:val="auto"/>
          <w:sz w:val="24"/>
          <w:szCs w:val="24"/>
          <w:highlight w:val="none"/>
        </w:rPr>
        <w:t>邮政编号：</w:t>
      </w:r>
      <w:r>
        <w:rPr>
          <w:rFonts w:hint="eastAsia" w:ascii="仿宋_GB2312" w:hAnsi="宋体" w:eastAsia="仿宋_GB2312" w:cs="宋体"/>
          <w:color w:val="auto"/>
          <w:sz w:val="24"/>
          <w:szCs w:val="24"/>
          <w:highlight w:val="none"/>
          <w:u w:val="single"/>
        </w:rPr>
        <w:t xml:space="preserve">        </w:t>
      </w:r>
    </w:p>
    <w:p w14:paraId="05D4D892">
      <w:pPr>
        <w:pStyle w:val="18"/>
        <w:spacing w:line="360" w:lineRule="auto"/>
        <w:ind w:firstLine="480" w:firstLineChars="200"/>
        <w:contextualSpacing/>
        <w:rPr>
          <w:rFonts w:hint="eastAsia" w:ascii="仿宋_GB2312" w:hAnsi="宋体" w:eastAsia="仿宋_GB2312" w:cs="宋体"/>
          <w:color w:val="auto"/>
          <w:sz w:val="24"/>
          <w:szCs w:val="24"/>
          <w:highlight w:val="none"/>
        </w:rPr>
      </w:pPr>
      <w:r>
        <w:rPr>
          <w:rFonts w:hint="eastAsia" w:ascii="仿宋_GB2312" w:hAnsi="宋体" w:eastAsia="仿宋_GB2312" w:cs="宋体"/>
          <w:color w:val="auto"/>
          <w:sz w:val="24"/>
          <w:szCs w:val="24"/>
          <w:highlight w:val="none"/>
        </w:rPr>
        <w:t>电话/传真：</w:t>
      </w:r>
      <w:r>
        <w:rPr>
          <w:rFonts w:hint="eastAsia" w:ascii="仿宋_GB2312" w:hAnsi="宋体" w:eastAsia="仿宋_GB2312" w:cs="宋体"/>
          <w:color w:val="auto"/>
          <w:sz w:val="24"/>
          <w:szCs w:val="24"/>
          <w:highlight w:val="none"/>
          <w:u w:val="single"/>
        </w:rPr>
        <w:t xml:space="preserve">                        </w:t>
      </w:r>
      <w:r>
        <w:rPr>
          <w:rFonts w:hint="eastAsia" w:ascii="仿宋_GB2312" w:hAnsi="宋体" w:eastAsia="仿宋_GB2312" w:cs="宋体"/>
          <w:color w:val="auto"/>
          <w:sz w:val="24"/>
          <w:szCs w:val="24"/>
          <w:highlight w:val="none"/>
        </w:rPr>
        <w:t xml:space="preserve"> 电子函件：</w:t>
      </w:r>
      <w:r>
        <w:rPr>
          <w:rFonts w:hint="eastAsia" w:ascii="仿宋_GB2312" w:hAnsi="宋体" w:eastAsia="仿宋_GB2312" w:cs="宋体"/>
          <w:color w:val="auto"/>
          <w:sz w:val="24"/>
          <w:szCs w:val="24"/>
          <w:highlight w:val="none"/>
          <w:u w:val="single"/>
        </w:rPr>
        <w:t xml:space="preserve">                            </w:t>
      </w:r>
      <w:r>
        <w:rPr>
          <w:rFonts w:hint="eastAsia" w:ascii="仿宋_GB2312" w:hAnsi="宋体" w:eastAsia="仿宋_GB2312" w:cs="宋体"/>
          <w:color w:val="auto"/>
          <w:sz w:val="24"/>
          <w:szCs w:val="24"/>
          <w:highlight w:val="none"/>
        </w:rPr>
        <w:t xml:space="preserve">    </w:t>
      </w:r>
    </w:p>
    <w:p w14:paraId="04F8DB6E">
      <w:pPr>
        <w:pStyle w:val="16"/>
        <w:tabs>
          <w:tab w:val="left" w:pos="939"/>
        </w:tabs>
        <w:spacing w:line="360" w:lineRule="auto"/>
        <w:ind w:left="141" w:leftChars="67" w:firstLine="360" w:firstLineChars="150"/>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rPr>
        <w:t>开户银行：</w:t>
      </w:r>
      <w:r>
        <w:rPr>
          <w:rFonts w:hint="eastAsia" w:ascii="仿宋_GB2312" w:hAnsi="宋体" w:eastAsia="仿宋_GB2312" w:cs="宋体"/>
          <w:color w:val="auto"/>
          <w:sz w:val="24"/>
          <w:highlight w:val="none"/>
          <w:u w:val="single"/>
        </w:rPr>
        <w:t xml:space="preserve">                         </w:t>
      </w:r>
      <w:r>
        <w:rPr>
          <w:rFonts w:hint="eastAsia" w:ascii="仿宋_GB2312" w:hAnsi="宋体" w:eastAsia="仿宋_GB2312" w:cs="宋体"/>
          <w:color w:val="auto"/>
          <w:sz w:val="24"/>
          <w:highlight w:val="none"/>
        </w:rPr>
        <w:t xml:space="preserve">  帐号：</w:t>
      </w:r>
      <w:r>
        <w:rPr>
          <w:rFonts w:hint="eastAsia" w:ascii="仿宋_GB2312" w:hAnsi="宋体" w:eastAsia="仿宋_GB2312" w:cs="宋体"/>
          <w:color w:val="auto"/>
          <w:sz w:val="24"/>
          <w:highlight w:val="none"/>
          <w:u w:val="single"/>
        </w:rPr>
        <w:t xml:space="preserve">                               </w:t>
      </w:r>
    </w:p>
    <w:p w14:paraId="191FD785">
      <w:pPr>
        <w:pStyle w:val="16"/>
        <w:tabs>
          <w:tab w:val="left" w:pos="939"/>
        </w:tabs>
        <w:spacing w:line="360" w:lineRule="auto"/>
        <w:ind w:left="0" w:leftChars="0" w:firstLine="480" w:firstLineChars="200"/>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rPr>
        <w:t>8.以上事项如有虚假或者隐瞒，我方愿意承担一切后果，并不再寻求任何旨在减轻或者免除法律责任的辩解。</w:t>
      </w:r>
    </w:p>
    <w:p w14:paraId="7DF1B934">
      <w:pPr>
        <w:pStyle w:val="16"/>
        <w:tabs>
          <w:tab w:val="left" w:pos="939"/>
        </w:tabs>
        <w:spacing w:line="360" w:lineRule="auto"/>
        <w:ind w:left="141" w:leftChars="67" w:firstLine="360" w:firstLineChars="150"/>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rPr>
        <w:t>特此承诺。</w:t>
      </w:r>
    </w:p>
    <w:p w14:paraId="1ABE9D08">
      <w:pPr>
        <w:pStyle w:val="16"/>
        <w:tabs>
          <w:tab w:val="left" w:pos="939"/>
        </w:tabs>
        <w:spacing w:line="360" w:lineRule="auto"/>
        <w:ind w:left="0" w:leftChars="0" w:firstLine="480" w:firstLineChars="200"/>
        <w:rPr>
          <w:rFonts w:hint="eastAsia" w:ascii="宋体" w:hAnsi="宋体" w:cs="宋体"/>
          <w:color w:val="auto"/>
          <w:sz w:val="24"/>
          <w:highlight w:val="none"/>
        </w:rPr>
      </w:pPr>
      <w:r>
        <w:rPr>
          <w:rFonts w:hint="eastAsia" w:ascii="仿宋_GB2312" w:hAnsi="宋体" w:eastAsia="仿宋_GB2312" w:cs="宋体"/>
          <w:color w:val="auto"/>
          <w:sz w:val="24"/>
          <w:highlight w:val="none"/>
        </w:rPr>
        <w:t>注：如为联合体竞标，盖章处须加盖联合体各方公章并由联合体各方法定代表人签署，否则其响应文件按无效响应处理。</w:t>
      </w:r>
    </w:p>
    <w:p w14:paraId="2EBD3B9F">
      <w:pPr>
        <w:pStyle w:val="16"/>
        <w:tabs>
          <w:tab w:val="left" w:pos="939"/>
        </w:tabs>
        <w:spacing w:line="360" w:lineRule="auto"/>
        <w:ind w:left="0" w:leftChars="0" w:firstLine="480" w:firstLineChars="200"/>
        <w:rPr>
          <w:rFonts w:hint="eastAsia" w:ascii="宋体" w:hAnsi="宋体" w:cs="宋体"/>
          <w:color w:val="auto"/>
          <w:sz w:val="24"/>
          <w:highlight w:val="none"/>
        </w:rPr>
      </w:pPr>
    </w:p>
    <w:p w14:paraId="07C8B468">
      <w:pPr>
        <w:autoSpaceDE w:val="0"/>
        <w:autoSpaceDN w:val="0"/>
        <w:spacing w:line="360" w:lineRule="auto"/>
        <w:ind w:left="4365" w:leftChars="1850" w:hanging="480" w:hangingChars="2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14:paraId="2AC5111E">
      <w:pPr>
        <w:autoSpaceDE w:val="0"/>
        <w:autoSpaceDN w:val="0"/>
        <w:spacing w:line="360" w:lineRule="auto"/>
        <w:ind w:firstLine="6120" w:firstLineChars="2550"/>
        <w:rPr>
          <w:rFonts w:ascii="仿宋_GB2312" w:hAnsi="仿宋" w:eastAsia="仿宋_GB2312" w:cs="仿宋_GB2312"/>
          <w:color w:val="auto"/>
          <w:kern w:val="0"/>
          <w:sz w:val="24"/>
          <w:highlight w:val="none"/>
          <w:lang w:val="zh-CN"/>
        </w:rPr>
        <w:sectPr>
          <w:pgSz w:w="11910" w:h="16840"/>
          <w:pgMar w:top="1340" w:right="1500" w:bottom="280" w:left="1680" w:header="720" w:footer="720" w:gutter="0"/>
          <w:pgBorders>
            <w:top w:val="none" w:sz="0" w:space="0"/>
            <w:left w:val="none" w:sz="0" w:space="0"/>
            <w:bottom w:val="none" w:sz="0" w:space="0"/>
            <w:right w:val="none" w:sz="0" w:space="0"/>
          </w:pgBorders>
          <w:pgNumType w:fmt="decimal"/>
          <w:cols w:space="720" w:num="1"/>
        </w:sectPr>
      </w:pPr>
      <w:r>
        <w:rPr>
          <w:rFonts w:hint="eastAsia" w:ascii="仿宋_GB2312" w:hAnsi="仿宋" w:eastAsia="仿宋_GB2312" w:cs="仿宋_GB2312"/>
          <w:color w:val="auto"/>
          <w:kern w:val="0"/>
          <w:sz w:val="24"/>
          <w:highlight w:val="none"/>
          <w:lang w:val="zh-CN"/>
        </w:rPr>
        <w:t>日期：  年  月   日</w:t>
      </w:r>
    </w:p>
    <w:p w14:paraId="62862963">
      <w:pPr>
        <w:pStyle w:val="7"/>
        <w:overflowPunct w:val="0"/>
        <w:spacing w:line="520" w:lineRule="exact"/>
        <w:ind w:firstLine="0"/>
        <w:rPr>
          <w:rFonts w:ascii="宋体" w:hAnsi="宋体"/>
          <w:b/>
          <w:bCs/>
          <w:color w:val="auto"/>
          <w:sz w:val="32"/>
          <w:szCs w:val="32"/>
          <w:highlight w:val="none"/>
        </w:rPr>
      </w:pPr>
      <w:r>
        <w:rPr>
          <w:rFonts w:hint="eastAsia" w:ascii="仿宋" w:hAnsi="仿宋" w:eastAsia="仿宋" w:cs="仿宋_GB2312"/>
          <w:b/>
          <w:color w:val="auto"/>
          <w:kern w:val="0"/>
          <w:sz w:val="30"/>
          <w:szCs w:val="30"/>
          <w:highlight w:val="none"/>
        </w:rPr>
        <w:t>七、联合体协议书（如有）</w:t>
      </w:r>
    </w:p>
    <w:p w14:paraId="28D2E577">
      <w:pPr>
        <w:pStyle w:val="18"/>
        <w:spacing w:line="600" w:lineRule="exact"/>
        <w:jc w:val="center"/>
        <w:rPr>
          <w:rFonts w:hint="eastAsia" w:ascii="方正小标宋简体" w:hAnsi="方正小标宋简体" w:eastAsia="方正小标宋简体" w:cs="方正小标宋简体"/>
          <w:color w:val="auto"/>
          <w:kern w:val="2"/>
          <w:sz w:val="44"/>
          <w:szCs w:val="44"/>
          <w:highlight w:val="none"/>
          <w:lang w:val="en-US" w:eastAsia="zh-CN"/>
        </w:rPr>
      </w:pPr>
    </w:p>
    <w:p w14:paraId="3BB7E1BD">
      <w:pPr>
        <w:pStyle w:val="18"/>
        <w:spacing w:line="600" w:lineRule="exact"/>
        <w:jc w:val="center"/>
        <w:rPr>
          <w:rFonts w:hint="eastAsia" w:ascii="方正小标宋简体" w:hAnsi="方正小标宋简体" w:eastAsia="方正小标宋简体" w:cs="方正小标宋简体"/>
          <w:color w:val="auto"/>
          <w:kern w:val="2"/>
          <w:sz w:val="44"/>
          <w:szCs w:val="44"/>
          <w:highlight w:val="none"/>
          <w:lang w:val="en-US" w:eastAsia="zh-CN"/>
        </w:rPr>
      </w:pPr>
      <w:r>
        <w:rPr>
          <w:rFonts w:hint="eastAsia" w:ascii="方正小标宋简体" w:hAnsi="方正小标宋简体" w:eastAsia="方正小标宋简体" w:cs="方正小标宋简体"/>
          <w:color w:val="auto"/>
          <w:kern w:val="2"/>
          <w:sz w:val="44"/>
          <w:szCs w:val="44"/>
          <w:highlight w:val="none"/>
          <w:lang w:val="en-US" w:eastAsia="zh-CN"/>
        </w:rPr>
        <w:t>联合体竞标协议书（格式）</w:t>
      </w:r>
    </w:p>
    <w:p w14:paraId="5E8ACCDE">
      <w:pPr>
        <w:autoSpaceDE w:val="0"/>
        <w:autoSpaceDN w:val="0"/>
        <w:adjustRightInd w:val="0"/>
        <w:spacing w:line="360" w:lineRule="auto"/>
        <w:jc w:val="left"/>
        <w:rPr>
          <w:rFonts w:ascii="宋体" w:cs="宋体"/>
          <w:color w:val="auto"/>
          <w:kern w:val="0"/>
          <w:szCs w:val="21"/>
          <w:highlight w:val="none"/>
          <w:u w:val="single"/>
        </w:rPr>
      </w:pPr>
    </w:p>
    <w:p w14:paraId="60A3C3BF">
      <w:pPr>
        <w:autoSpaceDE w:val="0"/>
        <w:autoSpaceDN w:val="0"/>
        <w:adjustRightInd w:val="0"/>
        <w:spacing w:line="360" w:lineRule="auto"/>
        <w:jc w:val="left"/>
        <w:rPr>
          <w:rFonts w:hint="eastAsia" w:ascii="仿宋_GB2312" w:eastAsia="仿宋_GB2312" w:cs="宋体"/>
          <w:color w:val="auto"/>
          <w:kern w:val="0"/>
          <w:sz w:val="24"/>
          <w:highlight w:val="none"/>
        </w:rPr>
      </w:pPr>
      <w:r>
        <w:rPr>
          <w:rFonts w:hint="eastAsia" w:ascii="仿宋_GB2312" w:eastAsia="仿宋_GB2312" w:cs="宋体"/>
          <w:color w:val="auto"/>
          <w:kern w:val="0"/>
          <w:sz w:val="24"/>
          <w:highlight w:val="none"/>
          <w:u w:val="single"/>
        </w:rPr>
        <w:t xml:space="preserve">                                                  </w:t>
      </w:r>
      <w:r>
        <w:rPr>
          <w:rFonts w:hint="eastAsia" w:ascii="仿宋_GB2312" w:eastAsia="仿宋_GB2312" w:cs="宋体"/>
          <w:color w:val="auto"/>
          <w:kern w:val="0"/>
          <w:sz w:val="24"/>
          <w:highlight w:val="none"/>
        </w:rPr>
        <w:t>（所有成员单位名称）自愿组成联合体，共同参加</w:t>
      </w:r>
      <w:r>
        <w:rPr>
          <w:rFonts w:hint="eastAsia" w:ascii="仿宋_GB2312" w:eastAsia="仿宋_GB2312" w:cs="宋体"/>
          <w:color w:val="auto"/>
          <w:kern w:val="0"/>
          <w:sz w:val="24"/>
          <w:highlight w:val="none"/>
          <w:u w:val="single"/>
        </w:rPr>
        <w:t xml:space="preserve">  </w:t>
      </w:r>
      <w:r>
        <w:rPr>
          <w:rFonts w:hint="eastAsia" w:ascii="仿宋_GB2312" w:eastAsia="仿宋_GB2312" w:cs="宋体"/>
          <w:color w:val="auto"/>
          <w:kern w:val="0"/>
          <w:sz w:val="24"/>
          <w:highlight w:val="none"/>
          <w:u w:val="single"/>
          <w:lang w:eastAsia="zh-CN"/>
        </w:rPr>
        <w:t>隆安县政府集中采购中心</w:t>
      </w:r>
      <w:r>
        <w:rPr>
          <w:rFonts w:hint="eastAsia" w:ascii="仿宋_GB2312" w:eastAsia="仿宋_GB2312" w:cs="宋体"/>
          <w:color w:val="auto"/>
          <w:kern w:val="0"/>
          <w:sz w:val="24"/>
          <w:highlight w:val="none"/>
        </w:rPr>
        <w:t>组织的</w:t>
      </w:r>
      <w:r>
        <w:rPr>
          <w:rFonts w:hint="eastAsia" w:ascii="仿宋_GB2312" w:eastAsia="仿宋_GB2312" w:cs="宋体"/>
          <w:color w:val="auto"/>
          <w:kern w:val="0"/>
          <w:sz w:val="24"/>
          <w:highlight w:val="none"/>
          <w:u w:val="single"/>
        </w:rPr>
        <w:t xml:space="preserve">  </w:t>
      </w:r>
      <w:r>
        <w:rPr>
          <w:rFonts w:hint="eastAsia" w:ascii="仿宋_GB2312" w:eastAsia="仿宋_GB2312" w:cs="宋体"/>
          <w:color w:val="auto"/>
          <w:kern w:val="0"/>
          <w:sz w:val="24"/>
          <w:highlight w:val="none"/>
          <w:u w:val="single"/>
          <w:lang w:eastAsia="zh-CN"/>
        </w:rPr>
        <w:t>隆安县电子政务外网一期线路租用及设备升级服务项目</w:t>
      </w:r>
      <w:r>
        <w:rPr>
          <w:rFonts w:hint="eastAsia" w:ascii="仿宋_GB2312" w:eastAsia="仿宋_GB2312" w:cs="宋体"/>
          <w:color w:val="auto"/>
          <w:kern w:val="0"/>
          <w:sz w:val="24"/>
          <w:highlight w:val="none"/>
          <w:u w:val="single"/>
        </w:rPr>
        <w:t xml:space="preserve">  </w:t>
      </w:r>
      <w:r>
        <w:rPr>
          <w:rFonts w:hint="eastAsia" w:ascii="仿宋_GB2312" w:eastAsia="仿宋_GB2312" w:cs="宋体"/>
          <w:color w:val="auto"/>
          <w:kern w:val="0"/>
          <w:sz w:val="24"/>
          <w:highlight w:val="none"/>
        </w:rPr>
        <w:t>（项目编号：</w:t>
      </w:r>
      <w:r>
        <w:rPr>
          <w:rFonts w:hint="eastAsia" w:ascii="仿宋_GB2312" w:eastAsia="仿宋_GB2312" w:cs="宋体"/>
          <w:color w:val="auto"/>
          <w:kern w:val="0"/>
          <w:sz w:val="24"/>
          <w:highlight w:val="none"/>
          <w:u w:val="single"/>
          <w:lang w:val="en-US" w:eastAsia="zh-CN"/>
        </w:rPr>
        <w:t xml:space="preserve">  </w:t>
      </w:r>
      <w:r>
        <w:rPr>
          <w:rFonts w:hint="eastAsia" w:ascii="仿宋_GB2312" w:eastAsia="仿宋_GB2312" w:cs="宋体"/>
          <w:color w:val="auto"/>
          <w:kern w:val="0"/>
          <w:sz w:val="24"/>
          <w:highlight w:val="none"/>
          <w:u w:val="single"/>
        </w:rPr>
        <w:t xml:space="preserve"> </w:t>
      </w:r>
      <w:r>
        <w:rPr>
          <w:rFonts w:hint="eastAsia" w:ascii="仿宋_GB2312" w:eastAsia="仿宋_GB2312" w:cs="宋体"/>
          <w:color w:val="auto"/>
          <w:kern w:val="0"/>
          <w:sz w:val="24"/>
          <w:highlight w:val="none"/>
        </w:rPr>
        <w:t>）竞争性磋商采购。现就联合体竞标事宜订立如下协议：</w:t>
      </w:r>
    </w:p>
    <w:p w14:paraId="5CF04410">
      <w:pPr>
        <w:autoSpaceDE w:val="0"/>
        <w:autoSpaceDN w:val="0"/>
        <w:adjustRightInd w:val="0"/>
        <w:spacing w:line="360" w:lineRule="auto"/>
        <w:ind w:firstLine="420"/>
        <w:jc w:val="left"/>
        <w:rPr>
          <w:rFonts w:hint="eastAsia" w:ascii="仿宋_GB2312" w:hAnsi="宋体" w:eastAsia="仿宋_GB2312" w:cs="宋体"/>
          <w:color w:val="auto"/>
          <w:kern w:val="0"/>
          <w:sz w:val="24"/>
          <w:highlight w:val="none"/>
        </w:rPr>
      </w:pPr>
      <w:r>
        <w:rPr>
          <w:rFonts w:hint="eastAsia" w:ascii="仿宋_GB2312" w:hAnsi="宋体" w:eastAsia="仿宋_GB2312" w:cs="TimesNewRomanPSMT"/>
          <w:color w:val="auto"/>
          <w:kern w:val="0"/>
          <w:sz w:val="24"/>
          <w:highlight w:val="none"/>
        </w:rPr>
        <w:t>1</w:t>
      </w:r>
      <w:r>
        <w:rPr>
          <w:rFonts w:hint="eastAsia" w:ascii="仿宋_GB2312" w:hAnsi="宋体" w:eastAsia="仿宋_GB2312" w:cs="宋体"/>
          <w:color w:val="auto"/>
          <w:kern w:val="0"/>
          <w:sz w:val="24"/>
          <w:highlight w:val="none"/>
        </w:rPr>
        <w:t>、</w:t>
      </w:r>
      <w:r>
        <w:rPr>
          <w:rFonts w:hint="eastAsia" w:ascii="仿宋_GB2312" w:eastAsia="仿宋_GB2312"/>
          <w:color w:val="auto"/>
          <w:sz w:val="24"/>
          <w:highlight w:val="none"/>
        </w:rPr>
        <w:t>________________________</w:t>
      </w:r>
      <w:r>
        <w:rPr>
          <w:rFonts w:hint="eastAsia" w:ascii="仿宋_GB2312" w:hAnsi="宋体" w:eastAsia="仿宋_GB2312" w:cs="宋体"/>
          <w:color w:val="auto"/>
          <w:kern w:val="0"/>
          <w:sz w:val="24"/>
          <w:highlight w:val="none"/>
        </w:rPr>
        <w:t>（某成员单位名称）为联合体名称牵头人。</w:t>
      </w:r>
    </w:p>
    <w:p w14:paraId="4A3A8474">
      <w:pPr>
        <w:autoSpaceDE w:val="0"/>
        <w:autoSpaceDN w:val="0"/>
        <w:adjustRightInd w:val="0"/>
        <w:spacing w:line="360" w:lineRule="auto"/>
        <w:ind w:firstLine="420"/>
        <w:jc w:val="left"/>
        <w:rPr>
          <w:rFonts w:hint="eastAsia" w:ascii="仿宋_GB2312" w:hAnsi="宋体" w:eastAsia="仿宋_GB2312" w:cs="宋体"/>
          <w:color w:val="auto"/>
          <w:kern w:val="0"/>
          <w:sz w:val="24"/>
          <w:highlight w:val="none"/>
        </w:rPr>
      </w:pPr>
      <w:r>
        <w:rPr>
          <w:rFonts w:hint="eastAsia" w:ascii="仿宋_GB2312" w:hAnsi="宋体" w:eastAsia="仿宋_GB2312" w:cs="TimesNewRomanPSMT"/>
          <w:color w:val="auto"/>
          <w:kern w:val="0"/>
          <w:sz w:val="24"/>
          <w:highlight w:val="none"/>
        </w:rPr>
        <w:t>2</w:t>
      </w:r>
      <w:r>
        <w:rPr>
          <w:rFonts w:hint="eastAsia" w:ascii="仿宋_GB2312" w:hAnsi="宋体" w:eastAsia="仿宋_GB2312" w:cs="宋体"/>
          <w:color w:val="auto"/>
          <w:kern w:val="0"/>
          <w:sz w:val="24"/>
          <w:highlight w:val="none"/>
        </w:rPr>
        <w:t>、联合体牵头人合法代表联合体各成员负责本磋商项目响应文件编制和合同谈判活动，并代表联合体提交和接收相关的资料、信息及指示，并处理与之有关的一切事务，负责合同实施阶段的主办、组织和协调工作。</w:t>
      </w:r>
    </w:p>
    <w:p w14:paraId="2143F5A0">
      <w:pPr>
        <w:autoSpaceDE w:val="0"/>
        <w:autoSpaceDN w:val="0"/>
        <w:adjustRightInd w:val="0"/>
        <w:spacing w:line="360" w:lineRule="auto"/>
        <w:ind w:firstLine="420"/>
        <w:jc w:val="left"/>
        <w:rPr>
          <w:rFonts w:hint="eastAsia" w:ascii="仿宋_GB2312" w:hAnsi="宋体" w:eastAsia="仿宋_GB2312" w:cs="宋体"/>
          <w:color w:val="auto"/>
          <w:kern w:val="0"/>
          <w:sz w:val="24"/>
          <w:highlight w:val="none"/>
        </w:rPr>
      </w:pPr>
      <w:r>
        <w:rPr>
          <w:rFonts w:hint="eastAsia" w:ascii="仿宋_GB2312" w:hAnsi="宋体" w:eastAsia="仿宋_GB2312" w:cs="宋体"/>
          <w:color w:val="auto"/>
          <w:kern w:val="0"/>
          <w:sz w:val="24"/>
          <w:highlight w:val="none"/>
        </w:rPr>
        <w:t>3、联合体牵头人在本项目中签署和盖章的一切文件和处理的一切事宜，联合体各成员均予以承认。 联合体各成员将严格按照磋商文件、响应文件和合同的要求全面履行义务，并向采购人承担连带责任。</w:t>
      </w:r>
    </w:p>
    <w:p w14:paraId="787BA266">
      <w:pPr>
        <w:autoSpaceDE w:val="0"/>
        <w:autoSpaceDN w:val="0"/>
        <w:adjustRightInd w:val="0"/>
        <w:spacing w:line="360" w:lineRule="auto"/>
        <w:ind w:firstLine="420"/>
        <w:jc w:val="left"/>
        <w:rPr>
          <w:rFonts w:hint="eastAsia" w:ascii="仿宋_GB2312" w:hAnsi="宋体" w:eastAsia="仿宋_GB2312" w:cs="宋体"/>
          <w:color w:val="auto"/>
          <w:kern w:val="0"/>
          <w:sz w:val="24"/>
          <w:highlight w:val="none"/>
        </w:rPr>
      </w:pPr>
      <w:r>
        <w:rPr>
          <w:rFonts w:hint="eastAsia" w:ascii="仿宋_GB2312" w:hAnsi="宋体" w:eastAsia="仿宋_GB2312" w:cs="TimesNewRomanPSMT"/>
          <w:color w:val="auto"/>
          <w:kern w:val="0"/>
          <w:sz w:val="24"/>
          <w:highlight w:val="none"/>
        </w:rPr>
        <w:t>4</w:t>
      </w:r>
      <w:r>
        <w:rPr>
          <w:rFonts w:hint="eastAsia" w:ascii="仿宋_GB2312" w:hAnsi="宋体" w:eastAsia="仿宋_GB2312" w:cs="宋体"/>
          <w:color w:val="auto"/>
          <w:kern w:val="0"/>
          <w:sz w:val="24"/>
          <w:highlight w:val="none"/>
        </w:rPr>
        <w:t>、联合体各成员单位内部的职责分工如下</w:t>
      </w:r>
      <w:r>
        <w:rPr>
          <w:rFonts w:hint="eastAsia" w:ascii="仿宋_GB2312" w:hAnsi="宋体" w:eastAsia="仿宋_GB2312" w:cs="宋体"/>
          <w:color w:val="auto"/>
          <w:kern w:val="0"/>
          <w:sz w:val="24"/>
          <w:highlight w:val="none"/>
          <w:u w:val="single"/>
        </w:rPr>
        <w:t>：</w:t>
      </w:r>
      <w:r>
        <w:rPr>
          <w:rFonts w:hint="eastAsia" w:ascii="仿宋_GB2312" w:eastAsia="仿宋_GB2312"/>
          <w:color w:val="auto"/>
          <w:sz w:val="24"/>
          <w:highlight w:val="none"/>
          <w:u w:val="single"/>
        </w:rPr>
        <w:t>________________________________________________</w:t>
      </w:r>
      <w:r>
        <w:rPr>
          <w:rFonts w:hint="eastAsia" w:ascii="仿宋_GB2312" w:hAnsi="宋体" w:eastAsia="仿宋_GB2312" w:cs="宋体"/>
          <w:color w:val="auto"/>
          <w:kern w:val="0"/>
          <w:sz w:val="24"/>
          <w:highlight w:val="none"/>
        </w:rPr>
        <w:t>。</w:t>
      </w:r>
    </w:p>
    <w:p w14:paraId="49351BE9">
      <w:pPr>
        <w:pStyle w:val="18"/>
        <w:spacing w:line="360" w:lineRule="auto"/>
        <w:ind w:firstLine="480" w:firstLineChars="200"/>
        <w:rPr>
          <w:rFonts w:hint="eastAsia" w:ascii="仿宋_GB2312" w:hAnsi="Times New Roman" w:eastAsia="仿宋_GB2312"/>
          <w:color w:val="auto"/>
          <w:sz w:val="24"/>
          <w:szCs w:val="24"/>
          <w:highlight w:val="none"/>
        </w:rPr>
      </w:pPr>
      <w:r>
        <w:rPr>
          <w:rFonts w:hint="eastAsia" w:ascii="仿宋_GB2312" w:hAnsi="宋体" w:eastAsia="仿宋_GB2312" w:cs="宋体"/>
          <w:color w:val="auto"/>
          <w:sz w:val="24"/>
          <w:szCs w:val="24"/>
          <w:highlight w:val="none"/>
        </w:rPr>
        <w:t>5、本联合体中</w:t>
      </w:r>
      <w:r>
        <w:rPr>
          <w:rFonts w:hint="eastAsia" w:ascii="仿宋_GB2312" w:hAnsi="宋体" w:eastAsia="仿宋_GB2312" w:cs="宋体"/>
          <w:color w:val="auto"/>
          <w:sz w:val="24"/>
          <w:szCs w:val="24"/>
          <w:highlight w:val="none"/>
          <w:u w:val="single"/>
        </w:rPr>
        <w:t>，</w:t>
      </w:r>
      <w:r>
        <w:rPr>
          <w:rFonts w:hint="eastAsia" w:ascii="仿宋_GB2312" w:eastAsia="仿宋_GB2312"/>
          <w:color w:val="auto"/>
          <w:sz w:val="24"/>
          <w:szCs w:val="24"/>
          <w:highlight w:val="none"/>
          <w:u w:val="single"/>
        </w:rPr>
        <w:t>________________________</w:t>
      </w:r>
      <w:r>
        <w:rPr>
          <w:rFonts w:hint="eastAsia" w:ascii="仿宋_GB2312" w:hAnsi="宋体" w:eastAsia="仿宋_GB2312" w:cs="宋体"/>
          <w:color w:val="auto"/>
          <w:sz w:val="24"/>
          <w:szCs w:val="24"/>
          <w:highlight w:val="none"/>
          <w:u w:val="single"/>
        </w:rPr>
        <w:t>（某成员单位名称）为</w:t>
      </w:r>
      <w:r>
        <w:rPr>
          <w:rFonts w:hint="eastAsia" w:ascii="仿宋_GB2312" w:eastAsia="仿宋_GB2312"/>
          <w:color w:val="auto"/>
          <w:sz w:val="24"/>
          <w:szCs w:val="24"/>
          <w:highlight w:val="none"/>
          <w:u w:val="single"/>
        </w:rPr>
        <w:t>______</w:t>
      </w:r>
      <w:r>
        <w:rPr>
          <w:rFonts w:hint="eastAsia" w:ascii="仿宋_GB2312" w:eastAsia="仿宋_GB2312"/>
          <w:color w:val="auto"/>
          <w:sz w:val="24"/>
          <w:szCs w:val="24"/>
          <w:highlight w:val="none"/>
        </w:rPr>
        <w:t>（请填写：中型、小型、微型）企业，其协议合同金额占联合体协议合同总金额的</w:t>
      </w:r>
      <w:r>
        <w:rPr>
          <w:rFonts w:hint="eastAsia" w:ascii="仿宋_GB2312" w:eastAsia="仿宋_GB2312"/>
          <w:color w:val="auto"/>
          <w:sz w:val="24"/>
          <w:szCs w:val="24"/>
          <w:highlight w:val="none"/>
          <w:u w:val="single"/>
        </w:rPr>
        <w:t>______</w:t>
      </w:r>
      <w:r>
        <w:rPr>
          <w:rFonts w:hint="eastAsia" w:ascii="仿宋_GB2312" w:eastAsia="仿宋_GB2312"/>
          <w:color w:val="auto"/>
          <w:sz w:val="24"/>
          <w:szCs w:val="24"/>
          <w:highlight w:val="none"/>
        </w:rPr>
        <w:t>%。【如联合体成员中有小型、微型企业的，请填写此条，否则无需填写；如联合体成员中有多个小型、微型企业的，请逐一列出。】</w:t>
      </w:r>
    </w:p>
    <w:p w14:paraId="231D425D">
      <w:pPr>
        <w:autoSpaceDE w:val="0"/>
        <w:autoSpaceDN w:val="0"/>
        <w:adjustRightInd w:val="0"/>
        <w:spacing w:line="360" w:lineRule="auto"/>
        <w:ind w:firstLine="420"/>
        <w:jc w:val="left"/>
        <w:rPr>
          <w:rFonts w:hint="eastAsia" w:ascii="仿宋_GB2312" w:hAnsi="宋体" w:eastAsia="仿宋_GB2312" w:cs="宋体"/>
          <w:color w:val="auto"/>
          <w:kern w:val="0"/>
          <w:sz w:val="24"/>
          <w:highlight w:val="none"/>
        </w:rPr>
      </w:pPr>
      <w:r>
        <w:rPr>
          <w:rFonts w:hint="eastAsia" w:ascii="仿宋_GB2312" w:hAnsi="宋体" w:eastAsia="仿宋_GB2312" w:cs="TimesNewRomanPSMT"/>
          <w:color w:val="auto"/>
          <w:kern w:val="0"/>
          <w:sz w:val="24"/>
          <w:highlight w:val="none"/>
        </w:rPr>
        <w:t>6</w:t>
      </w:r>
      <w:r>
        <w:rPr>
          <w:rFonts w:hint="eastAsia" w:ascii="仿宋_GB2312" w:hAnsi="宋体" w:eastAsia="仿宋_GB2312" w:cs="宋体"/>
          <w:color w:val="auto"/>
          <w:kern w:val="0"/>
          <w:sz w:val="24"/>
          <w:highlight w:val="none"/>
        </w:rPr>
        <w:t>、本协议书自签署之日起生效，合同履行完毕后自动失效。</w:t>
      </w:r>
    </w:p>
    <w:p w14:paraId="027C5B5F">
      <w:pPr>
        <w:autoSpaceDE w:val="0"/>
        <w:autoSpaceDN w:val="0"/>
        <w:adjustRightInd w:val="0"/>
        <w:spacing w:line="360" w:lineRule="auto"/>
        <w:ind w:firstLine="420"/>
        <w:jc w:val="left"/>
        <w:rPr>
          <w:rFonts w:hint="eastAsia" w:ascii="仿宋_GB2312" w:hAnsi="宋体" w:eastAsia="仿宋_GB2312" w:cs="宋体"/>
          <w:color w:val="auto"/>
          <w:kern w:val="0"/>
          <w:sz w:val="24"/>
          <w:highlight w:val="none"/>
        </w:rPr>
      </w:pPr>
      <w:r>
        <w:rPr>
          <w:rFonts w:hint="eastAsia" w:ascii="仿宋_GB2312" w:hAnsi="宋体" w:eastAsia="仿宋_GB2312" w:cs="TimesNewRomanPSMT"/>
          <w:color w:val="auto"/>
          <w:kern w:val="0"/>
          <w:sz w:val="24"/>
          <w:highlight w:val="none"/>
        </w:rPr>
        <w:t>7</w:t>
      </w:r>
      <w:r>
        <w:rPr>
          <w:rFonts w:hint="eastAsia" w:ascii="仿宋_GB2312" w:hAnsi="宋体" w:eastAsia="仿宋_GB2312" w:cs="宋体"/>
          <w:color w:val="auto"/>
          <w:kern w:val="0"/>
          <w:sz w:val="24"/>
          <w:highlight w:val="none"/>
        </w:rPr>
        <w:t>、本协议书一式</w:t>
      </w:r>
      <w:r>
        <w:rPr>
          <w:rFonts w:hint="eastAsia" w:ascii="仿宋_GB2312" w:hAnsi="宋体" w:eastAsia="仿宋_GB2312" w:cs="宋体"/>
          <w:color w:val="auto"/>
          <w:kern w:val="0"/>
          <w:sz w:val="24"/>
          <w:highlight w:val="none"/>
          <w:u w:val="single"/>
        </w:rPr>
        <w:t xml:space="preserve">    </w:t>
      </w:r>
      <w:r>
        <w:rPr>
          <w:rFonts w:hint="eastAsia" w:ascii="仿宋_GB2312" w:hAnsi="宋体" w:eastAsia="仿宋_GB2312" w:cs="宋体"/>
          <w:color w:val="auto"/>
          <w:kern w:val="0"/>
          <w:sz w:val="24"/>
          <w:highlight w:val="none"/>
        </w:rPr>
        <w:t>份，联合体成员和采购代理机构各执一份。</w:t>
      </w:r>
    </w:p>
    <w:p w14:paraId="57B4D2D9">
      <w:pPr>
        <w:autoSpaceDE w:val="0"/>
        <w:autoSpaceDN w:val="0"/>
        <w:adjustRightInd w:val="0"/>
        <w:spacing w:line="360" w:lineRule="auto"/>
        <w:ind w:firstLine="420"/>
        <w:jc w:val="left"/>
        <w:rPr>
          <w:rFonts w:hint="eastAsia" w:ascii="仿宋_GB2312" w:eastAsia="仿宋_GB2312" w:cs="宋体"/>
          <w:color w:val="auto"/>
          <w:kern w:val="0"/>
          <w:sz w:val="24"/>
          <w:highlight w:val="none"/>
        </w:rPr>
      </w:pPr>
      <w:r>
        <w:rPr>
          <w:rFonts w:hint="eastAsia" w:ascii="仿宋_GB2312" w:eastAsia="仿宋_GB2312" w:cs="宋体"/>
          <w:color w:val="auto"/>
          <w:kern w:val="0"/>
          <w:sz w:val="24"/>
          <w:highlight w:val="none"/>
        </w:rPr>
        <w:t>注：本协议书由法定代表人签字的，应附法定代表人身份证明；本协议书由委托代理人签字的，应附法定代表人授权委托书。</w:t>
      </w:r>
    </w:p>
    <w:p w14:paraId="06BA26F3">
      <w:pPr>
        <w:autoSpaceDE w:val="0"/>
        <w:autoSpaceDN w:val="0"/>
        <w:adjustRightInd w:val="0"/>
        <w:spacing w:line="360" w:lineRule="auto"/>
        <w:jc w:val="left"/>
        <w:rPr>
          <w:rFonts w:hint="eastAsia" w:ascii="仿宋_GB2312" w:eastAsia="仿宋_GB2312" w:cs="宋体"/>
          <w:color w:val="auto"/>
          <w:kern w:val="0"/>
          <w:sz w:val="24"/>
          <w:highlight w:val="none"/>
        </w:rPr>
      </w:pPr>
      <w:r>
        <w:rPr>
          <w:rFonts w:hint="eastAsia" w:ascii="仿宋_GB2312" w:eastAsia="仿宋_GB2312" w:cs="宋体"/>
          <w:color w:val="auto"/>
          <w:kern w:val="0"/>
          <w:sz w:val="24"/>
          <w:highlight w:val="none"/>
        </w:rPr>
        <w:t>牵头人名称：</w:t>
      </w:r>
      <w:r>
        <w:rPr>
          <w:rFonts w:hint="eastAsia" w:ascii="仿宋_GB2312" w:eastAsia="仿宋_GB2312" w:cs="宋体"/>
          <w:color w:val="auto"/>
          <w:kern w:val="0"/>
          <w:sz w:val="24"/>
          <w:highlight w:val="none"/>
          <w:u w:val="single"/>
        </w:rPr>
        <w:t xml:space="preserve">                                       </w:t>
      </w:r>
      <w:r>
        <w:rPr>
          <w:rFonts w:hint="eastAsia" w:ascii="仿宋_GB2312" w:eastAsia="仿宋_GB2312" w:cs="宋体"/>
          <w:color w:val="auto"/>
          <w:kern w:val="0"/>
          <w:sz w:val="24"/>
          <w:highlight w:val="none"/>
        </w:rPr>
        <w:t>（盖单位公章）</w:t>
      </w:r>
    </w:p>
    <w:p w14:paraId="1D987C82">
      <w:pPr>
        <w:autoSpaceDE w:val="0"/>
        <w:autoSpaceDN w:val="0"/>
        <w:adjustRightInd w:val="0"/>
        <w:spacing w:line="360" w:lineRule="auto"/>
        <w:jc w:val="left"/>
        <w:rPr>
          <w:rFonts w:hint="eastAsia" w:ascii="仿宋_GB2312" w:eastAsia="仿宋_GB2312" w:cs="宋体"/>
          <w:color w:val="auto"/>
          <w:kern w:val="0"/>
          <w:sz w:val="24"/>
          <w:highlight w:val="none"/>
        </w:rPr>
      </w:pPr>
      <w:r>
        <w:rPr>
          <w:rFonts w:hint="eastAsia" w:ascii="仿宋_GB2312" w:eastAsia="仿宋_GB2312" w:cs="宋体"/>
          <w:color w:val="auto"/>
          <w:kern w:val="0"/>
          <w:sz w:val="24"/>
          <w:highlight w:val="none"/>
        </w:rPr>
        <w:t>法定代表人或其委托代理人：</w:t>
      </w:r>
      <w:r>
        <w:rPr>
          <w:rFonts w:hint="eastAsia" w:ascii="仿宋_GB2312" w:eastAsia="仿宋_GB2312" w:cs="宋体"/>
          <w:color w:val="auto"/>
          <w:kern w:val="0"/>
          <w:sz w:val="24"/>
          <w:highlight w:val="none"/>
          <w:u w:val="single"/>
        </w:rPr>
        <w:t xml:space="preserve">                         </w:t>
      </w:r>
      <w:r>
        <w:rPr>
          <w:rFonts w:hint="eastAsia" w:ascii="仿宋_GB2312" w:eastAsia="仿宋_GB2312" w:cs="宋体"/>
          <w:color w:val="auto"/>
          <w:kern w:val="0"/>
          <w:sz w:val="24"/>
          <w:highlight w:val="none"/>
        </w:rPr>
        <w:t>（签字或盖章）</w:t>
      </w:r>
    </w:p>
    <w:p w14:paraId="3F62365B">
      <w:pPr>
        <w:autoSpaceDE w:val="0"/>
        <w:autoSpaceDN w:val="0"/>
        <w:adjustRightInd w:val="0"/>
        <w:spacing w:line="360" w:lineRule="auto"/>
        <w:jc w:val="left"/>
        <w:rPr>
          <w:rFonts w:hint="eastAsia" w:ascii="仿宋_GB2312" w:eastAsia="仿宋_GB2312" w:cs="宋体"/>
          <w:color w:val="auto"/>
          <w:kern w:val="0"/>
          <w:sz w:val="24"/>
          <w:highlight w:val="none"/>
        </w:rPr>
      </w:pPr>
    </w:p>
    <w:p w14:paraId="5EB86BFB">
      <w:pPr>
        <w:autoSpaceDE w:val="0"/>
        <w:autoSpaceDN w:val="0"/>
        <w:adjustRightInd w:val="0"/>
        <w:spacing w:line="360" w:lineRule="auto"/>
        <w:jc w:val="left"/>
        <w:rPr>
          <w:rFonts w:hint="eastAsia" w:ascii="仿宋_GB2312" w:eastAsia="仿宋_GB2312" w:cs="宋体"/>
          <w:color w:val="auto"/>
          <w:kern w:val="0"/>
          <w:sz w:val="24"/>
          <w:highlight w:val="none"/>
        </w:rPr>
      </w:pPr>
      <w:r>
        <w:rPr>
          <w:rFonts w:hint="eastAsia" w:ascii="仿宋_GB2312" w:eastAsia="仿宋_GB2312" w:cs="宋体"/>
          <w:color w:val="auto"/>
          <w:kern w:val="0"/>
          <w:sz w:val="24"/>
          <w:highlight w:val="none"/>
        </w:rPr>
        <w:t>成员一名称：</w:t>
      </w:r>
      <w:r>
        <w:rPr>
          <w:rFonts w:hint="eastAsia" w:ascii="仿宋_GB2312" w:eastAsia="仿宋_GB2312" w:cs="宋体"/>
          <w:color w:val="auto"/>
          <w:kern w:val="0"/>
          <w:sz w:val="24"/>
          <w:highlight w:val="none"/>
          <w:u w:val="single"/>
        </w:rPr>
        <w:t xml:space="preserve">                                       </w:t>
      </w:r>
      <w:r>
        <w:rPr>
          <w:rFonts w:hint="eastAsia" w:ascii="仿宋_GB2312" w:eastAsia="仿宋_GB2312" w:cs="宋体"/>
          <w:color w:val="auto"/>
          <w:kern w:val="0"/>
          <w:sz w:val="24"/>
          <w:highlight w:val="none"/>
        </w:rPr>
        <w:t>（盖单位公章）</w:t>
      </w:r>
    </w:p>
    <w:p w14:paraId="1CC91D19">
      <w:pPr>
        <w:autoSpaceDE w:val="0"/>
        <w:autoSpaceDN w:val="0"/>
        <w:adjustRightInd w:val="0"/>
        <w:spacing w:line="360" w:lineRule="auto"/>
        <w:jc w:val="left"/>
        <w:rPr>
          <w:rFonts w:hint="eastAsia" w:ascii="仿宋_GB2312" w:eastAsia="仿宋_GB2312" w:cs="宋体"/>
          <w:color w:val="auto"/>
          <w:kern w:val="0"/>
          <w:sz w:val="24"/>
          <w:highlight w:val="none"/>
        </w:rPr>
      </w:pPr>
      <w:r>
        <w:rPr>
          <w:rFonts w:hint="eastAsia" w:ascii="仿宋_GB2312" w:eastAsia="仿宋_GB2312" w:cs="宋体"/>
          <w:color w:val="auto"/>
          <w:kern w:val="0"/>
          <w:sz w:val="24"/>
          <w:highlight w:val="none"/>
        </w:rPr>
        <w:t>法定代表人或其委托代理人：</w:t>
      </w:r>
      <w:r>
        <w:rPr>
          <w:rFonts w:hint="eastAsia" w:ascii="仿宋_GB2312" w:eastAsia="仿宋_GB2312" w:cs="宋体"/>
          <w:color w:val="auto"/>
          <w:kern w:val="0"/>
          <w:sz w:val="24"/>
          <w:highlight w:val="none"/>
          <w:u w:val="single"/>
        </w:rPr>
        <w:t xml:space="preserve">                         </w:t>
      </w:r>
      <w:r>
        <w:rPr>
          <w:rFonts w:hint="eastAsia" w:ascii="仿宋_GB2312" w:eastAsia="仿宋_GB2312" w:cs="宋体"/>
          <w:color w:val="auto"/>
          <w:kern w:val="0"/>
          <w:sz w:val="24"/>
          <w:highlight w:val="none"/>
        </w:rPr>
        <w:t>（签字或盖章）</w:t>
      </w:r>
    </w:p>
    <w:p w14:paraId="7DD3ABDC">
      <w:pPr>
        <w:autoSpaceDE w:val="0"/>
        <w:autoSpaceDN w:val="0"/>
        <w:adjustRightInd w:val="0"/>
        <w:spacing w:line="360" w:lineRule="auto"/>
        <w:jc w:val="left"/>
        <w:rPr>
          <w:rFonts w:hint="eastAsia" w:ascii="宋体" w:cs="宋体"/>
          <w:color w:val="auto"/>
          <w:kern w:val="0"/>
          <w:szCs w:val="21"/>
          <w:highlight w:val="none"/>
        </w:rPr>
      </w:pPr>
    </w:p>
    <w:p w14:paraId="70AD217D">
      <w:pPr>
        <w:autoSpaceDE w:val="0"/>
        <w:autoSpaceDN w:val="0"/>
        <w:adjustRightInd w:val="0"/>
        <w:spacing w:line="360" w:lineRule="auto"/>
        <w:jc w:val="left"/>
        <w:rPr>
          <w:rFonts w:hint="eastAsia" w:ascii="仿宋_GB2312" w:eastAsia="仿宋_GB2312" w:cs="宋体"/>
          <w:color w:val="auto"/>
          <w:kern w:val="0"/>
          <w:sz w:val="24"/>
          <w:highlight w:val="none"/>
        </w:rPr>
      </w:pPr>
      <w:r>
        <w:rPr>
          <w:rFonts w:hint="eastAsia" w:ascii="仿宋_GB2312" w:eastAsia="仿宋_GB2312" w:cs="宋体"/>
          <w:color w:val="auto"/>
          <w:kern w:val="0"/>
          <w:sz w:val="24"/>
          <w:highlight w:val="none"/>
        </w:rPr>
        <w:t>成员二名称：</w:t>
      </w:r>
      <w:r>
        <w:rPr>
          <w:rFonts w:hint="eastAsia" w:ascii="仿宋_GB2312" w:eastAsia="仿宋_GB2312" w:cs="宋体"/>
          <w:color w:val="auto"/>
          <w:kern w:val="0"/>
          <w:sz w:val="24"/>
          <w:highlight w:val="none"/>
          <w:u w:val="single"/>
        </w:rPr>
        <w:t xml:space="preserve">                                       </w:t>
      </w:r>
      <w:r>
        <w:rPr>
          <w:rFonts w:hint="eastAsia" w:ascii="仿宋_GB2312" w:eastAsia="仿宋_GB2312" w:cs="宋体"/>
          <w:color w:val="auto"/>
          <w:kern w:val="0"/>
          <w:sz w:val="24"/>
          <w:highlight w:val="none"/>
        </w:rPr>
        <w:t>（盖单位公章）</w:t>
      </w:r>
    </w:p>
    <w:p w14:paraId="0A388BE1">
      <w:pPr>
        <w:autoSpaceDE w:val="0"/>
        <w:autoSpaceDN w:val="0"/>
        <w:adjustRightInd w:val="0"/>
        <w:spacing w:line="360" w:lineRule="auto"/>
        <w:jc w:val="left"/>
        <w:rPr>
          <w:rFonts w:hint="eastAsia" w:ascii="仿宋_GB2312" w:eastAsia="仿宋_GB2312" w:cs="宋体"/>
          <w:color w:val="auto"/>
          <w:kern w:val="0"/>
          <w:sz w:val="24"/>
          <w:highlight w:val="none"/>
        </w:rPr>
      </w:pPr>
      <w:r>
        <w:rPr>
          <w:rFonts w:hint="eastAsia" w:ascii="仿宋_GB2312" w:eastAsia="仿宋_GB2312" w:cs="宋体"/>
          <w:color w:val="auto"/>
          <w:kern w:val="0"/>
          <w:sz w:val="24"/>
          <w:highlight w:val="none"/>
        </w:rPr>
        <w:t>法定代表人或其委托代理人：                         （签字或盖章）</w:t>
      </w:r>
    </w:p>
    <w:p w14:paraId="191B6F16">
      <w:pPr>
        <w:autoSpaceDE w:val="0"/>
        <w:autoSpaceDN w:val="0"/>
        <w:adjustRightInd w:val="0"/>
        <w:spacing w:line="360" w:lineRule="auto"/>
        <w:jc w:val="left"/>
        <w:rPr>
          <w:rFonts w:hint="eastAsia" w:ascii="仿宋_GB2312" w:eastAsia="仿宋_GB2312" w:cs="宋体"/>
          <w:color w:val="auto"/>
          <w:kern w:val="0"/>
          <w:sz w:val="24"/>
          <w:highlight w:val="none"/>
        </w:rPr>
      </w:pPr>
    </w:p>
    <w:p w14:paraId="015CFDF0">
      <w:pPr>
        <w:autoSpaceDE w:val="0"/>
        <w:autoSpaceDN w:val="0"/>
        <w:adjustRightInd w:val="0"/>
        <w:spacing w:line="360" w:lineRule="auto"/>
        <w:jc w:val="left"/>
        <w:rPr>
          <w:rFonts w:hint="eastAsia" w:ascii="仿宋_GB2312" w:eastAsia="仿宋_GB2312" w:cs="宋体"/>
          <w:color w:val="auto"/>
          <w:kern w:val="0"/>
          <w:sz w:val="24"/>
          <w:highlight w:val="none"/>
        </w:rPr>
      </w:pPr>
    </w:p>
    <w:p w14:paraId="16E02F47">
      <w:pPr>
        <w:autoSpaceDE w:val="0"/>
        <w:autoSpaceDN w:val="0"/>
        <w:spacing w:line="360" w:lineRule="auto"/>
        <w:ind w:left="4365" w:leftChars="1850" w:hanging="480" w:hangingChars="2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14:paraId="6D52D970">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日期：  年  月   日</w:t>
      </w:r>
    </w:p>
    <w:p w14:paraId="53BF052D">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rPr>
      </w:pPr>
    </w:p>
    <w:p w14:paraId="4F3409A7">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rPr>
      </w:pPr>
    </w:p>
    <w:p w14:paraId="73BB6103">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rPr>
      </w:pPr>
    </w:p>
    <w:p w14:paraId="0C4583CD">
      <w:pPr>
        <w:snapToGrid w:val="0"/>
        <w:spacing w:line="360" w:lineRule="auto"/>
        <w:ind w:firstLine="602" w:firstLineChars="200"/>
        <w:rPr>
          <w:rFonts w:ascii="仿宋" w:hAnsi="仿宋" w:eastAsia="仿宋" w:cs="仿宋_GB2312"/>
          <w:b/>
          <w:color w:val="auto"/>
          <w:sz w:val="30"/>
          <w:szCs w:val="30"/>
          <w:highlight w:val="none"/>
        </w:rPr>
      </w:pPr>
      <w:r>
        <w:rPr>
          <w:rFonts w:hint="eastAsia" w:ascii="仿宋" w:hAnsi="仿宋" w:eastAsia="仿宋" w:cs="仿宋_GB2312"/>
          <w:b/>
          <w:color w:val="auto"/>
          <w:sz w:val="30"/>
          <w:szCs w:val="30"/>
          <w:highlight w:val="none"/>
        </w:rPr>
        <w:t>八、符合特定资格条件（如果项目要求）的有关证明材料（复印件）</w:t>
      </w:r>
    </w:p>
    <w:p w14:paraId="6EB6FE0B">
      <w:pPr>
        <w:snapToGrid w:val="0"/>
        <w:spacing w:line="360" w:lineRule="auto"/>
        <w:ind w:firstLine="602" w:firstLineChars="200"/>
        <w:rPr>
          <w:rFonts w:ascii="仿宋" w:hAnsi="仿宋" w:eastAsia="仿宋" w:cs="仿宋_GB2312"/>
          <w:b/>
          <w:color w:val="auto"/>
          <w:sz w:val="30"/>
          <w:szCs w:val="30"/>
          <w:highlight w:val="none"/>
        </w:rPr>
      </w:pPr>
    </w:p>
    <w:p w14:paraId="7FD274DC">
      <w:pPr>
        <w:autoSpaceDE w:val="0"/>
        <w:autoSpaceDN w:val="0"/>
        <w:spacing w:line="360" w:lineRule="auto"/>
        <w:ind w:left="4335" w:leftChars="1950" w:hanging="240" w:hangingChars="1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14:paraId="29B23529">
      <w:pPr>
        <w:autoSpaceDE w:val="0"/>
        <w:autoSpaceDN w:val="0"/>
        <w:spacing w:line="360" w:lineRule="auto"/>
        <w:ind w:firstLine="6480" w:firstLineChars="2700"/>
        <w:rPr>
          <w:rFonts w:ascii="仿宋_GB2312" w:hAnsi="仿宋" w:eastAsia="仿宋_GB2312" w:cs="仿宋_GB2312"/>
          <w:color w:val="auto"/>
          <w:kern w:val="0"/>
          <w:sz w:val="24"/>
          <w:highlight w:val="none"/>
          <w:lang w:val="zh-CN"/>
        </w:rPr>
        <w:sectPr>
          <w:pgSz w:w="11910" w:h="16840"/>
          <w:pgMar w:top="1340" w:right="1500" w:bottom="280" w:left="1680" w:header="720" w:footer="720" w:gutter="0"/>
          <w:pgBorders>
            <w:top w:val="none" w:sz="0" w:space="0"/>
            <w:left w:val="none" w:sz="0" w:space="0"/>
            <w:bottom w:val="none" w:sz="0" w:space="0"/>
            <w:right w:val="none" w:sz="0" w:space="0"/>
          </w:pgBorders>
          <w:pgNumType w:fmt="decimal"/>
          <w:cols w:space="720" w:num="1"/>
        </w:sectPr>
      </w:pPr>
      <w:r>
        <w:rPr>
          <w:rFonts w:hint="eastAsia" w:ascii="仿宋_GB2312" w:hAnsi="仿宋" w:eastAsia="仿宋_GB2312" w:cs="仿宋_GB2312"/>
          <w:color w:val="auto"/>
          <w:kern w:val="0"/>
          <w:sz w:val="24"/>
          <w:highlight w:val="none"/>
          <w:lang w:val="zh-CN"/>
        </w:rPr>
        <w:t>日期：  年  月   日</w:t>
      </w:r>
    </w:p>
    <w:p w14:paraId="3D4EC15A">
      <w:pPr>
        <w:pStyle w:val="3"/>
        <w:jc w:val="center"/>
        <w:rPr>
          <w:rFonts w:hint="eastAsia" w:ascii="宋体" w:hAnsi="宋体"/>
          <w:b w:val="0"/>
          <w:color w:val="auto"/>
          <w:highlight w:val="none"/>
        </w:rPr>
      </w:pPr>
      <w:bookmarkStart w:id="85" w:name="_Toc14351"/>
      <w:bookmarkStart w:id="86" w:name="_Toc80205940"/>
      <w:bookmarkStart w:id="87" w:name="_Toc80886944"/>
      <w:r>
        <w:rPr>
          <w:rFonts w:hint="eastAsia" w:ascii="宋体" w:hAnsi="宋体"/>
          <w:b w:val="0"/>
          <w:bCs w:val="0"/>
          <w:color w:val="auto"/>
          <w:highlight w:val="none"/>
        </w:rPr>
        <w:t>第</w:t>
      </w:r>
      <w:r>
        <w:rPr>
          <w:rFonts w:hint="eastAsia" w:ascii="宋体" w:hAnsi="宋体"/>
          <w:b w:val="0"/>
          <w:bCs w:val="0"/>
          <w:color w:val="auto"/>
          <w:highlight w:val="none"/>
          <w:lang w:eastAsia="zh-CN"/>
        </w:rPr>
        <w:t>三</w:t>
      </w:r>
      <w:r>
        <w:rPr>
          <w:rFonts w:hint="eastAsia" w:ascii="宋体" w:hAnsi="宋体"/>
          <w:b w:val="0"/>
          <w:bCs w:val="0"/>
          <w:color w:val="auto"/>
          <w:highlight w:val="none"/>
        </w:rPr>
        <w:t xml:space="preserve">节 </w:t>
      </w:r>
      <w:r>
        <w:rPr>
          <w:rFonts w:hint="eastAsia" w:ascii="宋体" w:hAnsi="宋体"/>
          <w:b w:val="0"/>
          <w:color w:val="auto"/>
          <w:highlight w:val="none"/>
        </w:rPr>
        <w:t>商务技术文件格式</w:t>
      </w:r>
      <w:bookmarkEnd w:id="85"/>
      <w:bookmarkEnd w:id="86"/>
      <w:bookmarkEnd w:id="87"/>
    </w:p>
    <w:p w14:paraId="508B81DE">
      <w:pPr>
        <w:snapToGrid w:val="0"/>
        <w:spacing w:before="120" w:beforeLines="50" w:after="50"/>
        <w:rPr>
          <w:rFonts w:hint="eastAsia" w:ascii="宋体" w:hAnsi="宋体"/>
          <w:bCs/>
          <w:color w:val="auto"/>
          <w:sz w:val="32"/>
          <w:szCs w:val="20"/>
          <w:highlight w:val="none"/>
        </w:rPr>
      </w:pPr>
      <w:r>
        <w:rPr>
          <w:rFonts w:hint="eastAsia" w:ascii="宋体" w:hAnsi="宋体"/>
          <w:color w:val="auto"/>
          <w:sz w:val="24"/>
          <w:highlight w:val="none"/>
        </w:rPr>
        <w:t xml:space="preserve">                                                    </w:t>
      </w:r>
      <w:r>
        <w:rPr>
          <w:rFonts w:hint="eastAsia" w:ascii="宋体" w:hAnsi="宋体"/>
          <w:bCs/>
          <w:color w:val="auto"/>
          <w:highlight w:val="none"/>
        </w:rPr>
        <w:t>全流程电子文件</w:t>
      </w:r>
    </w:p>
    <w:p w14:paraId="084D02D1">
      <w:pPr>
        <w:snapToGrid w:val="0"/>
        <w:spacing w:before="120" w:beforeLines="50" w:after="50"/>
        <w:rPr>
          <w:rFonts w:hint="eastAsia" w:ascii="宋体" w:hAnsi="宋体"/>
          <w:color w:val="auto"/>
          <w:sz w:val="24"/>
          <w:szCs w:val="20"/>
          <w:highlight w:val="none"/>
        </w:rPr>
      </w:pPr>
    </w:p>
    <w:p w14:paraId="1178B058">
      <w:pPr>
        <w:snapToGrid w:val="0"/>
        <w:spacing w:before="120" w:beforeLines="50" w:after="50"/>
        <w:rPr>
          <w:rFonts w:hint="eastAsia" w:ascii="宋体" w:hAnsi="宋体"/>
          <w:color w:val="auto"/>
          <w:sz w:val="24"/>
          <w:szCs w:val="20"/>
          <w:highlight w:val="none"/>
        </w:rPr>
      </w:pPr>
    </w:p>
    <w:p w14:paraId="4FA5A118">
      <w:pPr>
        <w:snapToGrid w:val="0"/>
        <w:spacing w:before="120" w:beforeLines="50" w:after="50"/>
        <w:rPr>
          <w:rFonts w:hint="eastAsia" w:ascii="宋体" w:hAnsi="宋体"/>
          <w:color w:val="auto"/>
          <w:sz w:val="24"/>
          <w:szCs w:val="20"/>
          <w:highlight w:val="none"/>
        </w:rPr>
      </w:pPr>
    </w:p>
    <w:p w14:paraId="6EE6BFAC">
      <w:pPr>
        <w:snapToGrid w:val="0"/>
        <w:spacing w:before="120" w:beforeLines="50" w:after="50"/>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商  务  技  术  文  件（封面）</w:t>
      </w:r>
    </w:p>
    <w:p w14:paraId="682F2E5F">
      <w:pPr>
        <w:snapToGrid w:val="0"/>
        <w:spacing w:before="120" w:beforeLines="50" w:after="50"/>
        <w:rPr>
          <w:rFonts w:hint="eastAsia" w:ascii="宋体" w:hAnsi="宋体"/>
          <w:bCs/>
          <w:color w:val="auto"/>
          <w:sz w:val="24"/>
          <w:szCs w:val="20"/>
          <w:highlight w:val="none"/>
        </w:rPr>
      </w:pPr>
    </w:p>
    <w:p w14:paraId="284B8AE1">
      <w:pPr>
        <w:snapToGrid w:val="0"/>
        <w:spacing w:before="120" w:beforeLines="50" w:after="50"/>
        <w:rPr>
          <w:rFonts w:hint="eastAsia" w:ascii="宋体" w:hAnsi="宋体"/>
          <w:bCs/>
          <w:color w:val="auto"/>
          <w:sz w:val="24"/>
          <w:szCs w:val="20"/>
          <w:highlight w:val="none"/>
        </w:rPr>
      </w:pPr>
    </w:p>
    <w:p w14:paraId="1A135E81">
      <w:pPr>
        <w:snapToGrid w:val="0"/>
        <w:spacing w:before="120" w:beforeLines="50" w:after="50"/>
        <w:rPr>
          <w:rFonts w:hint="eastAsia" w:ascii="宋体" w:hAnsi="宋体"/>
          <w:bCs/>
          <w:color w:val="auto"/>
          <w:sz w:val="24"/>
          <w:szCs w:val="20"/>
          <w:highlight w:val="none"/>
        </w:rPr>
      </w:pPr>
    </w:p>
    <w:p w14:paraId="5F952433">
      <w:pPr>
        <w:snapToGrid w:val="0"/>
        <w:spacing w:before="120" w:beforeLines="50" w:after="50"/>
        <w:rPr>
          <w:rFonts w:hint="eastAsia" w:ascii="宋体" w:hAnsi="宋体"/>
          <w:bCs/>
          <w:color w:val="auto"/>
          <w:sz w:val="24"/>
          <w:szCs w:val="20"/>
          <w:highlight w:val="none"/>
        </w:rPr>
      </w:pPr>
    </w:p>
    <w:p w14:paraId="749C2FCB">
      <w:pPr>
        <w:snapToGrid w:val="0"/>
        <w:spacing w:before="120" w:beforeLines="50" w:after="50"/>
        <w:rPr>
          <w:rFonts w:hint="eastAsia" w:ascii="宋体" w:hAnsi="宋体"/>
          <w:bCs/>
          <w:color w:val="auto"/>
          <w:sz w:val="24"/>
          <w:szCs w:val="20"/>
          <w:highlight w:val="none"/>
        </w:rPr>
      </w:pPr>
    </w:p>
    <w:p w14:paraId="74723F65">
      <w:pPr>
        <w:snapToGrid w:val="0"/>
        <w:spacing w:before="120" w:beforeLines="50" w:after="50"/>
        <w:ind w:firstLine="640" w:firstLineChars="200"/>
        <w:rPr>
          <w:rFonts w:hint="eastAsia" w:ascii="宋体" w:hAnsi="宋体" w:eastAsia="宋体" w:cs="仿宋_GB2312"/>
          <w:bCs/>
          <w:color w:val="auto"/>
          <w:sz w:val="32"/>
          <w:szCs w:val="32"/>
          <w:highlight w:val="none"/>
          <w:lang w:eastAsia="zh-CN"/>
        </w:rPr>
      </w:pPr>
      <w:r>
        <w:rPr>
          <w:rFonts w:hint="eastAsia" w:ascii="宋体" w:hAnsi="宋体" w:cs="仿宋_GB2312"/>
          <w:bCs/>
          <w:color w:val="auto"/>
          <w:sz w:val="32"/>
          <w:szCs w:val="32"/>
          <w:highlight w:val="none"/>
        </w:rPr>
        <w:t>项目名称：</w:t>
      </w:r>
      <w:r>
        <w:rPr>
          <w:rFonts w:hint="eastAsia" w:ascii="宋体" w:hAnsi="宋体" w:cs="仿宋_GB2312"/>
          <w:bCs/>
          <w:color w:val="auto"/>
          <w:sz w:val="32"/>
          <w:szCs w:val="32"/>
          <w:highlight w:val="none"/>
          <w:lang w:eastAsia="zh-CN"/>
        </w:rPr>
        <w:t>隆安县电子政务外网一期线路租用及设备升级服务项目</w:t>
      </w:r>
    </w:p>
    <w:p w14:paraId="2D9474A3">
      <w:pPr>
        <w:snapToGrid w:val="0"/>
        <w:spacing w:before="120" w:beforeLines="50" w:after="50"/>
        <w:ind w:firstLine="720" w:firstLineChars="225"/>
        <w:rPr>
          <w:rFonts w:hint="eastAsia" w:ascii="宋体" w:hAnsi="宋体" w:cs="仿宋_GB2312"/>
          <w:bCs/>
          <w:color w:val="auto"/>
          <w:sz w:val="32"/>
          <w:szCs w:val="32"/>
          <w:highlight w:val="none"/>
        </w:rPr>
      </w:pPr>
    </w:p>
    <w:p w14:paraId="501EE63C">
      <w:pPr>
        <w:snapToGrid w:val="0"/>
        <w:spacing w:before="120" w:beforeLines="50" w:after="50"/>
        <w:ind w:firstLine="640" w:firstLineChars="200"/>
        <w:rPr>
          <w:rFonts w:hint="eastAsia" w:ascii="宋体" w:hAnsi="宋体" w:eastAsia="宋体" w:cs="仿宋_GB2312"/>
          <w:bCs/>
          <w:color w:val="auto"/>
          <w:sz w:val="32"/>
          <w:szCs w:val="32"/>
          <w:highlight w:val="none"/>
          <w:lang w:eastAsia="zh-CN"/>
        </w:rPr>
      </w:pPr>
      <w:r>
        <w:rPr>
          <w:rFonts w:hint="eastAsia" w:ascii="宋体" w:hAnsi="宋体" w:cs="仿宋_GB2312"/>
          <w:bCs/>
          <w:color w:val="auto"/>
          <w:sz w:val="32"/>
          <w:szCs w:val="32"/>
          <w:highlight w:val="none"/>
        </w:rPr>
        <w:t>项目编号：</w:t>
      </w:r>
      <w:r>
        <w:rPr>
          <w:rFonts w:hint="eastAsia" w:ascii="宋体" w:hAnsi="宋体" w:cs="仿宋_GB2312"/>
          <w:bCs/>
          <w:color w:val="auto"/>
          <w:sz w:val="32"/>
          <w:szCs w:val="32"/>
          <w:highlight w:val="none"/>
          <w:lang w:val="en-US" w:eastAsia="zh-CN"/>
        </w:rPr>
        <w:t xml:space="preserve"> </w:t>
      </w:r>
    </w:p>
    <w:p w14:paraId="68F5CD6A">
      <w:pPr>
        <w:snapToGrid w:val="0"/>
        <w:spacing w:before="120" w:beforeLines="50" w:after="50"/>
        <w:ind w:firstLine="720" w:firstLineChars="225"/>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 xml:space="preserve"> </w:t>
      </w:r>
    </w:p>
    <w:p w14:paraId="25C6ECB9">
      <w:pPr>
        <w:snapToGrid w:val="0"/>
        <w:spacing w:before="120"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7DD6D3F1">
      <w:pPr>
        <w:snapToGrid w:val="0"/>
        <w:spacing w:before="120" w:beforeLines="50" w:after="50"/>
        <w:ind w:firstLine="720" w:firstLineChars="225"/>
        <w:rPr>
          <w:rFonts w:hint="eastAsia" w:ascii="宋体" w:hAnsi="宋体" w:cs="仿宋_GB2312"/>
          <w:bCs/>
          <w:color w:val="auto"/>
          <w:sz w:val="32"/>
          <w:szCs w:val="32"/>
          <w:highlight w:val="none"/>
        </w:rPr>
      </w:pPr>
    </w:p>
    <w:p w14:paraId="70586458">
      <w:pPr>
        <w:pStyle w:val="7"/>
        <w:snapToGrid w:val="0"/>
        <w:spacing w:before="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405C432B">
      <w:pPr>
        <w:pStyle w:val="7"/>
        <w:snapToGrid w:val="0"/>
        <w:spacing w:before="50" w:after="50"/>
        <w:ind w:firstLine="720" w:firstLineChars="225"/>
        <w:rPr>
          <w:rFonts w:hint="eastAsia" w:ascii="宋体" w:hAnsi="宋体" w:cs="仿宋_GB2312"/>
          <w:bCs/>
          <w:color w:val="auto"/>
          <w:sz w:val="32"/>
          <w:szCs w:val="32"/>
          <w:highlight w:val="none"/>
        </w:rPr>
      </w:pPr>
    </w:p>
    <w:p w14:paraId="630FD2DB">
      <w:pPr>
        <w:pStyle w:val="7"/>
        <w:snapToGrid w:val="0"/>
        <w:spacing w:before="50" w:after="50"/>
        <w:ind w:firstLine="720" w:firstLineChars="225"/>
        <w:rPr>
          <w:rFonts w:hint="eastAsia" w:ascii="宋体" w:hAnsi="宋体" w:cs="仿宋_GB2312"/>
          <w:bCs/>
          <w:color w:val="auto"/>
          <w:sz w:val="32"/>
          <w:szCs w:val="32"/>
          <w:highlight w:val="none"/>
        </w:rPr>
      </w:pPr>
    </w:p>
    <w:p w14:paraId="031BF3F3">
      <w:pPr>
        <w:pStyle w:val="7"/>
        <w:snapToGrid w:val="0"/>
        <w:spacing w:before="50" w:after="50"/>
        <w:ind w:firstLine="1280" w:firstLineChars="400"/>
        <w:rPr>
          <w:rFonts w:hint="eastAsia" w:ascii="宋体" w:hAnsi="宋体" w:cs="仿宋_GB2312"/>
          <w:bCs/>
          <w:color w:val="auto"/>
          <w:sz w:val="32"/>
          <w:szCs w:val="32"/>
          <w:highlight w:val="none"/>
        </w:rPr>
      </w:pPr>
    </w:p>
    <w:p w14:paraId="47017095">
      <w:pPr>
        <w:snapToGrid w:val="0"/>
        <w:spacing w:before="120" w:beforeLines="50" w:after="50"/>
        <w:jc w:val="center"/>
        <w:rPr>
          <w:rFonts w:hint="eastAsia"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3B26B309">
      <w:pPr>
        <w:snapToGrid w:val="0"/>
        <w:spacing w:before="120" w:beforeLines="50" w:after="50" w:line="360" w:lineRule="auto"/>
        <w:ind w:left="142" w:firstLine="643" w:firstLineChars="200"/>
        <w:jc w:val="left"/>
        <w:rPr>
          <w:rFonts w:ascii="宋体" w:hAnsi="宋体"/>
          <w:b/>
          <w:bCs/>
          <w:color w:val="auto"/>
          <w:sz w:val="32"/>
          <w:szCs w:val="32"/>
          <w:highlight w:val="none"/>
        </w:rPr>
        <w:sectPr>
          <w:pgSz w:w="11910" w:h="16840"/>
          <w:pgMar w:top="1340" w:right="1500" w:bottom="280" w:left="1680" w:header="720" w:footer="720" w:gutter="0"/>
          <w:pgBorders>
            <w:top w:val="none" w:sz="0" w:space="0"/>
            <w:left w:val="none" w:sz="0" w:space="0"/>
            <w:bottom w:val="none" w:sz="0" w:space="0"/>
            <w:right w:val="none" w:sz="0" w:space="0"/>
          </w:pgBorders>
          <w:pgNumType w:fmt="decimal"/>
          <w:cols w:space="720" w:num="1"/>
        </w:sectPr>
      </w:pPr>
    </w:p>
    <w:p w14:paraId="40DAFAB2">
      <w:pPr>
        <w:jc w:val="center"/>
        <w:rPr>
          <w:rFonts w:hint="eastAsia" w:ascii="仿宋_GB2312" w:hAnsi="仿宋" w:eastAsia="仿宋_GB2312" w:cs="仿宋_GB2312"/>
          <w:b/>
          <w:color w:val="auto"/>
          <w:kern w:val="0"/>
          <w:sz w:val="28"/>
          <w:szCs w:val="28"/>
          <w:highlight w:val="none"/>
        </w:rPr>
      </w:pPr>
      <w:r>
        <w:rPr>
          <w:rFonts w:hint="eastAsia" w:ascii="仿宋_GB2312" w:hAnsi="仿宋" w:eastAsia="仿宋_GB2312" w:cs="仿宋_GB2312"/>
          <w:b/>
          <w:color w:val="auto"/>
          <w:kern w:val="0"/>
          <w:sz w:val="28"/>
          <w:szCs w:val="28"/>
          <w:highlight w:val="none"/>
        </w:rPr>
        <w:t>商务技术文件目录</w:t>
      </w:r>
    </w:p>
    <w:p w14:paraId="48522239">
      <w:pPr>
        <w:jc w:val="center"/>
        <w:rPr>
          <w:rFonts w:hint="eastAsia" w:ascii="仿宋_GB2312" w:hAnsi="仿宋" w:eastAsia="仿宋_GB2312" w:cs="仿宋_GB2312"/>
          <w:b/>
          <w:color w:val="auto"/>
          <w:kern w:val="0"/>
          <w:sz w:val="28"/>
          <w:szCs w:val="28"/>
          <w:highlight w:val="none"/>
        </w:rPr>
      </w:pPr>
    </w:p>
    <w:p w14:paraId="371F1223">
      <w:pPr>
        <w:tabs>
          <w:tab w:val="left" w:pos="3479"/>
        </w:tabs>
        <w:spacing w:line="520" w:lineRule="exact"/>
        <w:jc w:val="left"/>
        <w:rPr>
          <w:rFonts w:hint="eastAsia" w:ascii="宋体" w:hAnsi="宋体"/>
          <w:color w:val="auto"/>
          <w:sz w:val="28"/>
          <w:szCs w:val="28"/>
          <w:highlight w:val="none"/>
        </w:rPr>
      </w:pPr>
      <w:r>
        <w:rPr>
          <w:rFonts w:hint="eastAsia" w:ascii="宋体" w:hAnsi="宋体"/>
          <w:color w:val="auto"/>
          <w:sz w:val="28"/>
          <w:szCs w:val="28"/>
          <w:highlight w:val="none"/>
        </w:rPr>
        <w:t>根据</w:t>
      </w:r>
      <w:r>
        <w:rPr>
          <w:rFonts w:hint="eastAsia" w:ascii="宋体" w:hAnsi="宋体"/>
          <w:color w:val="auto"/>
          <w:sz w:val="28"/>
          <w:szCs w:val="28"/>
          <w:highlight w:val="none"/>
          <w:lang w:val="en-US" w:eastAsia="zh-CN"/>
        </w:rPr>
        <w:t>磋商</w:t>
      </w:r>
      <w:r>
        <w:rPr>
          <w:rFonts w:hint="eastAsia" w:ascii="宋体" w:hAnsi="宋体"/>
          <w:color w:val="auto"/>
          <w:sz w:val="28"/>
          <w:szCs w:val="28"/>
          <w:highlight w:val="none"/>
        </w:rPr>
        <w:t>文件规定及供应商提供的材料自行编写目录（部分格式后附）。</w:t>
      </w:r>
    </w:p>
    <w:p w14:paraId="70B927E2">
      <w:pPr>
        <w:spacing w:line="400" w:lineRule="exact"/>
        <w:rPr>
          <w:rFonts w:hint="eastAsia" w:ascii="仿宋_GB2312" w:hAnsi="仿宋_GB2312" w:eastAsia="仿宋_GB2312" w:cs="仿宋_GB2312"/>
          <w:color w:val="auto"/>
          <w:sz w:val="32"/>
          <w:szCs w:val="32"/>
          <w:highlight w:val="none"/>
        </w:rPr>
      </w:pPr>
    </w:p>
    <w:p w14:paraId="58FE12A5">
      <w:pPr>
        <w:spacing w:line="520" w:lineRule="exact"/>
        <w:ind w:firstLine="880" w:firstLineChars="200"/>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br w:type="page"/>
      </w:r>
      <w:r>
        <w:rPr>
          <w:rFonts w:hint="eastAsia" w:ascii="仿宋" w:hAnsi="仿宋" w:eastAsia="仿宋" w:cs="仿宋_GB2312"/>
          <w:b/>
          <w:color w:val="auto"/>
          <w:sz w:val="30"/>
          <w:szCs w:val="30"/>
          <w:highlight w:val="none"/>
        </w:rPr>
        <w:t>一、无串标行为承诺函</w:t>
      </w:r>
    </w:p>
    <w:p w14:paraId="52553BE1">
      <w:pPr>
        <w:spacing w:line="520" w:lineRule="exact"/>
        <w:jc w:val="center"/>
        <w:rPr>
          <w:rFonts w:hint="eastAsia" w:ascii="方正小标宋简体" w:hAnsi="方正小标宋简体" w:eastAsia="方正小标宋简体" w:cs="方正小标宋简体"/>
          <w:color w:val="auto"/>
          <w:sz w:val="44"/>
          <w:szCs w:val="44"/>
          <w:highlight w:val="none"/>
        </w:rPr>
      </w:pPr>
    </w:p>
    <w:p w14:paraId="231920EB">
      <w:pPr>
        <w:spacing w:line="520" w:lineRule="exact"/>
        <w:jc w:val="center"/>
        <w:rPr>
          <w:rFonts w:hint="eastAsia" w:ascii="仿宋_GB2312" w:hAnsi="仿宋_GB2312" w:eastAsia="仿宋_GB2312" w:cs="仿宋_GB2312"/>
          <w:color w:val="auto"/>
          <w:sz w:val="32"/>
          <w:szCs w:val="32"/>
          <w:highlight w:val="none"/>
        </w:rPr>
      </w:pPr>
      <w:r>
        <w:rPr>
          <w:rFonts w:hint="eastAsia" w:ascii="方正小标宋简体" w:hAnsi="方正小标宋简体" w:eastAsia="方正小标宋简体" w:cs="方正小标宋简体"/>
          <w:color w:val="auto"/>
          <w:sz w:val="44"/>
          <w:szCs w:val="44"/>
          <w:highlight w:val="none"/>
        </w:rPr>
        <w:t>无串通竞标行为的承诺函</w:t>
      </w:r>
    </w:p>
    <w:p w14:paraId="795AABB0">
      <w:pPr>
        <w:spacing w:line="520" w:lineRule="exact"/>
        <w:ind w:firstLine="640" w:firstLineChars="200"/>
        <w:rPr>
          <w:rFonts w:hint="eastAsia" w:ascii="仿宋_GB2312" w:hAnsi="仿宋_GB2312" w:eastAsia="仿宋_GB2312" w:cs="仿宋_GB2312"/>
          <w:color w:val="auto"/>
          <w:sz w:val="32"/>
          <w:szCs w:val="32"/>
          <w:highlight w:val="none"/>
        </w:rPr>
      </w:pPr>
    </w:p>
    <w:p w14:paraId="27AA30A8">
      <w:pPr>
        <w:spacing w:line="360" w:lineRule="auto"/>
        <w:ind w:firstLine="482" w:firstLineChars="200"/>
        <w:contextualSpacing/>
        <w:rPr>
          <w:rFonts w:hint="eastAsia" w:ascii="宋体" w:hAnsi="宋体" w:cs="仿宋_GB2312"/>
          <w:b/>
          <w:bCs/>
          <w:color w:val="auto"/>
          <w:sz w:val="24"/>
          <w:highlight w:val="none"/>
        </w:rPr>
      </w:pPr>
      <w:r>
        <w:rPr>
          <w:rFonts w:hint="eastAsia" w:ascii="宋体" w:hAnsi="宋体" w:cs="仿宋_GB2312"/>
          <w:b/>
          <w:bCs/>
          <w:color w:val="auto"/>
          <w:sz w:val="24"/>
          <w:highlight w:val="none"/>
        </w:rPr>
        <w:t>一、我方承诺无下列相互串通竞标的情形：</w:t>
      </w:r>
    </w:p>
    <w:p w14:paraId="3FDC812A">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1.不同供应商的响应文件由同一单位或者个人编制； </w:t>
      </w:r>
    </w:p>
    <w:p w14:paraId="474977A1">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2.不同供应商委托同一单位或者个人办理竞标事宜；</w:t>
      </w:r>
    </w:p>
    <w:p w14:paraId="50F2A56D">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3.不同供应商的响应文件载明的项目管理员为同一个人；</w:t>
      </w:r>
    </w:p>
    <w:p w14:paraId="779BEBCB">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4.不</w:t>
      </w:r>
      <w:r>
        <w:rPr>
          <w:rFonts w:hint="eastAsia" w:ascii="宋体" w:hAnsi="宋体" w:cs="仿宋_GB2312"/>
          <w:color w:val="auto"/>
          <w:spacing w:val="-6"/>
          <w:sz w:val="24"/>
          <w:highlight w:val="none"/>
        </w:rPr>
        <w:t>同供应商的响应文件异常一致或者响应报价呈规律性差异；</w:t>
      </w:r>
    </w:p>
    <w:p w14:paraId="2F03529B">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5.不同供应商的响应文件相互混装；</w:t>
      </w:r>
    </w:p>
    <w:p w14:paraId="050D3504">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6.不同供应商的磋商保证金从同一单位或者个人账户转出。</w:t>
      </w:r>
    </w:p>
    <w:p w14:paraId="123A30B0">
      <w:pPr>
        <w:spacing w:line="360" w:lineRule="auto"/>
        <w:ind w:firstLine="482" w:firstLineChars="200"/>
        <w:contextualSpacing/>
        <w:rPr>
          <w:rFonts w:hint="eastAsia" w:ascii="宋体" w:hAnsi="宋体" w:cs="仿宋_GB2312"/>
          <w:b/>
          <w:bCs/>
          <w:color w:val="auto"/>
          <w:sz w:val="24"/>
          <w:highlight w:val="none"/>
        </w:rPr>
      </w:pPr>
      <w:r>
        <w:rPr>
          <w:rFonts w:hint="eastAsia" w:ascii="宋体" w:hAnsi="宋体" w:cs="仿宋_GB2312"/>
          <w:b/>
          <w:bCs/>
          <w:color w:val="auto"/>
          <w:sz w:val="24"/>
          <w:highlight w:val="none"/>
        </w:rPr>
        <w:t>二、我方承诺无下列恶意串通的情形：</w:t>
      </w:r>
    </w:p>
    <w:p w14:paraId="60EE78F8">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1.供应商直接或者间接从采购人或者采购代理机构处获得其他供应商的相关信息并修改其响应文件；</w:t>
      </w:r>
    </w:p>
    <w:p w14:paraId="3C5CEC7B">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2.供应商按照采购人或者采购代理机构的授意撤换、修改响应文件；</w:t>
      </w:r>
    </w:p>
    <w:p w14:paraId="57D2EB70">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3.供</w:t>
      </w:r>
      <w:r>
        <w:rPr>
          <w:rFonts w:hint="eastAsia" w:ascii="宋体" w:hAnsi="宋体" w:cs="仿宋_GB2312"/>
          <w:color w:val="auto"/>
          <w:spacing w:val="-6"/>
          <w:sz w:val="24"/>
          <w:highlight w:val="none"/>
        </w:rPr>
        <w:t>应商之间协商报价、技术方案等响应文件的实质性内容；</w:t>
      </w:r>
    </w:p>
    <w:p w14:paraId="443B813A">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4.属于同一集团、协会、商会等组织成员的供应商按照该组织要求协同参加政府采购活动；</w:t>
      </w:r>
    </w:p>
    <w:p w14:paraId="6A806E71">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5.供应商之间事先约定一致抬高或者压低响应报价，或者在竞争性磋商项目中事先约定轮流以高价位或者低价位成交，或者事先约定由某一特定供应商成交，然后再参加竞标；</w:t>
      </w:r>
    </w:p>
    <w:p w14:paraId="4F19E8DB">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6.供应商之间商定部分供应商放弃参加政府采购活动或者放弃成交；</w:t>
      </w:r>
    </w:p>
    <w:p w14:paraId="14DE41FC">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7.供应商与采购人或者采购代理机构之间、供应商相互之间，为</w:t>
      </w:r>
      <w:r>
        <w:rPr>
          <w:rFonts w:hint="eastAsia" w:ascii="宋体" w:hAnsi="宋体" w:cs="仿宋_GB2312"/>
          <w:color w:val="auto"/>
          <w:spacing w:val="-6"/>
          <w:sz w:val="24"/>
          <w:highlight w:val="none"/>
        </w:rPr>
        <w:t>谋求特定供应商成交或者排斥其他供应商的其他串通行为。</w:t>
      </w:r>
    </w:p>
    <w:p w14:paraId="5AFB6098">
      <w:pPr>
        <w:spacing w:line="360" w:lineRule="auto"/>
        <w:ind w:firstLine="480" w:firstLineChars="200"/>
        <w:contextualSpacing/>
        <w:rPr>
          <w:rFonts w:hint="eastAsia" w:ascii="宋体" w:hAnsi="宋体" w:cs="仿宋_GB2312"/>
          <w:color w:val="auto"/>
          <w:sz w:val="24"/>
          <w:highlight w:val="none"/>
        </w:rPr>
      </w:pPr>
    </w:p>
    <w:p w14:paraId="080D2ABE">
      <w:pPr>
        <w:spacing w:line="360" w:lineRule="auto"/>
        <w:ind w:firstLine="482" w:firstLineChars="200"/>
        <w:contextualSpacing/>
        <w:rPr>
          <w:rFonts w:hint="eastAsia" w:ascii="宋体" w:hAnsi="宋体" w:cs="仿宋_GB2312"/>
          <w:b/>
          <w:bCs/>
          <w:color w:val="auto"/>
          <w:sz w:val="24"/>
          <w:highlight w:val="none"/>
        </w:rPr>
      </w:pPr>
      <w:r>
        <w:rPr>
          <w:rFonts w:hint="eastAsia" w:ascii="宋体" w:hAnsi="宋体" w:cs="仿宋_GB2312"/>
          <w:b/>
          <w:bCs/>
          <w:color w:val="auto"/>
          <w:sz w:val="24"/>
          <w:highlight w:val="none"/>
        </w:rPr>
        <w:t>以上情形一经核查属实，我方愿意承担一切后果，并不再寻求任何旨在减轻或者免除法律责任的辩解。</w:t>
      </w:r>
    </w:p>
    <w:p w14:paraId="0C97A1D4">
      <w:pPr>
        <w:autoSpaceDE w:val="0"/>
        <w:autoSpaceDN w:val="0"/>
        <w:spacing w:line="360" w:lineRule="auto"/>
        <w:ind w:left="4335" w:leftChars="1950" w:hanging="240" w:hangingChars="1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14:paraId="1446049D">
      <w:pPr>
        <w:spacing w:line="520" w:lineRule="exact"/>
        <w:ind w:left="239" w:leftChars="114" w:firstLine="6120" w:firstLineChars="2550"/>
        <w:jc w:val="left"/>
        <w:rPr>
          <w:rFonts w:ascii="方正小标宋简体" w:hAnsi="方正小标宋简体" w:eastAsia="方正小标宋简体" w:cs="方正小标宋简体"/>
          <w:bCs/>
          <w:color w:val="auto"/>
          <w:sz w:val="44"/>
          <w:szCs w:val="44"/>
          <w:highlight w:val="none"/>
        </w:rPr>
      </w:pPr>
      <w:r>
        <w:rPr>
          <w:rFonts w:hint="eastAsia" w:ascii="仿宋_GB2312" w:hAnsi="仿宋" w:eastAsia="仿宋_GB2312" w:cs="仿宋_GB2312"/>
          <w:color w:val="auto"/>
          <w:kern w:val="0"/>
          <w:sz w:val="24"/>
          <w:highlight w:val="none"/>
          <w:lang w:val="zh-CN"/>
        </w:rPr>
        <w:t xml:space="preserve">日期：  年  月   日   </w:t>
      </w:r>
      <w:r>
        <w:rPr>
          <w:rFonts w:ascii="宋体" w:hAnsi="宋体"/>
          <w:b/>
          <w:bCs/>
          <w:color w:val="auto"/>
          <w:sz w:val="32"/>
          <w:szCs w:val="32"/>
          <w:highlight w:val="none"/>
        </w:rPr>
        <w:br w:type="page"/>
      </w:r>
      <w:r>
        <w:rPr>
          <w:rFonts w:hint="eastAsia" w:ascii="仿宋" w:hAnsi="仿宋" w:eastAsia="仿宋" w:cs="仿宋_GB2312"/>
          <w:b/>
          <w:color w:val="auto"/>
          <w:sz w:val="30"/>
          <w:szCs w:val="30"/>
          <w:highlight w:val="none"/>
        </w:rPr>
        <w:t>二、法定代表人身份证明及法定代表人有效身份证正反面复印件</w:t>
      </w:r>
    </w:p>
    <w:p w14:paraId="1D59682E">
      <w:pPr>
        <w:spacing w:line="520" w:lineRule="exact"/>
        <w:jc w:val="center"/>
        <w:rPr>
          <w:rFonts w:hint="eastAsia" w:ascii="仿宋_GB2312" w:hAnsi="仿宋_GB2312" w:eastAsia="仿宋_GB2312" w:cs="仿宋_GB2312"/>
          <w:color w:val="auto"/>
          <w:sz w:val="32"/>
          <w:szCs w:val="32"/>
          <w:highlight w:val="none"/>
        </w:rPr>
      </w:pPr>
      <w:r>
        <w:rPr>
          <w:rFonts w:hint="eastAsia" w:ascii="方正小标宋简体" w:hAnsi="方正小标宋简体" w:eastAsia="方正小标宋简体" w:cs="方正小标宋简体"/>
          <w:bCs/>
          <w:color w:val="auto"/>
          <w:sz w:val="44"/>
          <w:szCs w:val="44"/>
          <w:highlight w:val="none"/>
        </w:rPr>
        <w:t>法定代表人证明书</w:t>
      </w:r>
    </w:p>
    <w:p w14:paraId="251723B3">
      <w:pPr>
        <w:spacing w:line="360" w:lineRule="auto"/>
        <w:ind w:left="540"/>
        <w:contextualSpacing/>
        <w:rPr>
          <w:rFonts w:hint="eastAsia" w:ascii="仿宋_GB2312" w:hAnsi="仿宋_GB2312" w:eastAsia="仿宋_GB2312" w:cs="仿宋_GB2312"/>
          <w:color w:val="auto"/>
          <w:sz w:val="32"/>
          <w:szCs w:val="32"/>
          <w:highlight w:val="none"/>
        </w:rPr>
      </w:pPr>
    </w:p>
    <w:p w14:paraId="36C95E63">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供应商名称：</w:t>
      </w:r>
      <w:r>
        <w:rPr>
          <w:rFonts w:hint="eastAsia" w:ascii="宋体" w:hAnsi="宋体" w:cs="仿宋_GB2312"/>
          <w:color w:val="auto"/>
          <w:sz w:val="24"/>
          <w:highlight w:val="none"/>
          <w:u w:val="single"/>
        </w:rPr>
        <w:t xml:space="preserve">                                                        </w:t>
      </w:r>
    </w:p>
    <w:p w14:paraId="1B7FD74D">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地    址：</w:t>
      </w:r>
      <w:r>
        <w:rPr>
          <w:rFonts w:hint="eastAsia" w:ascii="宋体" w:hAnsi="宋体" w:cs="仿宋_GB2312"/>
          <w:color w:val="auto"/>
          <w:sz w:val="24"/>
          <w:highlight w:val="none"/>
          <w:u w:val="single"/>
        </w:rPr>
        <w:t xml:space="preserve">                                                        </w:t>
      </w:r>
    </w:p>
    <w:p w14:paraId="1C5641E8">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姓    名：</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性     别：</w:t>
      </w:r>
      <w:r>
        <w:rPr>
          <w:rFonts w:hint="eastAsia" w:ascii="宋体" w:hAnsi="宋体" w:cs="仿宋_GB2312"/>
          <w:color w:val="auto"/>
          <w:sz w:val="24"/>
          <w:highlight w:val="none"/>
          <w:u w:val="single"/>
        </w:rPr>
        <w:t xml:space="preserve">                </w:t>
      </w:r>
    </w:p>
    <w:p w14:paraId="473C9095">
      <w:pPr>
        <w:spacing w:line="360" w:lineRule="auto"/>
        <w:ind w:left="540"/>
        <w:contextualSpacing/>
        <w:rPr>
          <w:rFonts w:hint="eastAsia" w:ascii="宋体" w:hAnsi="宋体" w:cs="仿宋_GB2312"/>
          <w:color w:val="auto"/>
          <w:sz w:val="24"/>
          <w:highlight w:val="none"/>
          <w:u w:val="single"/>
        </w:rPr>
      </w:pPr>
      <w:r>
        <w:rPr>
          <w:rFonts w:hint="eastAsia" w:ascii="宋体" w:hAnsi="宋体" w:cs="仿宋_GB2312"/>
          <w:color w:val="auto"/>
          <w:sz w:val="24"/>
          <w:highlight w:val="none"/>
        </w:rPr>
        <w:t>年    龄：</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职     务：</w:t>
      </w:r>
      <w:r>
        <w:rPr>
          <w:rFonts w:hint="eastAsia" w:ascii="宋体" w:hAnsi="宋体" w:cs="仿宋_GB2312"/>
          <w:color w:val="auto"/>
          <w:sz w:val="24"/>
          <w:highlight w:val="none"/>
          <w:u w:val="single"/>
        </w:rPr>
        <w:t xml:space="preserve">                </w:t>
      </w:r>
    </w:p>
    <w:p w14:paraId="33E788D7">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身份证号码：</w:t>
      </w:r>
      <w:r>
        <w:rPr>
          <w:rFonts w:hint="eastAsia" w:ascii="宋体" w:hAnsi="宋体" w:cs="仿宋_GB2312"/>
          <w:color w:val="auto"/>
          <w:sz w:val="24"/>
          <w:highlight w:val="none"/>
          <w:u w:val="single"/>
        </w:rPr>
        <w:t xml:space="preserve">                                        </w:t>
      </w:r>
    </w:p>
    <w:p w14:paraId="4C4B4ECC">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系</w:t>
      </w:r>
      <w:r>
        <w:rPr>
          <w:rFonts w:hint="eastAsia" w:ascii="宋体" w:hAnsi="宋体" w:cs="仿宋_GB2312"/>
          <w:color w:val="auto"/>
          <w:sz w:val="24"/>
          <w:highlight w:val="none"/>
          <w:u w:val="single"/>
        </w:rPr>
        <w:t>（供应商名称）</w:t>
      </w:r>
      <w:r>
        <w:rPr>
          <w:rFonts w:hint="eastAsia" w:ascii="宋体" w:hAnsi="宋体" w:cs="仿宋_GB2312"/>
          <w:color w:val="auto"/>
          <w:sz w:val="24"/>
          <w:highlight w:val="none"/>
        </w:rPr>
        <w:t>的法定代表人。</w:t>
      </w:r>
    </w:p>
    <w:p w14:paraId="0008D463">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特此证明。</w:t>
      </w:r>
    </w:p>
    <w:p w14:paraId="71EAE6B9">
      <w:pPr>
        <w:spacing w:line="360" w:lineRule="auto"/>
        <w:ind w:left="540"/>
        <w:contextualSpacing/>
        <w:rPr>
          <w:rFonts w:hint="eastAsia" w:ascii="宋体" w:hAnsi="宋体" w:cs="仿宋_GB2312"/>
          <w:color w:val="auto"/>
          <w:sz w:val="24"/>
          <w:highlight w:val="none"/>
        </w:rPr>
      </w:pPr>
    </w:p>
    <w:p w14:paraId="11652A12">
      <w:pPr>
        <w:spacing w:line="360" w:lineRule="auto"/>
        <w:ind w:left="540"/>
        <w:contextualSpacing/>
        <w:rPr>
          <w:rFonts w:hint="eastAsia" w:ascii="宋体" w:hAnsi="宋体" w:cs="仿宋_GB2312"/>
          <w:color w:val="auto"/>
          <w:sz w:val="24"/>
          <w:highlight w:val="none"/>
        </w:rPr>
      </w:pPr>
    </w:p>
    <w:p w14:paraId="03D70AB6">
      <w:pPr>
        <w:spacing w:line="360" w:lineRule="auto"/>
        <w:ind w:left="540"/>
        <w:contextualSpacing/>
        <w:rPr>
          <w:rFonts w:hint="eastAsia" w:ascii="宋体" w:hAnsi="宋体" w:cs="仿宋_GB2312"/>
          <w:color w:val="auto"/>
          <w:sz w:val="24"/>
          <w:highlight w:val="none"/>
        </w:rPr>
      </w:pPr>
    </w:p>
    <w:p w14:paraId="50904E9C">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附件：法定代表人有效身份证正反面复印件</w:t>
      </w:r>
    </w:p>
    <w:p w14:paraId="34F2F355">
      <w:pPr>
        <w:spacing w:line="360" w:lineRule="auto"/>
        <w:ind w:left="540"/>
        <w:contextualSpacing/>
        <w:rPr>
          <w:rFonts w:hint="eastAsia" w:ascii="宋体" w:hAnsi="宋体" w:cs="仿宋_GB2312"/>
          <w:color w:val="auto"/>
          <w:sz w:val="24"/>
          <w:highlight w:val="none"/>
        </w:rPr>
      </w:pPr>
    </w:p>
    <w:p w14:paraId="6E92DEFB">
      <w:pPr>
        <w:autoSpaceDE w:val="0"/>
        <w:autoSpaceDN w:val="0"/>
        <w:spacing w:line="360" w:lineRule="auto"/>
        <w:ind w:left="4335" w:leftChars="1950" w:hanging="240" w:hangingChars="1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14:paraId="7E3B0543">
      <w:pPr>
        <w:spacing w:line="360" w:lineRule="auto"/>
        <w:contextualSpacing/>
        <w:jc w:val="center"/>
        <w:rPr>
          <w:rFonts w:hint="eastAsia" w:ascii="宋体" w:hAnsi="宋体" w:cs="仿宋_GB2312"/>
          <w:b/>
          <w:color w:val="auto"/>
          <w:sz w:val="24"/>
          <w:highlight w:val="none"/>
        </w:rPr>
      </w:pPr>
      <w:r>
        <w:rPr>
          <w:rFonts w:hint="eastAsia" w:ascii="仿宋_GB2312" w:hAnsi="仿宋" w:eastAsia="仿宋_GB2312" w:cs="仿宋_GB2312"/>
          <w:color w:val="auto"/>
          <w:kern w:val="0"/>
          <w:sz w:val="24"/>
          <w:highlight w:val="none"/>
          <w:lang w:val="zh-CN"/>
        </w:rPr>
        <w:t xml:space="preserve">                                                   日期：  年  月   日</w:t>
      </w:r>
    </w:p>
    <w:p w14:paraId="37FCD316">
      <w:pPr>
        <w:spacing w:line="360" w:lineRule="auto"/>
        <w:contextualSpacing/>
        <w:jc w:val="left"/>
        <w:rPr>
          <w:rFonts w:hint="eastAsia" w:ascii="宋体" w:hAnsi="宋体" w:cs="仿宋_GB2312"/>
          <w:color w:val="auto"/>
          <w:sz w:val="24"/>
          <w:highlight w:val="none"/>
        </w:rPr>
      </w:pPr>
    </w:p>
    <w:p w14:paraId="16C89841">
      <w:pPr>
        <w:spacing w:line="360" w:lineRule="auto"/>
        <w:contextualSpacing/>
        <w:jc w:val="left"/>
        <w:rPr>
          <w:rFonts w:ascii="宋体" w:hAnsi="宋体" w:cs="仿宋_GB2312"/>
          <w:color w:val="auto"/>
          <w:sz w:val="24"/>
          <w:highlight w:val="none"/>
        </w:rPr>
      </w:pPr>
      <w:r>
        <w:rPr>
          <w:rFonts w:hint="eastAsia" w:ascii="宋体" w:hAnsi="宋体" w:cs="仿宋_GB2312"/>
          <w:color w:val="auto"/>
          <w:sz w:val="24"/>
          <w:highlight w:val="none"/>
        </w:rPr>
        <w:t>注：1</w:t>
      </w:r>
      <w:r>
        <w:rPr>
          <w:rFonts w:ascii="宋体" w:hAnsi="宋体" w:cs="仿宋_GB2312"/>
          <w:color w:val="auto"/>
          <w:sz w:val="24"/>
          <w:highlight w:val="none"/>
        </w:rPr>
        <w:t>.</w:t>
      </w:r>
      <w:r>
        <w:rPr>
          <w:rFonts w:hint="eastAsia" w:ascii="宋体" w:hAnsi="宋体" w:cs="仿宋_GB2312"/>
          <w:color w:val="auto"/>
          <w:sz w:val="24"/>
          <w:highlight w:val="none"/>
        </w:rPr>
        <w:t>自然人竞标的无需提供，联合体竞标的只需牵头人出具。</w:t>
      </w:r>
    </w:p>
    <w:p w14:paraId="0ABC4A89">
      <w:pPr>
        <w:spacing w:line="360" w:lineRule="auto"/>
        <w:ind w:firstLine="480" w:firstLineChars="200"/>
        <w:contextualSpacing/>
        <w:jc w:val="left"/>
        <w:rPr>
          <w:rFonts w:ascii="宋体" w:hAnsi="宋体" w:cs="仿宋_GB2312"/>
          <w:color w:val="auto"/>
          <w:sz w:val="24"/>
          <w:highlight w:val="none"/>
        </w:rPr>
        <w:sectPr>
          <w:pgSz w:w="11910" w:h="16840"/>
          <w:pgMar w:top="1340" w:right="1500" w:bottom="280" w:left="1680" w:header="720" w:footer="720" w:gutter="0"/>
          <w:pgBorders>
            <w:top w:val="none" w:sz="0" w:space="0"/>
            <w:left w:val="none" w:sz="0" w:space="0"/>
            <w:bottom w:val="none" w:sz="0" w:space="0"/>
            <w:right w:val="none" w:sz="0" w:space="0"/>
          </w:pgBorders>
          <w:pgNumType w:fmt="decimal"/>
          <w:cols w:space="720" w:num="1"/>
        </w:sectPr>
      </w:pPr>
      <w:r>
        <w:rPr>
          <w:rFonts w:hint="eastAsia" w:ascii="宋体" w:hAnsi="宋体" w:cs="仿宋_GB2312"/>
          <w:color w:val="auto"/>
          <w:sz w:val="24"/>
          <w:highlight w:val="none"/>
        </w:rPr>
        <w:t>2</w:t>
      </w:r>
      <w:r>
        <w:rPr>
          <w:rFonts w:ascii="宋体" w:hAnsi="宋体" w:cs="仿宋_GB2312"/>
          <w:color w:val="auto"/>
          <w:sz w:val="24"/>
          <w:highlight w:val="none"/>
        </w:rPr>
        <w:t>.</w:t>
      </w:r>
      <w:r>
        <w:rPr>
          <w:rFonts w:hint="eastAsia" w:ascii="宋体" w:hAnsi="宋体" w:cs="仿宋_GB2312"/>
          <w:color w:val="auto"/>
          <w:sz w:val="24"/>
          <w:highlight w:val="none"/>
        </w:rPr>
        <w:t>供应商为其他组织或者自然人时，本磋商文件规定的法定代表人指负责人或者自然人。本磋商文件所称负责人是指参加竞标的其他组织营业执照上的负责人，本磋商文件所称自然人指参与竞标的自然人本人。</w:t>
      </w:r>
    </w:p>
    <w:tbl>
      <w:tblPr>
        <w:tblStyle w:val="30"/>
        <w:tblpPr w:leftFromText="180" w:rightFromText="180" w:vertAnchor="text" w:horzAnchor="margin" w:tblpY="1169"/>
        <w:tblW w:w="84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1"/>
      </w:tblGrid>
      <w:tr w14:paraId="01B4A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1" w:type="dxa"/>
            <w:noWrap w:val="0"/>
            <w:vAlign w:val="top"/>
          </w:tcPr>
          <w:p w14:paraId="3295316B">
            <w:pPr>
              <w:keepNext w:val="0"/>
              <w:keepLines w:val="0"/>
              <w:suppressLineNumbers w:val="0"/>
              <w:spacing w:before="0" w:beforeAutospacing="0" w:after="0" w:afterAutospacing="0" w:line="360" w:lineRule="auto"/>
              <w:ind w:left="0" w:right="0"/>
              <w:rPr>
                <w:rFonts w:hint="default" w:ascii="宋体" w:hAnsi="Times New Roman" w:cs="Times New Roman"/>
                <w:b/>
                <w:color w:val="auto"/>
                <w:sz w:val="24"/>
                <w:highlight w:val="none"/>
              </w:rPr>
            </w:pPr>
          </w:p>
          <w:p w14:paraId="410D8F51">
            <w:pPr>
              <w:keepNext w:val="0"/>
              <w:keepLines w:val="0"/>
              <w:suppressLineNumbers w:val="0"/>
              <w:spacing w:before="0" w:beforeAutospacing="0" w:after="0" w:afterAutospacing="0" w:line="360" w:lineRule="auto"/>
              <w:ind w:left="0" w:right="0"/>
              <w:rPr>
                <w:rFonts w:hint="default" w:ascii="宋体" w:hAnsi="Times New Roman" w:cs="Times New Roman"/>
                <w:b/>
                <w:color w:val="auto"/>
                <w:sz w:val="24"/>
                <w:highlight w:val="none"/>
              </w:rPr>
            </w:pPr>
            <w:r>
              <w:rPr>
                <w:rFonts w:hint="eastAsia" w:ascii="宋体" w:hAnsi="Times New Roman" w:cs="Times New Roman"/>
                <w:b/>
                <w:color w:val="auto"/>
                <w:sz w:val="24"/>
                <w:highlight w:val="none"/>
              </w:rPr>
              <w:t>法定代表身份证复印件粘帖处（正、反面）</w:t>
            </w:r>
          </w:p>
        </w:tc>
      </w:tr>
    </w:tbl>
    <w:p w14:paraId="0AC9EBD8">
      <w:pPr>
        <w:spacing w:line="360" w:lineRule="auto"/>
        <w:ind w:firstLine="482" w:firstLineChars="200"/>
        <w:contextualSpacing/>
        <w:jc w:val="left"/>
        <w:rPr>
          <w:rFonts w:hint="eastAsia" w:ascii="仿宋_GB2312" w:hAnsi="仿宋_GB2312" w:eastAsia="仿宋_GB2312" w:cs="仿宋_GB2312"/>
          <w:b/>
          <w:color w:val="auto"/>
          <w:sz w:val="32"/>
          <w:szCs w:val="32"/>
          <w:highlight w:val="none"/>
        </w:rPr>
      </w:pPr>
      <w:r>
        <w:rPr>
          <w:rFonts w:hint="eastAsia" w:hAnsi="宋体"/>
          <w:b/>
          <w:color w:val="auto"/>
          <w:sz w:val="24"/>
          <w:highlight w:val="none"/>
        </w:rPr>
        <w:t>附件：</w:t>
      </w:r>
    </w:p>
    <w:p w14:paraId="47F0C2A8">
      <w:pPr>
        <w:adjustRightInd w:val="0"/>
        <w:snapToGrid w:val="0"/>
        <w:spacing w:line="300" w:lineRule="auto"/>
        <w:jc w:val="left"/>
        <w:rPr>
          <w:rFonts w:hint="eastAsia" w:ascii="宋体" w:hAnsi="宋体"/>
          <w:b/>
          <w:color w:val="auto"/>
          <w:szCs w:val="21"/>
          <w:highlight w:val="none"/>
        </w:rPr>
      </w:pPr>
    </w:p>
    <w:p w14:paraId="22E8BD90">
      <w:pPr>
        <w:spacing w:line="520" w:lineRule="exact"/>
        <w:ind w:firstLine="880"/>
        <w:jc w:val="left"/>
        <w:rPr>
          <w:rFonts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color w:val="auto"/>
          <w:sz w:val="44"/>
          <w:szCs w:val="44"/>
          <w:highlight w:val="none"/>
        </w:rPr>
        <w:br w:type="page"/>
      </w:r>
      <w:r>
        <w:rPr>
          <w:rFonts w:hint="eastAsia" w:ascii="仿宋" w:hAnsi="仿宋" w:eastAsia="仿宋" w:cs="仿宋_GB2312"/>
          <w:b/>
          <w:color w:val="auto"/>
          <w:sz w:val="30"/>
          <w:szCs w:val="30"/>
          <w:highlight w:val="none"/>
        </w:rPr>
        <w:t>三、法定代表人授权委托书</w:t>
      </w:r>
    </w:p>
    <w:p w14:paraId="7715CCDD">
      <w:pPr>
        <w:spacing w:line="500" w:lineRule="exact"/>
        <w:jc w:val="center"/>
        <w:rPr>
          <w:rFonts w:hint="eastAsia" w:ascii="方正小标宋简体" w:hAnsi="方正小标宋简体" w:eastAsia="方正小标宋简体" w:cs="方正小标宋简体"/>
          <w:color w:val="auto"/>
          <w:sz w:val="44"/>
          <w:szCs w:val="44"/>
          <w:highlight w:val="none"/>
        </w:rPr>
      </w:pPr>
    </w:p>
    <w:p w14:paraId="574F7767">
      <w:pPr>
        <w:spacing w:line="520" w:lineRule="exact"/>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授权委托书（非联合体竞标格式）</w:t>
      </w:r>
    </w:p>
    <w:p w14:paraId="7B807174">
      <w:pPr>
        <w:spacing w:line="520" w:lineRule="exact"/>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（如有委托时）</w:t>
      </w:r>
    </w:p>
    <w:p w14:paraId="48A84C41">
      <w:pPr>
        <w:spacing w:line="520" w:lineRule="exact"/>
        <w:rPr>
          <w:rFonts w:hint="eastAsia" w:ascii="仿宋_GB2312" w:hAnsi="仿宋_GB2312" w:eastAsia="仿宋_GB2312" w:cs="仿宋_GB2312"/>
          <w:color w:val="auto"/>
          <w:sz w:val="32"/>
          <w:szCs w:val="32"/>
          <w:highlight w:val="none"/>
        </w:rPr>
      </w:pPr>
    </w:p>
    <w:p w14:paraId="1C4EB72B">
      <w:pPr>
        <w:spacing w:line="360" w:lineRule="auto"/>
        <w:rPr>
          <w:rFonts w:hint="eastAsia" w:ascii="宋体" w:hAnsi="宋体" w:cs="仿宋_GB2312"/>
          <w:color w:val="auto"/>
          <w:sz w:val="24"/>
          <w:highlight w:val="none"/>
        </w:rPr>
      </w:pPr>
      <w:r>
        <w:rPr>
          <w:rFonts w:hint="eastAsia" w:ascii="宋体" w:hAnsi="宋体" w:cs="仿宋_GB2312"/>
          <w:color w:val="auto"/>
          <w:sz w:val="24"/>
          <w:highlight w:val="none"/>
        </w:rPr>
        <w:t>致：</w:t>
      </w:r>
      <w:r>
        <w:rPr>
          <w:rFonts w:hint="eastAsia" w:ascii="宋体" w:hAnsi="宋体" w:cs="仿宋_GB2312"/>
          <w:color w:val="auto"/>
          <w:sz w:val="24"/>
          <w:highlight w:val="none"/>
          <w:u w:val="single"/>
          <w:lang w:eastAsia="zh-CN"/>
        </w:rPr>
        <w:t>隆安县政府集中采购中心</w:t>
      </w:r>
      <w:r>
        <w:rPr>
          <w:rFonts w:hint="eastAsia" w:ascii="宋体" w:hAnsi="宋体" w:cs="仿宋_GB2312"/>
          <w:color w:val="auto"/>
          <w:sz w:val="24"/>
          <w:highlight w:val="none"/>
        </w:rPr>
        <w:t>：</w:t>
      </w:r>
    </w:p>
    <w:p w14:paraId="11261699">
      <w:pPr>
        <w:spacing w:line="360" w:lineRule="auto"/>
        <w:ind w:firstLine="480" w:firstLineChars="200"/>
        <w:rPr>
          <w:rFonts w:hint="eastAsia" w:ascii="宋体" w:hAnsi="宋体" w:cs="仿宋_GB2312"/>
          <w:color w:val="auto"/>
          <w:sz w:val="24"/>
          <w:highlight w:val="none"/>
        </w:rPr>
      </w:pPr>
      <w:r>
        <w:rPr>
          <w:rFonts w:hint="eastAsia" w:ascii="宋体" w:hAnsi="宋体" w:cs="仿宋_GB2312"/>
          <w:color w:val="auto"/>
          <w:sz w:val="24"/>
          <w:highlight w:val="none"/>
        </w:rPr>
        <w:t>我</w:t>
      </w:r>
      <w:r>
        <w:rPr>
          <w:rFonts w:hint="eastAsia" w:ascii="宋体" w:hAnsi="宋体" w:cs="仿宋_GB2312"/>
          <w:color w:val="auto"/>
          <w:sz w:val="24"/>
          <w:highlight w:val="none"/>
          <w:u w:val="single"/>
        </w:rPr>
        <w:t xml:space="preserve">  （姓名）  </w:t>
      </w:r>
      <w:r>
        <w:rPr>
          <w:rFonts w:hint="eastAsia" w:ascii="宋体" w:hAnsi="宋体" w:cs="仿宋_GB2312"/>
          <w:color w:val="auto"/>
          <w:sz w:val="24"/>
          <w:highlight w:val="none"/>
        </w:rPr>
        <w:t>系</w:t>
      </w:r>
      <w:r>
        <w:rPr>
          <w:rFonts w:hint="eastAsia" w:ascii="宋体" w:hAnsi="宋体" w:cs="仿宋_GB2312"/>
          <w:color w:val="auto"/>
          <w:sz w:val="24"/>
          <w:highlight w:val="none"/>
          <w:u w:val="single"/>
        </w:rPr>
        <w:t xml:space="preserve">  （供应商名称）  </w:t>
      </w:r>
      <w:r>
        <w:rPr>
          <w:rFonts w:hint="eastAsia" w:ascii="宋体" w:hAnsi="宋体" w:cs="仿宋_GB2312"/>
          <w:color w:val="auto"/>
          <w:sz w:val="24"/>
          <w:highlight w:val="none"/>
        </w:rPr>
        <w:t>的（</w:t>
      </w:r>
      <w:r>
        <w:rPr>
          <w:rFonts w:hint="eastAsia" w:ascii="宋体" w:hAnsi="宋体" w:cs="仿宋_GB2312"/>
          <w:color w:val="auto"/>
          <w:sz w:val="24"/>
          <w:highlight w:val="none"/>
          <w:u w:val="single"/>
        </w:rPr>
        <w:t>□法定代表人/□负责人/□自然人本人</w:t>
      </w:r>
      <w:r>
        <w:rPr>
          <w:rFonts w:hint="eastAsia" w:ascii="宋体" w:hAnsi="宋体" w:cs="仿宋_GB2312"/>
          <w:color w:val="auto"/>
          <w:sz w:val="24"/>
          <w:highlight w:val="none"/>
        </w:rPr>
        <w:t>），现授权</w:t>
      </w:r>
      <w:r>
        <w:rPr>
          <w:rFonts w:hint="eastAsia" w:ascii="宋体" w:hAnsi="宋体" w:cs="仿宋_GB2312"/>
          <w:color w:val="auto"/>
          <w:sz w:val="24"/>
          <w:highlight w:val="none"/>
          <w:u w:val="single"/>
        </w:rPr>
        <w:t xml:space="preserve"> （姓名） </w:t>
      </w:r>
      <w:r>
        <w:rPr>
          <w:rFonts w:hint="eastAsia" w:ascii="宋体" w:hAnsi="宋体" w:cs="仿宋_GB2312"/>
          <w:color w:val="auto"/>
          <w:sz w:val="24"/>
          <w:highlight w:val="none"/>
        </w:rPr>
        <w:t>以我方的名义参加</w:t>
      </w:r>
      <w:r>
        <w:rPr>
          <w:rFonts w:hint="eastAsia" w:ascii="宋体" w:hAnsi="宋体" w:cs="仿宋_GB2312"/>
          <w:color w:val="auto"/>
          <w:sz w:val="24"/>
          <w:highlight w:val="none"/>
          <w:u w:val="single"/>
          <w:lang w:eastAsia="zh-CN"/>
        </w:rPr>
        <w:t>隆安县电子政务外网一期线路租用及设备升级服务项目</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项目的竞标活动，并代表我方全权办理针对上述项目的所有采购程序和环节的具体事务和签署相关文件。</w:t>
      </w:r>
    </w:p>
    <w:p w14:paraId="7129B245">
      <w:pPr>
        <w:spacing w:line="360" w:lineRule="auto"/>
        <w:rPr>
          <w:rFonts w:hint="eastAsia" w:ascii="宋体" w:hAnsi="宋体" w:cs="仿宋_GB2312"/>
          <w:color w:val="auto"/>
          <w:sz w:val="24"/>
          <w:highlight w:val="none"/>
        </w:rPr>
      </w:pPr>
      <w:r>
        <w:rPr>
          <w:rFonts w:hint="eastAsia" w:ascii="宋体" w:hAnsi="宋体" w:cs="仿宋_GB2312"/>
          <w:color w:val="auto"/>
          <w:sz w:val="24"/>
          <w:highlight w:val="none"/>
        </w:rPr>
        <w:t xml:space="preserve">    我方对委托代理人的签字事项负全部责任。</w:t>
      </w:r>
    </w:p>
    <w:p w14:paraId="483A56B3">
      <w:pPr>
        <w:spacing w:line="360" w:lineRule="auto"/>
        <w:ind w:firstLine="480" w:firstLineChars="200"/>
        <w:rPr>
          <w:rFonts w:hint="eastAsia" w:ascii="宋体" w:hAnsi="宋体" w:cs="仿宋_GB2312"/>
          <w:color w:val="auto"/>
          <w:sz w:val="24"/>
          <w:highlight w:val="none"/>
        </w:rPr>
      </w:pPr>
      <w:r>
        <w:rPr>
          <w:rFonts w:hint="eastAsia" w:ascii="宋体" w:hAnsi="宋体" w:cs="仿宋_GB2312"/>
          <w:color w:val="auto"/>
          <w:sz w:val="24"/>
          <w:highlight w:val="none"/>
        </w:rPr>
        <w:t>本授权书自签署之日起生效，在撤销授权的书面通知以前，本授权书一直有效。委托代理人在授权书有效期内签署的所有文件不因授权的撤销而失效。</w:t>
      </w:r>
    </w:p>
    <w:p w14:paraId="7ED2438F">
      <w:pPr>
        <w:spacing w:line="360" w:lineRule="auto"/>
        <w:ind w:firstLine="480" w:firstLineChars="200"/>
        <w:rPr>
          <w:rFonts w:hint="eastAsia" w:ascii="宋体" w:hAnsi="宋体" w:cs="仿宋_GB2312"/>
          <w:color w:val="auto"/>
          <w:sz w:val="24"/>
          <w:highlight w:val="none"/>
        </w:rPr>
      </w:pPr>
      <w:r>
        <w:rPr>
          <w:rFonts w:hint="eastAsia" w:ascii="宋体" w:hAnsi="宋体" w:cs="仿宋_GB2312"/>
          <w:color w:val="auto"/>
          <w:sz w:val="24"/>
          <w:highlight w:val="none"/>
        </w:rPr>
        <w:t>委托代理人无转委托权，特此委托。</w:t>
      </w:r>
    </w:p>
    <w:p w14:paraId="18659035">
      <w:pPr>
        <w:spacing w:line="360" w:lineRule="auto"/>
        <w:ind w:firstLine="480" w:firstLineChars="200"/>
        <w:rPr>
          <w:rFonts w:hint="eastAsia" w:ascii="宋体" w:hAnsi="宋体" w:cs="仿宋_GB2312"/>
          <w:color w:val="auto"/>
          <w:sz w:val="24"/>
          <w:highlight w:val="none"/>
        </w:rPr>
      </w:pPr>
      <w:r>
        <w:rPr>
          <w:rFonts w:hint="eastAsia" w:ascii="宋体" w:hAnsi="宋体" w:cs="仿宋_GB2312"/>
          <w:color w:val="auto"/>
          <w:sz w:val="24"/>
          <w:highlight w:val="none"/>
        </w:rPr>
        <w:t>附：法定代表人身份证明书及委托代理人有效身份证正反面复印件</w:t>
      </w:r>
    </w:p>
    <w:p w14:paraId="4298CC3C">
      <w:pPr>
        <w:spacing w:line="360" w:lineRule="auto"/>
        <w:rPr>
          <w:rFonts w:hint="eastAsia" w:ascii="宋体" w:hAnsi="宋体" w:cs="仿宋_GB2312"/>
          <w:color w:val="auto"/>
          <w:sz w:val="24"/>
          <w:highlight w:val="none"/>
        </w:rPr>
      </w:pPr>
    </w:p>
    <w:p w14:paraId="48C3C84D">
      <w:pPr>
        <w:spacing w:line="360" w:lineRule="auto"/>
        <w:rPr>
          <w:rFonts w:hint="eastAsia" w:ascii="宋体" w:hAnsi="宋体" w:cs="仿宋_GB2312"/>
          <w:color w:val="auto"/>
          <w:sz w:val="24"/>
          <w:highlight w:val="none"/>
        </w:rPr>
      </w:pPr>
      <w:r>
        <w:rPr>
          <w:rFonts w:hint="eastAsia" w:ascii="宋体" w:hAnsi="宋体" w:cs="仿宋_GB2312"/>
          <w:color w:val="auto"/>
          <w:sz w:val="24"/>
          <w:highlight w:val="none"/>
        </w:rPr>
        <w:t xml:space="preserve">委托代理人（签字）：         法定代表人（签字或盖章）：                    </w:t>
      </w:r>
    </w:p>
    <w:p w14:paraId="0F4BD644">
      <w:pPr>
        <w:spacing w:line="360" w:lineRule="auto"/>
        <w:rPr>
          <w:rFonts w:hint="eastAsia" w:ascii="宋体" w:hAnsi="宋体" w:cs="仿宋_GB2312"/>
          <w:color w:val="auto"/>
          <w:sz w:val="24"/>
          <w:highlight w:val="none"/>
        </w:rPr>
      </w:pPr>
      <w:r>
        <w:rPr>
          <w:rFonts w:hint="eastAsia" w:ascii="宋体" w:hAnsi="宋体" w:cs="仿宋_GB2312"/>
          <w:color w:val="auto"/>
          <w:sz w:val="24"/>
          <w:highlight w:val="none"/>
        </w:rPr>
        <w:t xml:space="preserve">委托代理人身份证号码：                              </w:t>
      </w:r>
    </w:p>
    <w:p w14:paraId="6E57C6D8">
      <w:pPr>
        <w:spacing w:line="360" w:lineRule="auto"/>
        <w:rPr>
          <w:rFonts w:hint="eastAsia" w:ascii="宋体" w:hAnsi="宋体" w:cs="仿宋_GB2312"/>
          <w:color w:val="auto"/>
          <w:sz w:val="24"/>
          <w:highlight w:val="none"/>
        </w:rPr>
      </w:pPr>
      <w:r>
        <w:rPr>
          <w:rFonts w:hint="eastAsia" w:ascii="宋体" w:hAnsi="宋体" w:cs="仿宋_GB2312"/>
          <w:color w:val="auto"/>
          <w:sz w:val="24"/>
          <w:highlight w:val="none"/>
        </w:rPr>
        <w:t xml:space="preserve">                                </w:t>
      </w:r>
    </w:p>
    <w:p w14:paraId="142878C2">
      <w:pPr>
        <w:spacing w:line="360" w:lineRule="auto"/>
        <w:rPr>
          <w:rFonts w:ascii="宋体" w:hAnsi="宋体" w:cs="仿宋_GB2312"/>
          <w:color w:val="auto"/>
          <w:sz w:val="24"/>
          <w:highlight w:val="none"/>
        </w:rPr>
      </w:pPr>
      <w:r>
        <w:rPr>
          <w:rFonts w:hint="eastAsia" w:ascii="宋体" w:hAnsi="宋体" w:cs="仿宋_GB2312"/>
          <w:color w:val="auto"/>
          <w:sz w:val="24"/>
          <w:highlight w:val="none"/>
        </w:rPr>
        <w:t xml:space="preserve">                         </w:t>
      </w:r>
      <w:r>
        <w:rPr>
          <w:rFonts w:hint="eastAsia" w:ascii="仿宋_GB2312" w:hAnsi="仿宋" w:eastAsia="仿宋_GB2312" w:cs="仿宋_GB2312"/>
          <w:color w:val="auto"/>
          <w:kern w:val="0"/>
          <w:sz w:val="24"/>
          <w:highlight w:val="none"/>
        </w:rPr>
        <w:t>供应商名称（电子签章）：</w:t>
      </w:r>
    </w:p>
    <w:p w14:paraId="411E9347">
      <w:pPr>
        <w:spacing w:line="360" w:lineRule="auto"/>
        <w:contextualSpacing/>
        <w:jc w:val="center"/>
        <w:rPr>
          <w:rFonts w:hint="eastAsia" w:ascii="宋体" w:hAnsi="宋体" w:cs="仿宋_GB2312"/>
          <w:b/>
          <w:color w:val="auto"/>
          <w:sz w:val="24"/>
          <w:highlight w:val="none"/>
        </w:rPr>
      </w:pPr>
      <w:r>
        <w:rPr>
          <w:rFonts w:hint="eastAsia" w:ascii="仿宋_GB2312" w:hAnsi="仿宋" w:eastAsia="仿宋_GB2312" w:cs="仿宋_GB2312"/>
          <w:color w:val="auto"/>
          <w:kern w:val="0"/>
          <w:sz w:val="24"/>
          <w:highlight w:val="none"/>
          <w:lang w:val="zh-CN"/>
        </w:rPr>
        <w:t xml:space="preserve">                                                   日期：  年  月   日</w:t>
      </w:r>
    </w:p>
    <w:p w14:paraId="6B75CB0E">
      <w:pPr>
        <w:spacing w:line="360" w:lineRule="auto"/>
        <w:rPr>
          <w:rFonts w:hint="eastAsia" w:ascii="宋体" w:hAnsi="宋体" w:cs="仿宋_GB2312"/>
          <w:color w:val="auto"/>
          <w:sz w:val="24"/>
          <w:highlight w:val="none"/>
        </w:rPr>
      </w:pPr>
    </w:p>
    <w:p w14:paraId="3B539E8B">
      <w:pPr>
        <w:spacing w:line="360" w:lineRule="auto"/>
        <w:rPr>
          <w:rFonts w:ascii="宋体" w:hAnsi="宋体" w:cs="仿宋_GB2312"/>
          <w:color w:val="auto"/>
          <w:sz w:val="24"/>
          <w:highlight w:val="none"/>
        </w:rPr>
      </w:pPr>
      <w:r>
        <w:rPr>
          <w:rFonts w:hint="eastAsia" w:ascii="宋体" w:hAnsi="宋体" w:cs="仿宋_GB2312"/>
          <w:color w:val="auto"/>
          <w:sz w:val="24"/>
          <w:highlight w:val="none"/>
        </w:rPr>
        <w:t>注：1. 法定代表人必须在授权委托书上亲笔签字或盖章，委托代理人必须在授权委托书上亲笔签字，</w:t>
      </w:r>
      <w:r>
        <w:rPr>
          <w:rFonts w:hint="eastAsia" w:ascii="宋体" w:hAnsi="宋体" w:cs="仿宋_GB2312"/>
          <w:b/>
          <w:color w:val="auto"/>
          <w:sz w:val="24"/>
          <w:highlight w:val="none"/>
        </w:rPr>
        <w:t>否则其响应文件按无效响应处理。</w:t>
      </w:r>
    </w:p>
    <w:p w14:paraId="32C367A1">
      <w:pPr>
        <w:spacing w:line="360" w:lineRule="auto"/>
        <w:ind w:firstLine="480" w:firstLineChars="200"/>
        <w:jc w:val="left"/>
        <w:rPr>
          <w:rFonts w:ascii="宋体" w:hAnsi="宋体" w:cs="仿宋_GB2312"/>
          <w:color w:val="auto"/>
          <w:sz w:val="24"/>
          <w:highlight w:val="none"/>
        </w:rPr>
      </w:pPr>
      <w:r>
        <w:rPr>
          <w:rFonts w:ascii="宋体" w:hAnsi="宋体" w:cs="仿宋_GB2312"/>
          <w:color w:val="auto"/>
          <w:sz w:val="24"/>
          <w:highlight w:val="none"/>
        </w:rPr>
        <w:t>2.</w:t>
      </w:r>
      <w:r>
        <w:rPr>
          <w:rFonts w:hint="eastAsia" w:ascii="宋体" w:hAnsi="宋体" w:cs="仿宋_GB2312"/>
          <w:color w:val="auto"/>
          <w:sz w:val="24"/>
          <w:highlight w:val="none"/>
        </w:rPr>
        <w:t>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4FF251E5">
      <w:pPr>
        <w:spacing w:line="360" w:lineRule="auto"/>
        <w:ind w:firstLine="480" w:firstLineChars="200"/>
        <w:jc w:val="left"/>
        <w:rPr>
          <w:rFonts w:hint="eastAsia" w:ascii="仿宋_GB2312" w:hAnsi="仿宋_GB2312" w:eastAsia="仿宋_GB2312" w:cs="仿宋_GB2312"/>
          <w:color w:val="auto"/>
          <w:szCs w:val="21"/>
          <w:highlight w:val="none"/>
        </w:rPr>
      </w:pPr>
      <w:r>
        <w:rPr>
          <w:rFonts w:hint="eastAsia" w:ascii="宋体" w:hAnsi="宋体" w:cs="仿宋_GB2312"/>
          <w:color w:val="auto"/>
          <w:sz w:val="24"/>
          <w:highlight w:val="none"/>
        </w:rPr>
        <w:t>3</w:t>
      </w:r>
      <w:r>
        <w:rPr>
          <w:rFonts w:ascii="宋体" w:hAnsi="宋体" w:cs="仿宋_GB2312"/>
          <w:color w:val="auto"/>
          <w:sz w:val="24"/>
          <w:highlight w:val="none"/>
        </w:rPr>
        <w:t>.</w:t>
      </w:r>
      <w:r>
        <w:rPr>
          <w:rFonts w:hint="eastAsia" w:ascii="宋体" w:hAnsi="宋体" w:cs="仿宋_GB2312"/>
          <w:color w:val="auto"/>
          <w:sz w:val="24"/>
          <w:highlight w:val="none"/>
        </w:rPr>
        <w:t xml:space="preserve"> 法人、其他组织竞标时“我方”是指“我单位”，自然人竞标时“我方”是指“本人”。</w:t>
      </w:r>
    </w:p>
    <w:p w14:paraId="3323723B">
      <w:pPr>
        <w:spacing w:line="500" w:lineRule="exact"/>
        <w:jc w:val="center"/>
        <w:rPr>
          <w:rFonts w:hint="eastAsia" w:ascii="方正小标宋简体" w:hAnsi="方正小标宋简体" w:eastAsia="方正小标宋简体" w:cs="方正小标宋简体"/>
          <w:color w:val="auto"/>
          <w:sz w:val="44"/>
          <w:szCs w:val="44"/>
          <w:highlight w:val="none"/>
        </w:rPr>
      </w:pPr>
      <w:r>
        <w:rPr>
          <w:rFonts w:ascii="仿宋_GB2312" w:hAnsi="仿宋_GB2312" w:eastAsia="仿宋_GB2312" w:cs="仿宋_GB2312"/>
          <w:color w:val="auto"/>
          <w:szCs w:val="21"/>
          <w:highlight w:val="none"/>
        </w:rPr>
        <w:br w:type="page"/>
      </w:r>
      <w:r>
        <w:rPr>
          <w:rFonts w:hint="eastAsia" w:ascii="方正小标宋简体" w:hAnsi="方正小标宋简体" w:eastAsia="方正小标宋简体" w:cs="方正小标宋简体"/>
          <w:color w:val="auto"/>
          <w:sz w:val="44"/>
          <w:szCs w:val="44"/>
          <w:highlight w:val="none"/>
        </w:rPr>
        <w:t>授权委托书（联合体竞标格式）</w:t>
      </w:r>
    </w:p>
    <w:p w14:paraId="6A6BECF6">
      <w:pPr>
        <w:spacing w:line="500" w:lineRule="exact"/>
        <w:jc w:val="center"/>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（如有委托时）</w:t>
      </w:r>
    </w:p>
    <w:p w14:paraId="7A96DDEA">
      <w:pPr>
        <w:spacing w:line="500" w:lineRule="exact"/>
        <w:jc w:val="center"/>
        <w:rPr>
          <w:rFonts w:ascii="方正小标宋简体" w:hAnsi="方正小标宋简体" w:eastAsia="方正小标宋简体" w:cs="方正小标宋简体"/>
          <w:color w:val="auto"/>
          <w:sz w:val="44"/>
          <w:szCs w:val="44"/>
          <w:highlight w:val="none"/>
        </w:rPr>
      </w:pPr>
    </w:p>
    <w:p w14:paraId="3FAF7ECE">
      <w:pPr>
        <w:spacing w:line="500" w:lineRule="exact"/>
        <w:jc w:val="center"/>
        <w:rPr>
          <w:rFonts w:hint="eastAsia" w:ascii="仿宋_GB2312" w:hAnsi="仿宋_GB2312" w:eastAsia="仿宋_GB2312" w:cs="仿宋_GB2312"/>
          <w:color w:val="auto"/>
          <w:sz w:val="32"/>
          <w:szCs w:val="32"/>
          <w:highlight w:val="none"/>
        </w:rPr>
      </w:pPr>
    </w:p>
    <w:p w14:paraId="72BBC764">
      <w:pPr>
        <w:spacing w:line="360" w:lineRule="auto"/>
        <w:ind w:firstLine="480" w:firstLineChars="200"/>
        <w:jc w:val="left"/>
        <w:rPr>
          <w:rFonts w:hint="eastAsia" w:ascii="宋体" w:hAnsi="宋体" w:cs="仿宋_GB2312"/>
          <w:color w:val="auto"/>
          <w:sz w:val="24"/>
          <w:highlight w:val="none"/>
        </w:rPr>
      </w:pPr>
      <w:r>
        <w:rPr>
          <w:rFonts w:hint="eastAsia" w:ascii="宋体" w:hAnsi="宋体" w:cs="仿宋_GB2312"/>
          <w:color w:val="auto"/>
          <w:sz w:val="24"/>
          <w:highlight w:val="none"/>
        </w:rPr>
        <w:t>本授权委托书声明：根据</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（牵头人名称）与</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（联合体其他成员名称）签订的《联合体竞标协议书》的内容，</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（牵头人名称）的法定代表人</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（姓名）现授权</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（姓名）为联合委托代理人，并代表我方全权办理针对上述项目的所有采购程序和环节的具体事务和签署相关文件。</w:t>
      </w:r>
    </w:p>
    <w:p w14:paraId="590448A4">
      <w:pPr>
        <w:spacing w:line="360" w:lineRule="auto"/>
        <w:ind w:firstLine="480" w:firstLineChars="200"/>
        <w:rPr>
          <w:rFonts w:hint="eastAsia" w:ascii="宋体" w:hAnsi="宋体" w:cs="仿宋_GB2312"/>
          <w:color w:val="auto"/>
          <w:sz w:val="24"/>
          <w:highlight w:val="none"/>
        </w:rPr>
      </w:pPr>
      <w:r>
        <w:rPr>
          <w:rFonts w:hint="eastAsia" w:ascii="宋体" w:hAnsi="宋体" w:cs="仿宋_GB2312"/>
          <w:color w:val="auto"/>
          <w:sz w:val="24"/>
          <w:highlight w:val="none"/>
        </w:rPr>
        <w:t>我方对委托代理人的签字事项负全部责任。</w:t>
      </w:r>
    </w:p>
    <w:p w14:paraId="40EF50C6">
      <w:pPr>
        <w:spacing w:line="360" w:lineRule="auto"/>
        <w:ind w:firstLine="480" w:firstLineChars="200"/>
        <w:rPr>
          <w:rFonts w:hint="eastAsia" w:ascii="宋体" w:hAnsi="宋体" w:cs="仿宋_GB2312"/>
          <w:color w:val="auto"/>
          <w:sz w:val="24"/>
          <w:highlight w:val="none"/>
        </w:rPr>
      </w:pPr>
      <w:r>
        <w:rPr>
          <w:rFonts w:hint="eastAsia" w:ascii="宋体" w:hAnsi="宋体" w:cs="仿宋_GB2312"/>
          <w:color w:val="auto"/>
          <w:sz w:val="24"/>
          <w:highlight w:val="none"/>
        </w:rPr>
        <w:t>本授权书自签署之日起生效，在撤销授权的书面通知以前，本授权书一直有效。委托代理人在授权书有效期内签署的所有文件不因授权的撤销而失效。</w:t>
      </w:r>
    </w:p>
    <w:p w14:paraId="6C0E9FC9">
      <w:pPr>
        <w:spacing w:line="360" w:lineRule="auto"/>
        <w:ind w:firstLine="480" w:firstLineChars="200"/>
        <w:rPr>
          <w:rFonts w:hint="eastAsia" w:ascii="宋体" w:hAnsi="宋体" w:cs="仿宋_GB2312"/>
          <w:color w:val="auto"/>
          <w:sz w:val="24"/>
          <w:highlight w:val="none"/>
        </w:rPr>
      </w:pPr>
      <w:r>
        <w:rPr>
          <w:rFonts w:hint="eastAsia" w:ascii="宋体" w:hAnsi="宋体" w:cs="仿宋_GB2312"/>
          <w:color w:val="auto"/>
          <w:sz w:val="24"/>
          <w:highlight w:val="none"/>
        </w:rPr>
        <w:t>委托代理人无转委托权，特此委托。</w:t>
      </w:r>
    </w:p>
    <w:p w14:paraId="3F2AECE7">
      <w:pPr>
        <w:spacing w:line="360" w:lineRule="auto"/>
        <w:rPr>
          <w:rFonts w:hint="eastAsia" w:ascii="宋体" w:hAnsi="宋体" w:cs="仿宋_GB2312"/>
          <w:color w:val="auto"/>
          <w:sz w:val="24"/>
          <w:highlight w:val="none"/>
        </w:rPr>
      </w:pPr>
      <w:r>
        <w:rPr>
          <w:rFonts w:hint="eastAsia" w:ascii="宋体" w:hAnsi="宋体" w:cs="仿宋_GB2312"/>
          <w:color w:val="auto"/>
          <w:sz w:val="24"/>
          <w:highlight w:val="none"/>
        </w:rPr>
        <w:t xml:space="preserve">    </w:t>
      </w:r>
    </w:p>
    <w:p w14:paraId="6785001F">
      <w:pPr>
        <w:spacing w:line="360" w:lineRule="auto"/>
        <w:ind w:firstLine="1560" w:firstLineChars="650"/>
        <w:rPr>
          <w:rFonts w:hint="eastAsia" w:ascii="宋体" w:hAnsi="宋体" w:cs="仿宋_GB2312"/>
          <w:color w:val="auto"/>
          <w:sz w:val="24"/>
          <w:highlight w:val="none"/>
        </w:rPr>
      </w:pPr>
      <w:r>
        <w:rPr>
          <w:rFonts w:hint="eastAsia" w:ascii="宋体" w:hAnsi="宋体" w:cs="仿宋_GB2312"/>
          <w:color w:val="auto"/>
          <w:sz w:val="24"/>
          <w:highlight w:val="none"/>
        </w:rPr>
        <w:t>牵头人法定代表人（签字或盖章）：</w:t>
      </w:r>
    </w:p>
    <w:p w14:paraId="01BCB99F">
      <w:pPr>
        <w:spacing w:line="360" w:lineRule="auto"/>
        <w:ind w:firstLine="3120" w:firstLineChars="1300"/>
        <w:rPr>
          <w:rFonts w:hint="eastAsia" w:ascii="宋体" w:hAnsi="宋体" w:cs="仿宋_GB2312"/>
          <w:color w:val="auto"/>
          <w:sz w:val="24"/>
          <w:highlight w:val="none"/>
        </w:rPr>
      </w:pPr>
      <w:r>
        <w:rPr>
          <w:rFonts w:hint="eastAsia" w:ascii="宋体" w:hAnsi="宋体" w:cs="仿宋_GB2312"/>
          <w:color w:val="auto"/>
          <w:sz w:val="24"/>
          <w:highlight w:val="none"/>
        </w:rPr>
        <w:t>牵头人（电子签章）：</w:t>
      </w:r>
    </w:p>
    <w:p w14:paraId="134E773E">
      <w:pPr>
        <w:spacing w:line="360" w:lineRule="auto"/>
        <w:ind w:firstLine="3840" w:firstLineChars="1600"/>
        <w:rPr>
          <w:rFonts w:hint="eastAsia" w:ascii="宋体" w:hAnsi="宋体" w:cs="仿宋_GB2312"/>
          <w:color w:val="auto"/>
          <w:sz w:val="24"/>
          <w:highlight w:val="none"/>
        </w:rPr>
      </w:pPr>
      <w:r>
        <w:rPr>
          <w:rFonts w:hint="eastAsia" w:ascii="宋体" w:hAnsi="宋体" w:cs="仿宋_GB2312"/>
          <w:color w:val="auto"/>
          <w:sz w:val="24"/>
          <w:highlight w:val="none"/>
        </w:rPr>
        <w:t>日期：    年   月   日</w:t>
      </w:r>
    </w:p>
    <w:p w14:paraId="317B947D">
      <w:pPr>
        <w:spacing w:line="360" w:lineRule="auto"/>
        <w:rPr>
          <w:rFonts w:hint="eastAsia" w:ascii="宋体" w:hAnsi="宋体" w:cs="仿宋_GB2312"/>
          <w:color w:val="auto"/>
          <w:sz w:val="24"/>
          <w:highlight w:val="none"/>
        </w:rPr>
      </w:pPr>
    </w:p>
    <w:p w14:paraId="568A9D0D">
      <w:pPr>
        <w:spacing w:line="360" w:lineRule="auto"/>
        <w:ind w:firstLine="3120" w:firstLineChars="1300"/>
        <w:rPr>
          <w:rFonts w:hint="eastAsia" w:ascii="宋体" w:hAnsi="宋体" w:cs="仿宋_GB2312"/>
          <w:color w:val="auto"/>
          <w:sz w:val="24"/>
          <w:highlight w:val="none"/>
        </w:rPr>
      </w:pPr>
      <w:r>
        <w:rPr>
          <w:rFonts w:hint="eastAsia" w:ascii="宋体" w:hAnsi="宋体" w:cs="仿宋_GB2312"/>
          <w:color w:val="auto"/>
          <w:sz w:val="24"/>
          <w:highlight w:val="none"/>
        </w:rPr>
        <w:t>被授权人（签字）：</w:t>
      </w:r>
    </w:p>
    <w:p w14:paraId="0F1B825A">
      <w:pPr>
        <w:spacing w:line="360" w:lineRule="auto"/>
        <w:ind w:firstLine="3840" w:firstLineChars="1600"/>
        <w:rPr>
          <w:rFonts w:hint="eastAsia" w:ascii="宋体" w:hAnsi="宋体" w:cs="仿宋_GB2312"/>
          <w:color w:val="auto"/>
          <w:sz w:val="24"/>
          <w:highlight w:val="none"/>
        </w:rPr>
      </w:pPr>
      <w:r>
        <w:rPr>
          <w:rFonts w:hint="eastAsia" w:ascii="宋体" w:hAnsi="宋体" w:cs="仿宋_GB2312"/>
          <w:color w:val="auto"/>
          <w:sz w:val="24"/>
          <w:highlight w:val="none"/>
        </w:rPr>
        <w:t>日期：    年   月   日</w:t>
      </w:r>
    </w:p>
    <w:p w14:paraId="01657089">
      <w:pPr>
        <w:spacing w:line="360" w:lineRule="auto"/>
        <w:rPr>
          <w:rFonts w:hint="eastAsia" w:ascii="宋体" w:hAnsi="宋体" w:cs="仿宋_GB2312"/>
          <w:color w:val="auto"/>
          <w:sz w:val="24"/>
          <w:highlight w:val="none"/>
        </w:rPr>
      </w:pPr>
    </w:p>
    <w:p w14:paraId="70F850B9">
      <w:pPr>
        <w:spacing w:line="360" w:lineRule="auto"/>
        <w:rPr>
          <w:rFonts w:hint="eastAsia" w:ascii="宋体" w:hAnsi="宋体" w:cs="仿宋_GB2312"/>
          <w:color w:val="auto"/>
          <w:sz w:val="24"/>
          <w:highlight w:val="none"/>
        </w:rPr>
      </w:pPr>
      <w:r>
        <w:rPr>
          <w:rFonts w:hint="eastAsia" w:ascii="宋体" w:hAnsi="宋体" w:cs="仿宋_GB2312"/>
          <w:color w:val="auto"/>
          <w:sz w:val="24"/>
          <w:highlight w:val="none"/>
        </w:rPr>
        <w:t>注：1. 法定代表人必须在授权委托书上亲笔签字或盖章，委托代理人必须在授权委托书上亲笔签字，</w:t>
      </w:r>
      <w:r>
        <w:rPr>
          <w:rFonts w:hint="eastAsia" w:ascii="宋体" w:hAnsi="宋体" w:cs="仿宋_GB2312"/>
          <w:b/>
          <w:color w:val="auto"/>
          <w:sz w:val="24"/>
          <w:highlight w:val="none"/>
        </w:rPr>
        <w:t>否则其响应文件按无效响应处理。</w:t>
      </w:r>
    </w:p>
    <w:p w14:paraId="5F210781">
      <w:pPr>
        <w:spacing w:line="360" w:lineRule="auto"/>
        <w:ind w:firstLine="480" w:firstLineChars="200"/>
        <w:jc w:val="left"/>
        <w:rPr>
          <w:rFonts w:ascii="宋体" w:hAnsi="宋体" w:cs="仿宋_GB2312"/>
          <w:color w:val="auto"/>
          <w:sz w:val="24"/>
          <w:highlight w:val="none"/>
        </w:rPr>
      </w:pPr>
      <w:r>
        <w:rPr>
          <w:rFonts w:hint="eastAsia" w:ascii="宋体" w:hAnsi="宋体" w:cs="仿宋_GB2312"/>
          <w:color w:val="auto"/>
          <w:sz w:val="24"/>
          <w:highlight w:val="none"/>
        </w:rPr>
        <w:t>2.本授权委托书应由联合体牵头人的法定代表人按上述规定签署。</w:t>
      </w:r>
    </w:p>
    <w:p w14:paraId="00C56683">
      <w:pPr>
        <w:spacing w:line="360" w:lineRule="auto"/>
        <w:ind w:firstLine="480" w:firstLineChars="200"/>
        <w:jc w:val="left"/>
        <w:rPr>
          <w:rFonts w:ascii="宋体" w:hAnsi="宋体" w:cs="仿宋_GB2312"/>
          <w:color w:val="auto"/>
          <w:sz w:val="24"/>
          <w:highlight w:val="none"/>
        </w:rPr>
      </w:pPr>
      <w:r>
        <w:rPr>
          <w:rFonts w:hint="eastAsia" w:ascii="宋体" w:hAnsi="宋体" w:cs="仿宋_GB2312"/>
          <w:color w:val="auto"/>
          <w:sz w:val="24"/>
          <w:highlight w:val="none"/>
        </w:rPr>
        <w:t>3</w:t>
      </w:r>
      <w:r>
        <w:rPr>
          <w:rFonts w:ascii="宋体" w:hAnsi="宋体" w:cs="仿宋_GB2312"/>
          <w:color w:val="auto"/>
          <w:sz w:val="24"/>
          <w:highlight w:val="none"/>
        </w:rPr>
        <w:t>.</w:t>
      </w:r>
      <w:r>
        <w:rPr>
          <w:rFonts w:hint="eastAsia" w:ascii="宋体" w:hAnsi="宋体" w:cs="仿宋_GB2312"/>
          <w:color w:val="auto"/>
          <w:sz w:val="24"/>
          <w:highlight w:val="none"/>
        </w:rPr>
        <w:t>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23C038CA">
      <w:pPr>
        <w:spacing w:line="360" w:lineRule="auto"/>
        <w:ind w:firstLine="480" w:firstLineChars="200"/>
        <w:jc w:val="left"/>
        <w:rPr>
          <w:rFonts w:hint="eastAsia" w:ascii="宋体" w:hAnsi="宋体" w:cs="仿宋_GB2312"/>
          <w:color w:val="auto"/>
          <w:sz w:val="24"/>
          <w:highlight w:val="none"/>
        </w:rPr>
      </w:pPr>
      <w:r>
        <w:rPr>
          <w:rFonts w:hint="eastAsia" w:ascii="宋体" w:hAnsi="宋体" w:cs="仿宋_GB2312"/>
          <w:color w:val="auto"/>
          <w:sz w:val="24"/>
          <w:highlight w:val="none"/>
        </w:rPr>
        <w:t>4</w:t>
      </w:r>
      <w:r>
        <w:rPr>
          <w:rFonts w:ascii="宋体" w:hAnsi="宋体" w:cs="仿宋_GB2312"/>
          <w:color w:val="auto"/>
          <w:sz w:val="24"/>
          <w:highlight w:val="none"/>
        </w:rPr>
        <w:t>.</w:t>
      </w:r>
      <w:r>
        <w:rPr>
          <w:rFonts w:hint="eastAsia" w:ascii="宋体" w:hAnsi="宋体" w:cs="仿宋_GB2312"/>
          <w:color w:val="auto"/>
          <w:sz w:val="24"/>
          <w:highlight w:val="none"/>
        </w:rPr>
        <w:t>法人、其他组织竞标时“我方”是指“我单位”，自然人竞标时“我方”是指“本人”。</w:t>
      </w:r>
    </w:p>
    <w:p w14:paraId="1B75C775">
      <w:pPr>
        <w:spacing w:line="360" w:lineRule="auto"/>
        <w:ind w:firstLine="420" w:firstLineChars="200"/>
        <w:jc w:val="left"/>
        <w:rPr>
          <w:rFonts w:hint="eastAsia" w:ascii="仿宋_GB2312" w:hAnsi="仿宋_GB2312" w:eastAsia="仿宋_GB2312" w:cs="仿宋_GB2312"/>
          <w:color w:val="auto"/>
          <w:szCs w:val="21"/>
          <w:highlight w:val="none"/>
        </w:rPr>
      </w:pPr>
    </w:p>
    <w:p w14:paraId="5B21F428">
      <w:pPr>
        <w:spacing w:line="520" w:lineRule="exact"/>
        <w:ind w:firstLine="640" w:firstLineChars="200"/>
        <w:jc w:val="left"/>
        <w:rPr>
          <w:rFonts w:hint="eastAsia" w:ascii="仿宋" w:hAnsi="仿宋" w:eastAsia="仿宋" w:cs="仿宋_GB2312"/>
          <w:b/>
          <w:color w:val="auto"/>
          <w:sz w:val="30"/>
          <w:szCs w:val="30"/>
          <w:highlight w:val="none"/>
        </w:rPr>
      </w:pPr>
      <w:r>
        <w:rPr>
          <w:rFonts w:hint="eastAsia" w:ascii="仿宋_GB2312" w:hAnsi="仿宋_GB2312" w:eastAsia="仿宋_GB2312" w:cs="仿宋_GB2312"/>
          <w:color w:val="auto"/>
          <w:sz w:val="32"/>
          <w:szCs w:val="32"/>
          <w:highlight w:val="none"/>
        </w:rPr>
        <w:br w:type="page"/>
      </w:r>
      <w:r>
        <w:rPr>
          <w:rFonts w:hint="eastAsia" w:ascii="仿宋" w:hAnsi="仿宋" w:eastAsia="仿宋" w:cs="仿宋_GB2312"/>
          <w:b/>
          <w:color w:val="auto"/>
          <w:sz w:val="30"/>
          <w:szCs w:val="30"/>
          <w:highlight w:val="none"/>
        </w:rPr>
        <w:t>四、商务条款偏离表</w:t>
      </w:r>
    </w:p>
    <w:p w14:paraId="1717FD97">
      <w:pPr>
        <w:spacing w:line="500" w:lineRule="exact"/>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商务条款偏离表</w:t>
      </w:r>
    </w:p>
    <w:p w14:paraId="14168A28">
      <w:pPr>
        <w:spacing w:line="520" w:lineRule="exact"/>
        <w:rPr>
          <w:rFonts w:hint="eastAsia" w:ascii="仿宋_GB2312" w:hAnsi="仿宋_GB2312" w:eastAsia="仿宋_GB2312" w:cs="仿宋_GB2312"/>
          <w:color w:val="auto"/>
          <w:sz w:val="32"/>
          <w:szCs w:val="32"/>
          <w:highlight w:val="none"/>
        </w:rPr>
      </w:pPr>
    </w:p>
    <w:p w14:paraId="5224882F">
      <w:pPr>
        <w:spacing w:line="360" w:lineRule="auto"/>
        <w:contextualSpacing/>
        <w:rPr>
          <w:rFonts w:hint="eastAsia" w:ascii="宋体" w:hAnsi="宋体" w:eastAsia="宋体" w:cs="仿宋_GB2312"/>
          <w:color w:val="auto"/>
          <w:sz w:val="24"/>
          <w:highlight w:val="none"/>
          <w:u w:val="single"/>
          <w:lang w:eastAsia="zh-CN"/>
        </w:rPr>
      </w:pPr>
      <w:r>
        <w:rPr>
          <w:rFonts w:hint="eastAsia" w:ascii="宋体" w:hAnsi="宋体" w:cs="仿宋_GB2312"/>
          <w:color w:val="auto"/>
          <w:sz w:val="24"/>
          <w:highlight w:val="none"/>
        </w:rPr>
        <w:t>采购</w:t>
      </w:r>
      <w:r>
        <w:rPr>
          <w:rFonts w:hint="eastAsia" w:ascii="宋体" w:hAnsi="宋体" w:cs="仿宋_GB2312"/>
          <w:color w:val="auto"/>
          <w:sz w:val="24"/>
          <w:highlight w:val="none"/>
          <w:lang w:eastAsia="zh-CN"/>
        </w:rPr>
        <w:t>项目编号：NNZC2026-C3-230061-NNSL</w:t>
      </w:r>
    </w:p>
    <w:p w14:paraId="514FF08F">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采购项目名称：</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u w:val="single"/>
          <w:lang w:eastAsia="zh-CN"/>
        </w:rPr>
        <w:t>隆安县电子政务外网一期线路租用及设备升级服务项目</w:t>
      </w:r>
      <w:r>
        <w:rPr>
          <w:rFonts w:hint="eastAsia" w:ascii="宋体" w:hAnsi="宋体" w:cs="仿宋_GB2312"/>
          <w:color w:val="auto"/>
          <w:sz w:val="24"/>
          <w:highlight w:val="none"/>
          <w:u w:val="single"/>
        </w:rPr>
        <w:t xml:space="preserve"> </w:t>
      </w:r>
    </w:p>
    <w:p w14:paraId="07856ED3">
      <w:pPr>
        <w:spacing w:line="360" w:lineRule="auto"/>
        <w:contextualSpacing/>
        <w:rPr>
          <w:rFonts w:hint="eastAsia" w:ascii="宋体" w:hAnsi="宋体" w:cs="仿宋_GB2312"/>
          <w:color w:val="auto"/>
          <w:sz w:val="24"/>
          <w:highlight w:val="none"/>
          <w:u w:val="single"/>
        </w:rPr>
      </w:pPr>
      <w:r>
        <w:rPr>
          <w:rFonts w:hint="eastAsia" w:ascii="宋体" w:hAnsi="宋体" w:cs="仿宋_GB2312"/>
          <w:color w:val="auto"/>
          <w:sz w:val="24"/>
          <w:highlight w:val="none"/>
        </w:rPr>
        <w:t>分标号</w:t>
      </w:r>
      <w:r>
        <w:rPr>
          <w:rFonts w:hint="eastAsia" w:ascii="宋体" w:hAnsi="宋体"/>
          <w:color w:val="auto"/>
          <w:szCs w:val="21"/>
          <w:highlight w:val="none"/>
        </w:rPr>
        <w:t>（此处有分标时填写具体分标号，无分标时填写“无”）</w:t>
      </w:r>
      <w:r>
        <w:rPr>
          <w:rFonts w:hint="eastAsia" w:ascii="宋体" w:hAnsi="宋体" w:cs="仿宋_GB2312"/>
          <w:color w:val="auto"/>
          <w:sz w:val="24"/>
          <w:highlight w:val="none"/>
        </w:rPr>
        <w:t>：</w:t>
      </w:r>
      <w:r>
        <w:rPr>
          <w:rFonts w:hint="eastAsia" w:ascii="宋体" w:hAnsi="宋体" w:cs="仿宋_GB2312"/>
          <w:color w:val="auto"/>
          <w:sz w:val="24"/>
          <w:highlight w:val="none"/>
          <w:u w:val="single"/>
        </w:rPr>
        <w:t xml:space="preserve">                       </w:t>
      </w:r>
    </w:p>
    <w:tbl>
      <w:tblPr>
        <w:tblStyle w:val="30"/>
        <w:tblpPr w:leftFromText="180" w:rightFromText="180" w:vertAnchor="text" w:horzAnchor="margin" w:tblpXSpec="center" w:tblpY="94"/>
        <w:tblW w:w="9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3"/>
        <w:gridCol w:w="4054"/>
        <w:gridCol w:w="3589"/>
        <w:gridCol w:w="1274"/>
      </w:tblGrid>
      <w:tr w14:paraId="10159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563" w:type="dxa"/>
            <w:tcBorders>
              <w:top w:val="single" w:color="auto" w:sz="4" w:space="0"/>
              <w:left w:val="single" w:color="auto" w:sz="4" w:space="0"/>
              <w:bottom w:val="single" w:color="auto" w:sz="4" w:space="0"/>
              <w:right w:val="single" w:color="auto" w:sz="4" w:space="0"/>
            </w:tcBorders>
            <w:noWrap w:val="0"/>
            <w:vAlign w:val="center"/>
          </w:tcPr>
          <w:p w14:paraId="3B4C9CE0">
            <w:pPr>
              <w:keepNext w:val="0"/>
              <w:keepLines w:val="0"/>
              <w:suppressLineNumbers w:val="0"/>
              <w:spacing w:before="0" w:beforeAutospacing="0" w:after="0" w:afterAutospacing="0" w:line="340" w:lineRule="exact"/>
              <w:ind w:left="0" w:right="0"/>
              <w:jc w:val="center"/>
              <w:rPr>
                <w:rFonts w:hint="default" w:ascii="宋体" w:hAnsi="宋体" w:cs="Times New Roman"/>
                <w:color w:val="auto"/>
                <w:szCs w:val="21"/>
                <w:highlight w:val="none"/>
              </w:rPr>
            </w:pPr>
            <w:r>
              <w:rPr>
                <w:rFonts w:hint="eastAsia" w:ascii="宋体" w:hAnsi="宋体" w:cs="Times New Roman"/>
                <w:color w:val="auto"/>
                <w:szCs w:val="21"/>
                <w:highlight w:val="none"/>
              </w:rPr>
              <w:t>项号</w:t>
            </w:r>
          </w:p>
        </w:tc>
        <w:tc>
          <w:tcPr>
            <w:tcW w:w="4054" w:type="dxa"/>
            <w:tcBorders>
              <w:top w:val="single" w:color="auto" w:sz="4" w:space="0"/>
              <w:left w:val="single" w:color="auto" w:sz="4" w:space="0"/>
              <w:bottom w:val="single" w:color="auto" w:sz="4" w:space="0"/>
              <w:right w:val="single" w:color="auto" w:sz="4" w:space="0"/>
            </w:tcBorders>
            <w:noWrap w:val="0"/>
            <w:vAlign w:val="center"/>
          </w:tcPr>
          <w:p w14:paraId="6B1DEE02">
            <w:pPr>
              <w:keepNext w:val="0"/>
              <w:keepLines w:val="0"/>
              <w:suppressLineNumbers w:val="0"/>
              <w:spacing w:before="0" w:beforeAutospacing="0" w:after="0" w:afterAutospacing="0" w:line="340" w:lineRule="exact"/>
              <w:ind w:left="0" w:right="0"/>
              <w:jc w:val="center"/>
              <w:rPr>
                <w:rFonts w:hint="default" w:ascii="宋体" w:hAnsi="宋体" w:cs="Times New Roman"/>
                <w:color w:val="auto"/>
                <w:szCs w:val="21"/>
                <w:highlight w:val="none"/>
              </w:rPr>
            </w:pPr>
            <w:r>
              <w:rPr>
                <w:rFonts w:hint="eastAsia" w:ascii="宋体" w:hAnsi="宋体" w:cs="Times New Roman"/>
                <w:color w:val="auto"/>
                <w:szCs w:val="21"/>
                <w:highlight w:val="none"/>
              </w:rPr>
              <w:t>竞争性磋商采购文件的商务需求</w:t>
            </w:r>
          </w:p>
        </w:tc>
        <w:tc>
          <w:tcPr>
            <w:tcW w:w="3589" w:type="dxa"/>
            <w:tcBorders>
              <w:top w:val="single" w:color="auto" w:sz="4" w:space="0"/>
              <w:left w:val="single" w:color="auto" w:sz="4" w:space="0"/>
              <w:bottom w:val="single" w:color="auto" w:sz="4" w:space="0"/>
              <w:right w:val="single" w:color="auto" w:sz="4" w:space="0"/>
            </w:tcBorders>
            <w:noWrap w:val="0"/>
            <w:vAlign w:val="center"/>
          </w:tcPr>
          <w:p w14:paraId="66D1874F">
            <w:pPr>
              <w:keepNext w:val="0"/>
              <w:keepLines w:val="0"/>
              <w:suppressLineNumbers w:val="0"/>
              <w:spacing w:before="0" w:beforeAutospacing="0" w:after="0" w:afterAutospacing="0" w:line="340" w:lineRule="exact"/>
              <w:ind w:left="0" w:right="0"/>
              <w:jc w:val="center"/>
              <w:rPr>
                <w:rFonts w:hint="default" w:ascii="宋体" w:hAnsi="宋体" w:cs="Times New Roman"/>
                <w:color w:val="auto"/>
                <w:szCs w:val="21"/>
                <w:highlight w:val="none"/>
              </w:rPr>
            </w:pPr>
            <w:r>
              <w:rPr>
                <w:rFonts w:hint="eastAsia" w:ascii="宋体" w:hAnsi="宋体" w:cs="Times New Roman"/>
                <w:color w:val="auto"/>
                <w:szCs w:val="21"/>
                <w:highlight w:val="none"/>
              </w:rPr>
              <w:t>响应文件承诺的商务条款</w:t>
            </w:r>
          </w:p>
        </w:tc>
        <w:tc>
          <w:tcPr>
            <w:tcW w:w="1274" w:type="dxa"/>
            <w:tcBorders>
              <w:top w:val="single" w:color="auto" w:sz="4" w:space="0"/>
              <w:left w:val="single" w:color="auto" w:sz="4" w:space="0"/>
              <w:bottom w:val="single" w:color="auto" w:sz="4" w:space="0"/>
              <w:right w:val="single" w:color="auto" w:sz="4" w:space="0"/>
            </w:tcBorders>
            <w:noWrap w:val="0"/>
            <w:vAlign w:val="center"/>
          </w:tcPr>
          <w:p w14:paraId="25FD4AE3">
            <w:pPr>
              <w:keepNext w:val="0"/>
              <w:keepLines w:val="0"/>
              <w:suppressLineNumbers w:val="0"/>
              <w:spacing w:before="0" w:beforeAutospacing="0" w:after="0" w:afterAutospacing="0" w:line="340" w:lineRule="exact"/>
              <w:ind w:left="0" w:right="0"/>
              <w:jc w:val="center"/>
              <w:rPr>
                <w:rFonts w:hint="default" w:ascii="宋体" w:hAnsi="宋体" w:cs="Times New Roman"/>
                <w:color w:val="auto"/>
                <w:szCs w:val="21"/>
                <w:highlight w:val="none"/>
              </w:rPr>
            </w:pPr>
            <w:r>
              <w:rPr>
                <w:rFonts w:hint="eastAsia" w:ascii="宋体" w:hAnsi="宋体" w:cs="Times New Roman"/>
                <w:color w:val="auto"/>
                <w:szCs w:val="21"/>
                <w:highlight w:val="none"/>
              </w:rPr>
              <w:t>偏离说明</w:t>
            </w:r>
          </w:p>
        </w:tc>
      </w:tr>
      <w:tr w14:paraId="05D22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563" w:type="dxa"/>
            <w:tcBorders>
              <w:top w:val="single" w:color="auto" w:sz="4" w:space="0"/>
              <w:left w:val="single" w:color="auto" w:sz="4" w:space="0"/>
              <w:bottom w:val="single" w:color="auto" w:sz="4" w:space="0"/>
              <w:right w:val="single" w:color="auto" w:sz="4" w:space="0"/>
            </w:tcBorders>
            <w:noWrap w:val="0"/>
            <w:vAlign w:val="top"/>
          </w:tcPr>
          <w:p w14:paraId="26B2528D">
            <w:pPr>
              <w:keepNext w:val="0"/>
              <w:keepLines w:val="0"/>
              <w:suppressLineNumbers w:val="0"/>
              <w:spacing w:before="0" w:beforeAutospacing="0" w:after="0" w:afterAutospacing="0" w:line="340" w:lineRule="exact"/>
              <w:ind w:left="0" w:right="0"/>
              <w:rPr>
                <w:rFonts w:hint="default" w:ascii="宋体" w:hAnsi="宋体" w:cs="Times New Roman"/>
                <w:color w:val="auto"/>
                <w:szCs w:val="21"/>
                <w:highlight w:val="none"/>
              </w:rPr>
            </w:pPr>
            <w:r>
              <w:rPr>
                <w:rFonts w:hint="eastAsia" w:ascii="宋体" w:hAnsi="宋体" w:cs="Times New Roman"/>
                <w:color w:val="auto"/>
                <w:szCs w:val="21"/>
                <w:highlight w:val="none"/>
              </w:rPr>
              <w:t>一</w:t>
            </w:r>
          </w:p>
        </w:tc>
        <w:tc>
          <w:tcPr>
            <w:tcW w:w="4054" w:type="dxa"/>
            <w:tcBorders>
              <w:top w:val="single" w:color="auto" w:sz="4" w:space="0"/>
              <w:left w:val="single" w:color="auto" w:sz="4" w:space="0"/>
              <w:bottom w:val="single" w:color="auto" w:sz="4" w:space="0"/>
              <w:right w:val="single" w:color="auto" w:sz="4" w:space="0"/>
            </w:tcBorders>
            <w:noWrap w:val="0"/>
            <w:vAlign w:val="top"/>
          </w:tcPr>
          <w:p w14:paraId="7186AFAC">
            <w:pPr>
              <w:keepNext w:val="0"/>
              <w:keepLines w:val="0"/>
              <w:suppressLineNumbers w:val="0"/>
              <w:spacing w:before="0" w:beforeAutospacing="0" w:after="0" w:afterAutospacing="0" w:line="340" w:lineRule="exact"/>
              <w:ind w:left="0" w:right="0"/>
              <w:rPr>
                <w:rFonts w:hint="default" w:ascii="宋体" w:hAnsi="宋体" w:cs="Times New Roman"/>
                <w:color w:val="auto"/>
                <w:szCs w:val="21"/>
                <w:highlight w:val="none"/>
              </w:rPr>
            </w:pPr>
            <w:r>
              <w:rPr>
                <w:rFonts w:hint="eastAsia" w:ascii="宋体" w:hAnsi="宋体" w:cs="Times New Roman"/>
                <w:color w:val="auto"/>
                <w:szCs w:val="21"/>
                <w:highlight w:val="none"/>
              </w:rPr>
              <w:t>1  ……</w:t>
            </w:r>
          </w:p>
          <w:p w14:paraId="7E179575">
            <w:pPr>
              <w:keepNext w:val="0"/>
              <w:keepLines w:val="0"/>
              <w:suppressLineNumbers w:val="0"/>
              <w:spacing w:before="0" w:beforeAutospacing="0" w:after="0" w:afterAutospacing="0" w:line="340" w:lineRule="exact"/>
              <w:ind w:left="0" w:right="0"/>
              <w:rPr>
                <w:rFonts w:hint="default" w:ascii="宋体" w:hAnsi="宋体" w:cs="Times New Roman"/>
                <w:color w:val="auto"/>
                <w:szCs w:val="21"/>
                <w:highlight w:val="none"/>
              </w:rPr>
            </w:pPr>
            <w:r>
              <w:rPr>
                <w:rFonts w:hint="eastAsia" w:ascii="宋体" w:hAnsi="宋体" w:cs="Times New Roman"/>
                <w:color w:val="auto"/>
                <w:szCs w:val="21"/>
                <w:highlight w:val="none"/>
              </w:rPr>
              <w:t>2  ……</w:t>
            </w:r>
          </w:p>
          <w:p w14:paraId="31A5313A">
            <w:pPr>
              <w:keepNext w:val="0"/>
              <w:keepLines w:val="0"/>
              <w:suppressLineNumbers w:val="0"/>
              <w:spacing w:before="0" w:beforeAutospacing="0" w:after="0" w:afterAutospacing="0" w:line="340" w:lineRule="exact"/>
              <w:ind w:left="0" w:right="0"/>
              <w:rPr>
                <w:rFonts w:hint="default" w:ascii="宋体" w:hAnsi="宋体" w:cs="Times New Roman"/>
                <w:color w:val="auto"/>
                <w:szCs w:val="21"/>
                <w:highlight w:val="none"/>
              </w:rPr>
            </w:pPr>
            <w:r>
              <w:rPr>
                <w:rFonts w:hint="eastAsia" w:ascii="宋体" w:hAnsi="宋体" w:cs="Times New Roman"/>
                <w:color w:val="auto"/>
                <w:szCs w:val="21"/>
                <w:highlight w:val="none"/>
              </w:rPr>
              <w:t>3  ……</w:t>
            </w:r>
          </w:p>
          <w:p w14:paraId="5FF0DAA3">
            <w:pPr>
              <w:keepNext w:val="0"/>
              <w:keepLines w:val="0"/>
              <w:suppressLineNumbers w:val="0"/>
              <w:spacing w:before="0" w:beforeAutospacing="0" w:after="0" w:afterAutospacing="0" w:line="340" w:lineRule="exact"/>
              <w:ind w:left="0" w:right="0"/>
              <w:rPr>
                <w:rFonts w:hint="default" w:ascii="宋体" w:hAnsi="宋体" w:cs="Times New Roman"/>
                <w:color w:val="auto"/>
                <w:szCs w:val="21"/>
                <w:highlight w:val="none"/>
              </w:rPr>
            </w:pPr>
            <w:r>
              <w:rPr>
                <w:rFonts w:hint="eastAsia" w:ascii="宋体" w:hAnsi="宋体" w:cs="Times New Roman"/>
                <w:color w:val="auto"/>
                <w:szCs w:val="21"/>
                <w:highlight w:val="none"/>
              </w:rPr>
              <w:t>……</w:t>
            </w:r>
          </w:p>
        </w:tc>
        <w:tc>
          <w:tcPr>
            <w:tcW w:w="3589" w:type="dxa"/>
            <w:tcBorders>
              <w:top w:val="single" w:color="auto" w:sz="4" w:space="0"/>
              <w:left w:val="single" w:color="auto" w:sz="4" w:space="0"/>
              <w:bottom w:val="single" w:color="auto" w:sz="4" w:space="0"/>
              <w:right w:val="single" w:color="auto" w:sz="4" w:space="0"/>
            </w:tcBorders>
            <w:noWrap w:val="0"/>
            <w:vAlign w:val="top"/>
          </w:tcPr>
          <w:p w14:paraId="50BA41DE">
            <w:pPr>
              <w:keepNext w:val="0"/>
              <w:keepLines w:val="0"/>
              <w:suppressLineNumbers w:val="0"/>
              <w:spacing w:before="0" w:beforeAutospacing="0" w:after="0" w:afterAutospacing="0" w:line="340" w:lineRule="exact"/>
              <w:ind w:left="0" w:right="0"/>
              <w:rPr>
                <w:rFonts w:hint="default" w:ascii="宋体" w:hAnsi="宋体" w:cs="Times New Roman"/>
                <w:color w:val="auto"/>
                <w:szCs w:val="21"/>
                <w:highlight w:val="none"/>
              </w:rPr>
            </w:pPr>
            <w:r>
              <w:rPr>
                <w:rFonts w:hint="eastAsia" w:ascii="宋体" w:hAnsi="宋体" w:cs="Times New Roman"/>
                <w:color w:val="auto"/>
                <w:szCs w:val="21"/>
                <w:highlight w:val="none"/>
              </w:rPr>
              <w:t>1  ……</w:t>
            </w:r>
          </w:p>
          <w:p w14:paraId="59FC37C1">
            <w:pPr>
              <w:keepNext w:val="0"/>
              <w:keepLines w:val="0"/>
              <w:suppressLineNumbers w:val="0"/>
              <w:spacing w:before="0" w:beforeAutospacing="0" w:after="0" w:afterAutospacing="0" w:line="340" w:lineRule="exact"/>
              <w:ind w:left="0" w:right="0"/>
              <w:rPr>
                <w:rFonts w:hint="default" w:ascii="宋体" w:hAnsi="宋体" w:cs="Times New Roman"/>
                <w:color w:val="auto"/>
                <w:szCs w:val="21"/>
                <w:highlight w:val="none"/>
              </w:rPr>
            </w:pPr>
            <w:r>
              <w:rPr>
                <w:rFonts w:hint="eastAsia" w:ascii="宋体" w:hAnsi="宋体" w:cs="Times New Roman"/>
                <w:color w:val="auto"/>
                <w:szCs w:val="21"/>
                <w:highlight w:val="none"/>
              </w:rPr>
              <w:t>2  ……</w:t>
            </w:r>
          </w:p>
          <w:p w14:paraId="03B58B61">
            <w:pPr>
              <w:keepNext w:val="0"/>
              <w:keepLines w:val="0"/>
              <w:suppressLineNumbers w:val="0"/>
              <w:spacing w:before="0" w:beforeAutospacing="0" w:after="0" w:afterAutospacing="0" w:line="340" w:lineRule="exact"/>
              <w:ind w:left="0" w:right="0"/>
              <w:rPr>
                <w:rFonts w:hint="default" w:ascii="宋体" w:hAnsi="宋体" w:cs="Times New Roman"/>
                <w:color w:val="auto"/>
                <w:szCs w:val="21"/>
                <w:highlight w:val="none"/>
              </w:rPr>
            </w:pPr>
            <w:r>
              <w:rPr>
                <w:rFonts w:hint="eastAsia" w:ascii="宋体" w:hAnsi="宋体" w:cs="Times New Roman"/>
                <w:color w:val="auto"/>
                <w:szCs w:val="21"/>
                <w:highlight w:val="none"/>
              </w:rPr>
              <w:t>3  ……</w:t>
            </w:r>
          </w:p>
          <w:p w14:paraId="269351F2">
            <w:pPr>
              <w:keepNext w:val="0"/>
              <w:keepLines w:val="0"/>
              <w:suppressLineNumbers w:val="0"/>
              <w:spacing w:before="0" w:beforeAutospacing="0" w:after="0" w:afterAutospacing="0" w:line="340" w:lineRule="exact"/>
              <w:ind w:left="0" w:right="0"/>
              <w:rPr>
                <w:rFonts w:hint="default" w:ascii="宋体" w:hAnsi="宋体" w:cs="Times New Roman"/>
                <w:color w:val="auto"/>
                <w:szCs w:val="21"/>
                <w:highlight w:val="none"/>
              </w:rPr>
            </w:pPr>
            <w:r>
              <w:rPr>
                <w:rFonts w:hint="eastAsia" w:ascii="宋体" w:hAnsi="宋体" w:cs="Times New Roman"/>
                <w:color w:val="auto"/>
                <w:szCs w:val="21"/>
                <w:highlight w:val="none"/>
              </w:rPr>
              <w:t>……</w:t>
            </w:r>
          </w:p>
        </w:tc>
        <w:tc>
          <w:tcPr>
            <w:tcW w:w="1274" w:type="dxa"/>
            <w:tcBorders>
              <w:top w:val="single" w:color="auto" w:sz="4" w:space="0"/>
              <w:left w:val="single" w:color="auto" w:sz="4" w:space="0"/>
              <w:bottom w:val="single" w:color="auto" w:sz="4" w:space="0"/>
              <w:right w:val="single" w:color="auto" w:sz="4" w:space="0"/>
            </w:tcBorders>
            <w:noWrap w:val="0"/>
            <w:vAlign w:val="top"/>
          </w:tcPr>
          <w:p w14:paraId="17818789">
            <w:pPr>
              <w:keepNext w:val="0"/>
              <w:keepLines w:val="0"/>
              <w:suppressLineNumbers w:val="0"/>
              <w:spacing w:before="0" w:beforeAutospacing="0" w:after="0" w:afterAutospacing="0" w:line="300" w:lineRule="exact"/>
              <w:ind w:left="0" w:right="0"/>
              <w:rPr>
                <w:rFonts w:hint="default" w:ascii="宋体" w:hAnsi="宋体" w:cs="Times New Roman"/>
                <w:color w:val="auto"/>
                <w:szCs w:val="21"/>
                <w:highlight w:val="none"/>
              </w:rPr>
            </w:pPr>
          </w:p>
        </w:tc>
      </w:tr>
      <w:tr w14:paraId="092DF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563" w:type="dxa"/>
            <w:tcBorders>
              <w:top w:val="single" w:color="auto" w:sz="4" w:space="0"/>
              <w:left w:val="single" w:color="auto" w:sz="4" w:space="0"/>
              <w:bottom w:val="single" w:color="auto" w:sz="4" w:space="0"/>
              <w:right w:val="single" w:color="auto" w:sz="4" w:space="0"/>
            </w:tcBorders>
            <w:noWrap w:val="0"/>
            <w:vAlign w:val="top"/>
          </w:tcPr>
          <w:p w14:paraId="55FFCA19">
            <w:pPr>
              <w:keepNext w:val="0"/>
              <w:keepLines w:val="0"/>
              <w:suppressLineNumbers w:val="0"/>
              <w:spacing w:before="0" w:beforeAutospacing="0" w:after="0" w:afterAutospacing="0" w:line="340" w:lineRule="exact"/>
              <w:ind w:left="0" w:right="0"/>
              <w:rPr>
                <w:rFonts w:hint="default" w:ascii="宋体" w:hAnsi="宋体" w:cs="Times New Roman"/>
                <w:color w:val="auto"/>
                <w:szCs w:val="21"/>
                <w:highlight w:val="none"/>
              </w:rPr>
            </w:pPr>
            <w:r>
              <w:rPr>
                <w:rFonts w:hint="eastAsia" w:ascii="宋体" w:hAnsi="宋体" w:cs="Times New Roman"/>
                <w:color w:val="auto"/>
                <w:szCs w:val="21"/>
                <w:highlight w:val="none"/>
              </w:rPr>
              <w:t>二</w:t>
            </w:r>
          </w:p>
        </w:tc>
        <w:tc>
          <w:tcPr>
            <w:tcW w:w="4054" w:type="dxa"/>
            <w:tcBorders>
              <w:top w:val="single" w:color="auto" w:sz="4" w:space="0"/>
              <w:left w:val="single" w:color="auto" w:sz="4" w:space="0"/>
              <w:bottom w:val="single" w:color="auto" w:sz="4" w:space="0"/>
              <w:right w:val="single" w:color="auto" w:sz="4" w:space="0"/>
            </w:tcBorders>
            <w:noWrap w:val="0"/>
            <w:vAlign w:val="top"/>
          </w:tcPr>
          <w:p w14:paraId="0CB79FE1">
            <w:pPr>
              <w:keepNext w:val="0"/>
              <w:keepLines w:val="0"/>
              <w:suppressLineNumbers w:val="0"/>
              <w:spacing w:before="0" w:beforeAutospacing="0" w:after="0" w:afterAutospacing="0" w:line="340" w:lineRule="exact"/>
              <w:ind w:left="0" w:right="0"/>
              <w:rPr>
                <w:rFonts w:hint="default" w:ascii="宋体" w:hAnsi="宋体" w:cs="Times New Roman"/>
                <w:color w:val="auto"/>
                <w:szCs w:val="21"/>
                <w:highlight w:val="none"/>
              </w:rPr>
            </w:pPr>
            <w:r>
              <w:rPr>
                <w:rFonts w:hint="eastAsia" w:ascii="宋体" w:hAnsi="宋体" w:cs="Times New Roman"/>
                <w:color w:val="auto"/>
                <w:szCs w:val="21"/>
                <w:highlight w:val="none"/>
              </w:rPr>
              <w:t>1  ……</w:t>
            </w:r>
          </w:p>
          <w:p w14:paraId="1E740BC8">
            <w:pPr>
              <w:keepNext w:val="0"/>
              <w:keepLines w:val="0"/>
              <w:suppressLineNumbers w:val="0"/>
              <w:spacing w:before="0" w:beforeAutospacing="0" w:after="0" w:afterAutospacing="0" w:line="340" w:lineRule="exact"/>
              <w:ind w:left="0" w:right="0"/>
              <w:rPr>
                <w:rFonts w:hint="default" w:ascii="宋体" w:hAnsi="宋体" w:cs="Times New Roman"/>
                <w:color w:val="auto"/>
                <w:szCs w:val="21"/>
                <w:highlight w:val="none"/>
              </w:rPr>
            </w:pPr>
            <w:r>
              <w:rPr>
                <w:rFonts w:hint="eastAsia" w:ascii="宋体" w:hAnsi="宋体" w:cs="Times New Roman"/>
                <w:color w:val="auto"/>
                <w:szCs w:val="21"/>
                <w:highlight w:val="none"/>
              </w:rPr>
              <w:t>2  ……</w:t>
            </w:r>
          </w:p>
          <w:p w14:paraId="14CA7CCF">
            <w:pPr>
              <w:keepNext w:val="0"/>
              <w:keepLines w:val="0"/>
              <w:suppressLineNumbers w:val="0"/>
              <w:spacing w:before="0" w:beforeAutospacing="0" w:after="0" w:afterAutospacing="0" w:line="340" w:lineRule="exact"/>
              <w:ind w:left="0" w:right="0"/>
              <w:rPr>
                <w:rFonts w:hint="default" w:ascii="宋体" w:hAnsi="宋体" w:cs="Times New Roman"/>
                <w:color w:val="auto"/>
                <w:szCs w:val="21"/>
                <w:highlight w:val="none"/>
              </w:rPr>
            </w:pPr>
            <w:r>
              <w:rPr>
                <w:rFonts w:hint="eastAsia" w:ascii="宋体" w:hAnsi="宋体" w:cs="Times New Roman"/>
                <w:color w:val="auto"/>
                <w:szCs w:val="21"/>
                <w:highlight w:val="none"/>
              </w:rPr>
              <w:t>3  ……</w:t>
            </w:r>
          </w:p>
          <w:p w14:paraId="5F9DDDDD">
            <w:pPr>
              <w:keepNext w:val="0"/>
              <w:keepLines w:val="0"/>
              <w:suppressLineNumbers w:val="0"/>
              <w:spacing w:before="0" w:beforeAutospacing="0" w:after="0" w:afterAutospacing="0" w:line="340" w:lineRule="exact"/>
              <w:ind w:left="0" w:right="0"/>
              <w:rPr>
                <w:rFonts w:hint="default" w:ascii="宋体" w:hAnsi="宋体" w:cs="Times New Roman"/>
                <w:color w:val="auto"/>
                <w:szCs w:val="21"/>
                <w:highlight w:val="none"/>
              </w:rPr>
            </w:pPr>
            <w:r>
              <w:rPr>
                <w:rFonts w:hint="eastAsia" w:ascii="宋体" w:hAnsi="宋体" w:cs="Times New Roman"/>
                <w:color w:val="auto"/>
                <w:szCs w:val="21"/>
                <w:highlight w:val="none"/>
              </w:rPr>
              <w:t>……</w:t>
            </w:r>
          </w:p>
        </w:tc>
        <w:tc>
          <w:tcPr>
            <w:tcW w:w="3589" w:type="dxa"/>
            <w:tcBorders>
              <w:top w:val="single" w:color="auto" w:sz="4" w:space="0"/>
              <w:left w:val="single" w:color="auto" w:sz="4" w:space="0"/>
              <w:bottom w:val="single" w:color="auto" w:sz="4" w:space="0"/>
              <w:right w:val="single" w:color="auto" w:sz="4" w:space="0"/>
            </w:tcBorders>
            <w:noWrap w:val="0"/>
            <w:vAlign w:val="top"/>
          </w:tcPr>
          <w:p w14:paraId="07266F68">
            <w:pPr>
              <w:keepNext w:val="0"/>
              <w:keepLines w:val="0"/>
              <w:suppressLineNumbers w:val="0"/>
              <w:spacing w:before="0" w:beforeAutospacing="0" w:after="0" w:afterAutospacing="0" w:line="340" w:lineRule="exact"/>
              <w:ind w:left="0" w:right="0"/>
              <w:rPr>
                <w:rFonts w:hint="default" w:ascii="宋体" w:hAnsi="宋体" w:cs="Times New Roman"/>
                <w:color w:val="auto"/>
                <w:szCs w:val="21"/>
                <w:highlight w:val="none"/>
              </w:rPr>
            </w:pPr>
            <w:r>
              <w:rPr>
                <w:rFonts w:hint="eastAsia" w:ascii="宋体" w:hAnsi="宋体" w:cs="Times New Roman"/>
                <w:color w:val="auto"/>
                <w:szCs w:val="21"/>
                <w:highlight w:val="none"/>
              </w:rPr>
              <w:t>1  ……</w:t>
            </w:r>
          </w:p>
          <w:p w14:paraId="1B71DA37">
            <w:pPr>
              <w:keepNext w:val="0"/>
              <w:keepLines w:val="0"/>
              <w:suppressLineNumbers w:val="0"/>
              <w:spacing w:before="0" w:beforeAutospacing="0" w:after="0" w:afterAutospacing="0" w:line="340" w:lineRule="exact"/>
              <w:ind w:left="0" w:right="0"/>
              <w:rPr>
                <w:rFonts w:hint="default" w:ascii="宋体" w:hAnsi="宋体" w:cs="Times New Roman"/>
                <w:color w:val="auto"/>
                <w:szCs w:val="21"/>
                <w:highlight w:val="none"/>
              </w:rPr>
            </w:pPr>
            <w:r>
              <w:rPr>
                <w:rFonts w:hint="eastAsia" w:ascii="宋体" w:hAnsi="宋体" w:cs="Times New Roman"/>
                <w:color w:val="auto"/>
                <w:szCs w:val="21"/>
                <w:highlight w:val="none"/>
              </w:rPr>
              <w:t>2  ……</w:t>
            </w:r>
          </w:p>
          <w:p w14:paraId="399D11EF">
            <w:pPr>
              <w:keepNext w:val="0"/>
              <w:keepLines w:val="0"/>
              <w:suppressLineNumbers w:val="0"/>
              <w:spacing w:before="0" w:beforeAutospacing="0" w:after="0" w:afterAutospacing="0" w:line="340" w:lineRule="exact"/>
              <w:ind w:left="0" w:right="0"/>
              <w:rPr>
                <w:rFonts w:hint="default" w:ascii="宋体" w:hAnsi="宋体" w:cs="Times New Roman"/>
                <w:color w:val="auto"/>
                <w:szCs w:val="21"/>
                <w:highlight w:val="none"/>
              </w:rPr>
            </w:pPr>
            <w:r>
              <w:rPr>
                <w:rFonts w:hint="eastAsia" w:ascii="宋体" w:hAnsi="宋体" w:cs="Times New Roman"/>
                <w:color w:val="auto"/>
                <w:szCs w:val="21"/>
                <w:highlight w:val="none"/>
              </w:rPr>
              <w:t>3  ……</w:t>
            </w:r>
          </w:p>
          <w:p w14:paraId="6F588D02">
            <w:pPr>
              <w:keepNext w:val="0"/>
              <w:keepLines w:val="0"/>
              <w:suppressLineNumbers w:val="0"/>
              <w:spacing w:before="0" w:beforeAutospacing="0" w:after="0" w:afterAutospacing="0" w:line="340" w:lineRule="exact"/>
              <w:ind w:left="0" w:right="0"/>
              <w:rPr>
                <w:rFonts w:hint="default" w:ascii="宋体" w:hAnsi="宋体" w:cs="Times New Roman"/>
                <w:color w:val="auto"/>
                <w:szCs w:val="21"/>
                <w:highlight w:val="none"/>
              </w:rPr>
            </w:pPr>
            <w:r>
              <w:rPr>
                <w:rFonts w:hint="eastAsia" w:ascii="宋体" w:hAnsi="宋体" w:cs="Times New Roman"/>
                <w:color w:val="auto"/>
                <w:szCs w:val="21"/>
                <w:highlight w:val="none"/>
              </w:rPr>
              <w:t>……</w:t>
            </w:r>
          </w:p>
        </w:tc>
        <w:tc>
          <w:tcPr>
            <w:tcW w:w="1274" w:type="dxa"/>
            <w:tcBorders>
              <w:top w:val="single" w:color="auto" w:sz="4" w:space="0"/>
              <w:left w:val="single" w:color="auto" w:sz="4" w:space="0"/>
              <w:bottom w:val="single" w:color="auto" w:sz="4" w:space="0"/>
              <w:right w:val="single" w:color="auto" w:sz="4" w:space="0"/>
            </w:tcBorders>
            <w:noWrap w:val="0"/>
            <w:vAlign w:val="top"/>
          </w:tcPr>
          <w:p w14:paraId="4A617696">
            <w:pPr>
              <w:keepNext w:val="0"/>
              <w:keepLines w:val="0"/>
              <w:suppressLineNumbers w:val="0"/>
              <w:spacing w:before="0" w:beforeAutospacing="0" w:after="0" w:afterAutospacing="0" w:line="300" w:lineRule="exact"/>
              <w:ind w:left="0" w:right="0"/>
              <w:rPr>
                <w:rFonts w:hint="default" w:ascii="宋体" w:hAnsi="宋体" w:cs="Times New Roman"/>
                <w:color w:val="auto"/>
                <w:szCs w:val="21"/>
                <w:highlight w:val="none"/>
              </w:rPr>
            </w:pPr>
          </w:p>
        </w:tc>
      </w:tr>
      <w:tr w14:paraId="6971C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563" w:type="dxa"/>
            <w:tcBorders>
              <w:top w:val="single" w:color="auto" w:sz="4" w:space="0"/>
              <w:left w:val="single" w:color="auto" w:sz="4" w:space="0"/>
              <w:bottom w:val="single" w:color="auto" w:sz="4" w:space="0"/>
              <w:right w:val="single" w:color="auto" w:sz="4" w:space="0"/>
            </w:tcBorders>
            <w:noWrap w:val="0"/>
            <w:vAlign w:val="top"/>
          </w:tcPr>
          <w:p w14:paraId="45EBD688">
            <w:pPr>
              <w:keepNext w:val="0"/>
              <w:keepLines w:val="0"/>
              <w:suppressLineNumbers w:val="0"/>
              <w:spacing w:before="0" w:beforeAutospacing="0" w:after="0" w:afterAutospacing="0" w:line="340" w:lineRule="exact"/>
              <w:ind w:left="0" w:right="0"/>
              <w:rPr>
                <w:rFonts w:hint="default" w:ascii="宋体" w:hAnsi="宋体" w:cs="Times New Roman"/>
                <w:color w:val="auto"/>
                <w:szCs w:val="21"/>
                <w:highlight w:val="none"/>
              </w:rPr>
            </w:pPr>
            <w:r>
              <w:rPr>
                <w:rFonts w:hint="eastAsia" w:ascii="宋体" w:hAnsi="宋体" w:cs="Times New Roman"/>
                <w:color w:val="auto"/>
                <w:szCs w:val="21"/>
                <w:highlight w:val="none"/>
              </w:rPr>
              <w:t>...</w:t>
            </w:r>
          </w:p>
        </w:tc>
        <w:tc>
          <w:tcPr>
            <w:tcW w:w="4054" w:type="dxa"/>
            <w:tcBorders>
              <w:top w:val="single" w:color="auto" w:sz="4" w:space="0"/>
              <w:left w:val="single" w:color="auto" w:sz="4" w:space="0"/>
              <w:bottom w:val="single" w:color="auto" w:sz="4" w:space="0"/>
              <w:right w:val="single" w:color="auto" w:sz="4" w:space="0"/>
            </w:tcBorders>
            <w:noWrap w:val="0"/>
            <w:vAlign w:val="top"/>
          </w:tcPr>
          <w:p w14:paraId="0BA87E18">
            <w:pPr>
              <w:keepNext w:val="0"/>
              <w:keepLines w:val="0"/>
              <w:suppressLineNumbers w:val="0"/>
              <w:spacing w:before="0" w:beforeAutospacing="0" w:after="0" w:afterAutospacing="0" w:line="340" w:lineRule="exact"/>
              <w:ind w:left="0" w:right="0"/>
              <w:rPr>
                <w:rFonts w:hint="default" w:ascii="宋体" w:hAnsi="宋体" w:cs="Times New Roman"/>
                <w:color w:val="auto"/>
                <w:szCs w:val="21"/>
                <w:highlight w:val="none"/>
              </w:rPr>
            </w:pPr>
            <w:r>
              <w:rPr>
                <w:rFonts w:hint="eastAsia" w:ascii="宋体" w:hAnsi="宋体" w:cs="Times New Roman"/>
                <w:color w:val="auto"/>
                <w:szCs w:val="21"/>
                <w:highlight w:val="none"/>
              </w:rPr>
              <w:t>1  ……</w:t>
            </w:r>
          </w:p>
          <w:p w14:paraId="59F775F9">
            <w:pPr>
              <w:keepNext w:val="0"/>
              <w:keepLines w:val="0"/>
              <w:suppressLineNumbers w:val="0"/>
              <w:spacing w:before="0" w:beforeAutospacing="0" w:after="0" w:afterAutospacing="0" w:line="340" w:lineRule="exact"/>
              <w:ind w:left="0" w:right="0"/>
              <w:rPr>
                <w:rFonts w:hint="default" w:ascii="宋体" w:hAnsi="宋体" w:cs="Times New Roman"/>
                <w:color w:val="auto"/>
                <w:szCs w:val="21"/>
                <w:highlight w:val="none"/>
              </w:rPr>
            </w:pPr>
            <w:r>
              <w:rPr>
                <w:rFonts w:hint="eastAsia" w:ascii="宋体" w:hAnsi="宋体" w:cs="Times New Roman"/>
                <w:color w:val="auto"/>
                <w:szCs w:val="21"/>
                <w:highlight w:val="none"/>
              </w:rPr>
              <w:t>2  ……</w:t>
            </w:r>
          </w:p>
          <w:p w14:paraId="54887305">
            <w:pPr>
              <w:keepNext w:val="0"/>
              <w:keepLines w:val="0"/>
              <w:suppressLineNumbers w:val="0"/>
              <w:spacing w:before="0" w:beforeAutospacing="0" w:after="0" w:afterAutospacing="0" w:line="340" w:lineRule="exact"/>
              <w:ind w:left="0" w:right="0"/>
              <w:rPr>
                <w:rFonts w:hint="default" w:ascii="宋体" w:hAnsi="宋体" w:cs="Times New Roman"/>
                <w:color w:val="auto"/>
                <w:szCs w:val="21"/>
                <w:highlight w:val="none"/>
              </w:rPr>
            </w:pPr>
            <w:r>
              <w:rPr>
                <w:rFonts w:hint="eastAsia" w:ascii="宋体" w:hAnsi="宋体" w:cs="Times New Roman"/>
                <w:color w:val="auto"/>
                <w:szCs w:val="21"/>
                <w:highlight w:val="none"/>
              </w:rPr>
              <w:t>3  ……</w:t>
            </w:r>
          </w:p>
          <w:p w14:paraId="11AC6059">
            <w:pPr>
              <w:keepNext w:val="0"/>
              <w:keepLines w:val="0"/>
              <w:suppressLineNumbers w:val="0"/>
              <w:spacing w:before="0" w:beforeAutospacing="0" w:after="0" w:afterAutospacing="0" w:line="340" w:lineRule="exact"/>
              <w:ind w:left="0" w:right="0"/>
              <w:rPr>
                <w:rFonts w:hint="eastAsia" w:ascii="宋体" w:hAnsi="宋体" w:cs="Times New Roman"/>
                <w:color w:val="auto"/>
                <w:szCs w:val="21"/>
                <w:highlight w:val="none"/>
              </w:rPr>
            </w:pPr>
            <w:r>
              <w:rPr>
                <w:rFonts w:hint="eastAsia" w:ascii="宋体" w:hAnsi="宋体" w:cs="Times New Roman"/>
                <w:color w:val="auto"/>
                <w:szCs w:val="21"/>
                <w:highlight w:val="none"/>
              </w:rPr>
              <w:t>……</w:t>
            </w:r>
          </w:p>
        </w:tc>
        <w:tc>
          <w:tcPr>
            <w:tcW w:w="3589" w:type="dxa"/>
            <w:tcBorders>
              <w:top w:val="single" w:color="auto" w:sz="4" w:space="0"/>
              <w:left w:val="single" w:color="auto" w:sz="4" w:space="0"/>
              <w:bottom w:val="single" w:color="auto" w:sz="4" w:space="0"/>
              <w:right w:val="single" w:color="auto" w:sz="4" w:space="0"/>
            </w:tcBorders>
            <w:noWrap w:val="0"/>
            <w:vAlign w:val="top"/>
          </w:tcPr>
          <w:p w14:paraId="5C12AC50">
            <w:pPr>
              <w:keepNext w:val="0"/>
              <w:keepLines w:val="0"/>
              <w:suppressLineNumbers w:val="0"/>
              <w:spacing w:before="0" w:beforeAutospacing="0" w:after="0" w:afterAutospacing="0" w:line="340" w:lineRule="exact"/>
              <w:ind w:left="0" w:right="0"/>
              <w:rPr>
                <w:rFonts w:hint="default" w:ascii="宋体" w:hAnsi="宋体" w:cs="Times New Roman"/>
                <w:color w:val="auto"/>
                <w:szCs w:val="21"/>
                <w:highlight w:val="none"/>
              </w:rPr>
            </w:pPr>
            <w:r>
              <w:rPr>
                <w:rFonts w:hint="eastAsia" w:ascii="宋体" w:hAnsi="宋体" w:cs="Times New Roman"/>
                <w:color w:val="auto"/>
                <w:szCs w:val="21"/>
                <w:highlight w:val="none"/>
              </w:rPr>
              <w:t>1  ……</w:t>
            </w:r>
          </w:p>
          <w:p w14:paraId="59BB53D0">
            <w:pPr>
              <w:keepNext w:val="0"/>
              <w:keepLines w:val="0"/>
              <w:suppressLineNumbers w:val="0"/>
              <w:spacing w:before="0" w:beforeAutospacing="0" w:after="0" w:afterAutospacing="0" w:line="340" w:lineRule="exact"/>
              <w:ind w:left="0" w:right="0"/>
              <w:rPr>
                <w:rFonts w:hint="default" w:ascii="宋体" w:hAnsi="宋体" w:cs="Times New Roman"/>
                <w:color w:val="auto"/>
                <w:szCs w:val="21"/>
                <w:highlight w:val="none"/>
              </w:rPr>
            </w:pPr>
            <w:r>
              <w:rPr>
                <w:rFonts w:hint="eastAsia" w:ascii="宋体" w:hAnsi="宋体" w:cs="Times New Roman"/>
                <w:color w:val="auto"/>
                <w:szCs w:val="21"/>
                <w:highlight w:val="none"/>
              </w:rPr>
              <w:t>2  ……</w:t>
            </w:r>
          </w:p>
          <w:p w14:paraId="7FFE3B2A">
            <w:pPr>
              <w:keepNext w:val="0"/>
              <w:keepLines w:val="0"/>
              <w:suppressLineNumbers w:val="0"/>
              <w:spacing w:before="0" w:beforeAutospacing="0" w:after="0" w:afterAutospacing="0" w:line="340" w:lineRule="exact"/>
              <w:ind w:left="0" w:right="0"/>
              <w:rPr>
                <w:rFonts w:hint="default" w:ascii="宋体" w:hAnsi="宋体" w:cs="Times New Roman"/>
                <w:color w:val="auto"/>
                <w:szCs w:val="21"/>
                <w:highlight w:val="none"/>
              </w:rPr>
            </w:pPr>
            <w:r>
              <w:rPr>
                <w:rFonts w:hint="eastAsia" w:ascii="宋体" w:hAnsi="宋体" w:cs="Times New Roman"/>
                <w:color w:val="auto"/>
                <w:szCs w:val="21"/>
                <w:highlight w:val="none"/>
              </w:rPr>
              <w:t>3  ……</w:t>
            </w:r>
          </w:p>
          <w:p w14:paraId="7B39EB3E">
            <w:pPr>
              <w:keepNext w:val="0"/>
              <w:keepLines w:val="0"/>
              <w:suppressLineNumbers w:val="0"/>
              <w:spacing w:before="0" w:beforeAutospacing="0" w:after="0" w:afterAutospacing="0" w:line="340" w:lineRule="exact"/>
              <w:ind w:left="0" w:right="0"/>
              <w:rPr>
                <w:rFonts w:hint="default" w:ascii="宋体" w:hAnsi="宋体" w:cs="Times New Roman"/>
                <w:color w:val="auto"/>
                <w:szCs w:val="21"/>
                <w:highlight w:val="none"/>
              </w:rPr>
            </w:pPr>
            <w:r>
              <w:rPr>
                <w:rFonts w:hint="eastAsia" w:ascii="宋体" w:hAnsi="宋体" w:cs="Times New Roman"/>
                <w:color w:val="auto"/>
                <w:szCs w:val="21"/>
                <w:highlight w:val="none"/>
              </w:rPr>
              <w:t>……</w:t>
            </w:r>
          </w:p>
        </w:tc>
        <w:tc>
          <w:tcPr>
            <w:tcW w:w="1274" w:type="dxa"/>
            <w:tcBorders>
              <w:top w:val="single" w:color="auto" w:sz="4" w:space="0"/>
              <w:left w:val="single" w:color="auto" w:sz="4" w:space="0"/>
              <w:bottom w:val="single" w:color="auto" w:sz="4" w:space="0"/>
              <w:right w:val="single" w:color="auto" w:sz="4" w:space="0"/>
            </w:tcBorders>
            <w:noWrap w:val="0"/>
            <w:vAlign w:val="top"/>
          </w:tcPr>
          <w:p w14:paraId="661672E1">
            <w:pPr>
              <w:keepNext w:val="0"/>
              <w:keepLines w:val="0"/>
              <w:suppressLineNumbers w:val="0"/>
              <w:spacing w:before="0" w:beforeAutospacing="0" w:after="0" w:afterAutospacing="0" w:line="300" w:lineRule="exact"/>
              <w:ind w:left="0" w:right="0"/>
              <w:rPr>
                <w:rFonts w:hint="default" w:ascii="宋体" w:hAnsi="宋体" w:cs="Times New Roman"/>
                <w:color w:val="auto"/>
                <w:szCs w:val="21"/>
                <w:highlight w:val="none"/>
              </w:rPr>
            </w:pPr>
          </w:p>
        </w:tc>
      </w:tr>
    </w:tbl>
    <w:p w14:paraId="02639A64">
      <w:pPr>
        <w:pStyle w:val="15"/>
        <w:spacing w:line="400" w:lineRule="exact"/>
        <w:ind w:firstLine="845"/>
        <w:contextualSpacing/>
        <w:rPr>
          <w:rFonts w:hint="eastAsia" w:hAnsi="宋体" w:cs="仿宋_GB2312"/>
          <w:color w:val="auto"/>
          <w:sz w:val="24"/>
          <w:szCs w:val="24"/>
          <w:highlight w:val="none"/>
        </w:rPr>
      </w:pPr>
      <w:r>
        <w:rPr>
          <w:rFonts w:hint="eastAsia" w:hAnsi="宋体" w:cs="仿宋_GB2312"/>
          <w:color w:val="auto"/>
          <w:sz w:val="24"/>
          <w:szCs w:val="24"/>
          <w:highlight w:val="none"/>
        </w:rPr>
        <w:t>注：</w:t>
      </w:r>
    </w:p>
    <w:p w14:paraId="1675D918">
      <w:pPr>
        <w:pStyle w:val="15"/>
        <w:spacing w:line="400" w:lineRule="exact"/>
        <w:ind w:firstLine="845"/>
        <w:contextualSpacing/>
        <w:rPr>
          <w:rFonts w:hint="eastAsia" w:hAnsi="宋体" w:cs="仿宋_GB2312"/>
          <w:color w:val="auto"/>
          <w:sz w:val="24"/>
          <w:szCs w:val="24"/>
          <w:highlight w:val="none"/>
        </w:rPr>
      </w:pPr>
      <w:r>
        <w:rPr>
          <w:rFonts w:hint="eastAsia" w:hAnsi="宋体" w:cs="仿宋_GB2312"/>
          <w:color w:val="auto"/>
          <w:sz w:val="24"/>
          <w:szCs w:val="24"/>
          <w:highlight w:val="none"/>
        </w:rPr>
        <w:t>1.说明：应对照磋商文件“第</w:t>
      </w:r>
      <w:r>
        <w:rPr>
          <w:rFonts w:hint="eastAsia" w:hAnsi="宋体" w:cs="仿宋_GB2312"/>
          <w:color w:val="auto"/>
          <w:sz w:val="24"/>
          <w:szCs w:val="24"/>
          <w:highlight w:val="none"/>
          <w:lang w:eastAsia="zh-CN"/>
        </w:rPr>
        <w:t>二</w:t>
      </w:r>
      <w:r>
        <w:rPr>
          <w:rFonts w:hint="eastAsia" w:hAnsi="宋体" w:cs="仿宋_GB2312"/>
          <w:color w:val="auto"/>
          <w:sz w:val="24"/>
          <w:szCs w:val="24"/>
          <w:highlight w:val="none"/>
        </w:rPr>
        <w:t>章 采购需求”中的</w:t>
      </w:r>
      <w:r>
        <w:rPr>
          <w:rFonts w:hint="eastAsia" w:hAnsi="宋体" w:cs="仿宋_GB2312"/>
          <w:color w:val="auto"/>
          <w:sz w:val="24"/>
          <w:szCs w:val="24"/>
          <w:highlight w:val="none"/>
          <w:lang w:eastAsia="zh-CN"/>
        </w:rPr>
        <w:t>商务条款</w:t>
      </w:r>
      <w:r>
        <w:rPr>
          <w:rFonts w:hint="eastAsia" w:hAnsi="宋体" w:cs="仿宋_GB2312"/>
          <w:color w:val="auto"/>
          <w:sz w:val="24"/>
          <w:szCs w:val="24"/>
          <w:highlight w:val="none"/>
        </w:rPr>
        <w:t>逐条作出明确响应，并作出偏离说明。</w:t>
      </w:r>
    </w:p>
    <w:p w14:paraId="284239D4">
      <w:pPr>
        <w:pStyle w:val="15"/>
        <w:spacing w:line="400" w:lineRule="exact"/>
        <w:ind w:firstLine="845"/>
        <w:contextualSpacing/>
        <w:rPr>
          <w:rFonts w:hint="eastAsia" w:hAnsi="宋体" w:cs="仿宋_GB2312"/>
          <w:color w:val="auto"/>
          <w:sz w:val="24"/>
          <w:szCs w:val="24"/>
          <w:highlight w:val="none"/>
        </w:rPr>
      </w:pPr>
      <w:r>
        <w:rPr>
          <w:rFonts w:hint="eastAsia" w:hAnsi="宋体" w:cs="仿宋_GB2312"/>
          <w:color w:val="auto"/>
          <w:sz w:val="24"/>
          <w:szCs w:val="24"/>
          <w:highlight w:val="none"/>
        </w:rPr>
        <w:t>2.供应商应根据自身的承诺，对照磋商文件要求，在“偏离说明”中注明“正偏离”、“负偏离”或者“无偏离”。既不属于“正偏离”也不属于“负偏离”即为“无偏离”。 当响应文件的商务内容低于竞争性磋商采购文件要求时，竞标人应当如实写明“负偏离”，否则视为虚假应标</w:t>
      </w:r>
    </w:p>
    <w:p w14:paraId="7DD6D193">
      <w:pPr>
        <w:spacing w:line="400" w:lineRule="exact"/>
        <w:rPr>
          <w:rFonts w:ascii="宋体" w:hAnsi="宋体" w:cs="仿宋_GB2312"/>
          <w:color w:val="auto"/>
          <w:kern w:val="0"/>
          <w:sz w:val="24"/>
          <w:highlight w:val="none"/>
        </w:rPr>
      </w:pPr>
      <w:r>
        <w:rPr>
          <w:rFonts w:hint="eastAsia" w:ascii="宋体" w:hAnsi="宋体" w:cs="仿宋_GB2312"/>
          <w:color w:val="auto"/>
          <w:kern w:val="0"/>
          <w:sz w:val="24"/>
          <w:highlight w:val="none"/>
        </w:rPr>
        <w:t>3</w:t>
      </w:r>
      <w:r>
        <w:rPr>
          <w:rFonts w:ascii="宋体" w:hAnsi="宋体" w:cs="仿宋_GB2312"/>
          <w:color w:val="auto"/>
          <w:kern w:val="0"/>
          <w:sz w:val="24"/>
          <w:highlight w:val="none"/>
        </w:rPr>
        <w:t>.</w:t>
      </w:r>
      <w:r>
        <w:rPr>
          <w:rFonts w:hint="eastAsia" w:ascii="宋体" w:hAnsi="宋体" w:cs="仿宋_GB2312"/>
          <w:color w:val="auto"/>
          <w:kern w:val="0"/>
          <w:sz w:val="24"/>
          <w:highlight w:val="none"/>
        </w:rPr>
        <w:t>表格内容均需按要求填写，不得留空，否则按竞标无效处理。</w:t>
      </w:r>
    </w:p>
    <w:p w14:paraId="02C6F040">
      <w:pPr>
        <w:pStyle w:val="18"/>
        <w:spacing w:line="400" w:lineRule="exact"/>
        <w:contextualSpacing/>
        <w:rPr>
          <w:rFonts w:hint="eastAsia" w:hAnsi="宋体" w:cs="仿宋_GB2312"/>
          <w:color w:val="auto"/>
          <w:sz w:val="24"/>
          <w:highlight w:val="none"/>
        </w:rPr>
      </w:pPr>
      <w:r>
        <w:rPr>
          <w:rFonts w:hint="eastAsia" w:hAnsi="宋体" w:cs="仿宋_GB2312"/>
          <w:color w:val="auto"/>
          <w:sz w:val="24"/>
          <w:szCs w:val="24"/>
          <w:highlight w:val="none"/>
          <w:lang w:eastAsia="zh-CN"/>
        </w:rPr>
        <w:t>4</w:t>
      </w:r>
      <w:r>
        <w:rPr>
          <w:rFonts w:hAnsi="宋体" w:cs="仿宋_GB2312"/>
          <w:color w:val="auto"/>
          <w:sz w:val="24"/>
          <w:szCs w:val="24"/>
          <w:highlight w:val="none"/>
          <w:lang w:eastAsia="zh-CN"/>
        </w:rPr>
        <w:t>.</w:t>
      </w:r>
      <w:r>
        <w:rPr>
          <w:rFonts w:hint="eastAsia" w:hAnsi="宋体" w:cs="仿宋_GB2312"/>
          <w:color w:val="auto"/>
          <w:sz w:val="24"/>
          <w:szCs w:val="24"/>
          <w:highlight w:val="none"/>
        </w:rPr>
        <w:t>如果采购需求为小于、小于等于、大于或大于等于某个数值标准时，响应文件承诺不得直接复制采购需求，响应文件承诺内容应当写明竞标货物具体参数或商务响应承诺的具体数值，否则按竞标无效处理。如该采购需求属于不能明确具体数值的，采购人应在此采购需求的数值后标注◆号，对标注◆号的采购需求不适用上述“竞标无效”条款。</w:t>
      </w:r>
    </w:p>
    <w:p w14:paraId="57A170B9">
      <w:pPr>
        <w:spacing w:line="360" w:lineRule="auto"/>
        <w:ind w:firstLine="3840" w:firstLineChars="1600"/>
        <w:rPr>
          <w:rFonts w:ascii="宋体" w:hAnsi="宋体" w:cs="仿宋_GB2312"/>
          <w:color w:val="auto"/>
          <w:sz w:val="24"/>
          <w:highlight w:val="none"/>
        </w:rPr>
      </w:pPr>
      <w:r>
        <w:rPr>
          <w:rFonts w:hint="eastAsia" w:ascii="仿宋_GB2312" w:hAnsi="仿宋" w:eastAsia="仿宋_GB2312" w:cs="仿宋_GB2312"/>
          <w:color w:val="auto"/>
          <w:kern w:val="0"/>
          <w:sz w:val="24"/>
          <w:highlight w:val="none"/>
        </w:rPr>
        <w:t>供应商名称（电子签章）：</w:t>
      </w:r>
    </w:p>
    <w:p w14:paraId="33D752DB">
      <w:pPr>
        <w:spacing w:line="360" w:lineRule="auto"/>
        <w:contextualSpacing/>
        <w:jc w:val="center"/>
        <w:rPr>
          <w:rFonts w:hint="eastAsia" w:ascii="宋体" w:hAnsi="宋体" w:cs="仿宋_GB2312"/>
          <w:b/>
          <w:color w:val="auto"/>
          <w:sz w:val="24"/>
          <w:highlight w:val="none"/>
        </w:rPr>
      </w:pPr>
      <w:r>
        <w:rPr>
          <w:rFonts w:hint="eastAsia" w:ascii="仿宋_GB2312" w:hAnsi="仿宋" w:eastAsia="仿宋_GB2312" w:cs="仿宋_GB2312"/>
          <w:color w:val="auto"/>
          <w:kern w:val="0"/>
          <w:sz w:val="24"/>
          <w:highlight w:val="none"/>
          <w:lang w:val="zh-CN"/>
        </w:rPr>
        <w:t xml:space="preserve">                                                   日期：  年  月   日</w:t>
      </w:r>
    </w:p>
    <w:p w14:paraId="36752D9B">
      <w:pPr>
        <w:snapToGrid w:val="0"/>
        <w:spacing w:line="360" w:lineRule="auto"/>
        <w:ind w:firstLine="602" w:firstLineChars="200"/>
        <w:rPr>
          <w:rFonts w:ascii="仿宋" w:hAnsi="仿宋" w:eastAsia="仿宋" w:cs="仿宋_GB2312"/>
          <w:b/>
          <w:color w:val="auto"/>
          <w:sz w:val="30"/>
          <w:szCs w:val="30"/>
          <w:highlight w:val="none"/>
        </w:rPr>
      </w:pPr>
      <w:r>
        <w:rPr>
          <w:rFonts w:hint="eastAsia" w:ascii="仿宋" w:hAnsi="仿宋" w:eastAsia="仿宋" w:cs="仿宋_GB2312"/>
          <w:b/>
          <w:color w:val="auto"/>
          <w:sz w:val="30"/>
          <w:szCs w:val="30"/>
          <w:highlight w:val="none"/>
        </w:rPr>
        <w:t>五、竞标人情况介绍</w:t>
      </w:r>
    </w:p>
    <w:p w14:paraId="1415DF95">
      <w:pPr>
        <w:snapToGrid w:val="0"/>
        <w:spacing w:line="360" w:lineRule="auto"/>
        <w:ind w:firstLine="602" w:firstLineChars="200"/>
        <w:rPr>
          <w:rFonts w:ascii="仿宋" w:hAnsi="仿宋" w:eastAsia="仿宋" w:cs="仿宋_GB2312"/>
          <w:b/>
          <w:color w:val="auto"/>
          <w:sz w:val="30"/>
          <w:szCs w:val="30"/>
          <w:highlight w:val="none"/>
        </w:rPr>
      </w:pPr>
    </w:p>
    <w:p w14:paraId="59D4CA60">
      <w:pPr>
        <w:autoSpaceDE w:val="0"/>
        <w:autoSpaceDN w:val="0"/>
        <w:spacing w:line="360" w:lineRule="auto"/>
        <w:ind w:left="4335" w:leftChars="1950" w:hanging="240" w:hangingChars="1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14:paraId="20D545C0">
      <w:pPr>
        <w:autoSpaceDE w:val="0"/>
        <w:autoSpaceDN w:val="0"/>
        <w:spacing w:line="360" w:lineRule="auto"/>
        <w:ind w:firstLine="6480" w:firstLineChars="2700"/>
        <w:rPr>
          <w:rFonts w:ascii="仿宋_GB2312" w:hAnsi="仿宋" w:eastAsia="仿宋_GB2312" w:cs="仿宋_GB2312"/>
          <w:b/>
          <w:bCs/>
          <w:color w:val="auto"/>
          <w:sz w:val="24"/>
          <w:highlight w:val="none"/>
        </w:rPr>
      </w:pPr>
      <w:r>
        <w:rPr>
          <w:rFonts w:hint="eastAsia" w:ascii="仿宋_GB2312" w:hAnsi="仿宋" w:eastAsia="仿宋_GB2312" w:cs="仿宋_GB2312"/>
          <w:color w:val="auto"/>
          <w:kern w:val="0"/>
          <w:sz w:val="24"/>
          <w:highlight w:val="none"/>
          <w:lang w:val="zh-CN"/>
        </w:rPr>
        <w:t>日期：  年  月   日</w:t>
      </w:r>
    </w:p>
    <w:p w14:paraId="2F0AB923">
      <w:pPr>
        <w:snapToGrid w:val="0"/>
        <w:spacing w:before="120" w:beforeLines="50" w:after="50"/>
        <w:ind w:firstLine="602" w:firstLineChars="200"/>
        <w:rPr>
          <w:rFonts w:hint="default" w:ascii="仿宋" w:hAnsi="仿宋" w:eastAsia="仿宋" w:cs="仿宋_GB2312"/>
          <w:b/>
          <w:color w:val="auto"/>
          <w:sz w:val="30"/>
          <w:szCs w:val="30"/>
          <w:highlight w:val="none"/>
          <w:lang w:val="en-US" w:eastAsia="zh-CN"/>
        </w:rPr>
      </w:pPr>
      <w:r>
        <w:rPr>
          <w:rFonts w:hint="eastAsia" w:ascii="仿宋" w:hAnsi="仿宋" w:eastAsia="仿宋" w:cs="仿宋_GB2312"/>
          <w:b/>
          <w:color w:val="auto"/>
          <w:sz w:val="30"/>
          <w:szCs w:val="30"/>
          <w:highlight w:val="none"/>
        </w:rPr>
        <w:t>六、</w:t>
      </w:r>
      <w:r>
        <w:rPr>
          <w:rFonts w:hint="eastAsia" w:ascii="仿宋" w:hAnsi="仿宋" w:eastAsia="仿宋" w:cs="仿宋_GB2312"/>
          <w:b/>
          <w:color w:val="auto"/>
          <w:sz w:val="30"/>
          <w:szCs w:val="30"/>
          <w:highlight w:val="none"/>
          <w:lang w:val="en-US" w:eastAsia="zh-CN"/>
        </w:rPr>
        <w:t>售后服务方案</w:t>
      </w:r>
    </w:p>
    <w:p w14:paraId="4121E69B">
      <w:pPr>
        <w:pStyle w:val="24"/>
        <w:snapToGrid w:val="0"/>
        <w:ind w:left="480" w:hanging="480"/>
        <w:rPr>
          <w:rFonts w:hint="eastAsia" w:ascii="宋体" w:hAnsi="宋体"/>
          <w:color w:val="auto"/>
          <w:sz w:val="24"/>
          <w:highlight w:val="none"/>
        </w:rPr>
      </w:pPr>
    </w:p>
    <w:p w14:paraId="64D1D618">
      <w:pPr>
        <w:autoSpaceDE w:val="0"/>
        <w:autoSpaceDN w:val="0"/>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（由供应商根据采购需求及采购文件要求编制）</w:t>
      </w:r>
    </w:p>
    <w:p w14:paraId="2EE039F1">
      <w:pPr>
        <w:autoSpaceDE w:val="0"/>
        <w:autoSpaceDN w:val="0"/>
        <w:spacing w:line="360" w:lineRule="auto"/>
        <w:rPr>
          <w:rFonts w:hint="eastAsia" w:ascii="仿宋_GB2312" w:hAnsi="仿宋" w:eastAsia="仿宋_GB2312" w:cs="仿宋_GB2312"/>
          <w:b/>
          <w:color w:val="auto"/>
          <w:sz w:val="24"/>
          <w:highlight w:val="none"/>
        </w:rPr>
      </w:pPr>
    </w:p>
    <w:p w14:paraId="668FD9E3">
      <w:pPr>
        <w:autoSpaceDE w:val="0"/>
        <w:autoSpaceDN w:val="0"/>
        <w:spacing w:line="360" w:lineRule="auto"/>
        <w:rPr>
          <w:rFonts w:hint="eastAsia"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附表A:售后服务机构情况表</w:t>
      </w:r>
      <w:r>
        <w:rPr>
          <w:rFonts w:hint="eastAsia" w:ascii="仿宋_GB2312" w:hAnsi="仿宋" w:eastAsia="仿宋_GB2312" w:cs="仿宋_GB2312"/>
          <w:color w:val="auto"/>
          <w:sz w:val="24"/>
          <w:highlight w:val="none"/>
        </w:rPr>
        <w:t>（按此格式自制）</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340"/>
        <w:gridCol w:w="1095"/>
        <w:gridCol w:w="1245"/>
        <w:gridCol w:w="1980"/>
        <w:gridCol w:w="1260"/>
      </w:tblGrid>
      <w:tr w14:paraId="5985D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13F7A2FC">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序号</w:t>
            </w:r>
          </w:p>
        </w:tc>
        <w:tc>
          <w:tcPr>
            <w:tcW w:w="2340" w:type="dxa"/>
            <w:noWrap w:val="0"/>
            <w:vAlign w:val="top"/>
          </w:tcPr>
          <w:p w14:paraId="4468E480">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机构名称</w:t>
            </w:r>
          </w:p>
        </w:tc>
        <w:tc>
          <w:tcPr>
            <w:tcW w:w="1095" w:type="dxa"/>
            <w:noWrap w:val="0"/>
            <w:vAlign w:val="top"/>
          </w:tcPr>
          <w:p w14:paraId="5B15C1BF">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机构性质</w:t>
            </w:r>
          </w:p>
        </w:tc>
        <w:tc>
          <w:tcPr>
            <w:tcW w:w="1245" w:type="dxa"/>
            <w:noWrap w:val="0"/>
            <w:vAlign w:val="top"/>
          </w:tcPr>
          <w:p w14:paraId="7D326CB4">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注册地址</w:t>
            </w:r>
          </w:p>
        </w:tc>
        <w:tc>
          <w:tcPr>
            <w:tcW w:w="1980" w:type="dxa"/>
            <w:noWrap w:val="0"/>
            <w:vAlign w:val="top"/>
          </w:tcPr>
          <w:p w14:paraId="18CBDA3F">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服务技术人员数量</w:t>
            </w:r>
          </w:p>
        </w:tc>
        <w:tc>
          <w:tcPr>
            <w:tcW w:w="1260" w:type="dxa"/>
            <w:noWrap w:val="0"/>
            <w:vAlign w:val="top"/>
          </w:tcPr>
          <w:p w14:paraId="079350E3">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联系电话</w:t>
            </w:r>
          </w:p>
        </w:tc>
      </w:tr>
      <w:tr w14:paraId="2719D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67BC5926">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p>
        </w:tc>
        <w:tc>
          <w:tcPr>
            <w:tcW w:w="2340" w:type="dxa"/>
            <w:noWrap w:val="0"/>
            <w:vAlign w:val="top"/>
          </w:tcPr>
          <w:p w14:paraId="261E4472">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p>
        </w:tc>
        <w:tc>
          <w:tcPr>
            <w:tcW w:w="1095" w:type="dxa"/>
            <w:noWrap w:val="0"/>
            <w:vAlign w:val="top"/>
          </w:tcPr>
          <w:p w14:paraId="24AC1275">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p>
        </w:tc>
        <w:tc>
          <w:tcPr>
            <w:tcW w:w="1245" w:type="dxa"/>
            <w:noWrap w:val="0"/>
            <w:vAlign w:val="top"/>
          </w:tcPr>
          <w:p w14:paraId="5AD88D3C">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p>
        </w:tc>
        <w:tc>
          <w:tcPr>
            <w:tcW w:w="1980" w:type="dxa"/>
            <w:noWrap w:val="0"/>
            <w:vAlign w:val="top"/>
          </w:tcPr>
          <w:p w14:paraId="1C562314">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p>
        </w:tc>
        <w:tc>
          <w:tcPr>
            <w:tcW w:w="1260" w:type="dxa"/>
            <w:noWrap w:val="0"/>
            <w:vAlign w:val="top"/>
          </w:tcPr>
          <w:p w14:paraId="7024E8D8">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p>
        </w:tc>
      </w:tr>
      <w:tr w14:paraId="6EE7C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4E859022">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p>
        </w:tc>
        <w:tc>
          <w:tcPr>
            <w:tcW w:w="2340" w:type="dxa"/>
            <w:noWrap w:val="0"/>
            <w:vAlign w:val="top"/>
          </w:tcPr>
          <w:p w14:paraId="7489CA54">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p>
        </w:tc>
        <w:tc>
          <w:tcPr>
            <w:tcW w:w="1095" w:type="dxa"/>
            <w:noWrap w:val="0"/>
            <w:vAlign w:val="top"/>
          </w:tcPr>
          <w:p w14:paraId="7CCA205D">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p>
        </w:tc>
        <w:tc>
          <w:tcPr>
            <w:tcW w:w="1245" w:type="dxa"/>
            <w:noWrap w:val="0"/>
            <w:vAlign w:val="top"/>
          </w:tcPr>
          <w:p w14:paraId="1906FDBF">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p>
        </w:tc>
        <w:tc>
          <w:tcPr>
            <w:tcW w:w="1980" w:type="dxa"/>
            <w:noWrap w:val="0"/>
            <w:vAlign w:val="top"/>
          </w:tcPr>
          <w:p w14:paraId="7DFA0754">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p>
        </w:tc>
        <w:tc>
          <w:tcPr>
            <w:tcW w:w="1260" w:type="dxa"/>
            <w:noWrap w:val="0"/>
            <w:vAlign w:val="top"/>
          </w:tcPr>
          <w:p w14:paraId="38E6D4A1">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p>
        </w:tc>
      </w:tr>
      <w:tr w14:paraId="24FA5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61806FD1">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p>
        </w:tc>
        <w:tc>
          <w:tcPr>
            <w:tcW w:w="2340" w:type="dxa"/>
            <w:noWrap w:val="0"/>
            <w:vAlign w:val="top"/>
          </w:tcPr>
          <w:p w14:paraId="565197E6">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p>
        </w:tc>
        <w:tc>
          <w:tcPr>
            <w:tcW w:w="1095" w:type="dxa"/>
            <w:noWrap w:val="0"/>
            <w:vAlign w:val="top"/>
          </w:tcPr>
          <w:p w14:paraId="2C9D67F1">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p>
        </w:tc>
        <w:tc>
          <w:tcPr>
            <w:tcW w:w="1245" w:type="dxa"/>
            <w:noWrap w:val="0"/>
            <w:vAlign w:val="top"/>
          </w:tcPr>
          <w:p w14:paraId="0EA67601">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p>
        </w:tc>
        <w:tc>
          <w:tcPr>
            <w:tcW w:w="1980" w:type="dxa"/>
            <w:noWrap w:val="0"/>
            <w:vAlign w:val="top"/>
          </w:tcPr>
          <w:p w14:paraId="7545AD5D">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p>
        </w:tc>
        <w:tc>
          <w:tcPr>
            <w:tcW w:w="1260" w:type="dxa"/>
            <w:noWrap w:val="0"/>
            <w:vAlign w:val="top"/>
          </w:tcPr>
          <w:p w14:paraId="4D0FBDE4">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p>
        </w:tc>
      </w:tr>
    </w:tbl>
    <w:p w14:paraId="401C9C2C">
      <w:pPr>
        <w:autoSpaceDE w:val="0"/>
        <w:autoSpaceDN w:val="0"/>
        <w:spacing w:line="360" w:lineRule="auto"/>
        <w:rPr>
          <w:rFonts w:hint="eastAsia"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注：关于项目涉及的所有售后服务机构均在本表注明，包括供应商本单位和符合条件的第三方服务机构；</w:t>
      </w:r>
    </w:p>
    <w:p w14:paraId="5203D3E7">
      <w:pPr>
        <w:autoSpaceDE w:val="0"/>
        <w:autoSpaceDN w:val="0"/>
        <w:spacing w:line="360" w:lineRule="auto"/>
        <w:rPr>
          <w:rFonts w:hint="eastAsia" w:ascii="仿宋_GB2312" w:hAnsi="仿宋" w:eastAsia="仿宋_GB2312" w:cs="仿宋_GB2312"/>
          <w:color w:val="auto"/>
          <w:kern w:val="0"/>
          <w:sz w:val="24"/>
          <w:highlight w:val="none"/>
        </w:rPr>
      </w:pPr>
      <w:r>
        <w:rPr>
          <w:rFonts w:hint="eastAsia" w:ascii="仿宋_GB2312" w:hAnsi="仿宋" w:eastAsia="仿宋_GB2312" w:cs="仿宋_GB2312"/>
          <w:b/>
          <w:color w:val="auto"/>
          <w:kern w:val="0"/>
          <w:sz w:val="24"/>
          <w:highlight w:val="none"/>
        </w:rPr>
        <w:t>附表B：售后服务人员情况表</w:t>
      </w:r>
      <w:r>
        <w:rPr>
          <w:rFonts w:hint="eastAsia" w:ascii="仿宋_GB2312" w:hAnsi="仿宋" w:eastAsia="仿宋_GB2312" w:cs="仿宋_GB2312"/>
          <w:color w:val="auto"/>
          <w:sz w:val="24"/>
          <w:highlight w:val="none"/>
        </w:rPr>
        <w:t>（按此格式自制）</w:t>
      </w:r>
    </w:p>
    <w:tbl>
      <w:tblPr>
        <w:tblStyle w:val="30"/>
        <w:tblW w:w="0" w:type="auto"/>
        <w:jc w:val="center"/>
        <w:tblLayout w:type="fixed"/>
        <w:tblCellMar>
          <w:top w:w="0" w:type="dxa"/>
          <w:left w:w="108" w:type="dxa"/>
          <w:bottom w:w="0" w:type="dxa"/>
          <w:right w:w="108" w:type="dxa"/>
        </w:tblCellMar>
      </w:tblPr>
      <w:tblGrid>
        <w:gridCol w:w="646"/>
        <w:gridCol w:w="746"/>
        <w:gridCol w:w="787"/>
        <w:gridCol w:w="412"/>
        <w:gridCol w:w="900"/>
        <w:gridCol w:w="1080"/>
        <w:gridCol w:w="1080"/>
        <w:gridCol w:w="1080"/>
        <w:gridCol w:w="1260"/>
        <w:gridCol w:w="900"/>
        <w:gridCol w:w="1111"/>
      </w:tblGrid>
      <w:tr w14:paraId="1EF40208">
        <w:tblPrEx>
          <w:tblCellMar>
            <w:top w:w="0" w:type="dxa"/>
            <w:left w:w="108" w:type="dxa"/>
            <w:bottom w:w="0" w:type="dxa"/>
            <w:right w:w="108" w:type="dxa"/>
          </w:tblCellMar>
        </w:tblPrEx>
        <w:trPr>
          <w:jc w:val="center"/>
        </w:trPr>
        <w:tc>
          <w:tcPr>
            <w:tcW w:w="646" w:type="dxa"/>
            <w:tcBorders>
              <w:top w:val="single" w:color="auto" w:sz="6" w:space="0"/>
              <w:left w:val="single" w:color="auto" w:sz="6" w:space="0"/>
              <w:bottom w:val="single" w:color="auto" w:sz="6" w:space="0"/>
              <w:right w:val="single" w:color="auto" w:sz="4" w:space="0"/>
            </w:tcBorders>
            <w:noWrap w:val="0"/>
            <w:vAlign w:val="center"/>
          </w:tcPr>
          <w:p w14:paraId="5518BF4A">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序号</w:t>
            </w:r>
          </w:p>
          <w:p w14:paraId="5843491C">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noWrap w:val="0"/>
            <w:vAlign w:val="center"/>
          </w:tcPr>
          <w:p w14:paraId="6885D2C7">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类别</w:t>
            </w:r>
          </w:p>
        </w:tc>
        <w:tc>
          <w:tcPr>
            <w:tcW w:w="787" w:type="dxa"/>
            <w:tcBorders>
              <w:top w:val="single" w:color="auto" w:sz="6" w:space="0"/>
              <w:left w:val="single" w:color="auto" w:sz="6" w:space="0"/>
              <w:bottom w:val="single" w:color="auto" w:sz="6" w:space="0"/>
              <w:right w:val="single" w:color="auto" w:sz="6" w:space="0"/>
            </w:tcBorders>
            <w:noWrap w:val="0"/>
            <w:vAlign w:val="center"/>
          </w:tcPr>
          <w:p w14:paraId="351A75E4">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noWrap w:val="0"/>
            <w:vAlign w:val="center"/>
          </w:tcPr>
          <w:p w14:paraId="4111ADBF">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性别</w:t>
            </w:r>
          </w:p>
        </w:tc>
        <w:tc>
          <w:tcPr>
            <w:tcW w:w="900" w:type="dxa"/>
            <w:tcBorders>
              <w:top w:val="single" w:color="auto" w:sz="6" w:space="0"/>
              <w:left w:val="single" w:color="auto" w:sz="6" w:space="0"/>
              <w:bottom w:val="single" w:color="auto" w:sz="6" w:space="0"/>
              <w:right w:val="single" w:color="auto" w:sz="6" w:space="0"/>
            </w:tcBorders>
            <w:noWrap w:val="0"/>
            <w:vAlign w:val="center"/>
          </w:tcPr>
          <w:p w14:paraId="1354A1C1">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年龄</w:t>
            </w:r>
          </w:p>
        </w:tc>
        <w:tc>
          <w:tcPr>
            <w:tcW w:w="1080" w:type="dxa"/>
            <w:tcBorders>
              <w:top w:val="single" w:color="auto" w:sz="6" w:space="0"/>
              <w:left w:val="single" w:color="auto" w:sz="6" w:space="0"/>
              <w:bottom w:val="single" w:color="auto" w:sz="6" w:space="0"/>
              <w:right w:val="single" w:color="auto" w:sz="6" w:space="0"/>
            </w:tcBorders>
            <w:noWrap w:val="0"/>
            <w:vAlign w:val="center"/>
          </w:tcPr>
          <w:p w14:paraId="6AB652D3">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学历</w:t>
            </w:r>
          </w:p>
        </w:tc>
        <w:tc>
          <w:tcPr>
            <w:tcW w:w="1080" w:type="dxa"/>
            <w:tcBorders>
              <w:top w:val="single" w:color="auto" w:sz="6" w:space="0"/>
              <w:left w:val="single" w:color="auto" w:sz="6" w:space="0"/>
              <w:bottom w:val="single" w:color="auto" w:sz="6" w:space="0"/>
              <w:right w:val="single" w:color="auto" w:sz="6" w:space="0"/>
            </w:tcBorders>
            <w:noWrap w:val="0"/>
            <w:vAlign w:val="center"/>
          </w:tcPr>
          <w:p w14:paraId="7AC0874F">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专业</w:t>
            </w:r>
          </w:p>
        </w:tc>
        <w:tc>
          <w:tcPr>
            <w:tcW w:w="1080" w:type="dxa"/>
            <w:tcBorders>
              <w:top w:val="single" w:color="auto" w:sz="6" w:space="0"/>
              <w:left w:val="single" w:color="auto" w:sz="6" w:space="0"/>
              <w:bottom w:val="single" w:color="auto" w:sz="6" w:space="0"/>
              <w:right w:val="single" w:color="auto" w:sz="6" w:space="0"/>
            </w:tcBorders>
            <w:noWrap w:val="0"/>
            <w:vAlign w:val="center"/>
          </w:tcPr>
          <w:p w14:paraId="7486F82E">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职称</w:t>
            </w:r>
          </w:p>
        </w:tc>
        <w:tc>
          <w:tcPr>
            <w:tcW w:w="1260" w:type="dxa"/>
            <w:tcBorders>
              <w:top w:val="single" w:color="auto" w:sz="6" w:space="0"/>
              <w:left w:val="single" w:color="auto" w:sz="6" w:space="0"/>
              <w:bottom w:val="single" w:color="auto" w:sz="6" w:space="0"/>
              <w:right w:val="single" w:color="auto" w:sz="6" w:space="0"/>
            </w:tcBorders>
            <w:noWrap w:val="0"/>
            <w:vAlign w:val="center"/>
          </w:tcPr>
          <w:p w14:paraId="04135D6D">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noWrap w:val="0"/>
            <w:vAlign w:val="center"/>
          </w:tcPr>
          <w:p w14:paraId="4A15DD4F">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响应时间</w:t>
            </w:r>
          </w:p>
        </w:tc>
        <w:tc>
          <w:tcPr>
            <w:tcW w:w="1111" w:type="dxa"/>
            <w:tcBorders>
              <w:top w:val="single" w:color="auto" w:sz="6" w:space="0"/>
              <w:left w:val="single" w:color="auto" w:sz="6" w:space="0"/>
              <w:bottom w:val="single" w:color="auto" w:sz="6" w:space="0"/>
              <w:right w:val="single" w:color="auto" w:sz="6" w:space="0"/>
            </w:tcBorders>
            <w:noWrap w:val="0"/>
            <w:vAlign w:val="center"/>
          </w:tcPr>
          <w:p w14:paraId="02D5DB6E">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到达现场时间</w:t>
            </w:r>
          </w:p>
        </w:tc>
      </w:tr>
      <w:tr w14:paraId="65CA01F8">
        <w:tblPrEx>
          <w:tblCellMar>
            <w:top w:w="0" w:type="dxa"/>
            <w:left w:w="108" w:type="dxa"/>
            <w:bottom w:w="0" w:type="dxa"/>
            <w:right w:w="108" w:type="dxa"/>
          </w:tblCellMar>
        </w:tblPrEx>
        <w:trPr>
          <w:trHeight w:val="607" w:hRule="atLeast"/>
          <w:jc w:val="center"/>
        </w:trPr>
        <w:tc>
          <w:tcPr>
            <w:tcW w:w="646" w:type="dxa"/>
            <w:tcBorders>
              <w:top w:val="single" w:color="auto" w:sz="6" w:space="0"/>
              <w:left w:val="single" w:color="auto" w:sz="6" w:space="0"/>
              <w:bottom w:val="single" w:color="auto" w:sz="6" w:space="0"/>
              <w:right w:val="single" w:color="auto" w:sz="4" w:space="0"/>
            </w:tcBorders>
            <w:noWrap w:val="0"/>
            <w:vAlign w:val="top"/>
          </w:tcPr>
          <w:p w14:paraId="4A3FEB33">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noWrap w:val="0"/>
            <w:vAlign w:val="top"/>
          </w:tcPr>
          <w:p w14:paraId="3B48E45F">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lang w:eastAsia="zh-CN"/>
              </w:rPr>
            </w:pPr>
            <w:r>
              <w:rPr>
                <w:rFonts w:hint="eastAsia" w:ascii="仿宋_GB2312" w:hAnsi="仿宋" w:eastAsia="仿宋_GB2312" w:cs="仿宋_GB2312"/>
                <w:color w:val="auto"/>
                <w:sz w:val="24"/>
                <w:highlight w:val="none"/>
              </w:rPr>
              <w:t>总</w:t>
            </w:r>
            <w:r>
              <w:rPr>
                <w:rFonts w:hint="eastAsia" w:ascii="仿宋_GB2312" w:hAnsi="仿宋" w:eastAsia="仿宋_GB2312" w:cs="仿宋_GB2312"/>
                <w:color w:val="auto"/>
                <w:sz w:val="24"/>
                <w:highlight w:val="none"/>
                <w:lang w:val="en-US" w:eastAsia="zh-CN"/>
              </w:rPr>
              <w:t>负责人</w:t>
            </w:r>
          </w:p>
        </w:tc>
        <w:tc>
          <w:tcPr>
            <w:tcW w:w="787" w:type="dxa"/>
            <w:tcBorders>
              <w:top w:val="single" w:color="auto" w:sz="6" w:space="0"/>
              <w:left w:val="single" w:color="auto" w:sz="6" w:space="0"/>
              <w:bottom w:val="single" w:color="auto" w:sz="6" w:space="0"/>
              <w:right w:val="single" w:color="auto" w:sz="6" w:space="0"/>
            </w:tcBorders>
            <w:noWrap w:val="0"/>
            <w:vAlign w:val="top"/>
          </w:tcPr>
          <w:p w14:paraId="119574BF">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1577FCCC">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25A3E43D">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1E0AE408">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3F2E9294">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52E7C4E2">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5AA1FE6C">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38E88F87">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noWrap w:val="0"/>
            <w:vAlign w:val="top"/>
          </w:tcPr>
          <w:p w14:paraId="20954A1E">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color w:val="auto"/>
                <w:sz w:val="24"/>
                <w:highlight w:val="none"/>
              </w:rPr>
            </w:pPr>
          </w:p>
        </w:tc>
      </w:tr>
      <w:tr w14:paraId="1A1A3C41">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noWrap w:val="0"/>
            <w:vAlign w:val="top"/>
          </w:tcPr>
          <w:p w14:paraId="28040B27">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noWrap w:val="0"/>
            <w:vAlign w:val="top"/>
          </w:tcPr>
          <w:p w14:paraId="2C4C201E">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售后人员</w:t>
            </w:r>
          </w:p>
        </w:tc>
        <w:tc>
          <w:tcPr>
            <w:tcW w:w="787" w:type="dxa"/>
            <w:tcBorders>
              <w:top w:val="single" w:color="auto" w:sz="6" w:space="0"/>
              <w:left w:val="single" w:color="auto" w:sz="6" w:space="0"/>
              <w:bottom w:val="single" w:color="auto" w:sz="6" w:space="0"/>
              <w:right w:val="single" w:color="auto" w:sz="6" w:space="0"/>
            </w:tcBorders>
            <w:noWrap w:val="0"/>
            <w:vAlign w:val="top"/>
          </w:tcPr>
          <w:p w14:paraId="3E94287C">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639E9D66">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45D28C10">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166099A5">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33E4D3F5">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66DFAE77">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51A12D47">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19CF8E1D">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noWrap w:val="0"/>
            <w:vAlign w:val="top"/>
          </w:tcPr>
          <w:p w14:paraId="2874ADAF">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color w:val="auto"/>
                <w:sz w:val="24"/>
                <w:highlight w:val="none"/>
              </w:rPr>
            </w:pPr>
          </w:p>
        </w:tc>
      </w:tr>
      <w:tr w14:paraId="762949C6">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noWrap w:val="0"/>
            <w:vAlign w:val="top"/>
          </w:tcPr>
          <w:p w14:paraId="214A217F">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noWrap w:val="0"/>
            <w:vAlign w:val="top"/>
          </w:tcPr>
          <w:p w14:paraId="0FBA8377">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noWrap w:val="0"/>
            <w:vAlign w:val="top"/>
          </w:tcPr>
          <w:p w14:paraId="51A54159">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0465B979">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14211E61">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5B44A48A">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335D05F0">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56927795">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38C11BD7">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3DA3686A">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noWrap w:val="0"/>
            <w:vAlign w:val="top"/>
          </w:tcPr>
          <w:p w14:paraId="463F36A3">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color w:val="auto"/>
                <w:sz w:val="24"/>
                <w:highlight w:val="none"/>
              </w:rPr>
            </w:pPr>
          </w:p>
        </w:tc>
      </w:tr>
      <w:tr w14:paraId="42F251E6">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noWrap w:val="0"/>
            <w:vAlign w:val="top"/>
          </w:tcPr>
          <w:p w14:paraId="5416C456">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noWrap w:val="0"/>
            <w:vAlign w:val="top"/>
          </w:tcPr>
          <w:p w14:paraId="5668B75A">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noWrap w:val="0"/>
            <w:vAlign w:val="top"/>
          </w:tcPr>
          <w:p w14:paraId="1F70156F">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6A11B806">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66DBE7C2">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264BC428">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6122AD17">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1E2E33E6">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6FF51357">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427B8240">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noWrap w:val="0"/>
            <w:vAlign w:val="top"/>
          </w:tcPr>
          <w:p w14:paraId="03BBC972">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color w:val="auto"/>
                <w:sz w:val="24"/>
                <w:highlight w:val="none"/>
              </w:rPr>
            </w:pPr>
          </w:p>
        </w:tc>
      </w:tr>
    </w:tbl>
    <w:p w14:paraId="13314AE7">
      <w:pPr>
        <w:spacing w:line="500" w:lineRule="exact"/>
        <w:rPr>
          <w:rFonts w:hint="eastAsia" w:ascii="仿宋_GB2312" w:hAnsi="仿宋_GB2312" w:eastAsia="仿宋_GB2312" w:cs="仿宋_GB2312"/>
          <w:color w:val="auto"/>
          <w:sz w:val="32"/>
          <w:szCs w:val="32"/>
          <w:highlight w:val="none"/>
        </w:rPr>
      </w:pPr>
    </w:p>
    <w:p w14:paraId="0B76226A">
      <w:pPr>
        <w:autoSpaceDE w:val="0"/>
        <w:autoSpaceDN w:val="0"/>
        <w:spacing w:line="360" w:lineRule="auto"/>
        <w:ind w:left="4335" w:leftChars="1950" w:hanging="240" w:hangingChars="1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14:paraId="7519DC5C">
      <w:pPr>
        <w:snapToGrid w:val="0"/>
        <w:spacing w:line="360" w:lineRule="auto"/>
        <w:ind w:firstLine="6120" w:firstLineChars="2550"/>
        <w:rPr>
          <w:rFonts w:hint="eastAsia"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日期：  年  月   日</w:t>
      </w:r>
    </w:p>
    <w:p w14:paraId="5564FAEE">
      <w:pPr>
        <w:snapToGrid w:val="0"/>
        <w:spacing w:line="360" w:lineRule="auto"/>
        <w:ind w:firstLine="4935" w:firstLineChars="2350"/>
        <w:rPr>
          <w:rFonts w:hint="eastAsia" w:hAnsi="宋体"/>
          <w:color w:val="auto"/>
          <w:szCs w:val="21"/>
          <w:highlight w:val="none"/>
        </w:rPr>
      </w:pPr>
    </w:p>
    <w:p w14:paraId="6476F147">
      <w:pPr>
        <w:numPr>
          <w:ilvl w:val="0"/>
          <w:numId w:val="3"/>
        </w:numPr>
        <w:snapToGrid w:val="0"/>
        <w:spacing w:before="120" w:beforeLines="50" w:after="50"/>
        <w:ind w:firstLine="904" w:firstLineChars="300"/>
        <w:rPr>
          <w:rFonts w:hint="eastAsia" w:ascii="仿宋" w:hAnsi="仿宋" w:eastAsia="仿宋" w:cs="仿宋_GB2312"/>
          <w:b/>
          <w:color w:val="auto"/>
          <w:sz w:val="30"/>
          <w:szCs w:val="30"/>
          <w:highlight w:val="none"/>
          <w:lang w:val="en-US" w:eastAsia="zh-CN"/>
        </w:rPr>
      </w:pPr>
      <w:r>
        <w:rPr>
          <w:rFonts w:hint="eastAsia" w:ascii="仿宋" w:hAnsi="仿宋" w:eastAsia="仿宋" w:cs="仿宋_GB2312"/>
          <w:b/>
          <w:color w:val="auto"/>
          <w:sz w:val="30"/>
          <w:szCs w:val="30"/>
          <w:highlight w:val="none"/>
          <w:lang w:val="en-US" w:eastAsia="zh-CN"/>
        </w:rPr>
        <w:t>拟投入本项目人员</w:t>
      </w:r>
    </w:p>
    <w:p w14:paraId="418872D7">
      <w:pPr>
        <w:pStyle w:val="14"/>
        <w:widowControl w:val="0"/>
        <w:numPr>
          <w:ilvl w:val="0"/>
          <w:numId w:val="0"/>
        </w:numPr>
        <w:spacing w:after="120"/>
        <w:jc w:val="both"/>
        <w:rPr>
          <w:rFonts w:hint="default"/>
          <w:lang w:val="en-US" w:eastAsia="zh-CN"/>
        </w:rPr>
      </w:pPr>
    </w:p>
    <w:p w14:paraId="624B1C7E">
      <w:pPr>
        <w:autoSpaceDE w:val="0"/>
        <w:autoSpaceDN w:val="0"/>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（由供应商根据采购需求及采购文件要求编制）</w:t>
      </w:r>
    </w:p>
    <w:p w14:paraId="5A57128B">
      <w:pPr>
        <w:rPr>
          <w:rFonts w:hint="eastAsia"/>
          <w:lang w:val="en-US" w:eastAsia="zh-CN"/>
        </w:rPr>
      </w:pPr>
    </w:p>
    <w:p w14:paraId="613C20F4">
      <w:pPr>
        <w:pStyle w:val="14"/>
        <w:rPr>
          <w:rFonts w:hint="eastAsia"/>
          <w:lang w:val="en-US" w:eastAsia="zh-CN"/>
        </w:rPr>
      </w:pPr>
    </w:p>
    <w:p w14:paraId="01337B7E">
      <w:pPr>
        <w:rPr>
          <w:rFonts w:hint="eastAsia"/>
          <w:lang w:val="en-US" w:eastAsia="zh-CN"/>
        </w:rPr>
      </w:pPr>
    </w:p>
    <w:p w14:paraId="0A5033C0">
      <w:pPr>
        <w:snapToGrid w:val="0"/>
        <w:spacing w:line="360" w:lineRule="auto"/>
        <w:ind w:left="4410" w:leftChars="2100" w:firstLine="6480" w:firstLineChars="2700"/>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lang w:val="zh-CN"/>
        </w:rPr>
        <w:t>供</w:t>
      </w:r>
      <w:r>
        <w:rPr>
          <w:rFonts w:hint="eastAsia" w:ascii="仿宋_GB2312" w:hAnsi="仿宋" w:eastAsia="仿宋_GB2312" w:cs="仿宋_GB2312"/>
          <w:color w:val="auto"/>
          <w:kern w:val="0"/>
          <w:sz w:val="24"/>
          <w:highlight w:val="none"/>
          <w:lang w:val="en-US" w:eastAsia="zh-CN"/>
        </w:rPr>
        <w:t>供</w:t>
      </w:r>
      <w:r>
        <w:rPr>
          <w:rFonts w:hint="eastAsia" w:ascii="仿宋_GB2312" w:hAnsi="仿宋" w:eastAsia="仿宋_GB2312" w:cs="仿宋_GB2312"/>
          <w:color w:val="auto"/>
          <w:kern w:val="0"/>
          <w:sz w:val="24"/>
          <w:highlight w:val="none"/>
          <w:lang w:val="zh-CN"/>
        </w:rPr>
        <w:t>应商名称(电子签章)：</w:t>
      </w:r>
    </w:p>
    <w:p w14:paraId="0240D056">
      <w:pPr>
        <w:spacing w:line="500" w:lineRule="exact"/>
        <w:jc w:val="center"/>
        <w:rPr>
          <w:rFonts w:hint="eastAsia"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 xml:space="preserve">                                                     日期</w:t>
      </w:r>
      <w:r>
        <w:rPr>
          <w:rFonts w:hint="eastAsia" w:ascii="仿宋_GB2312" w:hAnsi="仿宋" w:eastAsia="仿宋_GB2312" w:cs="仿宋_GB2312"/>
          <w:color w:val="auto"/>
          <w:kern w:val="0"/>
          <w:sz w:val="24"/>
          <w:highlight w:val="none"/>
        </w:rPr>
        <w:t xml:space="preserve">：  年  </w:t>
      </w:r>
      <w:r>
        <w:rPr>
          <w:rFonts w:hint="eastAsia" w:ascii="仿宋_GB2312" w:hAnsi="仿宋" w:eastAsia="仿宋_GB2312" w:cs="仿宋_GB2312"/>
          <w:color w:val="auto"/>
          <w:kern w:val="0"/>
          <w:sz w:val="24"/>
          <w:highlight w:val="none"/>
          <w:lang w:val="zh-CN"/>
        </w:rPr>
        <w:t>月</w:t>
      </w:r>
      <w:r>
        <w:rPr>
          <w:rFonts w:hint="eastAsia" w:ascii="仿宋_GB2312" w:hAnsi="仿宋" w:eastAsia="仿宋_GB2312" w:cs="仿宋_GB2312"/>
          <w:color w:val="auto"/>
          <w:kern w:val="0"/>
          <w:sz w:val="24"/>
          <w:highlight w:val="none"/>
        </w:rPr>
        <w:t xml:space="preserve">   </w:t>
      </w:r>
      <w:r>
        <w:rPr>
          <w:rFonts w:hint="eastAsia" w:ascii="仿宋_GB2312" w:hAnsi="仿宋" w:eastAsia="仿宋_GB2312" w:cs="仿宋_GB2312"/>
          <w:color w:val="auto"/>
          <w:kern w:val="0"/>
          <w:sz w:val="24"/>
          <w:highlight w:val="none"/>
          <w:lang w:val="zh-CN"/>
        </w:rPr>
        <w:t>日</w:t>
      </w:r>
    </w:p>
    <w:p w14:paraId="0434BC2C">
      <w:pPr>
        <w:pStyle w:val="14"/>
        <w:rPr>
          <w:rFonts w:hint="default"/>
          <w:lang w:val="en-US" w:eastAsia="zh-CN"/>
        </w:rPr>
      </w:pPr>
    </w:p>
    <w:p w14:paraId="5E89D4EF">
      <w:pPr>
        <w:pStyle w:val="14"/>
        <w:rPr>
          <w:rFonts w:hint="default"/>
          <w:lang w:val="en-US" w:eastAsia="zh-CN"/>
        </w:rPr>
      </w:pPr>
    </w:p>
    <w:p w14:paraId="5E9822B3">
      <w:pPr>
        <w:numPr>
          <w:ilvl w:val="0"/>
          <w:numId w:val="0"/>
        </w:numPr>
        <w:snapToGrid w:val="0"/>
        <w:spacing w:before="120" w:beforeLines="50" w:after="50"/>
        <w:ind w:firstLine="904" w:firstLineChars="300"/>
        <w:rPr>
          <w:rFonts w:hint="eastAsia" w:ascii="仿宋" w:hAnsi="仿宋" w:eastAsia="仿宋" w:cs="仿宋_GB2312"/>
          <w:b/>
          <w:color w:val="auto"/>
          <w:sz w:val="30"/>
          <w:szCs w:val="30"/>
          <w:highlight w:val="none"/>
          <w:lang w:val="en-US" w:eastAsia="zh-CN"/>
        </w:rPr>
      </w:pPr>
      <w:r>
        <w:rPr>
          <w:rFonts w:hint="eastAsia" w:ascii="仿宋" w:hAnsi="仿宋" w:eastAsia="仿宋" w:cs="仿宋_GB2312"/>
          <w:b/>
          <w:color w:val="auto"/>
          <w:sz w:val="30"/>
          <w:szCs w:val="30"/>
          <w:highlight w:val="none"/>
          <w:lang w:val="en-US" w:eastAsia="zh-CN"/>
        </w:rPr>
        <w:t>八、信誉业绩及综合实力服务</w:t>
      </w:r>
    </w:p>
    <w:p w14:paraId="733D545D">
      <w:pPr>
        <w:pStyle w:val="14"/>
        <w:widowControl w:val="0"/>
        <w:numPr>
          <w:ilvl w:val="0"/>
          <w:numId w:val="0"/>
        </w:numPr>
        <w:spacing w:after="120"/>
        <w:jc w:val="both"/>
        <w:rPr>
          <w:rFonts w:hint="eastAsia"/>
          <w:lang w:val="en-US" w:eastAsia="zh-CN"/>
        </w:rPr>
      </w:pPr>
    </w:p>
    <w:p w14:paraId="45E962CC">
      <w:pPr>
        <w:autoSpaceDE w:val="0"/>
        <w:autoSpaceDN w:val="0"/>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（由供应商根据采购需求及采购文件要求编制）</w:t>
      </w:r>
    </w:p>
    <w:p w14:paraId="163B415C">
      <w:pPr>
        <w:rPr>
          <w:rFonts w:hint="eastAsia"/>
          <w:lang w:val="en-US" w:eastAsia="zh-CN"/>
        </w:rPr>
      </w:pPr>
    </w:p>
    <w:p w14:paraId="7B1BDE3E">
      <w:pPr>
        <w:pStyle w:val="14"/>
        <w:rPr>
          <w:rFonts w:hint="eastAsia"/>
          <w:lang w:val="en-US" w:eastAsia="zh-CN"/>
        </w:rPr>
      </w:pPr>
    </w:p>
    <w:p w14:paraId="63E288CB">
      <w:pPr>
        <w:rPr>
          <w:rFonts w:hint="eastAsia"/>
          <w:lang w:val="en-US" w:eastAsia="zh-CN"/>
        </w:rPr>
      </w:pPr>
    </w:p>
    <w:p w14:paraId="02B67151">
      <w:pPr>
        <w:snapToGrid w:val="0"/>
        <w:spacing w:line="360" w:lineRule="auto"/>
        <w:ind w:left="4410" w:leftChars="2100" w:firstLine="6480" w:firstLineChars="2700"/>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lang w:val="zh-CN"/>
        </w:rPr>
        <w:t>供</w:t>
      </w:r>
      <w:r>
        <w:rPr>
          <w:rFonts w:hint="eastAsia" w:ascii="仿宋_GB2312" w:hAnsi="仿宋" w:eastAsia="仿宋_GB2312" w:cs="仿宋_GB2312"/>
          <w:color w:val="auto"/>
          <w:kern w:val="0"/>
          <w:sz w:val="24"/>
          <w:highlight w:val="none"/>
          <w:lang w:val="en-US" w:eastAsia="zh-CN"/>
        </w:rPr>
        <w:t>供</w:t>
      </w:r>
      <w:r>
        <w:rPr>
          <w:rFonts w:hint="eastAsia" w:ascii="仿宋_GB2312" w:hAnsi="仿宋" w:eastAsia="仿宋_GB2312" w:cs="仿宋_GB2312"/>
          <w:color w:val="auto"/>
          <w:kern w:val="0"/>
          <w:sz w:val="24"/>
          <w:highlight w:val="none"/>
          <w:lang w:val="zh-CN"/>
        </w:rPr>
        <w:t>应商名称(电子签章)：</w:t>
      </w:r>
    </w:p>
    <w:p w14:paraId="705A499C">
      <w:pPr>
        <w:spacing w:line="500" w:lineRule="exact"/>
        <w:jc w:val="center"/>
        <w:rPr>
          <w:rFonts w:hint="eastAsia"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 xml:space="preserve">                                                     日期</w:t>
      </w:r>
      <w:r>
        <w:rPr>
          <w:rFonts w:hint="eastAsia" w:ascii="仿宋_GB2312" w:hAnsi="仿宋" w:eastAsia="仿宋_GB2312" w:cs="仿宋_GB2312"/>
          <w:color w:val="auto"/>
          <w:kern w:val="0"/>
          <w:sz w:val="24"/>
          <w:highlight w:val="none"/>
        </w:rPr>
        <w:t xml:space="preserve">：  年  </w:t>
      </w:r>
      <w:r>
        <w:rPr>
          <w:rFonts w:hint="eastAsia" w:ascii="仿宋_GB2312" w:hAnsi="仿宋" w:eastAsia="仿宋_GB2312" w:cs="仿宋_GB2312"/>
          <w:color w:val="auto"/>
          <w:kern w:val="0"/>
          <w:sz w:val="24"/>
          <w:highlight w:val="none"/>
          <w:lang w:val="zh-CN"/>
        </w:rPr>
        <w:t>月</w:t>
      </w:r>
      <w:r>
        <w:rPr>
          <w:rFonts w:hint="eastAsia" w:ascii="仿宋_GB2312" w:hAnsi="仿宋" w:eastAsia="仿宋_GB2312" w:cs="仿宋_GB2312"/>
          <w:color w:val="auto"/>
          <w:kern w:val="0"/>
          <w:sz w:val="24"/>
          <w:highlight w:val="none"/>
        </w:rPr>
        <w:t xml:space="preserve">   </w:t>
      </w:r>
      <w:r>
        <w:rPr>
          <w:rFonts w:hint="eastAsia" w:ascii="仿宋_GB2312" w:hAnsi="仿宋" w:eastAsia="仿宋_GB2312" w:cs="仿宋_GB2312"/>
          <w:color w:val="auto"/>
          <w:kern w:val="0"/>
          <w:sz w:val="24"/>
          <w:highlight w:val="none"/>
          <w:lang w:val="zh-CN"/>
        </w:rPr>
        <w:t>日</w:t>
      </w:r>
    </w:p>
    <w:p w14:paraId="726C7747">
      <w:pPr>
        <w:pStyle w:val="14"/>
        <w:rPr>
          <w:rFonts w:hint="eastAsia"/>
          <w:lang w:val="en-US" w:eastAsia="zh-CN"/>
        </w:rPr>
        <w:sectPr>
          <w:pgSz w:w="11910" w:h="16840"/>
          <w:pgMar w:top="1340" w:right="1500" w:bottom="280" w:left="1680" w:header="720" w:footer="720" w:gutter="0"/>
          <w:pgBorders>
            <w:top w:val="none" w:sz="0" w:space="0"/>
            <w:left w:val="none" w:sz="0" w:space="0"/>
            <w:bottom w:val="none" w:sz="0" w:space="0"/>
            <w:right w:val="none" w:sz="0" w:space="0"/>
          </w:pgBorders>
          <w:pgNumType w:fmt="decimal"/>
          <w:cols w:space="720" w:num="1"/>
        </w:sectPr>
      </w:pPr>
    </w:p>
    <w:p w14:paraId="3D2650E3">
      <w:pPr>
        <w:snapToGrid w:val="0"/>
        <w:spacing w:line="360" w:lineRule="auto"/>
        <w:ind w:firstLine="602" w:firstLineChars="200"/>
        <w:rPr>
          <w:rFonts w:ascii="仿宋_GB2312" w:hAnsi="仿宋_GB2312" w:eastAsia="仿宋_GB2312" w:cs="仿宋_GB2312"/>
          <w:color w:val="auto"/>
          <w:sz w:val="32"/>
          <w:szCs w:val="32"/>
          <w:highlight w:val="none"/>
        </w:rPr>
      </w:pPr>
      <w:r>
        <w:rPr>
          <w:rFonts w:hint="eastAsia" w:ascii="仿宋" w:hAnsi="仿宋" w:eastAsia="仿宋" w:cs="仿宋_GB2312"/>
          <w:b/>
          <w:color w:val="auto"/>
          <w:sz w:val="30"/>
          <w:szCs w:val="30"/>
          <w:highlight w:val="none"/>
          <w:lang w:val="en-US" w:eastAsia="zh-CN"/>
        </w:rPr>
        <w:t>九</w:t>
      </w:r>
      <w:r>
        <w:rPr>
          <w:rFonts w:hint="eastAsia" w:ascii="仿宋" w:hAnsi="仿宋" w:eastAsia="仿宋" w:cs="仿宋_GB2312"/>
          <w:b/>
          <w:color w:val="auto"/>
          <w:sz w:val="30"/>
          <w:szCs w:val="30"/>
          <w:highlight w:val="none"/>
        </w:rPr>
        <w:t>、服务需求偏离表</w:t>
      </w:r>
    </w:p>
    <w:p w14:paraId="34184C65">
      <w:pPr>
        <w:spacing w:line="500" w:lineRule="exact"/>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竞标产品服务需求偏离表</w:t>
      </w:r>
    </w:p>
    <w:p w14:paraId="22CF5937">
      <w:pPr>
        <w:spacing w:line="500" w:lineRule="exact"/>
        <w:jc w:val="center"/>
        <w:rPr>
          <w:rFonts w:hint="eastAsia" w:ascii="宋体" w:hAnsi="宋体"/>
          <w:b/>
          <w:color w:val="auto"/>
          <w:sz w:val="32"/>
          <w:szCs w:val="32"/>
          <w:highlight w:val="none"/>
        </w:rPr>
      </w:pPr>
      <w:r>
        <w:rPr>
          <w:rFonts w:hint="eastAsia" w:ascii="方正小标宋简体" w:hAnsi="方正小标宋简体" w:eastAsia="方正小标宋简体" w:cs="方正小标宋简体"/>
          <w:bCs/>
          <w:color w:val="auto"/>
          <w:sz w:val="44"/>
          <w:szCs w:val="44"/>
          <w:highlight w:val="none"/>
        </w:rPr>
        <w:t>(注：按采购需求具体条款修改)</w:t>
      </w:r>
    </w:p>
    <w:p w14:paraId="01770DC9">
      <w:pPr>
        <w:spacing w:line="360" w:lineRule="auto"/>
        <w:contextualSpacing/>
        <w:jc w:val="left"/>
        <w:rPr>
          <w:rFonts w:hint="eastAsia" w:ascii="宋体" w:hAnsi="宋体"/>
          <w:color w:val="auto"/>
          <w:sz w:val="24"/>
          <w:highlight w:val="none"/>
        </w:rPr>
      </w:pPr>
    </w:p>
    <w:p w14:paraId="1FB19050">
      <w:pPr>
        <w:pStyle w:val="18"/>
        <w:spacing w:line="360" w:lineRule="auto"/>
        <w:contextualSpacing/>
        <w:rPr>
          <w:rFonts w:hint="eastAsia" w:hAnsi="宋体" w:cs="仿宋_GB2312"/>
          <w:color w:val="auto"/>
          <w:sz w:val="24"/>
          <w:szCs w:val="24"/>
          <w:highlight w:val="none"/>
        </w:rPr>
      </w:pPr>
      <w:r>
        <w:rPr>
          <w:rFonts w:hint="eastAsia" w:hAnsi="宋体" w:cs="仿宋_GB2312"/>
          <w:color w:val="auto"/>
          <w:sz w:val="24"/>
          <w:szCs w:val="24"/>
          <w:highlight w:val="none"/>
        </w:rPr>
        <w:t>所竞分标：</w:t>
      </w:r>
      <w:r>
        <w:rPr>
          <w:rFonts w:hint="eastAsia" w:hAnsi="宋体" w:cs="仿宋_GB2312"/>
          <w:color w:val="auto"/>
          <w:sz w:val="24"/>
          <w:szCs w:val="24"/>
          <w:highlight w:val="none"/>
          <w:u w:val="single"/>
        </w:rPr>
        <w:t xml:space="preserve">              </w:t>
      </w:r>
    </w:p>
    <w:tbl>
      <w:tblPr>
        <w:tblStyle w:val="30"/>
        <w:tblW w:w="80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3"/>
        <w:gridCol w:w="1142"/>
        <w:gridCol w:w="736"/>
        <w:gridCol w:w="1576"/>
        <w:gridCol w:w="1140"/>
        <w:gridCol w:w="658"/>
        <w:gridCol w:w="1146"/>
        <w:gridCol w:w="1095"/>
      </w:tblGrid>
      <w:tr w14:paraId="673FB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jc w:val="center"/>
        </w:trPr>
        <w:tc>
          <w:tcPr>
            <w:tcW w:w="593" w:type="dxa"/>
            <w:vMerge w:val="restart"/>
            <w:tcBorders>
              <w:top w:val="single" w:color="auto" w:sz="4" w:space="0"/>
              <w:left w:val="single" w:color="auto" w:sz="4" w:space="0"/>
              <w:bottom w:val="single" w:color="auto" w:sz="4" w:space="0"/>
              <w:right w:val="single" w:color="auto" w:sz="4" w:space="0"/>
            </w:tcBorders>
            <w:noWrap w:val="0"/>
            <w:vAlign w:val="center"/>
          </w:tcPr>
          <w:p w14:paraId="3F461A4F">
            <w:pPr>
              <w:keepNext w:val="0"/>
              <w:keepLines w:val="0"/>
              <w:suppressLineNumbers w:val="0"/>
              <w:spacing w:before="0" w:beforeAutospacing="0" w:after="0" w:afterAutospacing="0"/>
              <w:ind w:left="0" w:right="0"/>
              <w:rPr>
                <w:rFonts w:hint="default" w:ascii="宋体" w:hAnsi="宋体" w:cs="Times New Roman"/>
                <w:color w:val="auto"/>
                <w:szCs w:val="21"/>
                <w:highlight w:val="none"/>
              </w:rPr>
            </w:pPr>
            <w:r>
              <w:rPr>
                <w:rFonts w:hint="eastAsia" w:ascii="宋体" w:hAnsi="宋体" w:cs="Times New Roman"/>
                <w:color w:val="auto"/>
                <w:szCs w:val="21"/>
                <w:highlight w:val="none"/>
              </w:rPr>
              <w:t>项号</w:t>
            </w:r>
          </w:p>
        </w:tc>
        <w:tc>
          <w:tcPr>
            <w:tcW w:w="3454" w:type="dxa"/>
            <w:gridSpan w:val="3"/>
            <w:tcBorders>
              <w:top w:val="single" w:color="auto" w:sz="4" w:space="0"/>
              <w:left w:val="single" w:color="auto" w:sz="4" w:space="0"/>
              <w:bottom w:val="single" w:color="auto" w:sz="4" w:space="0"/>
              <w:right w:val="single" w:color="auto" w:sz="4" w:space="0"/>
            </w:tcBorders>
            <w:noWrap w:val="0"/>
            <w:vAlign w:val="center"/>
          </w:tcPr>
          <w:p w14:paraId="0397308B">
            <w:pPr>
              <w:keepNext w:val="0"/>
              <w:keepLines w:val="0"/>
              <w:suppressLineNumbers w:val="0"/>
              <w:spacing w:before="0" w:beforeAutospacing="0" w:after="0" w:afterAutospacing="0"/>
              <w:ind w:left="0" w:right="0"/>
              <w:jc w:val="center"/>
              <w:rPr>
                <w:rFonts w:hint="default" w:ascii="宋体" w:hAnsi="宋体" w:cs="Times New Roman"/>
                <w:color w:val="auto"/>
                <w:szCs w:val="21"/>
                <w:highlight w:val="none"/>
              </w:rPr>
            </w:pPr>
            <w:r>
              <w:rPr>
                <w:rFonts w:hint="eastAsia" w:ascii="宋体" w:hAnsi="宋体" w:cs="Times New Roman"/>
                <w:color w:val="auto"/>
                <w:szCs w:val="21"/>
                <w:highlight w:val="none"/>
              </w:rPr>
              <w:t>竞争性磋商采购文件需求</w:t>
            </w:r>
          </w:p>
        </w:tc>
        <w:tc>
          <w:tcPr>
            <w:tcW w:w="2944" w:type="dxa"/>
            <w:gridSpan w:val="3"/>
            <w:tcBorders>
              <w:top w:val="single" w:color="auto" w:sz="4" w:space="0"/>
              <w:left w:val="single" w:color="auto" w:sz="4" w:space="0"/>
              <w:bottom w:val="single" w:color="auto" w:sz="4" w:space="0"/>
              <w:right w:val="single" w:color="auto" w:sz="4" w:space="0"/>
            </w:tcBorders>
            <w:noWrap w:val="0"/>
            <w:vAlign w:val="center"/>
          </w:tcPr>
          <w:p w14:paraId="787FCA62">
            <w:pPr>
              <w:keepNext w:val="0"/>
              <w:keepLines w:val="0"/>
              <w:suppressLineNumbers w:val="0"/>
              <w:spacing w:before="0" w:beforeAutospacing="0" w:after="0" w:afterAutospacing="0"/>
              <w:ind w:left="0" w:right="0"/>
              <w:jc w:val="center"/>
              <w:rPr>
                <w:rFonts w:hint="default" w:ascii="宋体" w:hAnsi="宋体" w:cs="Times New Roman"/>
                <w:color w:val="auto"/>
                <w:szCs w:val="21"/>
                <w:highlight w:val="none"/>
              </w:rPr>
            </w:pPr>
            <w:r>
              <w:rPr>
                <w:rFonts w:hint="eastAsia" w:ascii="宋体" w:hAnsi="宋体" w:cs="Times New Roman"/>
                <w:color w:val="auto"/>
                <w:szCs w:val="21"/>
                <w:highlight w:val="none"/>
              </w:rPr>
              <w:t>响应文件承诺</w:t>
            </w:r>
          </w:p>
        </w:tc>
        <w:tc>
          <w:tcPr>
            <w:tcW w:w="1095" w:type="dxa"/>
            <w:vMerge w:val="restart"/>
            <w:tcBorders>
              <w:top w:val="single" w:color="auto" w:sz="4" w:space="0"/>
              <w:left w:val="single" w:color="auto" w:sz="4" w:space="0"/>
              <w:bottom w:val="single" w:color="auto" w:sz="4" w:space="0"/>
              <w:right w:val="single" w:color="auto" w:sz="4" w:space="0"/>
            </w:tcBorders>
            <w:noWrap w:val="0"/>
            <w:vAlign w:val="center"/>
          </w:tcPr>
          <w:p w14:paraId="211F10C3">
            <w:pPr>
              <w:keepNext w:val="0"/>
              <w:keepLines w:val="0"/>
              <w:suppressLineNumbers w:val="0"/>
              <w:spacing w:before="0" w:beforeAutospacing="0" w:after="0" w:afterAutospacing="0"/>
              <w:ind w:left="0" w:right="0"/>
              <w:rPr>
                <w:rFonts w:hint="default" w:ascii="宋体" w:hAnsi="宋体" w:cs="Times New Roman"/>
                <w:color w:val="auto"/>
                <w:szCs w:val="21"/>
                <w:highlight w:val="none"/>
              </w:rPr>
            </w:pPr>
            <w:r>
              <w:rPr>
                <w:rFonts w:hint="eastAsia" w:ascii="宋体" w:hAnsi="宋体" w:cs="Times New Roman"/>
                <w:color w:val="auto"/>
                <w:szCs w:val="21"/>
                <w:highlight w:val="none"/>
              </w:rPr>
              <w:t>偏离说明</w:t>
            </w:r>
          </w:p>
        </w:tc>
      </w:tr>
      <w:tr w14:paraId="2DC89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jc w:val="center"/>
        </w:trPr>
        <w:tc>
          <w:tcPr>
            <w:tcW w:w="593" w:type="dxa"/>
            <w:vMerge w:val="continue"/>
            <w:tcBorders>
              <w:top w:val="single" w:color="auto" w:sz="4" w:space="0"/>
              <w:left w:val="single" w:color="auto" w:sz="4" w:space="0"/>
              <w:bottom w:val="single" w:color="auto" w:sz="4" w:space="0"/>
              <w:right w:val="single" w:color="auto" w:sz="4" w:space="0"/>
            </w:tcBorders>
            <w:noWrap w:val="0"/>
            <w:vAlign w:val="center"/>
          </w:tcPr>
          <w:p w14:paraId="474B5BA6">
            <w:pPr>
              <w:keepNext w:val="0"/>
              <w:keepLines w:val="0"/>
              <w:widowControl/>
              <w:suppressLineNumbers w:val="0"/>
              <w:spacing w:before="0" w:beforeAutospacing="0" w:after="0" w:afterAutospacing="0"/>
              <w:ind w:left="0" w:right="0"/>
              <w:jc w:val="left"/>
              <w:rPr>
                <w:rFonts w:hint="default" w:ascii="宋体" w:hAnsi="宋体" w:cs="Times New Roman"/>
                <w:color w:val="auto"/>
                <w:szCs w:val="21"/>
                <w:highlight w:val="none"/>
              </w:rPr>
            </w:pPr>
          </w:p>
        </w:tc>
        <w:tc>
          <w:tcPr>
            <w:tcW w:w="1142" w:type="dxa"/>
            <w:tcBorders>
              <w:top w:val="single" w:color="auto" w:sz="4" w:space="0"/>
              <w:left w:val="single" w:color="auto" w:sz="4" w:space="0"/>
              <w:bottom w:val="single" w:color="auto" w:sz="4" w:space="0"/>
              <w:right w:val="single" w:color="auto" w:sz="4" w:space="0"/>
            </w:tcBorders>
            <w:noWrap w:val="0"/>
            <w:vAlign w:val="center"/>
          </w:tcPr>
          <w:p w14:paraId="481C63E8">
            <w:pPr>
              <w:keepNext w:val="0"/>
              <w:keepLines w:val="0"/>
              <w:suppressLineNumbers w:val="0"/>
              <w:spacing w:before="0" w:beforeAutospacing="0" w:after="0" w:afterAutospacing="0"/>
              <w:ind w:left="0" w:right="0"/>
              <w:rPr>
                <w:rFonts w:hint="default" w:ascii="宋体" w:hAnsi="宋体" w:cs="Times New Roman"/>
                <w:color w:val="auto"/>
                <w:szCs w:val="21"/>
                <w:highlight w:val="none"/>
              </w:rPr>
            </w:pPr>
            <w:r>
              <w:rPr>
                <w:rFonts w:hint="eastAsia" w:ascii="宋体" w:hAnsi="宋体" w:cs="Times New Roman"/>
                <w:color w:val="auto"/>
                <w:szCs w:val="21"/>
                <w:highlight w:val="none"/>
              </w:rPr>
              <w:t>服务名称</w:t>
            </w:r>
          </w:p>
        </w:tc>
        <w:tc>
          <w:tcPr>
            <w:tcW w:w="736" w:type="dxa"/>
            <w:tcBorders>
              <w:top w:val="single" w:color="auto" w:sz="4" w:space="0"/>
              <w:left w:val="single" w:color="auto" w:sz="4" w:space="0"/>
              <w:bottom w:val="single" w:color="auto" w:sz="4" w:space="0"/>
              <w:right w:val="single" w:color="auto" w:sz="4" w:space="0"/>
            </w:tcBorders>
            <w:noWrap w:val="0"/>
            <w:vAlign w:val="center"/>
          </w:tcPr>
          <w:p w14:paraId="14F0758E">
            <w:pPr>
              <w:keepNext w:val="0"/>
              <w:keepLines w:val="0"/>
              <w:suppressLineNumbers w:val="0"/>
              <w:spacing w:before="0" w:beforeAutospacing="0" w:after="0" w:afterAutospacing="0"/>
              <w:ind w:left="0" w:right="0"/>
              <w:rPr>
                <w:rFonts w:hint="default" w:ascii="宋体" w:hAnsi="宋体" w:cs="Times New Roman"/>
                <w:color w:val="auto"/>
                <w:szCs w:val="21"/>
                <w:highlight w:val="none"/>
              </w:rPr>
            </w:pPr>
            <w:r>
              <w:rPr>
                <w:rFonts w:hint="eastAsia" w:ascii="宋体" w:hAnsi="宋体" w:cs="Times New Roman"/>
                <w:color w:val="auto"/>
                <w:szCs w:val="21"/>
                <w:highlight w:val="none"/>
              </w:rPr>
              <w:t>数量</w:t>
            </w:r>
          </w:p>
        </w:tc>
        <w:tc>
          <w:tcPr>
            <w:tcW w:w="1576" w:type="dxa"/>
            <w:tcBorders>
              <w:top w:val="single" w:color="auto" w:sz="4" w:space="0"/>
              <w:left w:val="single" w:color="auto" w:sz="4" w:space="0"/>
              <w:bottom w:val="single" w:color="auto" w:sz="4" w:space="0"/>
              <w:right w:val="single" w:color="auto" w:sz="4" w:space="0"/>
            </w:tcBorders>
            <w:noWrap w:val="0"/>
            <w:vAlign w:val="center"/>
          </w:tcPr>
          <w:p w14:paraId="46A78C50">
            <w:pPr>
              <w:keepNext w:val="0"/>
              <w:keepLines w:val="0"/>
              <w:suppressLineNumbers w:val="0"/>
              <w:spacing w:before="0" w:beforeAutospacing="0" w:after="0" w:afterAutospacing="0"/>
              <w:ind w:left="0" w:right="0"/>
              <w:rPr>
                <w:rFonts w:hint="default" w:ascii="宋体" w:hAnsi="宋体" w:cs="Times New Roman"/>
                <w:color w:val="auto"/>
                <w:szCs w:val="21"/>
                <w:highlight w:val="none"/>
              </w:rPr>
            </w:pPr>
            <w:r>
              <w:rPr>
                <w:rFonts w:hint="eastAsia" w:ascii="宋体" w:hAnsi="宋体" w:cs="Times New Roman"/>
                <w:color w:val="auto"/>
                <w:szCs w:val="21"/>
                <w:highlight w:val="none"/>
              </w:rPr>
              <w:t>服务参数要求</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6C33E2E5">
            <w:pPr>
              <w:keepNext w:val="0"/>
              <w:keepLines w:val="0"/>
              <w:suppressLineNumbers w:val="0"/>
              <w:spacing w:before="0" w:beforeAutospacing="0" w:after="0" w:afterAutospacing="0"/>
              <w:ind w:left="0" w:right="0"/>
              <w:rPr>
                <w:rFonts w:hint="default" w:ascii="宋体" w:hAnsi="宋体" w:cs="Times New Roman"/>
                <w:color w:val="auto"/>
                <w:szCs w:val="21"/>
                <w:highlight w:val="none"/>
              </w:rPr>
            </w:pPr>
            <w:r>
              <w:rPr>
                <w:rFonts w:hint="eastAsia" w:ascii="宋体" w:hAnsi="宋体" w:cs="Times New Roman"/>
                <w:color w:val="auto"/>
                <w:szCs w:val="21"/>
                <w:highlight w:val="none"/>
              </w:rPr>
              <w:t>服务名称</w:t>
            </w:r>
          </w:p>
        </w:tc>
        <w:tc>
          <w:tcPr>
            <w:tcW w:w="658" w:type="dxa"/>
            <w:tcBorders>
              <w:top w:val="single" w:color="auto" w:sz="4" w:space="0"/>
              <w:left w:val="single" w:color="auto" w:sz="4" w:space="0"/>
              <w:bottom w:val="single" w:color="auto" w:sz="4" w:space="0"/>
              <w:right w:val="single" w:color="auto" w:sz="4" w:space="0"/>
            </w:tcBorders>
            <w:noWrap w:val="0"/>
            <w:vAlign w:val="center"/>
          </w:tcPr>
          <w:p w14:paraId="63300CE5">
            <w:pPr>
              <w:keepNext w:val="0"/>
              <w:keepLines w:val="0"/>
              <w:suppressLineNumbers w:val="0"/>
              <w:spacing w:before="0" w:beforeAutospacing="0" w:after="0" w:afterAutospacing="0"/>
              <w:ind w:left="0" w:right="0"/>
              <w:rPr>
                <w:rFonts w:hint="default" w:ascii="宋体" w:hAnsi="宋体" w:cs="Times New Roman"/>
                <w:color w:val="auto"/>
                <w:szCs w:val="21"/>
                <w:highlight w:val="none"/>
              </w:rPr>
            </w:pPr>
            <w:r>
              <w:rPr>
                <w:rFonts w:hint="eastAsia" w:ascii="宋体" w:hAnsi="宋体" w:cs="Times New Roman"/>
                <w:color w:val="auto"/>
                <w:szCs w:val="21"/>
                <w:highlight w:val="none"/>
              </w:rPr>
              <w:t>数量</w:t>
            </w:r>
          </w:p>
        </w:tc>
        <w:tc>
          <w:tcPr>
            <w:tcW w:w="1146" w:type="dxa"/>
            <w:tcBorders>
              <w:top w:val="single" w:color="auto" w:sz="4" w:space="0"/>
              <w:left w:val="single" w:color="auto" w:sz="4" w:space="0"/>
              <w:bottom w:val="single" w:color="auto" w:sz="4" w:space="0"/>
              <w:right w:val="single" w:color="auto" w:sz="4" w:space="0"/>
            </w:tcBorders>
            <w:noWrap w:val="0"/>
            <w:vAlign w:val="center"/>
          </w:tcPr>
          <w:p w14:paraId="119A9776">
            <w:pPr>
              <w:keepNext w:val="0"/>
              <w:keepLines w:val="0"/>
              <w:suppressLineNumbers w:val="0"/>
              <w:spacing w:before="0" w:beforeAutospacing="0" w:after="0" w:afterAutospacing="0"/>
              <w:ind w:left="0" w:right="0"/>
              <w:rPr>
                <w:rFonts w:hint="default" w:ascii="宋体" w:hAnsi="宋体" w:cs="Times New Roman"/>
                <w:color w:val="auto"/>
                <w:szCs w:val="21"/>
                <w:highlight w:val="none"/>
              </w:rPr>
            </w:pPr>
            <w:r>
              <w:rPr>
                <w:rFonts w:hint="eastAsia" w:ascii="宋体" w:hAnsi="宋体" w:cs="Times New Roman"/>
                <w:color w:val="auto"/>
                <w:szCs w:val="21"/>
                <w:highlight w:val="none"/>
              </w:rPr>
              <w:t>服务参数</w:t>
            </w:r>
          </w:p>
        </w:tc>
        <w:tc>
          <w:tcPr>
            <w:tcW w:w="1095" w:type="dxa"/>
            <w:vMerge w:val="continue"/>
            <w:tcBorders>
              <w:top w:val="single" w:color="auto" w:sz="4" w:space="0"/>
              <w:left w:val="single" w:color="auto" w:sz="4" w:space="0"/>
              <w:bottom w:val="single" w:color="auto" w:sz="4" w:space="0"/>
              <w:right w:val="single" w:color="auto" w:sz="4" w:space="0"/>
            </w:tcBorders>
            <w:noWrap w:val="0"/>
            <w:vAlign w:val="center"/>
          </w:tcPr>
          <w:p w14:paraId="61D9B99C">
            <w:pPr>
              <w:keepNext w:val="0"/>
              <w:keepLines w:val="0"/>
              <w:widowControl/>
              <w:suppressLineNumbers w:val="0"/>
              <w:spacing w:before="0" w:beforeAutospacing="0" w:after="0" w:afterAutospacing="0"/>
              <w:ind w:left="0" w:right="0"/>
              <w:jc w:val="left"/>
              <w:rPr>
                <w:rFonts w:hint="default" w:ascii="宋体" w:hAnsi="宋体" w:cs="Times New Roman"/>
                <w:color w:val="auto"/>
                <w:szCs w:val="21"/>
                <w:highlight w:val="none"/>
              </w:rPr>
            </w:pPr>
          </w:p>
        </w:tc>
      </w:tr>
      <w:tr w14:paraId="07991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3" w:hRule="atLeast"/>
          <w:jc w:val="center"/>
        </w:trPr>
        <w:tc>
          <w:tcPr>
            <w:tcW w:w="593" w:type="dxa"/>
            <w:tcBorders>
              <w:top w:val="single" w:color="auto" w:sz="4" w:space="0"/>
              <w:left w:val="single" w:color="auto" w:sz="4" w:space="0"/>
              <w:bottom w:val="single" w:color="auto" w:sz="4" w:space="0"/>
              <w:right w:val="single" w:color="auto" w:sz="4" w:space="0"/>
            </w:tcBorders>
            <w:noWrap w:val="0"/>
            <w:vAlign w:val="center"/>
          </w:tcPr>
          <w:p w14:paraId="055D8BBA">
            <w:pPr>
              <w:keepNext w:val="0"/>
              <w:keepLines w:val="0"/>
              <w:suppressLineNumbers w:val="0"/>
              <w:spacing w:before="0" w:beforeAutospacing="0" w:after="0" w:afterAutospacing="0"/>
              <w:ind w:left="0" w:right="0"/>
              <w:rPr>
                <w:rFonts w:hint="default" w:ascii="宋体" w:hAnsi="宋体" w:cs="Times New Roman"/>
                <w:color w:val="auto"/>
                <w:szCs w:val="21"/>
                <w:highlight w:val="none"/>
              </w:rPr>
            </w:pPr>
            <w:r>
              <w:rPr>
                <w:rFonts w:hint="eastAsia" w:ascii="宋体" w:hAnsi="宋体" w:cs="Times New Roman"/>
                <w:color w:val="auto"/>
                <w:szCs w:val="21"/>
                <w:highlight w:val="none"/>
              </w:rPr>
              <w:t>1</w:t>
            </w:r>
          </w:p>
        </w:tc>
        <w:tc>
          <w:tcPr>
            <w:tcW w:w="1142" w:type="dxa"/>
            <w:tcBorders>
              <w:top w:val="single" w:color="auto" w:sz="4" w:space="0"/>
              <w:left w:val="single" w:color="auto" w:sz="4" w:space="0"/>
              <w:bottom w:val="single" w:color="auto" w:sz="4" w:space="0"/>
              <w:right w:val="single" w:color="auto" w:sz="4" w:space="0"/>
            </w:tcBorders>
            <w:noWrap w:val="0"/>
            <w:vAlign w:val="center"/>
          </w:tcPr>
          <w:p w14:paraId="73BBE09C">
            <w:pPr>
              <w:keepNext w:val="0"/>
              <w:keepLines w:val="0"/>
              <w:suppressLineNumbers w:val="0"/>
              <w:spacing w:before="0" w:beforeAutospacing="0" w:after="0" w:afterAutospacing="0"/>
              <w:ind w:left="0" w:right="0"/>
              <w:rPr>
                <w:rFonts w:hint="default" w:ascii="宋体" w:hAnsi="宋体" w:cs="Times New Roman"/>
                <w:color w:val="auto"/>
                <w:szCs w:val="21"/>
                <w:highlight w:val="none"/>
              </w:rPr>
            </w:pPr>
            <w:r>
              <w:rPr>
                <w:rFonts w:hint="eastAsia" w:ascii="宋体" w:hAnsi="宋体" w:cs="Times New Roman"/>
                <w:color w:val="auto"/>
                <w:szCs w:val="21"/>
                <w:highlight w:val="none"/>
              </w:rPr>
              <w:t>……</w:t>
            </w:r>
          </w:p>
        </w:tc>
        <w:tc>
          <w:tcPr>
            <w:tcW w:w="736" w:type="dxa"/>
            <w:tcBorders>
              <w:top w:val="single" w:color="auto" w:sz="4" w:space="0"/>
              <w:left w:val="single" w:color="auto" w:sz="4" w:space="0"/>
              <w:bottom w:val="single" w:color="auto" w:sz="4" w:space="0"/>
              <w:right w:val="single" w:color="auto" w:sz="4" w:space="0"/>
            </w:tcBorders>
            <w:noWrap w:val="0"/>
            <w:vAlign w:val="center"/>
          </w:tcPr>
          <w:p w14:paraId="1DCF01A5">
            <w:pPr>
              <w:keepNext w:val="0"/>
              <w:keepLines w:val="0"/>
              <w:suppressLineNumbers w:val="0"/>
              <w:spacing w:before="0" w:beforeAutospacing="0" w:after="0" w:afterAutospacing="0"/>
              <w:ind w:left="0" w:right="0"/>
              <w:rPr>
                <w:rFonts w:hint="default" w:ascii="宋体" w:hAnsi="宋体" w:cs="Times New Roman"/>
                <w:color w:val="auto"/>
                <w:szCs w:val="21"/>
                <w:highlight w:val="none"/>
              </w:rPr>
            </w:pPr>
            <w:r>
              <w:rPr>
                <w:rFonts w:hint="eastAsia" w:ascii="宋体" w:hAnsi="宋体" w:cs="Times New Roman"/>
                <w:color w:val="auto"/>
                <w:szCs w:val="21"/>
                <w:highlight w:val="none"/>
              </w:rPr>
              <w:t>…</w:t>
            </w:r>
          </w:p>
        </w:tc>
        <w:tc>
          <w:tcPr>
            <w:tcW w:w="1576" w:type="dxa"/>
            <w:tcBorders>
              <w:top w:val="single" w:color="auto" w:sz="4" w:space="0"/>
              <w:left w:val="single" w:color="auto" w:sz="4" w:space="0"/>
              <w:bottom w:val="single" w:color="auto" w:sz="4" w:space="0"/>
              <w:right w:val="single" w:color="auto" w:sz="4" w:space="0"/>
            </w:tcBorders>
            <w:noWrap w:val="0"/>
            <w:vAlign w:val="center"/>
          </w:tcPr>
          <w:p w14:paraId="1840E26B">
            <w:pPr>
              <w:keepNext w:val="0"/>
              <w:keepLines w:val="0"/>
              <w:suppressLineNumbers w:val="0"/>
              <w:spacing w:before="0" w:beforeAutospacing="0" w:after="0" w:afterAutospacing="0"/>
              <w:ind w:left="0" w:right="0"/>
              <w:rPr>
                <w:rFonts w:hint="default" w:ascii="宋体" w:hAnsi="宋体" w:cs="Times New Roman"/>
                <w:color w:val="auto"/>
                <w:szCs w:val="21"/>
                <w:highlight w:val="none"/>
              </w:rPr>
            </w:pPr>
            <w:r>
              <w:rPr>
                <w:rFonts w:hint="eastAsia" w:ascii="宋体" w:hAnsi="宋体" w:cs="Times New Roman"/>
                <w:color w:val="auto"/>
                <w:szCs w:val="21"/>
                <w:highlight w:val="none"/>
              </w:rPr>
              <w:t>1  ……</w:t>
            </w:r>
          </w:p>
          <w:p w14:paraId="6852528F">
            <w:pPr>
              <w:keepNext w:val="0"/>
              <w:keepLines w:val="0"/>
              <w:suppressLineNumbers w:val="0"/>
              <w:spacing w:before="0" w:beforeAutospacing="0" w:after="0" w:afterAutospacing="0"/>
              <w:ind w:left="0" w:right="0"/>
              <w:rPr>
                <w:rFonts w:hint="default" w:ascii="宋体" w:hAnsi="宋体" w:cs="Times New Roman"/>
                <w:color w:val="auto"/>
                <w:szCs w:val="21"/>
                <w:highlight w:val="none"/>
              </w:rPr>
            </w:pPr>
            <w:r>
              <w:rPr>
                <w:rFonts w:hint="eastAsia" w:ascii="宋体" w:hAnsi="宋体" w:cs="Times New Roman"/>
                <w:color w:val="auto"/>
                <w:szCs w:val="21"/>
                <w:highlight w:val="none"/>
              </w:rPr>
              <w:t>2  ……</w:t>
            </w:r>
          </w:p>
          <w:p w14:paraId="139BA6AB">
            <w:pPr>
              <w:keepNext w:val="0"/>
              <w:keepLines w:val="0"/>
              <w:suppressLineNumbers w:val="0"/>
              <w:spacing w:before="0" w:beforeAutospacing="0" w:after="0" w:afterAutospacing="0"/>
              <w:ind w:left="0" w:right="0"/>
              <w:rPr>
                <w:rFonts w:hint="default" w:ascii="宋体" w:hAnsi="宋体" w:cs="Times New Roman"/>
                <w:color w:val="auto"/>
                <w:szCs w:val="21"/>
                <w:highlight w:val="none"/>
              </w:rPr>
            </w:pPr>
            <w:r>
              <w:rPr>
                <w:rFonts w:hint="eastAsia" w:ascii="宋体" w:hAnsi="宋体" w:cs="Times New Roman"/>
                <w:color w:val="auto"/>
                <w:szCs w:val="21"/>
                <w:highlight w:val="none"/>
              </w:rPr>
              <w:t>3  ……</w:t>
            </w:r>
          </w:p>
          <w:p w14:paraId="4C13E18D">
            <w:pPr>
              <w:keepNext w:val="0"/>
              <w:keepLines w:val="0"/>
              <w:suppressLineNumbers w:val="0"/>
              <w:spacing w:before="0" w:beforeAutospacing="0" w:after="0" w:afterAutospacing="0"/>
              <w:ind w:left="0" w:right="0"/>
              <w:rPr>
                <w:rFonts w:hint="default" w:ascii="宋体" w:hAnsi="宋体" w:cs="Times New Roman"/>
                <w:color w:val="auto"/>
                <w:szCs w:val="21"/>
                <w:highlight w:val="none"/>
              </w:rPr>
            </w:pPr>
            <w:r>
              <w:rPr>
                <w:rFonts w:hint="eastAsia" w:ascii="宋体" w:hAnsi="宋体" w:cs="Times New Roman"/>
                <w:color w:val="auto"/>
                <w:szCs w:val="21"/>
                <w:highlight w:val="none"/>
              </w:rPr>
              <w:t>……</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2F87A922">
            <w:pPr>
              <w:keepNext w:val="0"/>
              <w:keepLines w:val="0"/>
              <w:suppressLineNumbers w:val="0"/>
              <w:spacing w:before="0" w:beforeAutospacing="0" w:after="0" w:afterAutospacing="0"/>
              <w:ind w:left="0" w:right="0"/>
              <w:rPr>
                <w:rFonts w:hint="default" w:ascii="宋体" w:hAnsi="宋体" w:cs="Times New Roman"/>
                <w:color w:val="auto"/>
                <w:szCs w:val="21"/>
                <w:highlight w:val="none"/>
              </w:rPr>
            </w:pPr>
            <w:r>
              <w:rPr>
                <w:rFonts w:hint="eastAsia" w:ascii="宋体" w:hAnsi="宋体" w:cs="Times New Roman"/>
                <w:color w:val="auto"/>
                <w:szCs w:val="21"/>
                <w:highlight w:val="none"/>
              </w:rPr>
              <w:t>……</w:t>
            </w:r>
          </w:p>
        </w:tc>
        <w:tc>
          <w:tcPr>
            <w:tcW w:w="658" w:type="dxa"/>
            <w:tcBorders>
              <w:top w:val="single" w:color="auto" w:sz="4" w:space="0"/>
              <w:left w:val="single" w:color="auto" w:sz="4" w:space="0"/>
              <w:bottom w:val="single" w:color="auto" w:sz="4" w:space="0"/>
              <w:right w:val="single" w:color="auto" w:sz="4" w:space="0"/>
            </w:tcBorders>
            <w:noWrap w:val="0"/>
            <w:vAlign w:val="center"/>
          </w:tcPr>
          <w:p w14:paraId="14622A69">
            <w:pPr>
              <w:keepNext w:val="0"/>
              <w:keepLines w:val="0"/>
              <w:suppressLineNumbers w:val="0"/>
              <w:spacing w:before="0" w:beforeAutospacing="0" w:after="0" w:afterAutospacing="0"/>
              <w:ind w:left="0" w:right="0"/>
              <w:rPr>
                <w:rFonts w:hint="default" w:ascii="宋体" w:hAnsi="宋体" w:cs="Times New Roman"/>
                <w:color w:val="auto"/>
                <w:szCs w:val="21"/>
                <w:highlight w:val="none"/>
              </w:rPr>
            </w:pPr>
            <w:r>
              <w:rPr>
                <w:rFonts w:hint="eastAsia" w:ascii="宋体" w:hAnsi="宋体" w:cs="Times New Roman"/>
                <w:color w:val="auto"/>
                <w:szCs w:val="21"/>
                <w:highlight w:val="none"/>
              </w:rPr>
              <w:t>…</w:t>
            </w:r>
          </w:p>
        </w:tc>
        <w:tc>
          <w:tcPr>
            <w:tcW w:w="1146" w:type="dxa"/>
            <w:tcBorders>
              <w:top w:val="single" w:color="auto" w:sz="4" w:space="0"/>
              <w:left w:val="single" w:color="auto" w:sz="4" w:space="0"/>
              <w:bottom w:val="single" w:color="auto" w:sz="4" w:space="0"/>
              <w:right w:val="single" w:color="auto" w:sz="4" w:space="0"/>
            </w:tcBorders>
            <w:noWrap w:val="0"/>
            <w:vAlign w:val="center"/>
          </w:tcPr>
          <w:p w14:paraId="680D4980">
            <w:pPr>
              <w:keepNext w:val="0"/>
              <w:keepLines w:val="0"/>
              <w:suppressLineNumbers w:val="0"/>
              <w:spacing w:before="0" w:beforeAutospacing="0" w:after="0" w:afterAutospacing="0"/>
              <w:ind w:left="0" w:right="0"/>
              <w:rPr>
                <w:rFonts w:hint="default" w:ascii="宋体" w:hAnsi="宋体" w:cs="Times New Roman"/>
                <w:color w:val="auto"/>
                <w:szCs w:val="21"/>
                <w:highlight w:val="none"/>
              </w:rPr>
            </w:pPr>
            <w:r>
              <w:rPr>
                <w:rFonts w:hint="eastAsia" w:ascii="宋体" w:hAnsi="宋体" w:cs="Times New Roman"/>
                <w:color w:val="auto"/>
                <w:szCs w:val="21"/>
                <w:highlight w:val="none"/>
              </w:rPr>
              <w:t>1  ……</w:t>
            </w:r>
          </w:p>
          <w:p w14:paraId="1CF2A2F5">
            <w:pPr>
              <w:keepNext w:val="0"/>
              <w:keepLines w:val="0"/>
              <w:suppressLineNumbers w:val="0"/>
              <w:spacing w:before="0" w:beforeAutospacing="0" w:after="0" w:afterAutospacing="0"/>
              <w:ind w:left="0" w:right="0"/>
              <w:rPr>
                <w:rFonts w:hint="default" w:ascii="宋体" w:hAnsi="宋体" w:cs="Times New Roman"/>
                <w:color w:val="auto"/>
                <w:szCs w:val="21"/>
                <w:highlight w:val="none"/>
              </w:rPr>
            </w:pPr>
            <w:r>
              <w:rPr>
                <w:rFonts w:hint="eastAsia" w:ascii="宋体" w:hAnsi="宋体" w:cs="Times New Roman"/>
                <w:color w:val="auto"/>
                <w:szCs w:val="21"/>
                <w:highlight w:val="none"/>
              </w:rPr>
              <w:t>2  ……</w:t>
            </w:r>
          </w:p>
          <w:p w14:paraId="574AD606">
            <w:pPr>
              <w:keepNext w:val="0"/>
              <w:keepLines w:val="0"/>
              <w:suppressLineNumbers w:val="0"/>
              <w:spacing w:before="0" w:beforeAutospacing="0" w:after="0" w:afterAutospacing="0"/>
              <w:ind w:left="0" w:right="0"/>
              <w:rPr>
                <w:rFonts w:hint="default" w:ascii="宋体" w:hAnsi="宋体" w:cs="Times New Roman"/>
                <w:color w:val="auto"/>
                <w:szCs w:val="21"/>
                <w:highlight w:val="none"/>
              </w:rPr>
            </w:pPr>
            <w:r>
              <w:rPr>
                <w:rFonts w:hint="eastAsia" w:ascii="宋体" w:hAnsi="宋体" w:cs="Times New Roman"/>
                <w:color w:val="auto"/>
                <w:szCs w:val="21"/>
                <w:highlight w:val="none"/>
              </w:rPr>
              <w:t>3  ……</w:t>
            </w:r>
          </w:p>
          <w:p w14:paraId="07D717D4">
            <w:pPr>
              <w:keepNext w:val="0"/>
              <w:keepLines w:val="0"/>
              <w:suppressLineNumbers w:val="0"/>
              <w:spacing w:before="0" w:beforeAutospacing="0" w:after="0" w:afterAutospacing="0"/>
              <w:ind w:left="0" w:right="0"/>
              <w:rPr>
                <w:rFonts w:hint="default" w:ascii="宋体" w:hAnsi="宋体" w:cs="Times New Roman"/>
                <w:color w:val="auto"/>
                <w:szCs w:val="21"/>
                <w:highlight w:val="none"/>
              </w:rPr>
            </w:pPr>
            <w:r>
              <w:rPr>
                <w:rFonts w:hint="eastAsia" w:ascii="宋体" w:hAnsi="宋体" w:cs="Times New Roman"/>
                <w:color w:val="auto"/>
                <w:szCs w:val="21"/>
                <w:highlight w:val="none"/>
              </w:rPr>
              <w:t>……</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06A85EED">
            <w:pPr>
              <w:keepNext w:val="0"/>
              <w:keepLines w:val="0"/>
              <w:suppressLineNumbers w:val="0"/>
              <w:spacing w:before="0" w:beforeAutospacing="0" w:after="0" w:afterAutospacing="0"/>
              <w:ind w:left="0" w:right="0"/>
              <w:rPr>
                <w:rFonts w:hint="default" w:ascii="宋体" w:hAnsi="宋体" w:cs="Times New Roman"/>
                <w:color w:val="auto"/>
                <w:szCs w:val="21"/>
                <w:highlight w:val="none"/>
              </w:rPr>
            </w:pPr>
          </w:p>
        </w:tc>
      </w:tr>
      <w:tr w14:paraId="66E29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1" w:hRule="atLeast"/>
          <w:jc w:val="center"/>
        </w:trPr>
        <w:tc>
          <w:tcPr>
            <w:tcW w:w="593" w:type="dxa"/>
            <w:tcBorders>
              <w:top w:val="single" w:color="auto" w:sz="4" w:space="0"/>
              <w:left w:val="single" w:color="auto" w:sz="4" w:space="0"/>
              <w:bottom w:val="single" w:color="auto" w:sz="4" w:space="0"/>
              <w:right w:val="single" w:color="auto" w:sz="4" w:space="0"/>
            </w:tcBorders>
            <w:noWrap w:val="0"/>
            <w:vAlign w:val="center"/>
          </w:tcPr>
          <w:p w14:paraId="6FFCC777">
            <w:pPr>
              <w:keepNext w:val="0"/>
              <w:keepLines w:val="0"/>
              <w:suppressLineNumbers w:val="0"/>
              <w:spacing w:before="0" w:beforeAutospacing="0" w:after="0" w:afterAutospacing="0"/>
              <w:ind w:left="0" w:right="0"/>
              <w:rPr>
                <w:rFonts w:hint="default" w:ascii="宋体" w:hAnsi="宋体" w:cs="Times New Roman"/>
                <w:color w:val="auto"/>
                <w:szCs w:val="21"/>
                <w:highlight w:val="none"/>
              </w:rPr>
            </w:pPr>
            <w:r>
              <w:rPr>
                <w:rFonts w:hint="eastAsia" w:ascii="宋体" w:hAnsi="宋体" w:cs="Times New Roman"/>
                <w:color w:val="auto"/>
                <w:szCs w:val="21"/>
                <w:highlight w:val="none"/>
              </w:rPr>
              <w:t>2</w:t>
            </w:r>
          </w:p>
        </w:tc>
        <w:tc>
          <w:tcPr>
            <w:tcW w:w="1142" w:type="dxa"/>
            <w:tcBorders>
              <w:top w:val="single" w:color="auto" w:sz="4" w:space="0"/>
              <w:left w:val="single" w:color="auto" w:sz="4" w:space="0"/>
              <w:bottom w:val="single" w:color="auto" w:sz="4" w:space="0"/>
              <w:right w:val="single" w:color="auto" w:sz="4" w:space="0"/>
            </w:tcBorders>
            <w:noWrap w:val="0"/>
            <w:vAlign w:val="center"/>
          </w:tcPr>
          <w:p w14:paraId="363ED22B">
            <w:pPr>
              <w:keepNext w:val="0"/>
              <w:keepLines w:val="0"/>
              <w:suppressLineNumbers w:val="0"/>
              <w:spacing w:before="0" w:beforeAutospacing="0" w:after="0" w:afterAutospacing="0"/>
              <w:ind w:left="0" w:right="0"/>
              <w:rPr>
                <w:rFonts w:hint="default" w:ascii="宋体" w:hAnsi="宋体" w:cs="Times New Roman"/>
                <w:color w:val="auto"/>
                <w:szCs w:val="21"/>
                <w:highlight w:val="none"/>
              </w:rPr>
            </w:pPr>
            <w:r>
              <w:rPr>
                <w:rFonts w:hint="eastAsia" w:ascii="宋体" w:hAnsi="宋体" w:cs="Times New Roman"/>
                <w:color w:val="auto"/>
                <w:szCs w:val="21"/>
                <w:highlight w:val="none"/>
              </w:rPr>
              <w:t>……</w:t>
            </w:r>
          </w:p>
        </w:tc>
        <w:tc>
          <w:tcPr>
            <w:tcW w:w="736" w:type="dxa"/>
            <w:tcBorders>
              <w:top w:val="single" w:color="auto" w:sz="4" w:space="0"/>
              <w:left w:val="single" w:color="auto" w:sz="4" w:space="0"/>
              <w:bottom w:val="single" w:color="auto" w:sz="4" w:space="0"/>
              <w:right w:val="single" w:color="auto" w:sz="4" w:space="0"/>
            </w:tcBorders>
            <w:noWrap w:val="0"/>
            <w:vAlign w:val="center"/>
          </w:tcPr>
          <w:p w14:paraId="01ABF281">
            <w:pPr>
              <w:keepNext w:val="0"/>
              <w:keepLines w:val="0"/>
              <w:suppressLineNumbers w:val="0"/>
              <w:spacing w:before="0" w:beforeAutospacing="0" w:after="0" w:afterAutospacing="0"/>
              <w:ind w:left="0" w:right="0"/>
              <w:rPr>
                <w:rFonts w:hint="default" w:ascii="宋体" w:hAnsi="宋体" w:cs="Times New Roman"/>
                <w:color w:val="auto"/>
                <w:szCs w:val="21"/>
                <w:highlight w:val="none"/>
              </w:rPr>
            </w:pPr>
            <w:r>
              <w:rPr>
                <w:rFonts w:hint="eastAsia" w:ascii="宋体" w:hAnsi="宋体" w:cs="Times New Roman"/>
                <w:color w:val="auto"/>
                <w:szCs w:val="21"/>
                <w:highlight w:val="none"/>
              </w:rPr>
              <w:t>…</w:t>
            </w:r>
          </w:p>
        </w:tc>
        <w:tc>
          <w:tcPr>
            <w:tcW w:w="1576" w:type="dxa"/>
            <w:tcBorders>
              <w:top w:val="single" w:color="auto" w:sz="4" w:space="0"/>
              <w:left w:val="single" w:color="auto" w:sz="4" w:space="0"/>
              <w:bottom w:val="single" w:color="auto" w:sz="4" w:space="0"/>
              <w:right w:val="single" w:color="auto" w:sz="4" w:space="0"/>
            </w:tcBorders>
            <w:noWrap w:val="0"/>
            <w:vAlign w:val="center"/>
          </w:tcPr>
          <w:p w14:paraId="366D9601">
            <w:pPr>
              <w:keepNext w:val="0"/>
              <w:keepLines w:val="0"/>
              <w:suppressLineNumbers w:val="0"/>
              <w:spacing w:before="0" w:beforeAutospacing="0" w:after="0" w:afterAutospacing="0"/>
              <w:ind w:left="0" w:right="0"/>
              <w:rPr>
                <w:rFonts w:hint="default" w:ascii="宋体" w:hAnsi="宋体" w:cs="Times New Roman"/>
                <w:color w:val="auto"/>
                <w:szCs w:val="21"/>
                <w:highlight w:val="none"/>
              </w:rPr>
            </w:pPr>
            <w:r>
              <w:rPr>
                <w:rFonts w:hint="eastAsia" w:ascii="宋体" w:hAnsi="宋体" w:cs="Times New Roman"/>
                <w:color w:val="auto"/>
                <w:szCs w:val="21"/>
                <w:highlight w:val="none"/>
              </w:rPr>
              <w:t>1  ……</w:t>
            </w:r>
          </w:p>
          <w:p w14:paraId="3B112330">
            <w:pPr>
              <w:keepNext w:val="0"/>
              <w:keepLines w:val="0"/>
              <w:suppressLineNumbers w:val="0"/>
              <w:spacing w:before="0" w:beforeAutospacing="0" w:after="0" w:afterAutospacing="0"/>
              <w:ind w:left="0" w:right="0"/>
              <w:rPr>
                <w:rFonts w:hint="default" w:ascii="宋体" w:hAnsi="宋体" w:cs="Times New Roman"/>
                <w:color w:val="auto"/>
                <w:szCs w:val="21"/>
                <w:highlight w:val="none"/>
              </w:rPr>
            </w:pPr>
            <w:r>
              <w:rPr>
                <w:rFonts w:hint="eastAsia" w:ascii="宋体" w:hAnsi="宋体" w:cs="Times New Roman"/>
                <w:color w:val="auto"/>
                <w:szCs w:val="21"/>
                <w:highlight w:val="none"/>
              </w:rPr>
              <w:t>2  ……</w:t>
            </w:r>
          </w:p>
          <w:p w14:paraId="31A4929C">
            <w:pPr>
              <w:keepNext w:val="0"/>
              <w:keepLines w:val="0"/>
              <w:suppressLineNumbers w:val="0"/>
              <w:spacing w:before="0" w:beforeAutospacing="0" w:after="0" w:afterAutospacing="0"/>
              <w:ind w:left="0" w:right="0"/>
              <w:rPr>
                <w:rFonts w:hint="default" w:ascii="宋体" w:hAnsi="宋体" w:cs="Times New Roman"/>
                <w:color w:val="auto"/>
                <w:szCs w:val="21"/>
                <w:highlight w:val="none"/>
              </w:rPr>
            </w:pPr>
            <w:r>
              <w:rPr>
                <w:rFonts w:hint="eastAsia" w:ascii="宋体" w:hAnsi="宋体" w:cs="Times New Roman"/>
                <w:color w:val="auto"/>
                <w:szCs w:val="21"/>
                <w:highlight w:val="none"/>
              </w:rPr>
              <w:t>3  ……</w:t>
            </w:r>
          </w:p>
          <w:p w14:paraId="47820D7E">
            <w:pPr>
              <w:keepNext w:val="0"/>
              <w:keepLines w:val="0"/>
              <w:suppressLineNumbers w:val="0"/>
              <w:spacing w:before="0" w:beforeAutospacing="0" w:after="0" w:afterAutospacing="0"/>
              <w:ind w:left="0" w:right="0"/>
              <w:rPr>
                <w:rFonts w:hint="default" w:ascii="宋体" w:hAnsi="宋体" w:cs="Times New Roman"/>
                <w:color w:val="auto"/>
                <w:szCs w:val="21"/>
                <w:highlight w:val="none"/>
              </w:rPr>
            </w:pPr>
            <w:r>
              <w:rPr>
                <w:rFonts w:hint="eastAsia" w:ascii="宋体" w:hAnsi="宋体" w:cs="Times New Roman"/>
                <w:color w:val="auto"/>
                <w:szCs w:val="21"/>
                <w:highlight w:val="none"/>
              </w:rPr>
              <w:t>……</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34F0C736">
            <w:pPr>
              <w:keepNext w:val="0"/>
              <w:keepLines w:val="0"/>
              <w:suppressLineNumbers w:val="0"/>
              <w:spacing w:before="0" w:beforeAutospacing="0" w:after="0" w:afterAutospacing="0"/>
              <w:ind w:left="0" w:right="0"/>
              <w:rPr>
                <w:rFonts w:hint="default" w:ascii="宋体" w:hAnsi="宋体" w:cs="Times New Roman"/>
                <w:color w:val="auto"/>
                <w:szCs w:val="21"/>
                <w:highlight w:val="none"/>
              </w:rPr>
            </w:pPr>
            <w:r>
              <w:rPr>
                <w:rFonts w:hint="eastAsia" w:ascii="宋体" w:hAnsi="宋体" w:cs="Times New Roman"/>
                <w:color w:val="auto"/>
                <w:szCs w:val="21"/>
                <w:highlight w:val="none"/>
              </w:rPr>
              <w:t>……</w:t>
            </w:r>
          </w:p>
        </w:tc>
        <w:tc>
          <w:tcPr>
            <w:tcW w:w="658" w:type="dxa"/>
            <w:tcBorders>
              <w:top w:val="single" w:color="auto" w:sz="4" w:space="0"/>
              <w:left w:val="single" w:color="auto" w:sz="4" w:space="0"/>
              <w:bottom w:val="single" w:color="auto" w:sz="4" w:space="0"/>
              <w:right w:val="single" w:color="auto" w:sz="4" w:space="0"/>
            </w:tcBorders>
            <w:noWrap w:val="0"/>
            <w:vAlign w:val="center"/>
          </w:tcPr>
          <w:p w14:paraId="4D600056">
            <w:pPr>
              <w:keepNext w:val="0"/>
              <w:keepLines w:val="0"/>
              <w:suppressLineNumbers w:val="0"/>
              <w:spacing w:before="0" w:beforeAutospacing="0" w:after="0" w:afterAutospacing="0"/>
              <w:ind w:left="0" w:right="0"/>
              <w:rPr>
                <w:rFonts w:hint="default" w:ascii="宋体" w:hAnsi="宋体" w:cs="Times New Roman"/>
                <w:color w:val="auto"/>
                <w:szCs w:val="21"/>
                <w:highlight w:val="none"/>
              </w:rPr>
            </w:pPr>
            <w:r>
              <w:rPr>
                <w:rFonts w:hint="eastAsia" w:ascii="宋体" w:hAnsi="宋体" w:cs="Times New Roman"/>
                <w:color w:val="auto"/>
                <w:szCs w:val="21"/>
                <w:highlight w:val="none"/>
              </w:rPr>
              <w:t>…</w:t>
            </w:r>
          </w:p>
        </w:tc>
        <w:tc>
          <w:tcPr>
            <w:tcW w:w="1146" w:type="dxa"/>
            <w:tcBorders>
              <w:top w:val="single" w:color="auto" w:sz="4" w:space="0"/>
              <w:left w:val="single" w:color="auto" w:sz="4" w:space="0"/>
              <w:bottom w:val="single" w:color="auto" w:sz="4" w:space="0"/>
              <w:right w:val="single" w:color="auto" w:sz="4" w:space="0"/>
            </w:tcBorders>
            <w:noWrap w:val="0"/>
            <w:vAlign w:val="center"/>
          </w:tcPr>
          <w:p w14:paraId="22727E12">
            <w:pPr>
              <w:keepNext w:val="0"/>
              <w:keepLines w:val="0"/>
              <w:suppressLineNumbers w:val="0"/>
              <w:spacing w:before="0" w:beforeAutospacing="0" w:after="0" w:afterAutospacing="0"/>
              <w:ind w:left="0" w:right="0"/>
              <w:rPr>
                <w:rFonts w:hint="default" w:ascii="宋体" w:hAnsi="宋体" w:cs="Times New Roman"/>
                <w:color w:val="auto"/>
                <w:szCs w:val="21"/>
                <w:highlight w:val="none"/>
              </w:rPr>
            </w:pPr>
            <w:r>
              <w:rPr>
                <w:rFonts w:hint="eastAsia" w:ascii="宋体" w:hAnsi="宋体" w:cs="Times New Roman"/>
                <w:color w:val="auto"/>
                <w:szCs w:val="21"/>
                <w:highlight w:val="none"/>
              </w:rPr>
              <w:t>1  ……</w:t>
            </w:r>
          </w:p>
          <w:p w14:paraId="0BDFDB29">
            <w:pPr>
              <w:keepNext w:val="0"/>
              <w:keepLines w:val="0"/>
              <w:suppressLineNumbers w:val="0"/>
              <w:spacing w:before="0" w:beforeAutospacing="0" w:after="0" w:afterAutospacing="0"/>
              <w:ind w:left="0" w:right="0"/>
              <w:rPr>
                <w:rFonts w:hint="default" w:ascii="宋体" w:hAnsi="宋体" w:cs="Times New Roman"/>
                <w:color w:val="auto"/>
                <w:szCs w:val="21"/>
                <w:highlight w:val="none"/>
              </w:rPr>
            </w:pPr>
            <w:r>
              <w:rPr>
                <w:rFonts w:hint="eastAsia" w:ascii="宋体" w:hAnsi="宋体" w:cs="Times New Roman"/>
                <w:color w:val="auto"/>
                <w:szCs w:val="21"/>
                <w:highlight w:val="none"/>
              </w:rPr>
              <w:t>2  ……</w:t>
            </w:r>
          </w:p>
          <w:p w14:paraId="525C5ABB">
            <w:pPr>
              <w:keepNext w:val="0"/>
              <w:keepLines w:val="0"/>
              <w:suppressLineNumbers w:val="0"/>
              <w:spacing w:before="0" w:beforeAutospacing="0" w:after="0" w:afterAutospacing="0"/>
              <w:ind w:left="0" w:right="0"/>
              <w:rPr>
                <w:rFonts w:hint="default" w:ascii="宋体" w:hAnsi="宋体" w:cs="Times New Roman"/>
                <w:color w:val="auto"/>
                <w:szCs w:val="21"/>
                <w:highlight w:val="none"/>
              </w:rPr>
            </w:pPr>
            <w:r>
              <w:rPr>
                <w:rFonts w:hint="eastAsia" w:ascii="宋体" w:hAnsi="宋体" w:cs="Times New Roman"/>
                <w:color w:val="auto"/>
                <w:szCs w:val="21"/>
                <w:highlight w:val="none"/>
              </w:rPr>
              <w:t>3  ……</w:t>
            </w:r>
          </w:p>
          <w:p w14:paraId="47FD9AFD">
            <w:pPr>
              <w:keepNext w:val="0"/>
              <w:keepLines w:val="0"/>
              <w:suppressLineNumbers w:val="0"/>
              <w:spacing w:before="0" w:beforeAutospacing="0" w:after="0" w:afterAutospacing="0"/>
              <w:ind w:left="0" w:right="0"/>
              <w:rPr>
                <w:rFonts w:hint="default" w:ascii="宋体" w:hAnsi="宋体" w:cs="Times New Roman"/>
                <w:color w:val="auto"/>
                <w:szCs w:val="21"/>
                <w:highlight w:val="none"/>
              </w:rPr>
            </w:pPr>
            <w:r>
              <w:rPr>
                <w:rFonts w:hint="eastAsia" w:ascii="宋体" w:hAnsi="宋体" w:cs="Times New Roman"/>
                <w:color w:val="auto"/>
                <w:szCs w:val="21"/>
                <w:highlight w:val="none"/>
              </w:rPr>
              <w:t>……</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75F403E0">
            <w:pPr>
              <w:keepNext w:val="0"/>
              <w:keepLines w:val="0"/>
              <w:suppressLineNumbers w:val="0"/>
              <w:spacing w:before="0" w:beforeAutospacing="0" w:after="0" w:afterAutospacing="0"/>
              <w:ind w:left="0" w:right="0"/>
              <w:rPr>
                <w:rFonts w:hint="default" w:ascii="宋体" w:hAnsi="宋体" w:cs="Times New Roman"/>
                <w:color w:val="auto"/>
                <w:szCs w:val="21"/>
                <w:highlight w:val="none"/>
              </w:rPr>
            </w:pPr>
          </w:p>
        </w:tc>
      </w:tr>
      <w:tr w14:paraId="30F15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593" w:type="dxa"/>
            <w:tcBorders>
              <w:top w:val="single" w:color="auto" w:sz="4" w:space="0"/>
              <w:left w:val="single" w:color="auto" w:sz="4" w:space="0"/>
              <w:bottom w:val="single" w:color="auto" w:sz="4" w:space="0"/>
              <w:right w:val="single" w:color="auto" w:sz="4" w:space="0"/>
            </w:tcBorders>
            <w:noWrap w:val="0"/>
            <w:vAlign w:val="center"/>
          </w:tcPr>
          <w:p w14:paraId="3E1C86BD">
            <w:pPr>
              <w:keepNext w:val="0"/>
              <w:keepLines w:val="0"/>
              <w:suppressLineNumbers w:val="0"/>
              <w:spacing w:before="0" w:beforeAutospacing="0" w:after="0" w:afterAutospacing="0"/>
              <w:ind w:left="0" w:right="0"/>
              <w:rPr>
                <w:rFonts w:hint="default" w:ascii="宋体" w:hAnsi="宋体" w:cs="Times New Roman"/>
                <w:color w:val="auto"/>
                <w:szCs w:val="21"/>
                <w:highlight w:val="none"/>
              </w:rPr>
            </w:pPr>
            <w:r>
              <w:rPr>
                <w:rFonts w:hint="eastAsia" w:ascii="宋体" w:hAnsi="宋体" w:cs="Times New Roman"/>
                <w:color w:val="auto"/>
                <w:szCs w:val="21"/>
                <w:highlight w:val="none"/>
              </w:rPr>
              <w:t>...</w:t>
            </w:r>
          </w:p>
        </w:tc>
        <w:tc>
          <w:tcPr>
            <w:tcW w:w="1142" w:type="dxa"/>
            <w:tcBorders>
              <w:top w:val="single" w:color="auto" w:sz="4" w:space="0"/>
              <w:left w:val="single" w:color="auto" w:sz="4" w:space="0"/>
              <w:bottom w:val="single" w:color="auto" w:sz="4" w:space="0"/>
              <w:right w:val="single" w:color="auto" w:sz="4" w:space="0"/>
            </w:tcBorders>
            <w:noWrap w:val="0"/>
            <w:vAlign w:val="center"/>
          </w:tcPr>
          <w:p w14:paraId="1390ADF6">
            <w:pPr>
              <w:keepNext w:val="0"/>
              <w:keepLines w:val="0"/>
              <w:suppressLineNumbers w:val="0"/>
              <w:spacing w:before="0" w:beforeAutospacing="0" w:after="0" w:afterAutospacing="0"/>
              <w:ind w:left="0" w:right="0"/>
              <w:rPr>
                <w:rFonts w:hint="default" w:ascii="宋体" w:hAnsi="宋体" w:cs="Times New Roman"/>
                <w:color w:val="auto"/>
                <w:szCs w:val="21"/>
                <w:highlight w:val="none"/>
              </w:rPr>
            </w:pPr>
          </w:p>
        </w:tc>
        <w:tc>
          <w:tcPr>
            <w:tcW w:w="736" w:type="dxa"/>
            <w:tcBorders>
              <w:top w:val="single" w:color="auto" w:sz="4" w:space="0"/>
              <w:left w:val="single" w:color="auto" w:sz="4" w:space="0"/>
              <w:bottom w:val="single" w:color="auto" w:sz="4" w:space="0"/>
              <w:right w:val="single" w:color="auto" w:sz="4" w:space="0"/>
            </w:tcBorders>
            <w:noWrap w:val="0"/>
            <w:vAlign w:val="center"/>
          </w:tcPr>
          <w:p w14:paraId="30E192AD">
            <w:pPr>
              <w:keepNext w:val="0"/>
              <w:keepLines w:val="0"/>
              <w:suppressLineNumbers w:val="0"/>
              <w:spacing w:before="0" w:beforeAutospacing="0" w:after="0" w:afterAutospacing="0"/>
              <w:ind w:left="0" w:right="0"/>
              <w:rPr>
                <w:rFonts w:hint="default" w:ascii="宋体" w:hAnsi="宋体" w:cs="Times New Roman"/>
                <w:color w:val="auto"/>
                <w:szCs w:val="21"/>
                <w:highlight w:val="none"/>
              </w:rPr>
            </w:pPr>
          </w:p>
        </w:tc>
        <w:tc>
          <w:tcPr>
            <w:tcW w:w="1576" w:type="dxa"/>
            <w:tcBorders>
              <w:top w:val="single" w:color="auto" w:sz="4" w:space="0"/>
              <w:left w:val="single" w:color="auto" w:sz="4" w:space="0"/>
              <w:bottom w:val="single" w:color="auto" w:sz="4" w:space="0"/>
              <w:right w:val="single" w:color="auto" w:sz="4" w:space="0"/>
            </w:tcBorders>
            <w:noWrap w:val="0"/>
            <w:vAlign w:val="center"/>
          </w:tcPr>
          <w:p w14:paraId="210A6522">
            <w:pPr>
              <w:keepNext w:val="0"/>
              <w:keepLines w:val="0"/>
              <w:suppressLineNumbers w:val="0"/>
              <w:spacing w:before="0" w:beforeAutospacing="0" w:after="0" w:afterAutospacing="0"/>
              <w:ind w:left="0" w:right="0"/>
              <w:rPr>
                <w:rFonts w:hint="default" w:ascii="宋体" w:hAnsi="宋体" w:cs="Times New Roman"/>
                <w:color w:val="auto"/>
                <w:szCs w:val="21"/>
                <w:highlight w:val="none"/>
              </w:rPr>
            </w:pPr>
          </w:p>
        </w:tc>
        <w:tc>
          <w:tcPr>
            <w:tcW w:w="1140" w:type="dxa"/>
            <w:tcBorders>
              <w:top w:val="single" w:color="auto" w:sz="4" w:space="0"/>
              <w:left w:val="single" w:color="auto" w:sz="4" w:space="0"/>
              <w:bottom w:val="single" w:color="auto" w:sz="4" w:space="0"/>
              <w:right w:val="single" w:color="auto" w:sz="4" w:space="0"/>
            </w:tcBorders>
            <w:noWrap w:val="0"/>
            <w:vAlign w:val="center"/>
          </w:tcPr>
          <w:p w14:paraId="1D5CEE3B">
            <w:pPr>
              <w:keepNext w:val="0"/>
              <w:keepLines w:val="0"/>
              <w:suppressLineNumbers w:val="0"/>
              <w:spacing w:before="0" w:beforeAutospacing="0" w:after="0" w:afterAutospacing="0"/>
              <w:ind w:left="0" w:right="0"/>
              <w:rPr>
                <w:rFonts w:hint="default" w:ascii="宋体" w:hAnsi="宋体" w:cs="Times New Roman"/>
                <w:color w:val="auto"/>
                <w:szCs w:val="21"/>
                <w:highlight w:val="none"/>
              </w:rPr>
            </w:pPr>
          </w:p>
        </w:tc>
        <w:tc>
          <w:tcPr>
            <w:tcW w:w="658" w:type="dxa"/>
            <w:tcBorders>
              <w:top w:val="single" w:color="auto" w:sz="4" w:space="0"/>
              <w:left w:val="single" w:color="auto" w:sz="4" w:space="0"/>
              <w:bottom w:val="single" w:color="auto" w:sz="4" w:space="0"/>
              <w:right w:val="single" w:color="auto" w:sz="4" w:space="0"/>
            </w:tcBorders>
            <w:noWrap w:val="0"/>
            <w:vAlign w:val="center"/>
          </w:tcPr>
          <w:p w14:paraId="654F2BE8">
            <w:pPr>
              <w:keepNext w:val="0"/>
              <w:keepLines w:val="0"/>
              <w:suppressLineNumbers w:val="0"/>
              <w:spacing w:before="0" w:beforeAutospacing="0" w:after="0" w:afterAutospacing="0"/>
              <w:ind w:left="0" w:right="0"/>
              <w:rPr>
                <w:rFonts w:hint="default" w:ascii="宋体" w:hAnsi="宋体" w:cs="Times New Roman"/>
                <w:color w:val="auto"/>
                <w:szCs w:val="21"/>
                <w:highlight w:val="none"/>
              </w:rPr>
            </w:pPr>
          </w:p>
        </w:tc>
        <w:tc>
          <w:tcPr>
            <w:tcW w:w="1146" w:type="dxa"/>
            <w:tcBorders>
              <w:top w:val="single" w:color="auto" w:sz="4" w:space="0"/>
              <w:left w:val="single" w:color="auto" w:sz="4" w:space="0"/>
              <w:bottom w:val="single" w:color="auto" w:sz="4" w:space="0"/>
              <w:right w:val="single" w:color="auto" w:sz="4" w:space="0"/>
            </w:tcBorders>
            <w:noWrap w:val="0"/>
            <w:vAlign w:val="center"/>
          </w:tcPr>
          <w:p w14:paraId="2BE0EFAD">
            <w:pPr>
              <w:keepNext w:val="0"/>
              <w:keepLines w:val="0"/>
              <w:suppressLineNumbers w:val="0"/>
              <w:spacing w:before="0" w:beforeAutospacing="0" w:after="0" w:afterAutospacing="0"/>
              <w:ind w:left="0" w:right="0"/>
              <w:rPr>
                <w:rFonts w:hint="default" w:ascii="宋体" w:hAnsi="宋体" w:cs="Times New Roman"/>
                <w:color w:val="auto"/>
                <w:szCs w:val="21"/>
                <w:highlight w:val="none"/>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14:paraId="7D835CC7">
            <w:pPr>
              <w:keepNext w:val="0"/>
              <w:keepLines w:val="0"/>
              <w:suppressLineNumbers w:val="0"/>
              <w:spacing w:before="0" w:beforeAutospacing="0" w:after="0" w:afterAutospacing="0"/>
              <w:ind w:left="0" w:right="0"/>
              <w:rPr>
                <w:rFonts w:hint="default" w:ascii="宋体" w:hAnsi="宋体" w:cs="Times New Roman"/>
                <w:color w:val="auto"/>
                <w:szCs w:val="21"/>
                <w:highlight w:val="none"/>
              </w:rPr>
            </w:pPr>
          </w:p>
        </w:tc>
      </w:tr>
    </w:tbl>
    <w:p w14:paraId="2C3F8ECE">
      <w:pPr>
        <w:pStyle w:val="13"/>
        <w:spacing w:after="0" w:line="360" w:lineRule="auto"/>
        <w:contextualSpacing/>
        <w:rPr>
          <w:rFonts w:hint="eastAsia" w:ascii="宋体" w:hAnsi="宋体"/>
          <w:color w:val="auto"/>
          <w:kern w:val="0"/>
          <w:sz w:val="24"/>
          <w:szCs w:val="24"/>
          <w:highlight w:val="none"/>
        </w:rPr>
      </w:pPr>
      <w:r>
        <w:rPr>
          <w:rFonts w:hint="eastAsia" w:ascii="宋体" w:hAnsi="宋体"/>
          <w:color w:val="auto"/>
          <w:kern w:val="0"/>
          <w:sz w:val="24"/>
          <w:szCs w:val="24"/>
          <w:highlight w:val="none"/>
        </w:rPr>
        <w:t>注：</w:t>
      </w:r>
    </w:p>
    <w:p w14:paraId="35843C27">
      <w:pPr>
        <w:pStyle w:val="13"/>
        <w:spacing w:after="0" w:line="360" w:lineRule="auto"/>
        <w:contextualSpacing/>
        <w:rPr>
          <w:rFonts w:hint="eastAsia" w:ascii="宋体" w:hAnsi="宋体"/>
          <w:color w:val="auto"/>
          <w:kern w:val="0"/>
          <w:sz w:val="21"/>
          <w:szCs w:val="21"/>
          <w:highlight w:val="none"/>
        </w:rPr>
      </w:pPr>
      <w:r>
        <w:rPr>
          <w:rFonts w:hint="eastAsia" w:ascii="宋体" w:hAnsi="宋体"/>
          <w:color w:val="auto"/>
          <w:kern w:val="0"/>
          <w:sz w:val="21"/>
          <w:szCs w:val="21"/>
          <w:highlight w:val="none"/>
        </w:rPr>
        <w:t>注：</w:t>
      </w:r>
    </w:p>
    <w:p w14:paraId="63656BB5">
      <w:pPr>
        <w:pStyle w:val="13"/>
        <w:spacing w:after="0" w:line="360" w:lineRule="auto"/>
        <w:contextualSpacing/>
        <w:rPr>
          <w:rFonts w:hint="eastAsia" w:ascii="宋体" w:hAnsi="宋体" w:cs="仿宋_GB2312"/>
          <w:color w:val="auto"/>
          <w:kern w:val="0"/>
          <w:sz w:val="21"/>
          <w:szCs w:val="21"/>
          <w:highlight w:val="none"/>
        </w:rPr>
      </w:pPr>
      <w:r>
        <w:rPr>
          <w:rFonts w:hint="eastAsia" w:ascii="宋体" w:hAnsi="宋体" w:cs="仿宋_GB2312"/>
          <w:color w:val="auto"/>
          <w:kern w:val="0"/>
          <w:sz w:val="21"/>
          <w:szCs w:val="21"/>
          <w:highlight w:val="none"/>
        </w:rPr>
        <w:t>1.说明：应对照磋商文件“第</w:t>
      </w:r>
      <w:r>
        <w:rPr>
          <w:rFonts w:hint="eastAsia" w:ascii="宋体" w:hAnsi="宋体" w:cs="仿宋_GB2312"/>
          <w:color w:val="auto"/>
          <w:kern w:val="0"/>
          <w:sz w:val="21"/>
          <w:szCs w:val="21"/>
          <w:highlight w:val="none"/>
          <w:lang w:eastAsia="zh-CN"/>
        </w:rPr>
        <w:t>二</w:t>
      </w:r>
      <w:r>
        <w:rPr>
          <w:rFonts w:hint="eastAsia" w:ascii="宋体" w:hAnsi="宋体" w:cs="仿宋_GB2312"/>
          <w:color w:val="auto"/>
          <w:kern w:val="0"/>
          <w:sz w:val="21"/>
          <w:szCs w:val="21"/>
          <w:highlight w:val="none"/>
        </w:rPr>
        <w:t>章”中</w:t>
      </w:r>
      <w:r>
        <w:rPr>
          <w:rFonts w:hint="eastAsia" w:ascii="宋体" w:hAnsi="宋体" w:cs="仿宋_GB2312"/>
          <w:color w:val="auto"/>
          <w:kern w:val="0"/>
          <w:sz w:val="21"/>
          <w:szCs w:val="21"/>
          <w:highlight w:val="none"/>
          <w:lang w:eastAsia="zh-CN"/>
        </w:rPr>
        <w:t>“服务需求一览表”</w:t>
      </w:r>
      <w:r>
        <w:rPr>
          <w:rFonts w:hint="eastAsia" w:ascii="宋体" w:hAnsi="宋体" w:cs="仿宋_GB2312"/>
          <w:color w:val="auto"/>
          <w:kern w:val="0"/>
          <w:sz w:val="21"/>
          <w:szCs w:val="21"/>
          <w:highlight w:val="none"/>
        </w:rPr>
        <w:t>的采购清单及技术参数条款逐条作出明确响应，并作出偏离说明。</w:t>
      </w:r>
    </w:p>
    <w:p w14:paraId="08D948F1">
      <w:pPr>
        <w:pStyle w:val="15"/>
        <w:spacing w:line="400" w:lineRule="exact"/>
        <w:ind w:firstLine="739"/>
        <w:contextualSpacing/>
        <w:rPr>
          <w:rFonts w:hint="eastAsia" w:hAnsi="宋体" w:cs="仿宋_GB2312"/>
          <w:color w:val="auto"/>
          <w:sz w:val="21"/>
          <w:szCs w:val="21"/>
          <w:highlight w:val="none"/>
        </w:rPr>
      </w:pPr>
      <w:r>
        <w:rPr>
          <w:rFonts w:hint="eastAsia" w:hAnsi="宋体" w:cs="仿宋_GB2312"/>
          <w:color w:val="auto"/>
          <w:sz w:val="21"/>
          <w:szCs w:val="21"/>
          <w:highlight w:val="none"/>
        </w:rPr>
        <w:t>2.供应商应根据自身的承诺，对照磋商文件要求，在“偏离说明”中注明“正偏离”、“负偏离”或者“无偏离”。既不属于“正偏离”也不属于“负偏离”即为“无偏离”。 当响应文件的商务内容低于竞争性磋商采购文件要求时，竞标人应当如实写明“负偏离”，否则视为虚假应标</w:t>
      </w:r>
    </w:p>
    <w:p w14:paraId="0A309F98">
      <w:pPr>
        <w:spacing w:line="400" w:lineRule="exact"/>
        <w:rPr>
          <w:rFonts w:ascii="宋体" w:hAnsi="宋体" w:cs="仿宋_GB2312"/>
          <w:color w:val="auto"/>
          <w:kern w:val="0"/>
          <w:szCs w:val="21"/>
          <w:highlight w:val="none"/>
        </w:rPr>
      </w:pPr>
      <w:r>
        <w:rPr>
          <w:rFonts w:hint="eastAsia" w:ascii="宋体" w:hAnsi="宋体" w:cs="仿宋_GB2312"/>
          <w:color w:val="auto"/>
          <w:kern w:val="0"/>
          <w:szCs w:val="21"/>
          <w:highlight w:val="none"/>
        </w:rPr>
        <w:t>3</w:t>
      </w:r>
      <w:r>
        <w:rPr>
          <w:rFonts w:ascii="宋体" w:hAnsi="宋体" w:cs="仿宋_GB2312"/>
          <w:color w:val="auto"/>
          <w:kern w:val="0"/>
          <w:szCs w:val="21"/>
          <w:highlight w:val="none"/>
        </w:rPr>
        <w:t>.</w:t>
      </w:r>
      <w:r>
        <w:rPr>
          <w:rFonts w:hint="eastAsia" w:ascii="宋体" w:hAnsi="宋体" w:cs="仿宋_GB2312"/>
          <w:color w:val="auto"/>
          <w:kern w:val="0"/>
          <w:szCs w:val="21"/>
          <w:highlight w:val="none"/>
        </w:rPr>
        <w:t>表格内容均需按要求填写并盖章，不得留空，否则按竞标无效处理。</w:t>
      </w:r>
    </w:p>
    <w:p w14:paraId="120E3E0D">
      <w:pPr>
        <w:pStyle w:val="18"/>
        <w:spacing w:line="400" w:lineRule="exact"/>
        <w:contextualSpacing/>
        <w:rPr>
          <w:rFonts w:hint="eastAsia" w:hAnsi="宋体" w:cs="仿宋_GB2312"/>
          <w:color w:val="auto"/>
          <w:sz w:val="21"/>
          <w:highlight w:val="none"/>
        </w:rPr>
      </w:pPr>
      <w:r>
        <w:rPr>
          <w:rFonts w:hint="eastAsia" w:hAnsi="宋体" w:cs="仿宋_GB2312"/>
          <w:color w:val="auto"/>
          <w:sz w:val="21"/>
          <w:highlight w:val="none"/>
          <w:lang w:eastAsia="zh-CN"/>
        </w:rPr>
        <w:t>4</w:t>
      </w:r>
      <w:r>
        <w:rPr>
          <w:rFonts w:hAnsi="宋体" w:cs="仿宋_GB2312"/>
          <w:color w:val="auto"/>
          <w:sz w:val="21"/>
          <w:highlight w:val="none"/>
          <w:lang w:eastAsia="zh-CN"/>
        </w:rPr>
        <w:t>.</w:t>
      </w:r>
      <w:r>
        <w:rPr>
          <w:rFonts w:hint="eastAsia" w:hAnsi="宋体" w:cs="仿宋_GB2312"/>
          <w:color w:val="auto"/>
          <w:sz w:val="21"/>
          <w:highlight w:val="none"/>
        </w:rPr>
        <w:t>如果采购需求为小于、小于等于、大于或大于等于某个数值标准时，响应文件承诺不得直接复制采购需求，响应文件承诺内容应当写明竞标服务具体参数或商务响应承诺的具体数值，否则按竞标无效处理。如该采购需求属于不能明确具体数值的，采购人应在此采购需求的数值后标注◆号，对标注◆号的采购需求不适用上述“竞标无效”条款。</w:t>
      </w:r>
    </w:p>
    <w:p w14:paraId="25C2138E">
      <w:pPr>
        <w:snapToGrid w:val="0"/>
        <w:spacing w:line="360" w:lineRule="auto"/>
        <w:ind w:firstLine="602" w:firstLineChars="200"/>
        <w:rPr>
          <w:rFonts w:ascii="仿宋" w:hAnsi="仿宋" w:eastAsia="仿宋" w:cs="仿宋_GB2312"/>
          <w:b/>
          <w:color w:val="auto"/>
          <w:sz w:val="30"/>
          <w:szCs w:val="30"/>
          <w:highlight w:val="none"/>
        </w:rPr>
      </w:pPr>
    </w:p>
    <w:p w14:paraId="275DDC4F">
      <w:pPr>
        <w:autoSpaceDE w:val="0"/>
        <w:autoSpaceDN w:val="0"/>
        <w:spacing w:line="360" w:lineRule="auto"/>
        <w:ind w:left="4335" w:leftChars="1950" w:hanging="240" w:hangingChars="1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14:paraId="1235BA2A">
      <w:pPr>
        <w:autoSpaceDE w:val="0"/>
        <w:autoSpaceDN w:val="0"/>
        <w:spacing w:line="360" w:lineRule="auto"/>
        <w:ind w:firstLine="6480" w:firstLineChars="2700"/>
        <w:rPr>
          <w:rFonts w:ascii="仿宋_GB2312" w:hAnsi="仿宋" w:eastAsia="仿宋_GB2312" w:cs="仿宋_GB2312"/>
          <w:b/>
          <w:bCs/>
          <w:color w:val="auto"/>
          <w:sz w:val="24"/>
          <w:highlight w:val="none"/>
        </w:rPr>
      </w:pPr>
      <w:r>
        <w:rPr>
          <w:rFonts w:hint="eastAsia" w:ascii="仿宋_GB2312" w:hAnsi="仿宋" w:eastAsia="仿宋_GB2312" w:cs="仿宋_GB2312"/>
          <w:color w:val="auto"/>
          <w:kern w:val="0"/>
          <w:sz w:val="24"/>
          <w:highlight w:val="none"/>
          <w:lang w:val="zh-CN"/>
        </w:rPr>
        <w:t>日期：  年  月   日</w:t>
      </w:r>
    </w:p>
    <w:p w14:paraId="6D9FA355">
      <w:pPr>
        <w:adjustRightInd w:val="0"/>
        <w:snapToGrid w:val="0"/>
        <w:spacing w:line="520" w:lineRule="exact"/>
        <w:jc w:val="center"/>
        <w:rPr>
          <w:rFonts w:hint="eastAsia" w:ascii="方正小标宋简体" w:hAnsi="方正小标宋简体" w:eastAsia="方正小标宋简体" w:cs="方正小标宋简体"/>
          <w:bCs/>
          <w:color w:val="auto"/>
          <w:sz w:val="44"/>
          <w:szCs w:val="44"/>
          <w:highlight w:val="none"/>
        </w:rPr>
      </w:pPr>
    </w:p>
    <w:p w14:paraId="3054CC34">
      <w:pPr>
        <w:pStyle w:val="14"/>
        <w:rPr>
          <w:rFonts w:hint="eastAsia"/>
        </w:rPr>
      </w:pPr>
    </w:p>
    <w:p w14:paraId="7867BA5D">
      <w:pPr>
        <w:snapToGrid w:val="0"/>
        <w:spacing w:line="360" w:lineRule="auto"/>
        <w:ind w:firstLine="602" w:firstLineChars="200"/>
        <w:rPr>
          <w:rFonts w:hint="eastAsia" w:ascii="仿宋" w:hAnsi="仿宋" w:eastAsia="仿宋" w:cs="仿宋_GB2312"/>
          <w:b/>
          <w:color w:val="auto"/>
          <w:sz w:val="30"/>
          <w:szCs w:val="30"/>
          <w:highlight w:val="none"/>
        </w:rPr>
      </w:pPr>
      <w:r>
        <w:rPr>
          <w:rFonts w:hint="eastAsia" w:ascii="仿宋" w:hAnsi="仿宋" w:eastAsia="仿宋" w:cs="仿宋_GB2312"/>
          <w:b/>
          <w:color w:val="auto"/>
          <w:sz w:val="30"/>
          <w:szCs w:val="30"/>
          <w:highlight w:val="none"/>
          <w:lang w:val="en-US" w:eastAsia="zh-CN"/>
        </w:rPr>
        <w:t>十、线路技术参数响应、网络安全设备技术参数响应、其他设备技术参数响应、翻墙行为管控等材料</w:t>
      </w:r>
    </w:p>
    <w:p w14:paraId="285089DF">
      <w:pPr>
        <w:autoSpaceDE w:val="0"/>
        <w:autoSpaceDN w:val="0"/>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（由供应商根据采购需求及采购文件要求编制）</w:t>
      </w:r>
    </w:p>
    <w:p w14:paraId="58C4C97A">
      <w:pPr>
        <w:spacing w:line="300" w:lineRule="auto"/>
        <w:rPr>
          <w:rFonts w:hint="eastAsia" w:ascii="宋体" w:hAnsi="宋体"/>
          <w:color w:val="auto"/>
          <w:szCs w:val="21"/>
          <w:highlight w:val="none"/>
        </w:rPr>
      </w:pPr>
    </w:p>
    <w:p w14:paraId="28E80E84">
      <w:pPr>
        <w:adjustRightInd w:val="0"/>
        <w:spacing w:line="360" w:lineRule="auto"/>
        <w:contextualSpacing/>
        <w:jc w:val="left"/>
        <w:rPr>
          <w:rFonts w:hint="eastAsia" w:ascii="宋体" w:hAnsi="宋体" w:cs="仿宋_GB2312"/>
          <w:color w:val="auto"/>
          <w:sz w:val="24"/>
          <w:highlight w:val="none"/>
        </w:rPr>
      </w:pPr>
    </w:p>
    <w:p w14:paraId="03A835A5">
      <w:pPr>
        <w:autoSpaceDE w:val="0"/>
        <w:autoSpaceDN w:val="0"/>
        <w:spacing w:line="360" w:lineRule="auto"/>
        <w:ind w:left="4335" w:leftChars="1950" w:hanging="240" w:hangingChars="1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14:paraId="33FE22B9">
      <w:pPr>
        <w:spacing w:line="500" w:lineRule="exact"/>
        <w:jc w:val="center"/>
        <w:rPr>
          <w:rFonts w:hint="eastAsia"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日期：  年  月   日</w:t>
      </w:r>
    </w:p>
    <w:p w14:paraId="19722EE6">
      <w:pPr>
        <w:snapToGrid w:val="0"/>
        <w:spacing w:line="360" w:lineRule="auto"/>
        <w:ind w:firstLine="602" w:firstLineChars="200"/>
        <w:rPr>
          <w:rFonts w:hint="eastAsia" w:ascii="仿宋" w:hAnsi="仿宋" w:eastAsia="仿宋" w:cs="仿宋_GB2312"/>
          <w:b/>
          <w:color w:val="auto"/>
          <w:sz w:val="30"/>
          <w:szCs w:val="30"/>
          <w:highlight w:val="none"/>
          <w:lang w:val="en-US" w:eastAsia="zh-CN"/>
        </w:rPr>
      </w:pPr>
    </w:p>
    <w:p w14:paraId="6D07CAD1">
      <w:pPr>
        <w:pStyle w:val="14"/>
        <w:rPr>
          <w:rFonts w:hint="eastAsia"/>
          <w:lang w:val="en-US" w:eastAsia="zh-CN"/>
        </w:rPr>
      </w:pPr>
    </w:p>
    <w:p w14:paraId="4203EB8B">
      <w:pPr>
        <w:pStyle w:val="14"/>
        <w:rPr>
          <w:rFonts w:hint="eastAsia"/>
          <w:lang w:val="en-US" w:eastAsia="zh-CN"/>
        </w:rPr>
      </w:pPr>
    </w:p>
    <w:p w14:paraId="632FBCF3">
      <w:pPr>
        <w:snapToGrid w:val="0"/>
        <w:spacing w:line="360" w:lineRule="auto"/>
        <w:ind w:firstLine="602" w:firstLineChars="200"/>
        <w:rPr>
          <w:rFonts w:hint="eastAsia" w:ascii="仿宋" w:hAnsi="仿宋" w:eastAsia="仿宋" w:cs="仿宋_GB2312"/>
          <w:b/>
          <w:color w:val="auto"/>
          <w:sz w:val="30"/>
          <w:szCs w:val="30"/>
          <w:highlight w:val="none"/>
          <w:lang w:val="en-US" w:eastAsia="zh-CN"/>
        </w:rPr>
      </w:pPr>
    </w:p>
    <w:p w14:paraId="3AF9A06A">
      <w:pPr>
        <w:snapToGrid w:val="0"/>
        <w:spacing w:line="360" w:lineRule="auto"/>
        <w:ind w:firstLine="602" w:firstLineChars="200"/>
        <w:rPr>
          <w:rFonts w:hint="eastAsia" w:ascii="仿宋" w:hAnsi="仿宋" w:eastAsia="仿宋" w:cs="仿宋_GB2312"/>
          <w:b/>
          <w:color w:val="auto"/>
          <w:sz w:val="30"/>
          <w:szCs w:val="30"/>
          <w:highlight w:val="none"/>
          <w:lang w:val="en-US" w:eastAsia="zh-CN"/>
        </w:rPr>
      </w:pPr>
    </w:p>
    <w:p w14:paraId="3287CAC8">
      <w:pPr>
        <w:snapToGrid w:val="0"/>
        <w:spacing w:line="360" w:lineRule="auto"/>
        <w:ind w:firstLine="602" w:firstLineChars="200"/>
        <w:rPr>
          <w:rFonts w:hint="eastAsia" w:ascii="仿宋" w:hAnsi="仿宋" w:eastAsia="仿宋" w:cs="仿宋_GB2312"/>
          <w:b/>
          <w:color w:val="auto"/>
          <w:sz w:val="30"/>
          <w:szCs w:val="30"/>
          <w:highlight w:val="none"/>
          <w:lang w:val="en-US" w:eastAsia="zh-CN"/>
        </w:rPr>
      </w:pPr>
    </w:p>
    <w:p w14:paraId="6E8BDAE1">
      <w:pPr>
        <w:snapToGrid w:val="0"/>
        <w:spacing w:line="360" w:lineRule="auto"/>
        <w:ind w:firstLine="602" w:firstLineChars="200"/>
        <w:rPr>
          <w:rFonts w:hint="eastAsia" w:ascii="仿宋" w:hAnsi="仿宋" w:eastAsia="仿宋" w:cs="仿宋_GB2312"/>
          <w:b/>
          <w:color w:val="auto"/>
          <w:sz w:val="30"/>
          <w:szCs w:val="30"/>
          <w:highlight w:val="none"/>
        </w:rPr>
      </w:pPr>
      <w:r>
        <w:rPr>
          <w:rFonts w:hint="eastAsia" w:ascii="仿宋" w:hAnsi="仿宋" w:eastAsia="仿宋" w:cs="仿宋_GB2312"/>
          <w:b/>
          <w:color w:val="auto"/>
          <w:sz w:val="30"/>
          <w:szCs w:val="30"/>
          <w:highlight w:val="none"/>
          <w:lang w:val="en-US" w:eastAsia="zh-CN"/>
        </w:rPr>
        <w:t>十一、技术方案</w:t>
      </w:r>
    </w:p>
    <w:p w14:paraId="37A29C9E">
      <w:pPr>
        <w:autoSpaceDE w:val="0"/>
        <w:autoSpaceDN w:val="0"/>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（由供应商根据采购需求及采购文件要求编制）</w:t>
      </w:r>
    </w:p>
    <w:p w14:paraId="2D3F40BE">
      <w:pPr>
        <w:spacing w:line="300" w:lineRule="auto"/>
        <w:rPr>
          <w:rFonts w:hint="eastAsia" w:ascii="宋体" w:hAnsi="宋体"/>
          <w:color w:val="auto"/>
          <w:szCs w:val="21"/>
          <w:highlight w:val="none"/>
        </w:rPr>
      </w:pPr>
    </w:p>
    <w:p w14:paraId="77767D0D">
      <w:pPr>
        <w:adjustRightInd w:val="0"/>
        <w:spacing w:line="360" w:lineRule="auto"/>
        <w:contextualSpacing/>
        <w:jc w:val="left"/>
        <w:rPr>
          <w:rFonts w:hint="eastAsia" w:ascii="宋体" w:hAnsi="宋体" w:cs="仿宋_GB2312"/>
          <w:color w:val="auto"/>
          <w:sz w:val="24"/>
          <w:highlight w:val="none"/>
        </w:rPr>
      </w:pPr>
    </w:p>
    <w:p w14:paraId="1036BFC7">
      <w:pPr>
        <w:autoSpaceDE w:val="0"/>
        <w:autoSpaceDN w:val="0"/>
        <w:spacing w:line="360" w:lineRule="auto"/>
        <w:ind w:left="4335" w:leftChars="1950" w:hanging="240" w:hangingChars="1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14:paraId="595599FF">
      <w:pPr>
        <w:spacing w:line="500" w:lineRule="exact"/>
        <w:jc w:val="center"/>
        <w:rPr>
          <w:rFonts w:hint="eastAsia"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日期：  年  月   日</w:t>
      </w:r>
    </w:p>
    <w:p w14:paraId="39BEE4B9">
      <w:pPr>
        <w:pStyle w:val="14"/>
        <w:rPr>
          <w:rFonts w:hint="eastAsia" w:ascii="仿宋_GB2312" w:hAnsi="仿宋" w:eastAsia="仿宋_GB2312" w:cs="仿宋_GB2312"/>
          <w:color w:val="auto"/>
          <w:kern w:val="0"/>
          <w:sz w:val="24"/>
          <w:highlight w:val="none"/>
          <w:lang w:val="zh-CN"/>
        </w:rPr>
      </w:pPr>
    </w:p>
    <w:p w14:paraId="6D6A55B4">
      <w:pPr>
        <w:rPr>
          <w:rFonts w:hint="eastAsia" w:ascii="仿宋_GB2312" w:hAnsi="仿宋" w:eastAsia="仿宋_GB2312" w:cs="仿宋_GB2312"/>
          <w:color w:val="auto"/>
          <w:kern w:val="0"/>
          <w:sz w:val="24"/>
          <w:highlight w:val="none"/>
          <w:lang w:val="zh-CN"/>
        </w:rPr>
      </w:pPr>
    </w:p>
    <w:p w14:paraId="59D3B1C1">
      <w:pPr>
        <w:pStyle w:val="14"/>
        <w:rPr>
          <w:rFonts w:hint="eastAsia"/>
          <w:lang w:val="zh-CN"/>
        </w:rPr>
      </w:pPr>
    </w:p>
    <w:p w14:paraId="51D314A9">
      <w:pPr>
        <w:rPr>
          <w:rFonts w:hint="eastAsia" w:ascii="仿宋_GB2312" w:hAnsi="仿宋" w:eastAsia="仿宋_GB2312" w:cs="仿宋_GB2312"/>
          <w:color w:val="auto"/>
          <w:kern w:val="0"/>
          <w:sz w:val="24"/>
          <w:highlight w:val="none"/>
          <w:lang w:val="zh-CN"/>
        </w:rPr>
      </w:pPr>
    </w:p>
    <w:p w14:paraId="74D3AE86">
      <w:pPr>
        <w:snapToGrid w:val="0"/>
        <w:spacing w:line="360" w:lineRule="auto"/>
        <w:ind w:firstLine="602" w:firstLineChars="200"/>
        <w:rPr>
          <w:rFonts w:ascii="仿宋" w:hAnsi="仿宋" w:eastAsia="仿宋" w:cs="仿宋_GB2312"/>
          <w:b/>
          <w:color w:val="auto"/>
          <w:sz w:val="30"/>
          <w:szCs w:val="30"/>
          <w:highlight w:val="none"/>
        </w:rPr>
      </w:pPr>
      <w:r>
        <w:rPr>
          <w:rFonts w:hint="eastAsia" w:ascii="仿宋" w:hAnsi="仿宋" w:eastAsia="仿宋" w:cs="仿宋_GB2312"/>
          <w:b/>
          <w:color w:val="auto"/>
          <w:sz w:val="30"/>
          <w:szCs w:val="30"/>
          <w:highlight w:val="none"/>
          <w:lang w:val="en-US" w:eastAsia="zh-CN"/>
        </w:rPr>
        <w:t>十二</w:t>
      </w:r>
      <w:r>
        <w:rPr>
          <w:rFonts w:hint="eastAsia" w:ascii="仿宋" w:hAnsi="仿宋" w:eastAsia="仿宋" w:cs="仿宋_GB2312"/>
          <w:b/>
          <w:color w:val="auto"/>
          <w:sz w:val="30"/>
          <w:szCs w:val="30"/>
          <w:highlight w:val="none"/>
        </w:rPr>
        <w:t>、</w:t>
      </w:r>
      <w:r>
        <w:rPr>
          <w:rFonts w:hint="eastAsia" w:ascii="仿宋" w:hAnsi="仿宋" w:eastAsia="仿宋" w:cs="仿宋_GB2312"/>
          <w:b/>
          <w:color w:val="auto"/>
          <w:sz w:val="30"/>
          <w:szCs w:val="30"/>
          <w:highlight w:val="none"/>
          <w:lang w:val="en-US" w:eastAsia="zh-CN"/>
        </w:rPr>
        <w:t>实施</w:t>
      </w:r>
      <w:r>
        <w:rPr>
          <w:rFonts w:hint="eastAsia" w:ascii="仿宋" w:hAnsi="仿宋" w:eastAsia="仿宋" w:cs="仿宋_GB2312"/>
          <w:b/>
          <w:color w:val="auto"/>
          <w:sz w:val="30"/>
          <w:szCs w:val="30"/>
          <w:highlight w:val="none"/>
        </w:rPr>
        <w:t>方案</w:t>
      </w:r>
    </w:p>
    <w:p w14:paraId="37DACEAF">
      <w:pPr>
        <w:autoSpaceDE w:val="0"/>
        <w:autoSpaceDN w:val="0"/>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（由供应商根据采购需求及采购文件要求编制）</w:t>
      </w:r>
    </w:p>
    <w:p w14:paraId="63CFF66D">
      <w:pPr>
        <w:spacing w:line="500" w:lineRule="exact"/>
        <w:rPr>
          <w:rFonts w:hint="eastAsia" w:ascii="仿宋_GB2312" w:hAnsi="仿宋_GB2312" w:eastAsia="仿宋_GB2312" w:cs="仿宋_GB2312"/>
          <w:color w:val="auto"/>
          <w:sz w:val="32"/>
          <w:szCs w:val="32"/>
          <w:highlight w:val="none"/>
        </w:rPr>
      </w:pPr>
    </w:p>
    <w:p w14:paraId="2D1C2842">
      <w:pPr>
        <w:pStyle w:val="14"/>
        <w:rPr>
          <w:rFonts w:hint="eastAsia"/>
        </w:rPr>
      </w:pPr>
    </w:p>
    <w:p w14:paraId="480FD441">
      <w:pPr>
        <w:autoSpaceDE w:val="0"/>
        <w:autoSpaceDN w:val="0"/>
        <w:spacing w:line="360" w:lineRule="auto"/>
        <w:ind w:left="4335" w:leftChars="1950" w:hanging="240" w:hangingChars="1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14:paraId="4CE16332">
      <w:pPr>
        <w:autoSpaceDE w:val="0"/>
        <w:autoSpaceDN w:val="0"/>
        <w:spacing w:line="360" w:lineRule="auto"/>
        <w:ind w:firstLine="6480" w:firstLineChars="2700"/>
        <w:rPr>
          <w:rFonts w:ascii="仿宋_GB2312" w:hAnsi="仿宋" w:eastAsia="仿宋_GB2312" w:cs="仿宋_GB2312"/>
          <w:b/>
          <w:bCs/>
          <w:color w:val="auto"/>
          <w:sz w:val="24"/>
          <w:highlight w:val="none"/>
        </w:rPr>
      </w:pPr>
      <w:r>
        <w:rPr>
          <w:rFonts w:hint="eastAsia" w:ascii="仿宋_GB2312" w:hAnsi="仿宋" w:eastAsia="仿宋_GB2312" w:cs="仿宋_GB2312"/>
          <w:color w:val="auto"/>
          <w:kern w:val="0"/>
          <w:sz w:val="24"/>
          <w:highlight w:val="none"/>
          <w:lang w:val="zh-CN"/>
        </w:rPr>
        <w:t>日期：  年  月   日</w:t>
      </w:r>
    </w:p>
    <w:p w14:paraId="6772451B">
      <w:pPr>
        <w:pStyle w:val="14"/>
        <w:rPr>
          <w:lang w:val="zh-CN"/>
        </w:rPr>
      </w:pPr>
    </w:p>
    <w:p w14:paraId="30452D28">
      <w:pPr>
        <w:rPr>
          <w:lang w:val="zh-CN"/>
        </w:rPr>
      </w:pPr>
    </w:p>
    <w:p w14:paraId="1C6AB243">
      <w:pPr>
        <w:snapToGrid w:val="0"/>
        <w:spacing w:line="360" w:lineRule="auto"/>
        <w:ind w:firstLine="602" w:firstLineChars="200"/>
        <w:rPr>
          <w:rFonts w:hint="eastAsia" w:ascii="仿宋" w:hAnsi="仿宋" w:eastAsia="仿宋" w:cs="仿宋_GB2312"/>
          <w:b/>
          <w:color w:val="auto"/>
          <w:sz w:val="30"/>
          <w:szCs w:val="30"/>
          <w:highlight w:val="none"/>
        </w:rPr>
      </w:pPr>
      <w:r>
        <w:rPr>
          <w:rFonts w:hint="eastAsia" w:ascii="仿宋" w:hAnsi="仿宋" w:eastAsia="仿宋" w:cs="仿宋_GB2312"/>
          <w:b/>
          <w:color w:val="auto"/>
          <w:sz w:val="30"/>
          <w:szCs w:val="30"/>
          <w:highlight w:val="none"/>
        </w:rPr>
        <w:t>十</w:t>
      </w:r>
      <w:r>
        <w:rPr>
          <w:rFonts w:hint="eastAsia" w:ascii="仿宋" w:hAnsi="仿宋" w:eastAsia="仿宋" w:cs="仿宋_GB2312"/>
          <w:b/>
          <w:color w:val="auto"/>
          <w:sz w:val="30"/>
          <w:szCs w:val="30"/>
          <w:highlight w:val="none"/>
          <w:lang w:val="en-US" w:eastAsia="zh-CN"/>
        </w:rPr>
        <w:t>三</w:t>
      </w:r>
      <w:r>
        <w:rPr>
          <w:rFonts w:hint="eastAsia" w:ascii="仿宋" w:hAnsi="仿宋" w:eastAsia="仿宋" w:cs="仿宋_GB2312"/>
          <w:b/>
          <w:color w:val="auto"/>
          <w:sz w:val="30"/>
          <w:szCs w:val="30"/>
          <w:highlight w:val="none"/>
        </w:rPr>
        <w:t>、服务需求、商务条款要求提供的其他材料</w:t>
      </w:r>
    </w:p>
    <w:p w14:paraId="5A36713E">
      <w:pPr>
        <w:autoSpaceDE w:val="0"/>
        <w:autoSpaceDN w:val="0"/>
        <w:spacing w:line="360" w:lineRule="auto"/>
        <w:ind w:left="4335" w:leftChars="1950" w:hanging="240" w:hangingChars="100"/>
        <w:rPr>
          <w:rFonts w:hint="eastAsia" w:ascii="仿宋_GB2312" w:hAnsi="仿宋" w:eastAsia="仿宋_GB2312" w:cs="仿宋_GB2312"/>
          <w:color w:val="auto"/>
          <w:kern w:val="0"/>
          <w:sz w:val="24"/>
          <w:highlight w:val="none"/>
        </w:rPr>
      </w:pPr>
    </w:p>
    <w:p w14:paraId="2A200107">
      <w:pPr>
        <w:pStyle w:val="14"/>
        <w:rPr>
          <w:rFonts w:hint="eastAsia"/>
        </w:rPr>
      </w:pPr>
    </w:p>
    <w:p w14:paraId="1662DB27">
      <w:pPr>
        <w:autoSpaceDE w:val="0"/>
        <w:autoSpaceDN w:val="0"/>
        <w:spacing w:line="360" w:lineRule="auto"/>
        <w:ind w:left="4335" w:leftChars="1950" w:hanging="240" w:hangingChars="1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14:paraId="0ACC7309">
      <w:pPr>
        <w:autoSpaceDE w:val="0"/>
        <w:autoSpaceDN w:val="0"/>
        <w:spacing w:line="360" w:lineRule="auto"/>
        <w:ind w:firstLine="6480" w:firstLineChars="2700"/>
        <w:rPr>
          <w:rFonts w:hint="eastAsia"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日期：  年  月   日</w:t>
      </w:r>
    </w:p>
    <w:p w14:paraId="6DEDB221">
      <w:pPr>
        <w:autoSpaceDE w:val="0"/>
        <w:autoSpaceDN w:val="0"/>
        <w:spacing w:line="360" w:lineRule="auto"/>
        <w:ind w:firstLine="6505" w:firstLineChars="2700"/>
        <w:rPr>
          <w:rFonts w:ascii="仿宋_GB2312" w:hAnsi="仿宋" w:eastAsia="仿宋_GB2312" w:cs="仿宋_GB2312"/>
          <w:b/>
          <w:bCs/>
          <w:color w:val="auto"/>
          <w:sz w:val="24"/>
          <w:highlight w:val="none"/>
        </w:rPr>
      </w:pPr>
    </w:p>
    <w:p w14:paraId="70F3BBE3">
      <w:pPr>
        <w:pStyle w:val="14"/>
        <w:rPr>
          <w:rFonts w:ascii="仿宋_GB2312" w:hAnsi="仿宋" w:eastAsia="仿宋_GB2312" w:cs="仿宋_GB2312"/>
          <w:b/>
          <w:bCs/>
          <w:color w:val="auto"/>
          <w:sz w:val="24"/>
          <w:highlight w:val="none"/>
        </w:rPr>
      </w:pPr>
    </w:p>
    <w:p w14:paraId="2B5AD7E4">
      <w:pPr>
        <w:numPr>
          <w:ilvl w:val="0"/>
          <w:numId w:val="0"/>
        </w:numPr>
        <w:snapToGrid w:val="0"/>
        <w:spacing w:line="360" w:lineRule="auto"/>
        <w:ind w:firstLine="602" w:firstLineChars="200"/>
        <w:rPr>
          <w:rFonts w:hint="eastAsia" w:ascii="仿宋" w:hAnsi="仿宋" w:eastAsia="仿宋" w:cs="仿宋_GB2312"/>
          <w:b/>
          <w:color w:val="auto"/>
          <w:sz w:val="30"/>
          <w:szCs w:val="30"/>
          <w:highlight w:val="none"/>
          <w:lang w:val="en-US" w:eastAsia="zh-CN"/>
        </w:rPr>
      </w:pPr>
      <w:r>
        <w:rPr>
          <w:rFonts w:hint="eastAsia" w:ascii="仿宋" w:hAnsi="仿宋" w:eastAsia="仿宋" w:cs="仿宋_GB2312"/>
          <w:b/>
          <w:color w:val="auto"/>
          <w:sz w:val="30"/>
          <w:szCs w:val="30"/>
          <w:highlight w:val="none"/>
          <w:lang w:val="en-US" w:eastAsia="zh-CN"/>
        </w:rPr>
        <w:t>十四、供应商认为需要提供的其他有关资料</w:t>
      </w:r>
    </w:p>
    <w:p w14:paraId="32A3BE75">
      <w:pPr>
        <w:pStyle w:val="14"/>
        <w:widowControl w:val="0"/>
        <w:numPr>
          <w:ilvl w:val="0"/>
          <w:numId w:val="0"/>
        </w:numPr>
        <w:spacing w:after="120"/>
        <w:jc w:val="both"/>
        <w:rPr>
          <w:rFonts w:hint="eastAsia"/>
          <w:lang w:val="en-US" w:eastAsia="zh-CN"/>
        </w:rPr>
      </w:pPr>
    </w:p>
    <w:p w14:paraId="330755F1">
      <w:pPr>
        <w:rPr>
          <w:rFonts w:hint="eastAsia"/>
          <w:lang w:val="en-US" w:eastAsia="zh-CN"/>
        </w:rPr>
      </w:pPr>
    </w:p>
    <w:p w14:paraId="79506C20">
      <w:pPr>
        <w:pStyle w:val="14"/>
        <w:rPr>
          <w:rFonts w:hint="eastAsia"/>
          <w:lang w:val="en-US" w:eastAsia="zh-CN"/>
        </w:rPr>
      </w:pPr>
    </w:p>
    <w:p w14:paraId="4CBC4E93">
      <w:pPr>
        <w:autoSpaceDE w:val="0"/>
        <w:autoSpaceDN w:val="0"/>
        <w:spacing w:line="360" w:lineRule="auto"/>
        <w:ind w:left="4335" w:leftChars="1950" w:hanging="240" w:hangingChars="1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14:paraId="1999F6B0">
      <w:pPr>
        <w:autoSpaceDE w:val="0"/>
        <w:autoSpaceDN w:val="0"/>
        <w:spacing w:line="360" w:lineRule="auto"/>
        <w:ind w:firstLine="6480" w:firstLineChars="2700"/>
        <w:rPr>
          <w:rFonts w:hint="eastAsia"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日期：  年  月   日</w:t>
      </w:r>
    </w:p>
    <w:p w14:paraId="63AC4B81">
      <w:pPr>
        <w:rPr>
          <w:rFonts w:hint="eastAsia"/>
          <w:lang w:val="en-US" w:eastAsia="zh-CN"/>
        </w:rPr>
        <w:sectPr>
          <w:pgSz w:w="11910" w:h="16840"/>
          <w:pgMar w:top="1340" w:right="1500" w:bottom="280" w:left="1680" w:header="720" w:footer="720" w:gutter="0"/>
          <w:pgBorders>
            <w:top w:val="none" w:sz="0" w:space="0"/>
            <w:left w:val="none" w:sz="0" w:space="0"/>
            <w:bottom w:val="none" w:sz="0" w:space="0"/>
            <w:right w:val="none" w:sz="0" w:space="0"/>
          </w:pgBorders>
          <w:pgNumType w:fmt="decimal"/>
          <w:cols w:space="720" w:num="1"/>
        </w:sectPr>
      </w:pPr>
    </w:p>
    <w:p w14:paraId="6A034CC3">
      <w:pPr>
        <w:autoSpaceDE w:val="0"/>
        <w:autoSpaceDN w:val="0"/>
        <w:spacing w:line="360" w:lineRule="auto"/>
        <w:ind w:firstLine="6505" w:firstLineChars="2700"/>
        <w:rPr>
          <w:rFonts w:ascii="仿宋_GB2312" w:hAnsi="仿宋" w:eastAsia="仿宋_GB2312" w:cs="仿宋_GB2312"/>
          <w:b/>
          <w:bCs/>
          <w:color w:val="auto"/>
          <w:sz w:val="24"/>
          <w:highlight w:val="none"/>
        </w:rPr>
      </w:pPr>
    </w:p>
    <w:p w14:paraId="1BCBE2E6">
      <w:pPr>
        <w:pStyle w:val="3"/>
        <w:jc w:val="center"/>
        <w:rPr>
          <w:rFonts w:hint="eastAsia" w:ascii="宋体" w:hAnsi="宋体"/>
          <w:color w:val="auto"/>
          <w:highlight w:val="none"/>
          <w:lang w:val="en-US" w:eastAsia="zh-CN"/>
        </w:rPr>
      </w:pPr>
      <w:bookmarkStart w:id="88" w:name="_Toc80886945"/>
      <w:bookmarkStart w:id="89" w:name="_Toc80205941"/>
      <w:bookmarkStart w:id="90" w:name="_Toc5119"/>
      <w:r>
        <w:rPr>
          <w:rFonts w:hint="eastAsia" w:ascii="宋体" w:hAnsi="宋体"/>
          <w:color w:val="auto"/>
          <w:highlight w:val="none"/>
          <w:lang w:val="en-US" w:eastAsia="zh-CN"/>
        </w:rPr>
        <w:t>第四节 报价文件格式</w:t>
      </w:r>
      <w:bookmarkEnd w:id="88"/>
      <w:bookmarkEnd w:id="89"/>
      <w:bookmarkEnd w:id="90"/>
    </w:p>
    <w:p w14:paraId="00E10D81">
      <w:pPr>
        <w:snapToGrid w:val="0"/>
        <w:spacing w:before="120" w:beforeLines="50" w:after="50"/>
        <w:rPr>
          <w:rFonts w:hint="eastAsia" w:ascii="宋体" w:hAnsi="宋体"/>
          <w:bCs/>
          <w:color w:val="auto"/>
          <w:sz w:val="32"/>
          <w:szCs w:val="20"/>
          <w:highlight w:val="none"/>
        </w:rPr>
      </w:pPr>
      <w:r>
        <w:rPr>
          <w:rFonts w:hint="eastAsia" w:ascii="宋体" w:hAnsi="宋体"/>
          <w:color w:val="auto"/>
          <w:sz w:val="24"/>
          <w:highlight w:val="none"/>
        </w:rPr>
        <w:t xml:space="preserve">                                                    </w:t>
      </w:r>
      <w:r>
        <w:rPr>
          <w:rFonts w:hint="eastAsia" w:ascii="宋体" w:hAnsi="宋体"/>
          <w:bCs/>
          <w:color w:val="auto"/>
          <w:highlight w:val="none"/>
        </w:rPr>
        <w:t>全流程电子文件</w:t>
      </w:r>
    </w:p>
    <w:p w14:paraId="7F5A53F5">
      <w:pPr>
        <w:snapToGrid w:val="0"/>
        <w:spacing w:before="120" w:beforeLines="50" w:after="50"/>
        <w:rPr>
          <w:rFonts w:hint="eastAsia" w:ascii="宋体" w:hAnsi="宋体"/>
          <w:color w:val="auto"/>
          <w:sz w:val="24"/>
          <w:szCs w:val="20"/>
          <w:highlight w:val="none"/>
        </w:rPr>
      </w:pPr>
    </w:p>
    <w:p w14:paraId="0B71E02D">
      <w:pPr>
        <w:snapToGrid w:val="0"/>
        <w:spacing w:before="120" w:beforeLines="50" w:after="50"/>
        <w:rPr>
          <w:rFonts w:hint="eastAsia" w:ascii="宋体" w:hAnsi="宋体"/>
          <w:color w:val="auto"/>
          <w:sz w:val="24"/>
          <w:szCs w:val="20"/>
          <w:highlight w:val="none"/>
        </w:rPr>
      </w:pPr>
    </w:p>
    <w:p w14:paraId="15AC3D1C">
      <w:pPr>
        <w:snapToGrid w:val="0"/>
        <w:spacing w:before="120" w:beforeLines="50" w:after="50"/>
        <w:rPr>
          <w:rFonts w:hint="eastAsia" w:ascii="宋体" w:hAnsi="宋体"/>
          <w:color w:val="auto"/>
          <w:sz w:val="24"/>
          <w:szCs w:val="20"/>
          <w:highlight w:val="none"/>
        </w:rPr>
      </w:pPr>
    </w:p>
    <w:p w14:paraId="434291F4">
      <w:pPr>
        <w:snapToGrid w:val="0"/>
        <w:spacing w:before="120" w:beforeLines="50" w:after="50"/>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 xml:space="preserve">报 </w:t>
      </w:r>
      <w:r>
        <w:rPr>
          <w:rFonts w:ascii="方正小标宋简体" w:hAnsi="方正小标宋简体" w:eastAsia="方正小标宋简体" w:cs="方正小标宋简体"/>
          <w:bCs/>
          <w:color w:val="auto"/>
          <w:sz w:val="44"/>
          <w:szCs w:val="44"/>
          <w:highlight w:val="none"/>
        </w:rPr>
        <w:t xml:space="preserve"> </w:t>
      </w:r>
      <w:r>
        <w:rPr>
          <w:rFonts w:hint="eastAsia" w:ascii="方正小标宋简体" w:hAnsi="方正小标宋简体" w:eastAsia="方正小标宋简体" w:cs="方正小标宋简体"/>
          <w:bCs/>
          <w:color w:val="auto"/>
          <w:sz w:val="44"/>
          <w:szCs w:val="44"/>
          <w:highlight w:val="none"/>
        </w:rPr>
        <w:t>价  文  件（封面）</w:t>
      </w:r>
    </w:p>
    <w:p w14:paraId="7472A079">
      <w:pPr>
        <w:snapToGrid w:val="0"/>
        <w:spacing w:before="120" w:beforeLines="50" w:after="50"/>
        <w:rPr>
          <w:rFonts w:hint="eastAsia" w:ascii="宋体" w:hAnsi="宋体"/>
          <w:bCs/>
          <w:color w:val="auto"/>
          <w:sz w:val="24"/>
          <w:szCs w:val="20"/>
          <w:highlight w:val="none"/>
        </w:rPr>
      </w:pPr>
    </w:p>
    <w:p w14:paraId="79B221CB">
      <w:pPr>
        <w:snapToGrid w:val="0"/>
        <w:spacing w:before="120" w:beforeLines="50" w:after="50"/>
        <w:rPr>
          <w:rFonts w:hint="eastAsia" w:ascii="宋体" w:hAnsi="宋体"/>
          <w:bCs/>
          <w:color w:val="auto"/>
          <w:sz w:val="24"/>
          <w:szCs w:val="20"/>
          <w:highlight w:val="none"/>
        </w:rPr>
      </w:pPr>
    </w:p>
    <w:p w14:paraId="45D5C63D">
      <w:pPr>
        <w:snapToGrid w:val="0"/>
        <w:spacing w:before="120" w:beforeLines="50" w:after="50"/>
        <w:rPr>
          <w:rFonts w:hint="eastAsia" w:ascii="宋体" w:hAnsi="宋体"/>
          <w:bCs/>
          <w:color w:val="auto"/>
          <w:sz w:val="24"/>
          <w:szCs w:val="20"/>
          <w:highlight w:val="none"/>
        </w:rPr>
      </w:pPr>
    </w:p>
    <w:p w14:paraId="76D85275">
      <w:pPr>
        <w:snapToGrid w:val="0"/>
        <w:spacing w:before="120" w:beforeLines="50" w:after="50"/>
        <w:rPr>
          <w:rFonts w:hint="eastAsia" w:ascii="宋体" w:hAnsi="宋体"/>
          <w:bCs/>
          <w:color w:val="auto"/>
          <w:sz w:val="24"/>
          <w:szCs w:val="20"/>
          <w:highlight w:val="none"/>
        </w:rPr>
      </w:pPr>
    </w:p>
    <w:p w14:paraId="47F47D56">
      <w:pPr>
        <w:snapToGrid w:val="0"/>
        <w:spacing w:before="120" w:beforeLines="50" w:after="50"/>
        <w:rPr>
          <w:rFonts w:hint="eastAsia" w:ascii="宋体" w:hAnsi="宋体"/>
          <w:bCs/>
          <w:color w:val="auto"/>
          <w:sz w:val="24"/>
          <w:szCs w:val="20"/>
          <w:highlight w:val="none"/>
        </w:rPr>
      </w:pPr>
    </w:p>
    <w:p w14:paraId="5174609A">
      <w:pPr>
        <w:snapToGrid w:val="0"/>
        <w:spacing w:before="120" w:beforeLines="50" w:after="50"/>
        <w:ind w:firstLine="640" w:firstLineChars="200"/>
        <w:rPr>
          <w:rFonts w:hint="eastAsia" w:ascii="宋体" w:hAnsi="宋体" w:eastAsia="宋体" w:cs="仿宋_GB2312"/>
          <w:bCs/>
          <w:color w:val="auto"/>
          <w:sz w:val="32"/>
          <w:szCs w:val="32"/>
          <w:highlight w:val="none"/>
          <w:lang w:eastAsia="zh-CN"/>
        </w:rPr>
      </w:pPr>
      <w:r>
        <w:rPr>
          <w:rFonts w:hint="eastAsia" w:ascii="宋体" w:hAnsi="宋体" w:cs="仿宋_GB2312"/>
          <w:bCs/>
          <w:color w:val="auto"/>
          <w:sz w:val="32"/>
          <w:szCs w:val="32"/>
          <w:highlight w:val="none"/>
        </w:rPr>
        <w:t>项目名称：</w:t>
      </w:r>
      <w:r>
        <w:rPr>
          <w:rFonts w:hint="eastAsia" w:ascii="宋体" w:hAnsi="宋体" w:cs="仿宋_GB2312"/>
          <w:bCs/>
          <w:color w:val="auto"/>
          <w:sz w:val="32"/>
          <w:szCs w:val="32"/>
          <w:highlight w:val="none"/>
          <w:lang w:eastAsia="zh-CN"/>
        </w:rPr>
        <w:t>隆安县电子政务外网一期线路租用及设备升级服务项目</w:t>
      </w:r>
    </w:p>
    <w:p w14:paraId="29E6CAA0">
      <w:pPr>
        <w:snapToGrid w:val="0"/>
        <w:spacing w:before="120" w:beforeLines="50" w:after="50"/>
        <w:ind w:firstLine="720" w:firstLineChars="225"/>
        <w:rPr>
          <w:rFonts w:hint="eastAsia" w:ascii="宋体" w:hAnsi="宋体" w:cs="仿宋_GB2312"/>
          <w:bCs/>
          <w:color w:val="auto"/>
          <w:sz w:val="32"/>
          <w:szCs w:val="32"/>
          <w:highlight w:val="none"/>
        </w:rPr>
      </w:pPr>
    </w:p>
    <w:p w14:paraId="616C4627">
      <w:pPr>
        <w:snapToGrid w:val="0"/>
        <w:spacing w:before="120" w:beforeLines="50" w:after="50"/>
        <w:ind w:firstLine="640" w:firstLineChars="200"/>
        <w:rPr>
          <w:rFonts w:hint="default" w:ascii="宋体" w:hAnsi="宋体" w:eastAsia="宋体" w:cs="仿宋_GB2312"/>
          <w:bCs/>
          <w:color w:val="auto"/>
          <w:sz w:val="32"/>
          <w:szCs w:val="32"/>
          <w:highlight w:val="none"/>
          <w:lang w:val="en-US" w:eastAsia="zh-CN"/>
        </w:rPr>
      </w:pPr>
      <w:r>
        <w:rPr>
          <w:rFonts w:hint="eastAsia" w:ascii="宋体" w:hAnsi="宋体" w:cs="仿宋_GB2312"/>
          <w:bCs/>
          <w:color w:val="auto"/>
          <w:sz w:val="32"/>
          <w:szCs w:val="32"/>
          <w:highlight w:val="none"/>
        </w:rPr>
        <w:t>项目编号：</w:t>
      </w:r>
      <w:r>
        <w:rPr>
          <w:rFonts w:hint="eastAsia" w:ascii="宋体" w:hAnsi="宋体" w:cs="仿宋_GB2312"/>
          <w:bCs/>
          <w:color w:val="auto"/>
          <w:sz w:val="32"/>
          <w:szCs w:val="32"/>
          <w:highlight w:val="none"/>
          <w:lang w:val="en-US" w:eastAsia="zh-CN"/>
        </w:rPr>
        <w:t xml:space="preserve"> </w:t>
      </w:r>
    </w:p>
    <w:p w14:paraId="784D13EA">
      <w:pPr>
        <w:snapToGrid w:val="0"/>
        <w:spacing w:before="120" w:beforeLines="50" w:after="50"/>
        <w:ind w:firstLine="720" w:firstLineChars="225"/>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 xml:space="preserve"> </w:t>
      </w:r>
    </w:p>
    <w:p w14:paraId="203BC7DA">
      <w:pPr>
        <w:snapToGrid w:val="0"/>
        <w:spacing w:before="120"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053321F0">
      <w:pPr>
        <w:snapToGrid w:val="0"/>
        <w:spacing w:before="120" w:beforeLines="50" w:after="50"/>
        <w:ind w:firstLine="720" w:firstLineChars="225"/>
        <w:rPr>
          <w:rFonts w:hint="eastAsia" w:ascii="宋体" w:hAnsi="宋体" w:cs="仿宋_GB2312"/>
          <w:bCs/>
          <w:color w:val="auto"/>
          <w:sz w:val="32"/>
          <w:szCs w:val="32"/>
          <w:highlight w:val="none"/>
        </w:rPr>
      </w:pPr>
    </w:p>
    <w:p w14:paraId="0798ECC1">
      <w:pPr>
        <w:pStyle w:val="7"/>
        <w:snapToGrid w:val="0"/>
        <w:spacing w:before="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297AC92A">
      <w:pPr>
        <w:pStyle w:val="7"/>
        <w:snapToGrid w:val="0"/>
        <w:spacing w:before="50" w:after="50"/>
        <w:ind w:firstLine="720" w:firstLineChars="225"/>
        <w:rPr>
          <w:rFonts w:hint="eastAsia" w:ascii="宋体" w:hAnsi="宋体" w:cs="仿宋_GB2312"/>
          <w:bCs/>
          <w:color w:val="auto"/>
          <w:sz w:val="32"/>
          <w:szCs w:val="32"/>
          <w:highlight w:val="none"/>
        </w:rPr>
      </w:pPr>
    </w:p>
    <w:p w14:paraId="5D67090A">
      <w:pPr>
        <w:pStyle w:val="7"/>
        <w:snapToGrid w:val="0"/>
        <w:spacing w:before="50" w:after="50"/>
        <w:ind w:firstLine="720" w:firstLineChars="225"/>
        <w:rPr>
          <w:rFonts w:hint="eastAsia" w:ascii="宋体" w:hAnsi="宋体" w:cs="仿宋_GB2312"/>
          <w:bCs/>
          <w:color w:val="auto"/>
          <w:sz w:val="32"/>
          <w:szCs w:val="32"/>
          <w:highlight w:val="none"/>
        </w:rPr>
      </w:pPr>
    </w:p>
    <w:p w14:paraId="2D249067">
      <w:pPr>
        <w:pStyle w:val="7"/>
        <w:snapToGrid w:val="0"/>
        <w:spacing w:before="50" w:after="50"/>
        <w:ind w:firstLine="1280" w:firstLineChars="400"/>
        <w:rPr>
          <w:rFonts w:hint="eastAsia" w:ascii="宋体" w:hAnsi="宋体" w:cs="仿宋_GB2312"/>
          <w:bCs/>
          <w:color w:val="auto"/>
          <w:sz w:val="32"/>
          <w:szCs w:val="32"/>
          <w:highlight w:val="none"/>
        </w:rPr>
      </w:pPr>
    </w:p>
    <w:p w14:paraId="1A055FD3">
      <w:pPr>
        <w:snapToGrid w:val="0"/>
        <w:spacing w:before="120" w:beforeLines="50" w:after="50"/>
        <w:jc w:val="center"/>
        <w:rPr>
          <w:rFonts w:hint="eastAsia"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1B21B840">
      <w:pPr>
        <w:snapToGrid w:val="0"/>
        <w:spacing w:before="120" w:beforeLines="50" w:after="50" w:line="400" w:lineRule="exact"/>
        <w:jc w:val="center"/>
        <w:rPr>
          <w:rFonts w:hint="eastAsia" w:ascii="宋体" w:hAnsi="宋体"/>
          <w:b/>
          <w:bCs/>
          <w:color w:val="auto"/>
          <w:sz w:val="32"/>
          <w:szCs w:val="32"/>
          <w:highlight w:val="none"/>
        </w:rPr>
      </w:pPr>
      <w:r>
        <w:rPr>
          <w:rFonts w:ascii="宋体" w:hAnsi="宋体"/>
          <w:color w:val="auto"/>
          <w:sz w:val="24"/>
          <w:highlight w:val="none"/>
        </w:rPr>
        <w:br w:type="page"/>
      </w:r>
      <w:r>
        <w:rPr>
          <w:rFonts w:hint="eastAsia" w:ascii="宋体" w:hAnsi="宋体"/>
          <w:b/>
          <w:bCs/>
          <w:color w:val="auto"/>
          <w:sz w:val="32"/>
          <w:szCs w:val="32"/>
          <w:highlight w:val="none"/>
        </w:rPr>
        <w:t>报价文件目录</w:t>
      </w:r>
    </w:p>
    <w:p w14:paraId="65DA5F03">
      <w:pPr>
        <w:rPr>
          <w:rFonts w:hint="eastAsia" w:ascii="宋体" w:hAnsi="宋体" w:cs="宋体"/>
          <w:color w:val="auto"/>
          <w:highlight w:val="none"/>
        </w:rPr>
      </w:pPr>
    </w:p>
    <w:p w14:paraId="64CD17FF">
      <w:pPr>
        <w:snapToGrid w:val="0"/>
        <w:spacing w:before="120" w:beforeLines="50" w:after="50" w:line="360" w:lineRule="auto"/>
        <w:ind w:left="142" w:firstLine="480" w:firstLineChars="200"/>
        <w:jc w:val="left"/>
        <w:rPr>
          <w:rFonts w:hint="eastAsia" w:ascii="仿宋_GB2312" w:hAnsi="仿宋_GB2312" w:eastAsia="仿宋_GB2312" w:cs="仿宋_GB2312"/>
          <w:color w:val="auto"/>
          <w:sz w:val="32"/>
          <w:szCs w:val="32"/>
          <w:highlight w:val="none"/>
        </w:rPr>
      </w:pPr>
      <w:r>
        <w:rPr>
          <w:rFonts w:hint="eastAsia" w:ascii="仿宋_GB2312" w:hAnsi="仿宋" w:eastAsia="仿宋_GB2312" w:cs="仿宋_GB2312"/>
          <w:color w:val="auto"/>
          <w:kern w:val="0"/>
          <w:sz w:val="24"/>
          <w:highlight w:val="none"/>
        </w:rPr>
        <w:t>根据磋商文件规定及供应商提供的材料自行编写目录（部分格式后附）。</w:t>
      </w:r>
    </w:p>
    <w:p w14:paraId="6175E614">
      <w:pPr>
        <w:snapToGrid w:val="0"/>
        <w:spacing w:before="120" w:beforeLines="50" w:after="50" w:line="360" w:lineRule="auto"/>
        <w:ind w:left="142" w:firstLine="480" w:firstLineChars="200"/>
        <w:jc w:val="left"/>
        <w:rPr>
          <w:rFonts w:hAnsi="宋体" w:cs="仿宋_GB2312"/>
          <w:color w:val="auto"/>
          <w:sz w:val="24"/>
          <w:highlight w:val="none"/>
        </w:rPr>
      </w:pPr>
      <w:r>
        <w:rPr>
          <w:rFonts w:hAnsi="宋体" w:cs="仿宋_GB2312"/>
          <w:color w:val="auto"/>
          <w:sz w:val="24"/>
          <w:highlight w:val="none"/>
        </w:rPr>
        <w:br w:type="page"/>
      </w:r>
      <w:r>
        <w:rPr>
          <w:rFonts w:hint="eastAsia" w:hAnsi="宋体"/>
          <w:b/>
          <w:bCs/>
          <w:color w:val="auto"/>
          <w:sz w:val="32"/>
          <w:szCs w:val="32"/>
          <w:highlight w:val="none"/>
        </w:rPr>
        <w:t>一、响应函</w:t>
      </w:r>
    </w:p>
    <w:p w14:paraId="114E01D0">
      <w:pPr>
        <w:pStyle w:val="18"/>
        <w:spacing w:line="500" w:lineRule="exact"/>
        <w:jc w:val="center"/>
        <w:rPr>
          <w:rFonts w:ascii="Times New Roman" w:hAnsi="Times New Roman"/>
          <w:b/>
          <w:bCs/>
          <w:color w:val="auto"/>
          <w:sz w:val="30"/>
          <w:szCs w:val="30"/>
          <w:highlight w:val="none"/>
        </w:rPr>
      </w:pPr>
      <w:r>
        <w:rPr>
          <w:rFonts w:hint="eastAsia" w:ascii="Times New Roman" w:hAnsi="Times New Roman"/>
          <w:b/>
          <w:bCs/>
          <w:color w:val="auto"/>
          <w:sz w:val="30"/>
          <w:szCs w:val="30"/>
          <w:highlight w:val="none"/>
        </w:rPr>
        <w:t>响应函</w:t>
      </w:r>
    </w:p>
    <w:p w14:paraId="0184CF63">
      <w:pPr>
        <w:pStyle w:val="18"/>
        <w:spacing w:line="360" w:lineRule="auto"/>
        <w:rPr>
          <w:rFonts w:ascii="Times New Roman" w:hAnsi="Times New Roman"/>
          <w:color w:val="auto"/>
          <w:highlight w:val="none"/>
        </w:rPr>
      </w:pPr>
      <w:r>
        <w:rPr>
          <w:rFonts w:hint="eastAsia" w:ascii="Times New Roman" w:hAnsi="Times New Roman"/>
          <w:color w:val="auto"/>
          <w:highlight w:val="none"/>
        </w:rPr>
        <w:t>致：</w:t>
      </w:r>
      <w:r>
        <w:rPr>
          <w:rFonts w:ascii="Times New Roman" w:hAnsi="Times New Roman"/>
          <w:color w:val="auto"/>
          <w:highlight w:val="none"/>
          <w:u w:val="single"/>
        </w:rPr>
        <w:t xml:space="preserve"> </w:t>
      </w:r>
      <w:r>
        <w:rPr>
          <w:rFonts w:hint="eastAsia" w:ascii="Times New Roman" w:hAnsi="Times New Roman"/>
          <w:color w:val="auto"/>
          <w:highlight w:val="none"/>
          <w:u w:val="single"/>
          <w:lang w:eastAsia="zh-CN"/>
        </w:rPr>
        <w:t>隆安县政府集中采购中心</w:t>
      </w:r>
      <w:r>
        <w:rPr>
          <w:rFonts w:ascii="Times New Roman" w:hAnsi="Times New Roman"/>
          <w:color w:val="auto"/>
          <w:highlight w:val="none"/>
          <w:u w:val="single"/>
        </w:rPr>
        <w:t xml:space="preserve"> </w:t>
      </w:r>
    </w:p>
    <w:p w14:paraId="2240BE61">
      <w:pPr>
        <w:pStyle w:val="18"/>
        <w:spacing w:line="360" w:lineRule="auto"/>
        <w:ind w:firstLine="400" w:firstLineChars="200"/>
        <w:rPr>
          <w:rFonts w:ascii="Times New Roman" w:hAnsi="Times New Roman"/>
          <w:color w:val="auto"/>
          <w:highlight w:val="none"/>
        </w:rPr>
      </w:pPr>
      <w:r>
        <w:rPr>
          <w:rFonts w:hint="eastAsia"/>
          <w:color w:val="auto"/>
          <w:highlight w:val="none"/>
        </w:rPr>
        <w:t>我方已仔细阅读了贵方组织的</w:t>
      </w:r>
      <w:r>
        <w:rPr>
          <w:rFonts w:hint="eastAsia"/>
          <w:color w:val="auto"/>
          <w:highlight w:val="none"/>
          <w:u w:val="single"/>
        </w:rPr>
        <w:t xml:space="preserve"> </w:t>
      </w:r>
      <w:r>
        <w:rPr>
          <w:rFonts w:hint="eastAsia"/>
          <w:color w:val="auto"/>
          <w:highlight w:val="none"/>
          <w:u w:val="single"/>
          <w:lang w:eastAsia="zh-CN"/>
        </w:rPr>
        <w:t>隆安县电子政务外网一期线路租用及设备升级服务项目</w:t>
      </w:r>
      <w:r>
        <w:rPr>
          <w:rFonts w:hint="eastAsia"/>
          <w:color w:val="auto"/>
          <w:highlight w:val="none"/>
          <w:u w:val="single"/>
        </w:rPr>
        <w:t xml:space="preserve">  </w:t>
      </w:r>
      <w:r>
        <w:rPr>
          <w:rFonts w:hint="eastAsia"/>
          <w:color w:val="auto"/>
          <w:highlight w:val="none"/>
        </w:rPr>
        <w:t>项目（项目编号：</w:t>
      </w:r>
      <w:r>
        <w:rPr>
          <w:rFonts w:hint="eastAsia" w:hAnsi="宋体"/>
          <w:color w:val="auto"/>
          <w:highlight w:val="none"/>
          <w:u w:val="single"/>
        </w:rPr>
        <w:t xml:space="preserve"> </w:t>
      </w:r>
      <w:r>
        <w:rPr>
          <w:rFonts w:hint="eastAsia" w:hAnsi="宋体"/>
          <w:color w:val="auto"/>
          <w:highlight w:val="none"/>
          <w:u w:val="single"/>
          <w:lang w:val="en-US" w:eastAsia="zh-CN"/>
        </w:rPr>
        <w:t xml:space="preserve">  </w:t>
      </w:r>
      <w:r>
        <w:rPr>
          <w:rFonts w:hint="eastAsia"/>
          <w:color w:val="auto"/>
          <w:highlight w:val="none"/>
        </w:rPr>
        <w:t>）的竞争性</w:t>
      </w:r>
      <w:r>
        <w:rPr>
          <w:rFonts w:hint="eastAsia"/>
          <w:color w:val="auto"/>
          <w:highlight w:val="none"/>
          <w:lang w:eastAsia="zh-CN"/>
        </w:rPr>
        <w:t>磋商</w:t>
      </w:r>
      <w:r>
        <w:rPr>
          <w:rFonts w:hint="eastAsia"/>
          <w:color w:val="auto"/>
          <w:highlight w:val="none"/>
        </w:rPr>
        <w:t xml:space="preserve">采购文件的全部内容，现正式递交下述文件参加贵方组织的本次政府采购活动： </w:t>
      </w:r>
    </w:p>
    <w:p w14:paraId="69C77F8D">
      <w:pPr>
        <w:pStyle w:val="18"/>
        <w:spacing w:line="360" w:lineRule="auto"/>
        <w:ind w:firstLine="400" w:firstLineChars="200"/>
        <w:rPr>
          <w:rFonts w:ascii="Times New Roman" w:hAnsi="Times New Roman"/>
          <w:color w:val="auto"/>
          <w:highlight w:val="none"/>
        </w:rPr>
      </w:pPr>
      <w:r>
        <w:rPr>
          <w:rFonts w:hint="eastAsia"/>
          <w:color w:val="auto"/>
          <w:highlight w:val="none"/>
        </w:rPr>
        <w:t>一、首次报价文件</w:t>
      </w:r>
      <w:r>
        <w:rPr>
          <w:rFonts w:hint="eastAsia"/>
          <w:color w:val="auto"/>
          <w:highlight w:val="none"/>
          <w:lang w:eastAsia="zh-CN"/>
        </w:rPr>
        <w:t>电子版</w:t>
      </w:r>
      <w:r>
        <w:rPr>
          <w:rFonts w:hint="eastAsia"/>
          <w:color w:val="auto"/>
          <w:highlight w:val="none"/>
          <w:u w:val="single"/>
        </w:rPr>
        <w:t xml:space="preserve">   </w:t>
      </w:r>
      <w:r>
        <w:rPr>
          <w:rFonts w:hint="eastAsia"/>
          <w:color w:val="auto"/>
          <w:highlight w:val="none"/>
        </w:rPr>
        <w:t>份（包含按</w:t>
      </w:r>
      <w:r>
        <w:rPr>
          <w:rFonts w:hint="eastAsia"/>
          <w:color w:val="auto"/>
          <w:highlight w:val="none"/>
          <w:lang w:eastAsia="zh-CN"/>
        </w:rPr>
        <w:t>“第三章 供应商须知”</w:t>
      </w:r>
      <w:r>
        <w:rPr>
          <w:rFonts w:hint="eastAsia"/>
          <w:color w:val="auto"/>
          <w:highlight w:val="none"/>
        </w:rPr>
        <w:t>提交的全部文件）；</w:t>
      </w:r>
    </w:p>
    <w:p w14:paraId="099B7176">
      <w:pPr>
        <w:pStyle w:val="18"/>
        <w:spacing w:line="360" w:lineRule="auto"/>
        <w:ind w:firstLine="400" w:firstLineChars="200"/>
        <w:rPr>
          <w:rFonts w:ascii="Times New Roman" w:hAnsi="Times New Roman"/>
          <w:color w:val="auto"/>
          <w:highlight w:val="none"/>
          <w:lang w:eastAsia="zh-CN"/>
        </w:rPr>
      </w:pPr>
      <w:r>
        <w:rPr>
          <w:rFonts w:hint="eastAsia"/>
          <w:color w:val="auto"/>
          <w:highlight w:val="none"/>
        </w:rPr>
        <w:t>二、</w:t>
      </w:r>
      <w:r>
        <w:rPr>
          <w:rFonts w:hint="eastAsia" w:hAnsi="宋体"/>
          <w:color w:val="auto"/>
          <w:highlight w:val="none"/>
        </w:rPr>
        <w:t>技术</w:t>
      </w:r>
      <w:r>
        <w:rPr>
          <w:rFonts w:hint="eastAsia"/>
          <w:color w:val="auto"/>
          <w:highlight w:val="none"/>
        </w:rPr>
        <w:t>文件</w:t>
      </w:r>
      <w:r>
        <w:rPr>
          <w:rFonts w:hint="eastAsia"/>
          <w:color w:val="auto"/>
          <w:highlight w:val="none"/>
          <w:lang w:eastAsia="zh-CN"/>
        </w:rPr>
        <w:t>电子版</w:t>
      </w:r>
      <w:r>
        <w:rPr>
          <w:rFonts w:hint="eastAsia"/>
          <w:color w:val="auto"/>
          <w:highlight w:val="none"/>
          <w:u w:val="single"/>
        </w:rPr>
        <w:t xml:space="preserve">   </w:t>
      </w:r>
      <w:r>
        <w:rPr>
          <w:rFonts w:hint="eastAsia"/>
          <w:color w:val="auto"/>
          <w:highlight w:val="none"/>
        </w:rPr>
        <w:t>份（包含按</w:t>
      </w:r>
      <w:r>
        <w:rPr>
          <w:rFonts w:hint="eastAsia"/>
          <w:color w:val="auto"/>
          <w:highlight w:val="none"/>
          <w:lang w:eastAsia="zh-CN"/>
        </w:rPr>
        <w:t>“第三章 供应商须知”</w:t>
      </w:r>
      <w:r>
        <w:rPr>
          <w:rFonts w:hint="eastAsia"/>
          <w:color w:val="auto"/>
          <w:highlight w:val="none"/>
        </w:rPr>
        <w:t>提交的全部文件）；商务</w:t>
      </w:r>
      <w:r>
        <w:rPr>
          <w:rFonts w:hint="eastAsia" w:hAnsi="宋体"/>
          <w:color w:val="auto"/>
          <w:highlight w:val="none"/>
        </w:rPr>
        <w:t>文件</w:t>
      </w:r>
      <w:r>
        <w:rPr>
          <w:rFonts w:hint="eastAsia"/>
          <w:color w:val="auto"/>
          <w:highlight w:val="none"/>
          <w:lang w:eastAsia="zh-CN"/>
        </w:rPr>
        <w:t>电子版</w:t>
      </w:r>
      <w:r>
        <w:rPr>
          <w:rFonts w:hint="eastAsia"/>
          <w:color w:val="auto"/>
          <w:highlight w:val="none"/>
          <w:u w:val="single"/>
        </w:rPr>
        <w:t xml:space="preserve">   </w:t>
      </w:r>
      <w:r>
        <w:rPr>
          <w:rFonts w:hint="eastAsia"/>
          <w:color w:val="auto"/>
          <w:highlight w:val="none"/>
          <w:u w:val="single"/>
          <w:lang w:val="en-US" w:eastAsia="zh-CN"/>
        </w:rPr>
        <w:t>__</w:t>
      </w:r>
      <w:r>
        <w:rPr>
          <w:rFonts w:hint="eastAsia"/>
          <w:color w:val="auto"/>
          <w:highlight w:val="none"/>
        </w:rPr>
        <w:t>份（包含按</w:t>
      </w:r>
      <w:r>
        <w:rPr>
          <w:rFonts w:hint="eastAsia"/>
          <w:color w:val="auto"/>
          <w:highlight w:val="none"/>
          <w:lang w:eastAsia="zh-CN"/>
        </w:rPr>
        <w:t>“第三章 供应商须知”</w:t>
      </w:r>
      <w:r>
        <w:rPr>
          <w:rFonts w:hint="eastAsia"/>
          <w:color w:val="auto"/>
          <w:highlight w:val="none"/>
        </w:rPr>
        <w:t>提交的全部文件）；</w:t>
      </w:r>
      <w:r>
        <w:rPr>
          <w:rFonts w:hint="eastAsia"/>
          <w:color w:val="auto"/>
          <w:highlight w:val="none"/>
          <w:lang w:eastAsia="zh-CN"/>
        </w:rPr>
        <w:t>（商务技术文件已合并装订成册）</w:t>
      </w:r>
    </w:p>
    <w:p w14:paraId="7151F30D">
      <w:pPr>
        <w:pStyle w:val="18"/>
        <w:spacing w:line="360" w:lineRule="auto"/>
        <w:ind w:firstLine="400" w:firstLineChars="200"/>
        <w:rPr>
          <w:rFonts w:ascii="Times New Roman" w:hAnsi="Times New Roman"/>
          <w:color w:val="auto"/>
          <w:highlight w:val="none"/>
        </w:rPr>
      </w:pPr>
      <w:r>
        <w:rPr>
          <w:rFonts w:hint="eastAsia"/>
          <w:color w:val="auto"/>
          <w:highlight w:val="none"/>
        </w:rPr>
        <w:t>据此函，签字人兹宣布：</w:t>
      </w:r>
    </w:p>
    <w:p w14:paraId="3FB0E38A">
      <w:pPr>
        <w:pStyle w:val="18"/>
        <w:spacing w:line="360" w:lineRule="auto"/>
        <w:ind w:firstLine="482"/>
        <w:rPr>
          <w:rFonts w:ascii="Times New Roman" w:hAnsi="Times New Roman"/>
          <w:color w:val="auto"/>
          <w:highlight w:val="none"/>
        </w:rPr>
      </w:pPr>
      <w:r>
        <w:rPr>
          <w:rFonts w:hint="eastAsia"/>
          <w:color w:val="auto"/>
          <w:highlight w:val="none"/>
        </w:rPr>
        <w:t>1、我方愿意以（大写）人民币</w:t>
      </w:r>
      <w:r>
        <w:rPr>
          <w:rFonts w:hint="eastAsia"/>
          <w:color w:val="auto"/>
          <w:highlight w:val="none"/>
          <w:u w:val="single"/>
        </w:rPr>
        <w:t xml:space="preserve">              </w:t>
      </w:r>
      <w:r>
        <w:rPr>
          <w:rFonts w:hint="eastAsia"/>
          <w:color w:val="auto"/>
          <w:highlight w:val="none"/>
        </w:rPr>
        <w:t>（￥</w:t>
      </w:r>
      <w:r>
        <w:rPr>
          <w:rFonts w:hint="eastAsia"/>
          <w:color w:val="auto"/>
          <w:highlight w:val="none"/>
          <w:u w:val="single"/>
        </w:rPr>
        <w:t xml:space="preserve">          </w:t>
      </w:r>
      <w:r>
        <w:rPr>
          <w:rFonts w:hint="eastAsia"/>
          <w:color w:val="auto"/>
          <w:highlight w:val="none"/>
        </w:rPr>
        <w:t>元)的竞标总报价，</w:t>
      </w:r>
      <w:r>
        <w:rPr>
          <w:rFonts w:hint="eastAsia"/>
          <w:color w:val="auto"/>
          <w:highlight w:val="none"/>
          <w:lang w:eastAsia="zh-CN"/>
        </w:rPr>
        <w:t>提供服务</w:t>
      </w:r>
      <w:r>
        <w:rPr>
          <w:rFonts w:hint="eastAsia"/>
          <w:color w:val="auto"/>
          <w:highlight w:val="none"/>
        </w:rPr>
        <w:t>期（无分标时填写）：</w:t>
      </w:r>
      <w:r>
        <w:rPr>
          <w:rFonts w:hint="eastAsia"/>
          <w:color w:val="auto"/>
          <w:highlight w:val="none"/>
          <w:u w:val="single"/>
        </w:rPr>
        <w:t xml:space="preserve">            </w:t>
      </w:r>
      <w:r>
        <w:rPr>
          <w:rFonts w:hint="eastAsia"/>
          <w:color w:val="auto"/>
          <w:highlight w:val="none"/>
        </w:rPr>
        <w:t>，提供本项目竞争性</w:t>
      </w:r>
      <w:r>
        <w:rPr>
          <w:rFonts w:hint="eastAsia"/>
          <w:color w:val="auto"/>
          <w:highlight w:val="none"/>
          <w:lang w:eastAsia="zh-CN"/>
        </w:rPr>
        <w:t>磋商</w:t>
      </w:r>
      <w:r>
        <w:rPr>
          <w:rFonts w:hint="eastAsia"/>
          <w:color w:val="auto"/>
          <w:highlight w:val="none"/>
        </w:rPr>
        <w:t>采购文件第</w:t>
      </w:r>
      <w:r>
        <w:rPr>
          <w:rFonts w:hint="eastAsia"/>
          <w:color w:val="auto"/>
          <w:highlight w:val="none"/>
          <w:lang w:eastAsia="zh-CN"/>
        </w:rPr>
        <w:t>二</w:t>
      </w:r>
      <w:r>
        <w:rPr>
          <w:rFonts w:hint="eastAsia"/>
          <w:color w:val="auto"/>
          <w:highlight w:val="none"/>
        </w:rPr>
        <w:t>章“</w:t>
      </w:r>
      <w:r>
        <w:rPr>
          <w:rFonts w:hint="eastAsia"/>
          <w:color w:val="auto"/>
          <w:highlight w:val="none"/>
          <w:lang w:eastAsia="zh-CN"/>
        </w:rPr>
        <w:t>服务</w:t>
      </w:r>
      <w:r>
        <w:rPr>
          <w:rFonts w:hint="eastAsia"/>
          <w:color w:val="auto"/>
          <w:highlight w:val="none"/>
        </w:rPr>
        <w:t>需求一览表”中相应的采购内容。</w:t>
      </w:r>
    </w:p>
    <w:p w14:paraId="2C4ECF47">
      <w:pPr>
        <w:pStyle w:val="18"/>
        <w:spacing w:line="360" w:lineRule="auto"/>
        <w:ind w:firstLine="482"/>
        <w:rPr>
          <w:rFonts w:ascii="Times New Roman" w:hAnsi="Times New Roman"/>
          <w:color w:val="auto"/>
          <w:highlight w:val="none"/>
        </w:rPr>
      </w:pPr>
      <w:r>
        <w:rPr>
          <w:rFonts w:hint="eastAsia"/>
          <w:color w:val="auto"/>
          <w:highlight w:val="none"/>
        </w:rPr>
        <w:t>其中（有分标时填写）：</w:t>
      </w:r>
    </w:p>
    <w:p w14:paraId="09D98209">
      <w:pPr>
        <w:pStyle w:val="18"/>
        <w:spacing w:line="360" w:lineRule="auto"/>
        <w:ind w:firstLine="482"/>
        <w:rPr>
          <w:rFonts w:ascii="Times New Roman" w:hAnsi="Times New Roman"/>
          <w:color w:val="auto"/>
          <w:highlight w:val="none"/>
        </w:rPr>
      </w:pPr>
      <w:r>
        <w:rPr>
          <w:rFonts w:hint="eastAsia"/>
          <w:color w:val="auto"/>
          <w:highlight w:val="none"/>
          <w:u w:val="single"/>
        </w:rPr>
        <w:t xml:space="preserve">    </w:t>
      </w:r>
      <w:r>
        <w:rPr>
          <w:rFonts w:hint="eastAsia"/>
          <w:color w:val="auto"/>
          <w:highlight w:val="none"/>
        </w:rPr>
        <w:t>分标报价为（大写）人民币</w:t>
      </w:r>
      <w:r>
        <w:rPr>
          <w:rFonts w:hint="eastAsia"/>
          <w:color w:val="auto"/>
          <w:highlight w:val="none"/>
          <w:u w:val="single"/>
        </w:rPr>
        <w:t xml:space="preserve">               </w:t>
      </w:r>
      <w:r>
        <w:rPr>
          <w:rFonts w:hint="eastAsia"/>
          <w:color w:val="auto"/>
          <w:highlight w:val="none"/>
        </w:rPr>
        <w:t xml:space="preserve"> (￥</w:t>
      </w:r>
      <w:r>
        <w:rPr>
          <w:rFonts w:hint="eastAsia"/>
          <w:color w:val="auto"/>
          <w:highlight w:val="none"/>
          <w:u w:val="single"/>
        </w:rPr>
        <w:t xml:space="preserve">           </w:t>
      </w:r>
      <w:r>
        <w:rPr>
          <w:rFonts w:hint="eastAsia"/>
          <w:color w:val="auto"/>
          <w:highlight w:val="none"/>
        </w:rPr>
        <w:t>元)，</w:t>
      </w:r>
      <w:r>
        <w:rPr>
          <w:rFonts w:hint="eastAsia"/>
          <w:color w:val="auto"/>
          <w:highlight w:val="none"/>
          <w:lang w:eastAsia="zh-CN"/>
        </w:rPr>
        <w:t>服务</w:t>
      </w:r>
      <w:r>
        <w:rPr>
          <w:rFonts w:hint="eastAsia"/>
          <w:color w:val="auto"/>
          <w:highlight w:val="none"/>
        </w:rPr>
        <w:t>期：</w:t>
      </w:r>
      <w:r>
        <w:rPr>
          <w:rFonts w:hint="eastAsia"/>
          <w:color w:val="auto"/>
          <w:highlight w:val="none"/>
          <w:u w:val="single"/>
        </w:rPr>
        <w:t xml:space="preserve">          </w:t>
      </w:r>
      <w:r>
        <w:rPr>
          <w:rFonts w:hint="eastAsia"/>
          <w:color w:val="auto"/>
          <w:highlight w:val="none"/>
        </w:rPr>
        <w:t>；</w:t>
      </w:r>
    </w:p>
    <w:p w14:paraId="6D418BDA">
      <w:pPr>
        <w:pStyle w:val="18"/>
        <w:spacing w:line="360" w:lineRule="auto"/>
        <w:ind w:firstLine="482"/>
        <w:rPr>
          <w:rFonts w:ascii="Times New Roman" w:hAnsi="Times New Roman"/>
          <w:color w:val="auto"/>
          <w:highlight w:val="none"/>
        </w:rPr>
      </w:pPr>
      <w:r>
        <w:rPr>
          <w:rFonts w:hint="eastAsia"/>
          <w:color w:val="auto"/>
          <w:highlight w:val="none"/>
          <w:u w:val="single"/>
        </w:rPr>
        <w:t xml:space="preserve">    </w:t>
      </w:r>
      <w:r>
        <w:rPr>
          <w:rFonts w:hint="eastAsia"/>
          <w:color w:val="auto"/>
          <w:highlight w:val="none"/>
        </w:rPr>
        <w:t>分标报价为（大写）人民币</w:t>
      </w:r>
      <w:r>
        <w:rPr>
          <w:rFonts w:hint="eastAsia"/>
          <w:color w:val="auto"/>
          <w:highlight w:val="none"/>
          <w:u w:val="single"/>
        </w:rPr>
        <w:t xml:space="preserve">               </w:t>
      </w:r>
      <w:r>
        <w:rPr>
          <w:rFonts w:hint="eastAsia"/>
          <w:color w:val="auto"/>
          <w:highlight w:val="none"/>
        </w:rPr>
        <w:t xml:space="preserve"> (￥</w:t>
      </w:r>
      <w:r>
        <w:rPr>
          <w:rFonts w:hint="eastAsia"/>
          <w:color w:val="auto"/>
          <w:highlight w:val="none"/>
          <w:u w:val="single"/>
        </w:rPr>
        <w:t xml:space="preserve">           </w:t>
      </w:r>
      <w:r>
        <w:rPr>
          <w:rFonts w:hint="eastAsia"/>
          <w:color w:val="auto"/>
          <w:highlight w:val="none"/>
        </w:rPr>
        <w:t>元)，</w:t>
      </w:r>
      <w:r>
        <w:rPr>
          <w:rFonts w:hint="eastAsia"/>
          <w:color w:val="auto"/>
          <w:highlight w:val="none"/>
          <w:lang w:eastAsia="zh-CN"/>
        </w:rPr>
        <w:t>服务</w:t>
      </w:r>
      <w:r>
        <w:rPr>
          <w:rFonts w:hint="eastAsia"/>
          <w:color w:val="auto"/>
          <w:highlight w:val="none"/>
        </w:rPr>
        <w:t>期：</w:t>
      </w:r>
      <w:r>
        <w:rPr>
          <w:rFonts w:hint="eastAsia"/>
          <w:color w:val="auto"/>
          <w:highlight w:val="none"/>
          <w:u w:val="single"/>
        </w:rPr>
        <w:t xml:space="preserve">          </w:t>
      </w:r>
      <w:r>
        <w:rPr>
          <w:rFonts w:hint="eastAsia"/>
          <w:color w:val="auto"/>
          <w:highlight w:val="none"/>
        </w:rPr>
        <w:t>；</w:t>
      </w:r>
    </w:p>
    <w:p w14:paraId="2895023D">
      <w:pPr>
        <w:pStyle w:val="18"/>
        <w:spacing w:line="360" w:lineRule="auto"/>
        <w:ind w:firstLine="482"/>
        <w:rPr>
          <w:rFonts w:ascii="Times New Roman" w:hAnsi="Times New Roman"/>
          <w:color w:val="auto"/>
          <w:highlight w:val="none"/>
        </w:rPr>
      </w:pPr>
      <w:r>
        <w:rPr>
          <w:rFonts w:hint="eastAsia"/>
          <w:color w:val="auto"/>
          <w:highlight w:val="none"/>
        </w:rPr>
        <w:t>......</w:t>
      </w:r>
    </w:p>
    <w:p w14:paraId="0C4659DE">
      <w:pPr>
        <w:pStyle w:val="18"/>
        <w:spacing w:line="360" w:lineRule="auto"/>
        <w:ind w:firstLine="482"/>
        <w:rPr>
          <w:color w:val="auto"/>
          <w:highlight w:val="none"/>
        </w:rPr>
      </w:pPr>
      <w:r>
        <w:rPr>
          <w:rFonts w:hint="eastAsia"/>
          <w:color w:val="auto"/>
          <w:highlight w:val="none"/>
        </w:rPr>
        <w:t>2、我方同意自本项目竞争性</w:t>
      </w:r>
      <w:r>
        <w:rPr>
          <w:rFonts w:hint="eastAsia"/>
          <w:color w:val="auto"/>
          <w:highlight w:val="none"/>
          <w:lang w:eastAsia="zh-CN"/>
        </w:rPr>
        <w:t>磋商</w:t>
      </w:r>
      <w:r>
        <w:rPr>
          <w:rFonts w:hint="eastAsia"/>
          <w:color w:val="auto"/>
          <w:highlight w:val="none"/>
        </w:rPr>
        <w:t>采购文件</w:t>
      </w:r>
      <w:r>
        <w:rPr>
          <w:rFonts w:hint="eastAsia"/>
          <w:color w:val="auto"/>
          <w:highlight w:val="none"/>
          <w:lang w:eastAsia="zh-CN"/>
        </w:rPr>
        <w:t>采购公告</w:t>
      </w:r>
      <w:r>
        <w:rPr>
          <w:rFonts w:hint="eastAsia"/>
          <w:color w:val="auto"/>
          <w:highlight w:val="none"/>
        </w:rPr>
        <w:t>规定的递交响应文件截止时间起遵循</w:t>
      </w:r>
      <w:r>
        <w:rPr>
          <w:rFonts w:hint="eastAsia" w:hAnsi="宋体"/>
          <w:color w:val="auto"/>
          <w:highlight w:val="none"/>
        </w:rPr>
        <w:t>本响应函</w:t>
      </w:r>
      <w:r>
        <w:rPr>
          <w:rFonts w:hint="eastAsia"/>
          <w:color w:val="auto"/>
          <w:highlight w:val="none"/>
        </w:rPr>
        <w:t>，并承诺在</w:t>
      </w:r>
      <w:r>
        <w:rPr>
          <w:rFonts w:hint="eastAsia"/>
          <w:color w:val="auto"/>
          <w:highlight w:val="none"/>
          <w:lang w:eastAsia="zh-CN"/>
        </w:rPr>
        <w:t>“第三章 供应商须知”</w:t>
      </w:r>
      <w:r>
        <w:rPr>
          <w:rFonts w:hint="eastAsia"/>
          <w:color w:val="auto"/>
          <w:highlight w:val="none"/>
        </w:rPr>
        <w:t>规定的</w:t>
      </w:r>
      <w:r>
        <w:rPr>
          <w:rFonts w:hint="eastAsia"/>
          <w:color w:val="auto"/>
          <w:highlight w:val="none"/>
          <w:lang w:eastAsia="zh-CN"/>
        </w:rPr>
        <w:t>响应</w:t>
      </w:r>
      <w:r>
        <w:rPr>
          <w:rFonts w:hint="eastAsia"/>
          <w:color w:val="auto"/>
          <w:highlight w:val="none"/>
        </w:rPr>
        <w:t>有效期内不修改、撤销</w:t>
      </w:r>
      <w:r>
        <w:rPr>
          <w:rFonts w:hint="eastAsia"/>
          <w:color w:val="auto"/>
          <w:highlight w:val="none"/>
          <w:lang w:eastAsia="zh-CN"/>
        </w:rPr>
        <w:t>响应</w:t>
      </w:r>
      <w:r>
        <w:rPr>
          <w:rFonts w:hint="eastAsia"/>
          <w:color w:val="auto"/>
          <w:highlight w:val="none"/>
        </w:rPr>
        <w:t>文件。</w:t>
      </w:r>
    </w:p>
    <w:p w14:paraId="637AE0D6">
      <w:pPr>
        <w:pStyle w:val="18"/>
        <w:spacing w:line="360" w:lineRule="auto"/>
        <w:ind w:firstLine="482"/>
        <w:rPr>
          <w:color w:val="auto"/>
          <w:highlight w:val="none"/>
        </w:rPr>
      </w:pPr>
      <w:r>
        <w:rPr>
          <w:rFonts w:hint="eastAsia"/>
          <w:color w:val="auto"/>
          <w:highlight w:val="none"/>
        </w:rPr>
        <w:t>3、我方在此声明，所递交的</w:t>
      </w:r>
      <w:r>
        <w:rPr>
          <w:rFonts w:hint="eastAsia"/>
          <w:color w:val="auto"/>
          <w:highlight w:val="none"/>
          <w:lang w:eastAsia="zh-CN"/>
        </w:rPr>
        <w:t>响应</w:t>
      </w:r>
      <w:r>
        <w:rPr>
          <w:rFonts w:hint="eastAsia"/>
          <w:color w:val="auto"/>
          <w:highlight w:val="none"/>
        </w:rPr>
        <w:t>文件及有关资料内容完整、真实和准确。</w:t>
      </w:r>
    </w:p>
    <w:p w14:paraId="3B86E1AD">
      <w:pPr>
        <w:pStyle w:val="18"/>
        <w:spacing w:line="360" w:lineRule="auto"/>
        <w:ind w:firstLine="482"/>
        <w:rPr>
          <w:color w:val="auto"/>
          <w:highlight w:val="none"/>
        </w:rPr>
      </w:pPr>
      <w:r>
        <w:rPr>
          <w:rFonts w:hint="eastAsia"/>
          <w:color w:val="auto"/>
          <w:highlight w:val="none"/>
        </w:rPr>
        <w:t>4、如本项目采购内容涉及须符合国家强制规定的，我方承诺我方本次竞标均符合国家有关强制规定。</w:t>
      </w:r>
    </w:p>
    <w:p w14:paraId="7B04D907">
      <w:pPr>
        <w:pStyle w:val="18"/>
        <w:spacing w:line="360" w:lineRule="auto"/>
        <w:ind w:firstLine="482"/>
        <w:rPr>
          <w:color w:val="auto"/>
          <w:highlight w:val="none"/>
        </w:rPr>
      </w:pPr>
      <w:r>
        <w:rPr>
          <w:rFonts w:hint="eastAsia"/>
          <w:color w:val="auto"/>
          <w:highlight w:val="none"/>
          <w:lang w:eastAsia="zh-CN"/>
        </w:rPr>
        <w:t>5</w:t>
      </w:r>
      <w:r>
        <w:rPr>
          <w:rFonts w:hint="eastAsia"/>
          <w:color w:val="auto"/>
          <w:highlight w:val="none"/>
        </w:rPr>
        <w:t>、如我方成交，我方承诺在收到成交通知书后，在成交通知书规定的期限内，</w:t>
      </w:r>
      <w:r>
        <w:rPr>
          <w:rFonts w:hint="eastAsia" w:hAnsi="宋体"/>
          <w:color w:val="auto"/>
          <w:highlight w:val="none"/>
        </w:rPr>
        <w:t>根据竞争性</w:t>
      </w:r>
      <w:r>
        <w:rPr>
          <w:rFonts w:hint="eastAsia" w:hAnsi="宋体"/>
          <w:color w:val="auto"/>
          <w:highlight w:val="none"/>
          <w:lang w:eastAsia="zh-CN"/>
        </w:rPr>
        <w:t>磋商</w:t>
      </w:r>
      <w:r>
        <w:rPr>
          <w:rFonts w:hint="eastAsia" w:hAnsi="宋体"/>
          <w:color w:val="auto"/>
          <w:highlight w:val="none"/>
        </w:rPr>
        <w:t>采购文件、我方的</w:t>
      </w:r>
      <w:r>
        <w:rPr>
          <w:rFonts w:hint="eastAsia" w:hAnsi="宋体"/>
          <w:color w:val="auto"/>
          <w:highlight w:val="none"/>
          <w:lang w:eastAsia="zh-CN"/>
        </w:rPr>
        <w:t>响应</w:t>
      </w:r>
      <w:r>
        <w:rPr>
          <w:rFonts w:hint="eastAsia" w:hAnsi="宋体"/>
          <w:color w:val="auto"/>
          <w:highlight w:val="none"/>
        </w:rPr>
        <w:t>文件及有关澄清承诺书的要求按第</w:t>
      </w:r>
      <w:r>
        <w:rPr>
          <w:rFonts w:hint="eastAsia" w:hAnsi="宋体"/>
          <w:color w:val="auto"/>
          <w:highlight w:val="none"/>
          <w:lang w:eastAsia="zh-CN"/>
        </w:rPr>
        <w:t>六</w:t>
      </w:r>
      <w:r>
        <w:rPr>
          <w:rFonts w:hint="eastAsia" w:hAnsi="宋体"/>
          <w:color w:val="auto"/>
          <w:highlight w:val="none"/>
        </w:rPr>
        <w:t>章“</w:t>
      </w:r>
      <w:r>
        <w:rPr>
          <w:rFonts w:hint="eastAsia" w:hAnsi="宋体"/>
          <w:color w:val="auto"/>
          <w:highlight w:val="none"/>
          <w:lang w:eastAsia="zh-CN"/>
        </w:rPr>
        <w:t>合同文本</w:t>
      </w:r>
      <w:r>
        <w:rPr>
          <w:rFonts w:hint="eastAsia" w:hAnsi="宋体"/>
          <w:color w:val="auto"/>
          <w:highlight w:val="none"/>
        </w:rPr>
        <w:t>”与采购人订立书面合同，并按照合同约定</w:t>
      </w:r>
      <w:r>
        <w:rPr>
          <w:rFonts w:hint="eastAsia"/>
          <w:color w:val="auto"/>
          <w:highlight w:val="none"/>
        </w:rPr>
        <w:t>承担完成合同的责任和义务。</w:t>
      </w:r>
    </w:p>
    <w:p w14:paraId="61C95D5B">
      <w:pPr>
        <w:pStyle w:val="18"/>
        <w:spacing w:line="360" w:lineRule="auto"/>
        <w:ind w:firstLine="482"/>
        <w:rPr>
          <w:color w:val="auto"/>
          <w:highlight w:val="none"/>
        </w:rPr>
      </w:pPr>
      <w:r>
        <w:rPr>
          <w:rFonts w:hint="eastAsia"/>
          <w:color w:val="auto"/>
          <w:highlight w:val="none"/>
          <w:lang w:eastAsia="zh-CN"/>
        </w:rPr>
        <w:t>6</w:t>
      </w:r>
      <w:r>
        <w:rPr>
          <w:rFonts w:hint="eastAsia"/>
          <w:color w:val="auto"/>
          <w:highlight w:val="none"/>
        </w:rPr>
        <w:t>、我方已详细审核竞争性</w:t>
      </w:r>
      <w:r>
        <w:rPr>
          <w:rFonts w:hint="eastAsia"/>
          <w:color w:val="auto"/>
          <w:highlight w:val="none"/>
          <w:lang w:eastAsia="zh-CN"/>
        </w:rPr>
        <w:t>磋商</w:t>
      </w:r>
      <w:r>
        <w:rPr>
          <w:rFonts w:hint="eastAsia"/>
          <w:color w:val="auto"/>
          <w:highlight w:val="none"/>
        </w:rPr>
        <w:t>采购文件，我方知道必须放弃提出含糊不清或误解问题的权利。</w:t>
      </w:r>
    </w:p>
    <w:p w14:paraId="7E6C682C">
      <w:pPr>
        <w:pStyle w:val="18"/>
        <w:spacing w:line="360" w:lineRule="auto"/>
        <w:ind w:firstLine="482"/>
        <w:rPr>
          <w:color w:val="auto"/>
          <w:highlight w:val="none"/>
        </w:rPr>
      </w:pPr>
      <w:r>
        <w:rPr>
          <w:rFonts w:hint="eastAsia"/>
          <w:color w:val="auto"/>
          <w:highlight w:val="none"/>
          <w:lang w:eastAsia="zh-CN"/>
        </w:rPr>
        <w:t>7</w:t>
      </w:r>
      <w:r>
        <w:rPr>
          <w:rFonts w:hint="eastAsia"/>
          <w:color w:val="auto"/>
          <w:highlight w:val="none"/>
        </w:rPr>
        <w:t>、我方承诺满足竞争性</w:t>
      </w:r>
      <w:r>
        <w:rPr>
          <w:rFonts w:hint="eastAsia"/>
          <w:color w:val="auto"/>
          <w:highlight w:val="none"/>
          <w:lang w:eastAsia="zh-CN"/>
        </w:rPr>
        <w:t>磋商</w:t>
      </w:r>
      <w:r>
        <w:rPr>
          <w:rFonts w:hint="eastAsia"/>
          <w:color w:val="auto"/>
          <w:highlight w:val="none"/>
        </w:rPr>
        <w:t>采购文件</w:t>
      </w:r>
      <w:r>
        <w:rPr>
          <w:rFonts w:hint="eastAsia" w:hAnsi="宋体"/>
          <w:color w:val="auto"/>
          <w:highlight w:val="none"/>
        </w:rPr>
        <w:t>第</w:t>
      </w:r>
      <w:r>
        <w:rPr>
          <w:rFonts w:hint="eastAsia" w:hAnsi="宋体"/>
          <w:color w:val="auto"/>
          <w:highlight w:val="none"/>
          <w:lang w:eastAsia="zh-CN"/>
        </w:rPr>
        <w:t>六</w:t>
      </w:r>
      <w:r>
        <w:rPr>
          <w:rFonts w:hint="eastAsia" w:hAnsi="宋体"/>
          <w:color w:val="auto"/>
          <w:highlight w:val="none"/>
        </w:rPr>
        <w:t>章“</w:t>
      </w:r>
      <w:r>
        <w:rPr>
          <w:rFonts w:hint="eastAsia" w:hAnsi="宋体"/>
          <w:color w:val="auto"/>
          <w:highlight w:val="none"/>
          <w:lang w:eastAsia="zh-CN"/>
        </w:rPr>
        <w:t>合同文本</w:t>
      </w:r>
      <w:r>
        <w:rPr>
          <w:rFonts w:hint="eastAsia" w:hAnsi="宋体"/>
          <w:color w:val="auto"/>
          <w:highlight w:val="none"/>
        </w:rPr>
        <w:t>”</w:t>
      </w:r>
      <w:r>
        <w:rPr>
          <w:rFonts w:hint="eastAsia"/>
          <w:color w:val="auto"/>
          <w:highlight w:val="none"/>
        </w:rPr>
        <w:t>的条款，承担完成合同的责任和义务。</w:t>
      </w:r>
    </w:p>
    <w:p w14:paraId="1BD72640">
      <w:pPr>
        <w:pStyle w:val="18"/>
        <w:spacing w:line="360" w:lineRule="auto"/>
        <w:ind w:firstLine="482"/>
        <w:rPr>
          <w:color w:val="auto"/>
          <w:highlight w:val="none"/>
        </w:rPr>
      </w:pPr>
      <w:r>
        <w:rPr>
          <w:rFonts w:hint="eastAsia"/>
          <w:color w:val="auto"/>
          <w:highlight w:val="none"/>
          <w:lang w:eastAsia="zh-CN"/>
        </w:rPr>
        <w:t>8</w:t>
      </w:r>
      <w:r>
        <w:rPr>
          <w:rFonts w:hint="eastAsia"/>
          <w:color w:val="auto"/>
          <w:highlight w:val="none"/>
        </w:rPr>
        <w:t>、我方同意应贵方要求提供与本竞标有关的任何数据或资料。若贵方需要，我方愿意提供我方作出的一切承诺的证明材料。</w:t>
      </w:r>
    </w:p>
    <w:p w14:paraId="23486D45">
      <w:pPr>
        <w:pStyle w:val="18"/>
        <w:spacing w:line="360" w:lineRule="auto"/>
        <w:ind w:firstLine="482"/>
        <w:rPr>
          <w:color w:val="auto"/>
          <w:highlight w:val="none"/>
        </w:rPr>
      </w:pPr>
      <w:r>
        <w:rPr>
          <w:rFonts w:hint="eastAsia"/>
          <w:color w:val="auto"/>
          <w:highlight w:val="none"/>
          <w:lang w:eastAsia="zh-CN"/>
        </w:rPr>
        <w:t>9</w:t>
      </w:r>
      <w:r>
        <w:rPr>
          <w:rFonts w:hint="eastAsia"/>
          <w:color w:val="auto"/>
          <w:highlight w:val="none"/>
        </w:rPr>
        <w:t>、我方完全理解贵方不一定接受响应报价最低的竞标人为成交供应商的行为。</w:t>
      </w:r>
    </w:p>
    <w:p w14:paraId="6D354564">
      <w:pPr>
        <w:pStyle w:val="18"/>
        <w:spacing w:line="360" w:lineRule="auto"/>
        <w:ind w:firstLine="482"/>
        <w:rPr>
          <w:color w:val="auto"/>
          <w:highlight w:val="none"/>
        </w:rPr>
      </w:pPr>
      <w:r>
        <w:rPr>
          <w:rFonts w:hint="eastAsia"/>
          <w:color w:val="auto"/>
          <w:highlight w:val="none"/>
          <w:lang w:eastAsia="zh-CN"/>
        </w:rPr>
        <w:t>10</w:t>
      </w:r>
      <w:r>
        <w:rPr>
          <w:rFonts w:hint="eastAsia"/>
          <w:color w:val="auto"/>
          <w:highlight w:val="none"/>
        </w:rPr>
        <w:t>、我方将严格遵守《中华人民共和国政府采购法》第七十七条的规定，即供应商有下列情形之一的，处以采购金额千分之五以上千分之十</w:t>
      </w:r>
      <w:r>
        <w:rPr>
          <w:rFonts w:hint="eastAsia" w:hAnsi="宋体"/>
          <w:color w:val="auto"/>
          <w:highlight w:val="none"/>
        </w:rPr>
        <w:t>以下的罚款，列入不良行为记录名单，在一至三年内禁止参加政府采购活动，有违法所得的，并处没收违法所得，情节严重的，由工商行政管理机关吊销营业执照；构成犯罪的，依法追究刑事责任：</w:t>
      </w:r>
    </w:p>
    <w:p w14:paraId="43D68A79">
      <w:pPr>
        <w:pStyle w:val="18"/>
        <w:numPr>
          <w:ilvl w:val="0"/>
          <w:numId w:val="4"/>
        </w:numPr>
        <w:tabs>
          <w:tab w:val="left" w:pos="945"/>
        </w:tabs>
        <w:spacing w:line="360" w:lineRule="auto"/>
        <w:rPr>
          <w:rFonts w:hAnsi="宋体"/>
          <w:color w:val="auto"/>
          <w:highlight w:val="none"/>
        </w:rPr>
      </w:pPr>
      <w:r>
        <w:rPr>
          <w:rFonts w:hint="eastAsia" w:hAnsi="宋体"/>
          <w:color w:val="auto"/>
          <w:highlight w:val="none"/>
        </w:rPr>
        <w:t>提供虚假材料谋取中标、成交的；</w:t>
      </w:r>
    </w:p>
    <w:p w14:paraId="5E4E5EBA">
      <w:pPr>
        <w:pStyle w:val="18"/>
        <w:numPr>
          <w:ilvl w:val="0"/>
          <w:numId w:val="4"/>
        </w:numPr>
        <w:tabs>
          <w:tab w:val="left" w:pos="945"/>
        </w:tabs>
        <w:spacing w:line="360" w:lineRule="auto"/>
        <w:rPr>
          <w:rFonts w:hAnsi="宋体"/>
          <w:color w:val="auto"/>
          <w:highlight w:val="none"/>
        </w:rPr>
      </w:pPr>
      <w:r>
        <w:rPr>
          <w:rFonts w:hint="eastAsia" w:hAnsi="宋体"/>
          <w:color w:val="auto"/>
          <w:highlight w:val="none"/>
        </w:rPr>
        <w:t>采取不正当手段诋毁、排挤其他供应商的；</w:t>
      </w:r>
    </w:p>
    <w:p w14:paraId="419ABCF5">
      <w:pPr>
        <w:pStyle w:val="18"/>
        <w:numPr>
          <w:ilvl w:val="0"/>
          <w:numId w:val="4"/>
        </w:numPr>
        <w:tabs>
          <w:tab w:val="left" w:pos="945"/>
        </w:tabs>
        <w:spacing w:line="360" w:lineRule="auto"/>
        <w:rPr>
          <w:color w:val="auto"/>
          <w:highlight w:val="none"/>
        </w:rPr>
      </w:pPr>
      <w:r>
        <w:rPr>
          <w:rFonts w:hint="eastAsia" w:hAnsi="宋体"/>
          <w:color w:val="auto"/>
          <w:highlight w:val="none"/>
        </w:rPr>
        <w:t>与采购人、其他供应商或者采购代理机构恶意串通的；</w:t>
      </w:r>
    </w:p>
    <w:p w14:paraId="36B2D384">
      <w:pPr>
        <w:pStyle w:val="18"/>
        <w:numPr>
          <w:ilvl w:val="0"/>
          <w:numId w:val="4"/>
        </w:numPr>
        <w:tabs>
          <w:tab w:val="left" w:pos="945"/>
        </w:tabs>
        <w:spacing w:line="360" w:lineRule="auto"/>
        <w:rPr>
          <w:color w:val="auto"/>
          <w:highlight w:val="none"/>
        </w:rPr>
      </w:pPr>
      <w:r>
        <w:rPr>
          <w:rFonts w:hint="eastAsia" w:hAnsi="宋体"/>
          <w:color w:val="auto"/>
          <w:highlight w:val="none"/>
        </w:rPr>
        <w:t>向采购人、采购代理机构行贿或者提供其他不正当利益的；</w:t>
      </w:r>
    </w:p>
    <w:p w14:paraId="5FE5A06E">
      <w:pPr>
        <w:pStyle w:val="18"/>
        <w:numPr>
          <w:ilvl w:val="0"/>
          <w:numId w:val="4"/>
        </w:numPr>
        <w:tabs>
          <w:tab w:val="left" w:pos="945"/>
        </w:tabs>
        <w:spacing w:line="360" w:lineRule="auto"/>
        <w:rPr>
          <w:color w:val="auto"/>
          <w:highlight w:val="none"/>
        </w:rPr>
      </w:pPr>
      <w:r>
        <w:rPr>
          <w:rFonts w:hint="eastAsia" w:hAnsi="宋体"/>
          <w:color w:val="auto"/>
          <w:highlight w:val="none"/>
        </w:rPr>
        <w:t>在采购过程中与采购人进行协商谈判的；</w:t>
      </w:r>
    </w:p>
    <w:p w14:paraId="37A1195F">
      <w:pPr>
        <w:pStyle w:val="18"/>
        <w:numPr>
          <w:ilvl w:val="0"/>
          <w:numId w:val="4"/>
        </w:numPr>
        <w:tabs>
          <w:tab w:val="left" w:pos="945"/>
        </w:tabs>
        <w:spacing w:line="360" w:lineRule="auto"/>
        <w:rPr>
          <w:rFonts w:hint="eastAsia"/>
          <w:color w:val="auto"/>
          <w:highlight w:val="none"/>
          <w:lang w:eastAsia="zh-CN"/>
        </w:rPr>
      </w:pPr>
      <w:r>
        <w:rPr>
          <w:rFonts w:hint="eastAsia" w:hAnsi="宋体"/>
          <w:color w:val="auto"/>
          <w:highlight w:val="none"/>
        </w:rPr>
        <w:t>拒绝有关部门监督检查或提供虚假情况的。</w:t>
      </w:r>
    </w:p>
    <w:p w14:paraId="655DF5B6">
      <w:pPr>
        <w:pStyle w:val="18"/>
        <w:spacing w:line="360" w:lineRule="auto"/>
        <w:ind w:firstLine="420"/>
        <w:rPr>
          <w:rFonts w:hint="eastAsia"/>
          <w:color w:val="auto"/>
          <w:highlight w:val="none"/>
        </w:rPr>
      </w:pPr>
      <w:r>
        <w:rPr>
          <w:rFonts w:hint="eastAsia" w:hAnsi="宋体" w:cs="宋体"/>
          <w:color w:val="auto"/>
          <w:highlight w:val="none"/>
          <w:lang w:eastAsia="zh-CN"/>
        </w:rPr>
        <w:t>11</w:t>
      </w:r>
      <w:r>
        <w:rPr>
          <w:rFonts w:hint="eastAsia" w:hAnsi="宋体" w:cs="宋体"/>
          <w:color w:val="auto"/>
          <w:highlight w:val="none"/>
        </w:rPr>
        <w:t>.与本</w:t>
      </w:r>
      <w:r>
        <w:rPr>
          <w:rFonts w:hint="eastAsia" w:hAnsi="宋体" w:cs="宋体"/>
          <w:color w:val="auto"/>
          <w:highlight w:val="none"/>
          <w:lang w:eastAsia="zh-CN"/>
        </w:rPr>
        <w:t>磋商</w:t>
      </w:r>
      <w:r>
        <w:rPr>
          <w:rFonts w:hint="eastAsia" w:hAnsi="宋体" w:cs="宋体"/>
          <w:color w:val="auto"/>
          <w:highlight w:val="none"/>
        </w:rPr>
        <w:t>有关的一切正式往来信函请寄</w:t>
      </w:r>
      <w:r>
        <w:rPr>
          <w:rFonts w:hint="eastAsia"/>
          <w:color w:val="auto"/>
          <w:highlight w:val="none"/>
        </w:rPr>
        <w:t>：</w:t>
      </w:r>
      <w:r>
        <w:rPr>
          <w:rFonts w:hint="eastAsia"/>
          <w:color w:val="auto"/>
          <w:highlight w:val="none"/>
          <w:u w:val="single"/>
        </w:rPr>
        <w:t xml:space="preserve"> </w:t>
      </w:r>
    </w:p>
    <w:p w14:paraId="7ACB3F05">
      <w:pPr>
        <w:pStyle w:val="18"/>
        <w:spacing w:line="360" w:lineRule="auto"/>
        <w:ind w:firstLine="420"/>
        <w:rPr>
          <w:rFonts w:hint="eastAsia"/>
          <w:color w:val="auto"/>
          <w:highlight w:val="none"/>
        </w:rPr>
      </w:pPr>
      <w:r>
        <w:rPr>
          <w:rFonts w:hint="eastAsia"/>
          <w:color w:val="auto"/>
          <w:highlight w:val="none"/>
        </w:rPr>
        <w:t>地址：</w:t>
      </w:r>
      <w:r>
        <w:rPr>
          <w:rFonts w:hint="eastAsia"/>
          <w:color w:val="auto"/>
          <w:highlight w:val="none"/>
          <w:u w:val="single"/>
        </w:rPr>
        <w:t xml:space="preserve">                                                        </w:t>
      </w:r>
      <w:r>
        <w:rPr>
          <w:rFonts w:hint="eastAsia"/>
          <w:color w:val="auto"/>
          <w:highlight w:val="none"/>
        </w:rPr>
        <w:t xml:space="preserve"> </w:t>
      </w:r>
    </w:p>
    <w:p w14:paraId="3A52169A">
      <w:pPr>
        <w:pStyle w:val="18"/>
        <w:spacing w:line="360" w:lineRule="auto"/>
        <w:ind w:firstLine="420"/>
        <w:rPr>
          <w:rFonts w:hint="eastAsia"/>
          <w:color w:val="auto"/>
          <w:highlight w:val="none"/>
          <w:u w:val="single"/>
        </w:rPr>
      </w:pPr>
      <w:r>
        <w:rPr>
          <w:rFonts w:hint="eastAsia"/>
          <w:color w:val="auto"/>
          <w:highlight w:val="none"/>
        </w:rPr>
        <w:t>电话：</w:t>
      </w:r>
      <w:r>
        <w:rPr>
          <w:rFonts w:hint="eastAsia"/>
          <w:color w:val="auto"/>
          <w:highlight w:val="none"/>
          <w:u w:val="single"/>
        </w:rPr>
        <w:t xml:space="preserve">                                      　　　　　　　　　</w:t>
      </w:r>
    </w:p>
    <w:p w14:paraId="45803693">
      <w:pPr>
        <w:pStyle w:val="18"/>
        <w:spacing w:line="360" w:lineRule="auto"/>
        <w:ind w:firstLine="420"/>
        <w:rPr>
          <w:rFonts w:hint="eastAsia"/>
          <w:color w:val="auto"/>
          <w:highlight w:val="none"/>
        </w:rPr>
      </w:pPr>
      <w:r>
        <w:rPr>
          <w:rFonts w:hint="eastAsia"/>
          <w:color w:val="auto"/>
          <w:highlight w:val="none"/>
        </w:rPr>
        <w:t>传真：</w:t>
      </w:r>
      <w:r>
        <w:rPr>
          <w:rFonts w:hint="eastAsia"/>
          <w:color w:val="auto"/>
          <w:highlight w:val="none"/>
          <w:u w:val="single"/>
        </w:rPr>
        <w:t>　　　　　　　　　　　　　　　　　　　　　　　　　　　　</w:t>
      </w:r>
    </w:p>
    <w:p w14:paraId="6407FE77">
      <w:pPr>
        <w:pStyle w:val="18"/>
        <w:spacing w:line="360" w:lineRule="auto"/>
        <w:ind w:firstLine="420"/>
        <w:rPr>
          <w:rFonts w:hint="eastAsia"/>
          <w:color w:val="auto"/>
          <w:highlight w:val="none"/>
          <w:u w:val="single"/>
        </w:rPr>
      </w:pPr>
      <w:r>
        <w:rPr>
          <w:rFonts w:hint="eastAsia"/>
          <w:color w:val="auto"/>
          <w:highlight w:val="none"/>
        </w:rPr>
        <w:t>邮政编码：</w:t>
      </w:r>
      <w:r>
        <w:rPr>
          <w:rFonts w:hint="eastAsia"/>
          <w:color w:val="auto"/>
          <w:highlight w:val="none"/>
          <w:u w:val="single"/>
        </w:rPr>
        <w:t xml:space="preserve">                                                    </w:t>
      </w:r>
    </w:p>
    <w:p w14:paraId="01EA145A">
      <w:pPr>
        <w:pStyle w:val="18"/>
        <w:spacing w:line="360" w:lineRule="auto"/>
        <w:ind w:firstLine="420"/>
        <w:rPr>
          <w:rFonts w:hint="eastAsia"/>
          <w:color w:val="auto"/>
          <w:highlight w:val="none"/>
          <w:u w:val="single"/>
        </w:rPr>
      </w:pPr>
      <w:r>
        <w:rPr>
          <w:rFonts w:hint="eastAsia"/>
          <w:color w:val="auto"/>
          <w:highlight w:val="none"/>
        </w:rPr>
        <w:t>开户名称：</w:t>
      </w:r>
      <w:r>
        <w:rPr>
          <w:rFonts w:hint="eastAsia"/>
          <w:color w:val="auto"/>
          <w:highlight w:val="none"/>
          <w:u w:val="single"/>
        </w:rPr>
        <w:t xml:space="preserve">                                                    </w:t>
      </w:r>
    </w:p>
    <w:p w14:paraId="5AF2818F">
      <w:pPr>
        <w:pStyle w:val="18"/>
        <w:spacing w:line="360" w:lineRule="auto"/>
        <w:ind w:firstLine="420"/>
        <w:rPr>
          <w:rFonts w:hint="eastAsia"/>
          <w:color w:val="auto"/>
          <w:highlight w:val="none"/>
          <w:u w:val="single"/>
        </w:rPr>
      </w:pPr>
      <w:r>
        <w:rPr>
          <w:rFonts w:hint="eastAsia"/>
          <w:color w:val="auto"/>
          <w:highlight w:val="none"/>
        </w:rPr>
        <w:t>开户银行：</w:t>
      </w:r>
      <w:r>
        <w:rPr>
          <w:rFonts w:hint="eastAsia"/>
          <w:color w:val="auto"/>
          <w:highlight w:val="none"/>
          <w:u w:val="single"/>
        </w:rPr>
        <w:t xml:space="preserve">                                                    </w:t>
      </w:r>
    </w:p>
    <w:p w14:paraId="54452A2C">
      <w:pPr>
        <w:pStyle w:val="18"/>
        <w:spacing w:line="360" w:lineRule="auto"/>
        <w:ind w:firstLine="420"/>
        <w:rPr>
          <w:rFonts w:hint="eastAsia"/>
          <w:color w:val="auto"/>
          <w:highlight w:val="none"/>
          <w:u w:val="single"/>
        </w:rPr>
      </w:pPr>
      <w:r>
        <w:rPr>
          <w:rFonts w:hint="eastAsia"/>
          <w:color w:val="auto"/>
          <w:highlight w:val="none"/>
        </w:rPr>
        <w:t>银行账号：</w:t>
      </w:r>
      <w:r>
        <w:rPr>
          <w:rFonts w:hint="eastAsia"/>
          <w:color w:val="auto"/>
          <w:highlight w:val="none"/>
          <w:u w:val="single"/>
        </w:rPr>
        <w:t xml:space="preserve">                                                    </w:t>
      </w:r>
    </w:p>
    <w:p w14:paraId="0C702571">
      <w:pPr>
        <w:pStyle w:val="16"/>
        <w:tabs>
          <w:tab w:val="left" w:pos="939"/>
        </w:tabs>
        <w:spacing w:line="360" w:lineRule="auto"/>
        <w:ind w:left="141" w:leftChars="67" w:firstLine="300" w:firstLineChars="150"/>
        <w:rPr>
          <w:rFonts w:hint="eastAsia" w:ascii="宋体" w:hAnsi="宋体" w:cs="宋体"/>
          <w:color w:val="auto"/>
          <w:sz w:val="20"/>
          <w:szCs w:val="20"/>
          <w:highlight w:val="none"/>
        </w:rPr>
      </w:pPr>
      <w:r>
        <w:rPr>
          <w:rFonts w:hint="eastAsia" w:ascii="宋体" w:hAnsi="宋体" w:cs="宋体"/>
          <w:color w:val="auto"/>
          <w:sz w:val="20"/>
          <w:szCs w:val="20"/>
          <w:highlight w:val="none"/>
        </w:rPr>
        <w:t>特此承诺。</w:t>
      </w:r>
    </w:p>
    <w:p w14:paraId="66BA440C">
      <w:pPr>
        <w:spacing w:line="360" w:lineRule="auto"/>
        <w:contextualSpacing/>
        <w:jc w:val="left"/>
        <w:rPr>
          <w:rFonts w:hint="eastAsia" w:ascii="宋体" w:hAnsi="宋体" w:cs="宋体"/>
          <w:color w:val="auto"/>
          <w:szCs w:val="21"/>
          <w:highlight w:val="none"/>
        </w:rPr>
      </w:pPr>
    </w:p>
    <w:p w14:paraId="4D92DA6E">
      <w:pPr>
        <w:autoSpaceDE w:val="0"/>
        <w:autoSpaceDN w:val="0"/>
        <w:spacing w:line="360" w:lineRule="auto"/>
        <w:ind w:left="4335" w:leftChars="1950" w:hanging="240" w:hangingChars="1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14:paraId="06733690">
      <w:pPr>
        <w:autoSpaceDE w:val="0"/>
        <w:autoSpaceDN w:val="0"/>
        <w:spacing w:line="360" w:lineRule="auto"/>
        <w:ind w:firstLine="6480" w:firstLineChars="2700"/>
        <w:rPr>
          <w:rFonts w:ascii="仿宋_GB2312" w:hAnsi="仿宋" w:eastAsia="仿宋_GB2312" w:cs="仿宋_GB2312"/>
          <w:color w:val="auto"/>
          <w:kern w:val="0"/>
          <w:sz w:val="24"/>
          <w:highlight w:val="none"/>
          <w:lang w:val="zh-CN"/>
        </w:rPr>
        <w:sectPr>
          <w:pgSz w:w="11910" w:h="16840"/>
          <w:pgMar w:top="1340" w:right="1500" w:bottom="280" w:left="1680" w:header="720" w:footer="720" w:gutter="0"/>
          <w:pgBorders>
            <w:top w:val="none" w:sz="0" w:space="0"/>
            <w:left w:val="none" w:sz="0" w:space="0"/>
            <w:bottom w:val="none" w:sz="0" w:space="0"/>
            <w:right w:val="none" w:sz="0" w:space="0"/>
          </w:pgBorders>
          <w:pgNumType w:fmt="decimal"/>
          <w:cols w:space="720" w:num="1"/>
        </w:sectPr>
      </w:pPr>
      <w:r>
        <w:rPr>
          <w:rFonts w:hint="eastAsia" w:ascii="仿宋_GB2312" w:hAnsi="仿宋" w:eastAsia="仿宋_GB2312" w:cs="仿宋_GB2312"/>
          <w:color w:val="auto"/>
          <w:kern w:val="0"/>
          <w:sz w:val="24"/>
          <w:highlight w:val="none"/>
          <w:lang w:val="zh-CN"/>
        </w:rPr>
        <w:t>日期：  年  月   日</w:t>
      </w:r>
    </w:p>
    <w:p w14:paraId="124571D1">
      <w:pPr>
        <w:autoSpaceDE w:val="0"/>
        <w:autoSpaceDN w:val="0"/>
        <w:spacing w:line="360" w:lineRule="auto"/>
        <w:ind w:firstLine="6480" w:firstLineChars="2700"/>
        <w:rPr>
          <w:rFonts w:hint="eastAsia" w:ascii="仿宋_GB2312" w:hAnsi="仿宋" w:eastAsia="仿宋_GB2312" w:cs="仿宋_GB2312"/>
          <w:color w:val="auto"/>
          <w:kern w:val="0"/>
          <w:sz w:val="24"/>
          <w:highlight w:val="none"/>
          <w:lang w:val="zh-CN"/>
        </w:rPr>
      </w:pPr>
    </w:p>
    <w:p w14:paraId="41562A69">
      <w:pPr>
        <w:spacing w:line="520" w:lineRule="exact"/>
        <w:rPr>
          <w:rFonts w:hint="eastAsia" w:ascii="宋体" w:hAnsi="宋体" w:eastAsia="宋体" w:cs="Times New Roman"/>
          <w:b/>
          <w:bCs/>
          <w:color w:val="auto"/>
          <w:sz w:val="32"/>
          <w:szCs w:val="32"/>
          <w:highlight w:val="none"/>
        </w:rPr>
      </w:pPr>
      <w:r>
        <w:rPr>
          <w:rFonts w:hint="eastAsia" w:ascii="宋体" w:hAnsi="宋体" w:eastAsia="宋体" w:cs="Times New Roman"/>
          <w:b/>
          <w:bCs/>
          <w:color w:val="auto"/>
          <w:sz w:val="32"/>
          <w:szCs w:val="32"/>
          <w:highlight w:val="none"/>
        </w:rPr>
        <w:t>二、响应报价表</w:t>
      </w:r>
    </w:p>
    <w:p w14:paraId="35C1D18B">
      <w:pPr>
        <w:snapToGrid w:val="0"/>
        <w:spacing w:before="50" w:after="50" w:line="360" w:lineRule="auto"/>
        <w:ind w:right="-508" w:rightChars="-242"/>
        <w:rPr>
          <w:rFonts w:ascii="宋体" w:hAnsi="宋体"/>
          <w:color w:val="auto"/>
          <w:sz w:val="24"/>
          <w:highlight w:val="none"/>
        </w:rPr>
      </w:pPr>
      <w:r>
        <w:rPr>
          <w:rFonts w:hint="eastAsia" w:ascii="宋体" w:hAnsi="宋体"/>
          <w:color w:val="auto"/>
          <w:sz w:val="24"/>
          <w:highlight w:val="none"/>
        </w:rPr>
        <w:t>项目名称：</w:t>
      </w:r>
      <w:r>
        <w:rPr>
          <w:rFonts w:hint="eastAsia" w:ascii="宋体" w:hAnsi="宋体"/>
          <w:color w:val="auto"/>
          <w:sz w:val="24"/>
          <w:highlight w:val="none"/>
          <w:u w:val="single"/>
        </w:rPr>
        <w:t xml:space="preserve">  </w:t>
      </w:r>
      <w:r>
        <w:rPr>
          <w:rFonts w:hint="eastAsia" w:ascii="宋体" w:hAnsi="宋体"/>
          <w:color w:val="auto"/>
          <w:sz w:val="24"/>
          <w:highlight w:val="none"/>
          <w:u w:val="single"/>
          <w:lang w:eastAsia="zh-CN"/>
        </w:rPr>
        <w:t>隆安县电子政务外网一期线路租用及设备升级服务项目</w:t>
      </w:r>
      <w:r>
        <w:rPr>
          <w:rFonts w:ascii="宋体" w:hAnsi="宋体"/>
          <w:color w:val="auto"/>
          <w:sz w:val="24"/>
          <w:highlight w:val="none"/>
          <w:u w:val="single"/>
        </w:rPr>
        <w:t xml:space="preserve"> </w:t>
      </w:r>
      <w:r>
        <w:rPr>
          <w:rFonts w:ascii="宋体" w:hAnsi="宋体"/>
          <w:color w:val="auto"/>
          <w:sz w:val="24"/>
          <w:highlight w:val="none"/>
        </w:rPr>
        <w:t xml:space="preserve">      </w:t>
      </w:r>
    </w:p>
    <w:p w14:paraId="4D7C5CEA">
      <w:pPr>
        <w:snapToGrid w:val="0"/>
        <w:spacing w:before="50" w:after="50" w:line="360" w:lineRule="auto"/>
        <w:rPr>
          <w:rFonts w:hint="eastAsia" w:ascii="宋体" w:hAnsi="宋体"/>
          <w:color w:val="auto"/>
          <w:sz w:val="24"/>
          <w:highlight w:val="none"/>
          <w:u w:val="single"/>
        </w:rPr>
      </w:pPr>
      <w:r>
        <w:rPr>
          <w:rFonts w:hint="eastAsia" w:ascii="宋体" w:hAnsi="宋体"/>
          <w:color w:val="auto"/>
          <w:sz w:val="24"/>
          <w:highlight w:val="none"/>
          <w:lang w:eastAsia="zh-CN"/>
        </w:rPr>
        <w:t>项目编号：NNZC2026-C3-230061-NNSL</w:t>
      </w:r>
      <w:r>
        <w:rPr>
          <w:rFonts w:hint="eastAsia" w:ascii="宋体" w:hAnsi="宋体"/>
          <w:color w:val="auto"/>
          <w:sz w:val="24"/>
          <w:highlight w:val="none"/>
        </w:rPr>
        <w:t xml:space="preserve">        分标：</w:t>
      </w:r>
      <w:r>
        <w:rPr>
          <w:rFonts w:hint="eastAsia" w:ascii="宋体" w:hAnsi="宋体"/>
          <w:color w:val="auto"/>
          <w:sz w:val="24"/>
          <w:highlight w:val="none"/>
          <w:u w:val="single"/>
        </w:rPr>
        <w:t xml:space="preserve">           </w:t>
      </w:r>
    </w:p>
    <w:p w14:paraId="1A15914B">
      <w:pPr>
        <w:snapToGrid w:val="0"/>
        <w:spacing w:before="50" w:after="50" w:line="360" w:lineRule="auto"/>
        <w:rPr>
          <w:rFonts w:hint="eastAsia" w:ascii="宋体" w:hAnsi="宋体"/>
          <w:color w:val="auto"/>
          <w:sz w:val="24"/>
          <w:highlight w:val="none"/>
          <w:u w:val="single"/>
        </w:rPr>
      </w:pPr>
      <w:r>
        <w:rPr>
          <w:rFonts w:hint="eastAsia" w:hAnsi="宋体"/>
          <w:color w:val="auto"/>
          <w:sz w:val="24"/>
          <w:highlight w:val="none"/>
        </w:rPr>
        <w:t>供应商名称：</w:t>
      </w:r>
      <w:r>
        <w:rPr>
          <w:rFonts w:hint="eastAsia" w:hAnsi="宋体"/>
          <w:color w:val="auto"/>
          <w:sz w:val="24"/>
          <w:highlight w:val="none"/>
          <w:u w:val="single"/>
        </w:rPr>
        <w:t xml:space="preserve">                     </w:t>
      </w:r>
      <w:r>
        <w:rPr>
          <w:rFonts w:hint="eastAsia" w:hAnsi="宋体"/>
          <w:color w:val="auto"/>
          <w:sz w:val="24"/>
          <w:highlight w:val="none"/>
        </w:rPr>
        <w:t xml:space="preserve">  </w:t>
      </w:r>
      <w:r>
        <w:rPr>
          <w:rFonts w:hint="eastAsia" w:ascii="宋体" w:hAnsi="宋体" w:cs="仿宋_GB2312"/>
          <w:color w:val="auto"/>
          <w:sz w:val="24"/>
          <w:highlight w:val="none"/>
        </w:rPr>
        <w:t xml:space="preserve">                    </w:t>
      </w:r>
    </w:p>
    <w:tbl>
      <w:tblPr>
        <w:tblStyle w:val="30"/>
        <w:tblW w:w="98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1260"/>
        <w:gridCol w:w="2494"/>
        <w:gridCol w:w="2055"/>
        <w:gridCol w:w="3285"/>
      </w:tblGrid>
      <w:tr w14:paraId="4CACB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18A40C65">
            <w:pPr>
              <w:keepNext w:val="0"/>
              <w:keepLines w:val="0"/>
              <w:suppressLineNumbers w:val="0"/>
              <w:spacing w:before="0" w:beforeAutospacing="0" w:after="0" w:afterAutospacing="0"/>
              <w:ind w:left="0" w:right="0"/>
              <w:rPr>
                <w:rFonts w:hint="default" w:ascii="宋体" w:hAnsi="宋体" w:cs="Times New Roman"/>
                <w:color w:val="auto"/>
                <w:highlight w:val="none"/>
              </w:rPr>
            </w:pPr>
            <w:r>
              <w:rPr>
                <w:rFonts w:hint="eastAsia" w:ascii="宋体" w:hAnsi="宋体" w:cs="Times New Roman"/>
                <w:color w:val="auto"/>
                <w:highlight w:val="none"/>
              </w:rPr>
              <w:t>序号</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0C9E560E">
            <w:pPr>
              <w:keepNext w:val="0"/>
              <w:keepLines w:val="0"/>
              <w:suppressLineNumbers w:val="0"/>
              <w:spacing w:before="0" w:beforeAutospacing="0" w:after="0" w:afterAutospacing="0"/>
              <w:ind w:left="0" w:right="0"/>
              <w:rPr>
                <w:rFonts w:hint="default" w:ascii="宋体" w:hAnsi="宋体" w:cs="Times New Roman"/>
                <w:color w:val="auto"/>
                <w:highlight w:val="none"/>
              </w:rPr>
            </w:pPr>
            <w:r>
              <w:rPr>
                <w:rFonts w:hint="eastAsia" w:ascii="宋体" w:hAnsi="宋体" w:cs="Times New Roman"/>
                <w:color w:val="auto"/>
                <w:highlight w:val="none"/>
              </w:rPr>
              <w:t>服务名称</w:t>
            </w:r>
          </w:p>
        </w:tc>
        <w:tc>
          <w:tcPr>
            <w:tcW w:w="2494" w:type="dxa"/>
            <w:tcBorders>
              <w:top w:val="single" w:color="auto" w:sz="4" w:space="0"/>
              <w:left w:val="single" w:color="auto" w:sz="4" w:space="0"/>
              <w:bottom w:val="single" w:color="auto" w:sz="4" w:space="0"/>
              <w:right w:val="single" w:color="auto" w:sz="4" w:space="0"/>
            </w:tcBorders>
            <w:noWrap w:val="0"/>
            <w:vAlign w:val="center"/>
          </w:tcPr>
          <w:p w14:paraId="5B838984">
            <w:pPr>
              <w:keepNext w:val="0"/>
              <w:keepLines w:val="0"/>
              <w:suppressLineNumbers w:val="0"/>
              <w:spacing w:before="0" w:beforeAutospacing="0" w:after="0" w:afterAutospacing="0"/>
              <w:ind w:left="0" w:right="0"/>
              <w:jc w:val="center"/>
              <w:rPr>
                <w:rFonts w:hint="default" w:ascii="宋体" w:hAnsi="宋体" w:cs="Times New Roman"/>
                <w:color w:val="auto"/>
                <w:highlight w:val="none"/>
              </w:rPr>
            </w:pPr>
            <w:r>
              <w:rPr>
                <w:rFonts w:hint="eastAsia" w:ascii="宋体" w:hAnsi="宋体" w:cs="Times New Roman"/>
                <w:color w:val="auto"/>
                <w:highlight w:val="none"/>
              </w:rPr>
              <w:t>具体服务内容</w:t>
            </w:r>
          </w:p>
        </w:tc>
        <w:tc>
          <w:tcPr>
            <w:tcW w:w="2055" w:type="dxa"/>
            <w:tcBorders>
              <w:top w:val="single" w:color="auto" w:sz="4" w:space="0"/>
              <w:left w:val="single" w:color="auto" w:sz="4" w:space="0"/>
              <w:bottom w:val="single" w:color="auto" w:sz="4" w:space="0"/>
              <w:right w:val="single" w:color="auto" w:sz="4" w:space="0"/>
            </w:tcBorders>
            <w:noWrap w:val="0"/>
            <w:vAlign w:val="center"/>
          </w:tcPr>
          <w:p w14:paraId="4F6FF6BF">
            <w:pPr>
              <w:keepNext w:val="0"/>
              <w:keepLines w:val="0"/>
              <w:suppressLineNumbers w:val="0"/>
              <w:spacing w:before="0" w:beforeAutospacing="0" w:after="0" w:afterAutospacing="0"/>
              <w:ind w:left="0" w:right="0"/>
              <w:jc w:val="center"/>
              <w:rPr>
                <w:rFonts w:hint="eastAsia" w:ascii="宋体" w:hAnsi="宋体" w:eastAsia="宋体" w:cs="Times New Roman"/>
                <w:color w:val="auto"/>
                <w:highlight w:val="none"/>
                <w:lang w:val="en-US" w:eastAsia="zh-CN"/>
              </w:rPr>
            </w:pPr>
            <w:r>
              <w:rPr>
                <w:rFonts w:hint="eastAsia" w:ascii="宋体" w:hAnsi="宋体" w:cs="Times New Roman"/>
                <w:color w:val="auto"/>
                <w:highlight w:val="none"/>
                <w:lang w:val="en-US" w:eastAsia="zh-CN"/>
              </w:rPr>
              <w:t>总价</w:t>
            </w:r>
          </w:p>
        </w:tc>
        <w:tc>
          <w:tcPr>
            <w:tcW w:w="3285" w:type="dxa"/>
            <w:tcBorders>
              <w:top w:val="single" w:color="auto" w:sz="4" w:space="0"/>
              <w:left w:val="single" w:color="auto" w:sz="4" w:space="0"/>
              <w:bottom w:val="single" w:color="auto" w:sz="4" w:space="0"/>
              <w:right w:val="single" w:color="auto" w:sz="4" w:space="0"/>
            </w:tcBorders>
            <w:noWrap w:val="0"/>
            <w:vAlign w:val="center"/>
          </w:tcPr>
          <w:p w14:paraId="6371B095">
            <w:pPr>
              <w:keepNext w:val="0"/>
              <w:keepLines w:val="0"/>
              <w:suppressLineNumbers w:val="0"/>
              <w:spacing w:before="0" w:beforeAutospacing="0" w:after="0" w:afterAutospacing="0" w:line="360" w:lineRule="auto"/>
              <w:ind w:left="0" w:right="0"/>
              <w:jc w:val="center"/>
              <w:rPr>
                <w:rFonts w:hint="eastAsia" w:ascii="宋体" w:hAnsi="宋体" w:cs="Times New Roman"/>
                <w:color w:val="auto"/>
                <w:highlight w:val="none"/>
              </w:rPr>
            </w:pPr>
            <w:r>
              <w:rPr>
                <w:rFonts w:hint="eastAsia" w:ascii="宋体" w:hAnsi="宋体" w:cs="Times New Roman"/>
                <w:color w:val="auto"/>
                <w:highlight w:val="none"/>
              </w:rPr>
              <w:t>服务要求（或服务期限）</w:t>
            </w:r>
          </w:p>
        </w:tc>
      </w:tr>
      <w:tr w14:paraId="13BCF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25EB7390">
            <w:pPr>
              <w:keepNext w:val="0"/>
              <w:keepLines w:val="0"/>
              <w:suppressLineNumbers w:val="0"/>
              <w:spacing w:before="0" w:beforeAutospacing="0" w:after="0" w:afterAutospacing="0"/>
              <w:ind w:left="0" w:right="0"/>
              <w:rPr>
                <w:rFonts w:hint="default" w:ascii="宋体" w:hAnsi="宋体" w:cs="Times New Roman"/>
                <w:color w:val="auto"/>
                <w:highlight w:val="none"/>
              </w:rPr>
            </w:pPr>
            <w:r>
              <w:rPr>
                <w:rFonts w:hint="default" w:ascii="宋体" w:hAnsi="宋体" w:cs="Times New Roman"/>
                <w:color w:val="auto"/>
                <w:highlight w:val="none"/>
              </w:rPr>
              <w:t>1</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3757433D">
            <w:pPr>
              <w:keepNext w:val="0"/>
              <w:keepLines w:val="0"/>
              <w:suppressLineNumbers w:val="0"/>
              <w:spacing w:before="0" w:beforeAutospacing="0" w:after="0" w:afterAutospacing="0"/>
              <w:ind w:left="0" w:right="0"/>
              <w:rPr>
                <w:rFonts w:hint="default" w:ascii="宋体" w:hAnsi="宋体" w:cs="Times New Roman"/>
                <w:color w:val="auto"/>
                <w:highlight w:val="none"/>
              </w:rPr>
            </w:pPr>
          </w:p>
        </w:tc>
        <w:tc>
          <w:tcPr>
            <w:tcW w:w="2494" w:type="dxa"/>
            <w:tcBorders>
              <w:top w:val="single" w:color="auto" w:sz="4" w:space="0"/>
              <w:left w:val="single" w:color="auto" w:sz="4" w:space="0"/>
              <w:bottom w:val="single" w:color="auto" w:sz="4" w:space="0"/>
              <w:right w:val="single" w:color="auto" w:sz="4" w:space="0"/>
            </w:tcBorders>
            <w:noWrap w:val="0"/>
            <w:vAlign w:val="center"/>
          </w:tcPr>
          <w:p w14:paraId="40FE3473">
            <w:pPr>
              <w:keepNext w:val="0"/>
              <w:keepLines w:val="0"/>
              <w:suppressLineNumbers w:val="0"/>
              <w:spacing w:before="0" w:beforeAutospacing="0" w:after="0" w:afterAutospacing="0"/>
              <w:ind w:left="0" w:right="0"/>
              <w:rPr>
                <w:rFonts w:hint="default" w:ascii="宋体" w:hAnsi="宋体" w:cs="Times New Roman"/>
                <w:color w:val="auto"/>
                <w:highlight w:val="none"/>
              </w:rPr>
            </w:pPr>
          </w:p>
        </w:tc>
        <w:tc>
          <w:tcPr>
            <w:tcW w:w="2055" w:type="dxa"/>
            <w:tcBorders>
              <w:top w:val="single" w:color="auto" w:sz="4" w:space="0"/>
              <w:left w:val="single" w:color="auto" w:sz="4" w:space="0"/>
              <w:bottom w:val="single" w:color="auto" w:sz="4" w:space="0"/>
              <w:right w:val="single" w:color="auto" w:sz="4" w:space="0"/>
            </w:tcBorders>
            <w:noWrap w:val="0"/>
            <w:vAlign w:val="center"/>
          </w:tcPr>
          <w:p w14:paraId="4A7BB10F">
            <w:pPr>
              <w:keepNext w:val="0"/>
              <w:keepLines w:val="0"/>
              <w:suppressLineNumbers w:val="0"/>
              <w:spacing w:before="0" w:beforeAutospacing="0" w:after="0" w:afterAutospacing="0"/>
              <w:ind w:left="0" w:right="0"/>
              <w:rPr>
                <w:rFonts w:hint="default" w:ascii="宋体" w:hAnsi="宋体" w:cs="Times New Roman"/>
                <w:color w:val="auto"/>
                <w:highlight w:val="none"/>
              </w:rPr>
            </w:pPr>
          </w:p>
        </w:tc>
        <w:tc>
          <w:tcPr>
            <w:tcW w:w="3285" w:type="dxa"/>
            <w:tcBorders>
              <w:top w:val="single" w:color="auto" w:sz="4" w:space="0"/>
              <w:left w:val="single" w:color="auto" w:sz="4" w:space="0"/>
              <w:bottom w:val="single" w:color="auto" w:sz="4" w:space="0"/>
              <w:right w:val="single" w:color="auto" w:sz="4" w:space="0"/>
            </w:tcBorders>
            <w:noWrap w:val="0"/>
            <w:vAlign w:val="top"/>
          </w:tcPr>
          <w:p w14:paraId="15C2B820">
            <w:pPr>
              <w:keepNext w:val="0"/>
              <w:keepLines w:val="0"/>
              <w:suppressLineNumbers w:val="0"/>
              <w:spacing w:before="0" w:beforeAutospacing="0" w:after="0" w:afterAutospacing="0"/>
              <w:ind w:left="0" w:right="0"/>
              <w:rPr>
                <w:rFonts w:hint="default" w:ascii="宋体" w:hAnsi="宋体" w:cs="Times New Roman"/>
                <w:color w:val="auto"/>
                <w:highlight w:val="none"/>
              </w:rPr>
            </w:pPr>
          </w:p>
        </w:tc>
      </w:tr>
      <w:tr w14:paraId="5D5B2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7CE35FF7">
            <w:pPr>
              <w:keepNext w:val="0"/>
              <w:keepLines w:val="0"/>
              <w:suppressLineNumbers w:val="0"/>
              <w:spacing w:before="0" w:beforeAutospacing="0" w:after="0" w:afterAutospacing="0"/>
              <w:ind w:left="0" w:right="0"/>
              <w:rPr>
                <w:rFonts w:hint="default" w:ascii="宋体" w:hAnsi="宋体" w:cs="Times New Roman"/>
                <w:color w:val="auto"/>
                <w:highlight w:val="none"/>
              </w:rPr>
            </w:pPr>
            <w:r>
              <w:rPr>
                <w:rFonts w:hint="default" w:ascii="宋体" w:hAnsi="宋体" w:cs="Times New Roman"/>
                <w:color w:val="auto"/>
                <w:highlight w:val="none"/>
              </w:rPr>
              <w:t>2</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589D0C6D">
            <w:pPr>
              <w:keepNext w:val="0"/>
              <w:keepLines w:val="0"/>
              <w:suppressLineNumbers w:val="0"/>
              <w:spacing w:before="0" w:beforeAutospacing="0" w:after="0" w:afterAutospacing="0"/>
              <w:ind w:left="0" w:right="0"/>
              <w:rPr>
                <w:rFonts w:hint="default" w:ascii="宋体" w:hAnsi="宋体" w:cs="Times New Roman"/>
                <w:color w:val="auto"/>
                <w:highlight w:val="none"/>
              </w:rPr>
            </w:pPr>
          </w:p>
        </w:tc>
        <w:tc>
          <w:tcPr>
            <w:tcW w:w="2494" w:type="dxa"/>
            <w:tcBorders>
              <w:top w:val="single" w:color="auto" w:sz="4" w:space="0"/>
              <w:left w:val="single" w:color="auto" w:sz="4" w:space="0"/>
              <w:bottom w:val="single" w:color="auto" w:sz="4" w:space="0"/>
              <w:right w:val="single" w:color="auto" w:sz="4" w:space="0"/>
            </w:tcBorders>
            <w:noWrap w:val="0"/>
            <w:vAlign w:val="center"/>
          </w:tcPr>
          <w:p w14:paraId="1C1071C2">
            <w:pPr>
              <w:keepNext w:val="0"/>
              <w:keepLines w:val="0"/>
              <w:suppressLineNumbers w:val="0"/>
              <w:spacing w:before="0" w:beforeAutospacing="0" w:after="0" w:afterAutospacing="0"/>
              <w:ind w:left="0" w:right="0"/>
              <w:rPr>
                <w:rFonts w:hint="default" w:ascii="宋体" w:hAnsi="宋体" w:cs="Times New Roman"/>
                <w:color w:val="auto"/>
                <w:highlight w:val="none"/>
              </w:rPr>
            </w:pPr>
          </w:p>
        </w:tc>
        <w:tc>
          <w:tcPr>
            <w:tcW w:w="2055" w:type="dxa"/>
            <w:tcBorders>
              <w:top w:val="single" w:color="auto" w:sz="4" w:space="0"/>
              <w:left w:val="single" w:color="auto" w:sz="4" w:space="0"/>
              <w:bottom w:val="single" w:color="auto" w:sz="4" w:space="0"/>
              <w:right w:val="single" w:color="auto" w:sz="4" w:space="0"/>
            </w:tcBorders>
            <w:noWrap w:val="0"/>
            <w:vAlign w:val="center"/>
          </w:tcPr>
          <w:p w14:paraId="312402B7">
            <w:pPr>
              <w:keepNext w:val="0"/>
              <w:keepLines w:val="0"/>
              <w:suppressLineNumbers w:val="0"/>
              <w:spacing w:before="0" w:beforeAutospacing="0" w:after="0" w:afterAutospacing="0"/>
              <w:ind w:left="0" w:right="0"/>
              <w:rPr>
                <w:rFonts w:hint="default" w:ascii="宋体" w:hAnsi="宋体" w:cs="Times New Roman"/>
                <w:color w:val="auto"/>
                <w:highlight w:val="none"/>
              </w:rPr>
            </w:pPr>
          </w:p>
        </w:tc>
        <w:tc>
          <w:tcPr>
            <w:tcW w:w="3285" w:type="dxa"/>
            <w:tcBorders>
              <w:top w:val="single" w:color="auto" w:sz="4" w:space="0"/>
              <w:left w:val="single" w:color="auto" w:sz="4" w:space="0"/>
              <w:bottom w:val="single" w:color="auto" w:sz="4" w:space="0"/>
              <w:right w:val="single" w:color="auto" w:sz="4" w:space="0"/>
            </w:tcBorders>
            <w:noWrap w:val="0"/>
            <w:vAlign w:val="top"/>
          </w:tcPr>
          <w:p w14:paraId="726F706C">
            <w:pPr>
              <w:keepNext w:val="0"/>
              <w:keepLines w:val="0"/>
              <w:suppressLineNumbers w:val="0"/>
              <w:spacing w:before="0" w:beforeAutospacing="0" w:after="0" w:afterAutospacing="0"/>
              <w:ind w:left="0" w:right="0"/>
              <w:rPr>
                <w:rFonts w:hint="default" w:ascii="宋体" w:hAnsi="宋体" w:cs="Times New Roman"/>
                <w:color w:val="auto"/>
                <w:highlight w:val="none"/>
              </w:rPr>
            </w:pPr>
          </w:p>
        </w:tc>
      </w:tr>
      <w:tr w14:paraId="094E2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5617014D">
            <w:pPr>
              <w:keepNext w:val="0"/>
              <w:keepLines w:val="0"/>
              <w:suppressLineNumbers w:val="0"/>
              <w:spacing w:before="0" w:beforeAutospacing="0" w:after="0" w:afterAutospacing="0"/>
              <w:ind w:left="0" w:right="0"/>
              <w:rPr>
                <w:rFonts w:hint="default" w:ascii="宋体" w:hAnsi="宋体" w:cs="Times New Roman"/>
                <w:color w:val="auto"/>
                <w:highlight w:val="none"/>
              </w:rPr>
            </w:pPr>
            <w:r>
              <w:rPr>
                <w:rFonts w:hint="default" w:ascii="宋体" w:hAnsi="宋体" w:cs="Times New Roman"/>
                <w:color w:val="auto"/>
                <w:highlight w:val="none"/>
              </w:rPr>
              <w:t>...</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7F46DF1F">
            <w:pPr>
              <w:keepNext w:val="0"/>
              <w:keepLines w:val="0"/>
              <w:suppressLineNumbers w:val="0"/>
              <w:spacing w:before="0" w:beforeAutospacing="0" w:after="0" w:afterAutospacing="0"/>
              <w:ind w:left="0" w:right="0"/>
              <w:rPr>
                <w:rFonts w:hint="default" w:ascii="宋体" w:hAnsi="宋体" w:cs="Times New Roman"/>
                <w:color w:val="auto"/>
                <w:highlight w:val="none"/>
              </w:rPr>
            </w:pPr>
          </w:p>
        </w:tc>
        <w:tc>
          <w:tcPr>
            <w:tcW w:w="2494" w:type="dxa"/>
            <w:tcBorders>
              <w:top w:val="single" w:color="auto" w:sz="4" w:space="0"/>
              <w:left w:val="single" w:color="auto" w:sz="4" w:space="0"/>
              <w:bottom w:val="single" w:color="auto" w:sz="4" w:space="0"/>
              <w:right w:val="single" w:color="auto" w:sz="4" w:space="0"/>
            </w:tcBorders>
            <w:noWrap w:val="0"/>
            <w:vAlign w:val="center"/>
          </w:tcPr>
          <w:p w14:paraId="1174434D">
            <w:pPr>
              <w:keepNext w:val="0"/>
              <w:keepLines w:val="0"/>
              <w:suppressLineNumbers w:val="0"/>
              <w:spacing w:before="0" w:beforeAutospacing="0" w:after="0" w:afterAutospacing="0"/>
              <w:ind w:left="0" w:right="0"/>
              <w:rPr>
                <w:rFonts w:hint="default" w:ascii="宋体" w:hAnsi="宋体" w:cs="Times New Roman"/>
                <w:color w:val="auto"/>
                <w:highlight w:val="none"/>
              </w:rPr>
            </w:pPr>
          </w:p>
        </w:tc>
        <w:tc>
          <w:tcPr>
            <w:tcW w:w="2055" w:type="dxa"/>
            <w:tcBorders>
              <w:top w:val="single" w:color="auto" w:sz="4" w:space="0"/>
              <w:left w:val="single" w:color="auto" w:sz="4" w:space="0"/>
              <w:bottom w:val="single" w:color="auto" w:sz="4" w:space="0"/>
              <w:right w:val="single" w:color="auto" w:sz="4" w:space="0"/>
            </w:tcBorders>
            <w:noWrap w:val="0"/>
            <w:vAlign w:val="center"/>
          </w:tcPr>
          <w:p w14:paraId="3A747ABA">
            <w:pPr>
              <w:keepNext w:val="0"/>
              <w:keepLines w:val="0"/>
              <w:suppressLineNumbers w:val="0"/>
              <w:spacing w:before="0" w:beforeAutospacing="0" w:after="0" w:afterAutospacing="0"/>
              <w:ind w:left="0" w:right="0"/>
              <w:rPr>
                <w:rFonts w:hint="default" w:ascii="宋体" w:hAnsi="宋体" w:cs="Times New Roman"/>
                <w:color w:val="auto"/>
                <w:highlight w:val="none"/>
              </w:rPr>
            </w:pPr>
          </w:p>
        </w:tc>
        <w:tc>
          <w:tcPr>
            <w:tcW w:w="3285" w:type="dxa"/>
            <w:tcBorders>
              <w:top w:val="single" w:color="auto" w:sz="4" w:space="0"/>
              <w:left w:val="single" w:color="auto" w:sz="4" w:space="0"/>
              <w:bottom w:val="single" w:color="auto" w:sz="4" w:space="0"/>
              <w:right w:val="single" w:color="auto" w:sz="4" w:space="0"/>
            </w:tcBorders>
            <w:noWrap w:val="0"/>
            <w:vAlign w:val="top"/>
          </w:tcPr>
          <w:p w14:paraId="531F9D40">
            <w:pPr>
              <w:keepNext w:val="0"/>
              <w:keepLines w:val="0"/>
              <w:suppressLineNumbers w:val="0"/>
              <w:spacing w:before="0" w:beforeAutospacing="0" w:after="0" w:afterAutospacing="0"/>
              <w:ind w:left="0" w:right="0"/>
              <w:rPr>
                <w:rFonts w:hint="default" w:ascii="宋体" w:hAnsi="宋体" w:cs="Times New Roman"/>
                <w:color w:val="auto"/>
                <w:highlight w:val="none"/>
              </w:rPr>
            </w:pPr>
          </w:p>
        </w:tc>
      </w:tr>
      <w:tr w14:paraId="7A3B0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5"/>
            <w:tcBorders>
              <w:top w:val="single" w:color="auto" w:sz="4" w:space="0"/>
              <w:left w:val="single" w:color="auto" w:sz="4" w:space="0"/>
              <w:bottom w:val="single" w:color="auto" w:sz="4" w:space="0"/>
              <w:right w:val="single" w:color="auto" w:sz="4" w:space="0"/>
            </w:tcBorders>
            <w:noWrap w:val="0"/>
            <w:vAlign w:val="top"/>
          </w:tcPr>
          <w:p w14:paraId="454FD06A">
            <w:pPr>
              <w:keepNext w:val="0"/>
              <w:keepLines w:val="0"/>
              <w:suppressLineNumbers w:val="0"/>
              <w:spacing w:before="0" w:beforeAutospacing="0" w:after="0" w:afterAutospacing="0"/>
              <w:ind w:left="0" w:right="0"/>
              <w:rPr>
                <w:rFonts w:hint="default" w:ascii="宋体" w:hAnsi="宋体" w:cs="Times New Roman"/>
                <w:color w:val="auto"/>
                <w:highlight w:val="none"/>
              </w:rPr>
            </w:pPr>
            <w:r>
              <w:rPr>
                <w:rFonts w:hint="eastAsia" w:ascii="宋体" w:hAnsi="宋体" w:cs="Times New Roman"/>
                <w:color w:val="auto"/>
                <w:highlight w:val="none"/>
              </w:rPr>
              <w:t>报价合计（包含税费等所有费用）：（大写）人民币</w:t>
            </w:r>
            <w:r>
              <w:rPr>
                <w:rFonts w:hint="default" w:ascii="宋体" w:hAnsi="宋体" w:cs="Times New Roman"/>
                <w:color w:val="auto"/>
                <w:highlight w:val="none"/>
              </w:rPr>
              <w:t xml:space="preserve">                                       </w:t>
            </w:r>
            <w:r>
              <w:rPr>
                <w:rFonts w:hint="eastAsia" w:ascii="宋体" w:hAnsi="宋体" w:cs="Times New Roman"/>
                <w:color w:val="auto"/>
                <w:highlight w:val="none"/>
              </w:rPr>
              <w:t>（￥</w:t>
            </w:r>
            <w:r>
              <w:rPr>
                <w:rFonts w:hint="default" w:ascii="宋体" w:hAnsi="宋体" w:cs="Times New Roman"/>
                <w:color w:val="auto"/>
                <w:highlight w:val="none"/>
              </w:rPr>
              <w:t xml:space="preserve">                </w:t>
            </w:r>
            <w:r>
              <w:rPr>
                <w:rFonts w:hint="eastAsia" w:ascii="宋体" w:hAnsi="宋体" w:cs="Times New Roman"/>
                <w:color w:val="auto"/>
                <w:highlight w:val="none"/>
              </w:rPr>
              <w:t>元）</w:t>
            </w:r>
          </w:p>
        </w:tc>
      </w:tr>
      <w:tr w14:paraId="59116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5"/>
            <w:tcBorders>
              <w:top w:val="single" w:color="auto" w:sz="4" w:space="0"/>
              <w:left w:val="single" w:color="auto" w:sz="4" w:space="0"/>
              <w:bottom w:val="single" w:color="auto" w:sz="4" w:space="0"/>
              <w:right w:val="single" w:color="auto" w:sz="4" w:space="0"/>
            </w:tcBorders>
            <w:noWrap w:val="0"/>
            <w:vAlign w:val="top"/>
          </w:tcPr>
          <w:p w14:paraId="4F21A6BC">
            <w:pPr>
              <w:keepNext w:val="0"/>
              <w:keepLines w:val="0"/>
              <w:suppressLineNumbers w:val="0"/>
              <w:spacing w:before="0" w:beforeAutospacing="0" w:after="0" w:afterAutospacing="0"/>
              <w:ind w:left="0" w:right="0"/>
              <w:rPr>
                <w:rFonts w:hint="default" w:ascii="宋体" w:hAnsi="宋体" w:cs="Times New Roman"/>
                <w:color w:val="auto"/>
                <w:highlight w:val="none"/>
              </w:rPr>
            </w:pPr>
            <w:r>
              <w:rPr>
                <w:rFonts w:hint="eastAsia" w:ascii="宋体" w:hAnsi="宋体" w:cs="Times New Roman"/>
                <w:color w:val="auto"/>
                <w:szCs w:val="21"/>
                <w:highlight w:val="none"/>
                <w:u w:val="single"/>
              </w:rPr>
              <w:t>　　</w:t>
            </w:r>
            <w:r>
              <w:rPr>
                <w:rFonts w:hint="eastAsia" w:ascii="宋体" w:hAnsi="宋体" w:cs="Times New Roman"/>
                <w:color w:val="auto"/>
                <w:szCs w:val="21"/>
                <w:highlight w:val="none"/>
              </w:rPr>
              <w:t>分标（此处有分标时填写具体分标号，无分标时填写</w:t>
            </w:r>
            <w:r>
              <w:rPr>
                <w:rFonts w:hint="default" w:ascii="宋体" w:hAnsi="宋体" w:cs="Times New Roman"/>
                <w:color w:val="auto"/>
                <w:szCs w:val="21"/>
                <w:highlight w:val="none"/>
              </w:rPr>
              <w:t>“</w:t>
            </w:r>
            <w:r>
              <w:rPr>
                <w:rFonts w:hint="eastAsia" w:ascii="宋体" w:hAnsi="宋体" w:cs="Times New Roman"/>
                <w:color w:val="auto"/>
                <w:szCs w:val="21"/>
                <w:highlight w:val="none"/>
              </w:rPr>
              <w:t>无</w:t>
            </w:r>
            <w:r>
              <w:rPr>
                <w:rFonts w:hint="default" w:ascii="宋体" w:hAnsi="宋体" w:cs="Times New Roman"/>
                <w:color w:val="auto"/>
                <w:szCs w:val="21"/>
                <w:highlight w:val="none"/>
              </w:rPr>
              <w:t>”</w:t>
            </w:r>
            <w:r>
              <w:rPr>
                <w:rFonts w:hint="eastAsia" w:ascii="宋体" w:hAnsi="宋体" w:cs="Times New Roman"/>
                <w:color w:val="auto"/>
                <w:szCs w:val="21"/>
                <w:highlight w:val="none"/>
              </w:rPr>
              <w:t>）</w:t>
            </w:r>
          </w:p>
        </w:tc>
      </w:tr>
      <w:tr w14:paraId="525B0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5"/>
            <w:tcBorders>
              <w:top w:val="single" w:color="auto" w:sz="4" w:space="0"/>
              <w:left w:val="single" w:color="auto" w:sz="4" w:space="0"/>
              <w:bottom w:val="single" w:color="auto" w:sz="4" w:space="0"/>
              <w:right w:val="single" w:color="auto" w:sz="4" w:space="0"/>
            </w:tcBorders>
            <w:noWrap w:val="0"/>
            <w:vAlign w:val="top"/>
          </w:tcPr>
          <w:p w14:paraId="510E0CB6">
            <w:pPr>
              <w:keepNext w:val="0"/>
              <w:keepLines w:val="0"/>
              <w:suppressLineNumbers w:val="0"/>
              <w:spacing w:before="0" w:beforeAutospacing="0" w:after="0" w:afterAutospacing="0"/>
              <w:ind w:left="0" w:right="0"/>
              <w:rPr>
                <w:rFonts w:hint="default" w:ascii="宋体" w:hAnsi="宋体" w:cs="Times New Roman"/>
                <w:color w:val="auto"/>
                <w:highlight w:val="none"/>
              </w:rPr>
            </w:pPr>
            <w:r>
              <w:rPr>
                <w:rFonts w:hint="eastAsia" w:ascii="宋体" w:hAnsi="宋体" w:cs="Times New Roman"/>
                <w:color w:val="auto"/>
                <w:highlight w:val="none"/>
              </w:rPr>
              <w:t>验收标准：</w:t>
            </w:r>
          </w:p>
        </w:tc>
      </w:tr>
      <w:tr w14:paraId="2A0BB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5"/>
            <w:tcBorders>
              <w:top w:val="single" w:color="auto" w:sz="4" w:space="0"/>
              <w:left w:val="single" w:color="auto" w:sz="4" w:space="0"/>
              <w:bottom w:val="single" w:color="auto" w:sz="4" w:space="0"/>
              <w:right w:val="single" w:color="auto" w:sz="4" w:space="0"/>
            </w:tcBorders>
            <w:noWrap w:val="0"/>
            <w:vAlign w:val="top"/>
          </w:tcPr>
          <w:p w14:paraId="1B0E5518">
            <w:pPr>
              <w:keepNext w:val="0"/>
              <w:keepLines w:val="0"/>
              <w:suppressLineNumbers w:val="0"/>
              <w:spacing w:before="0" w:beforeAutospacing="0" w:after="0" w:afterAutospacing="0"/>
              <w:ind w:left="0" w:right="0"/>
              <w:rPr>
                <w:rFonts w:hint="eastAsia" w:ascii="宋体" w:hAnsi="宋体" w:cs="Times New Roman"/>
                <w:color w:val="auto"/>
                <w:highlight w:val="none"/>
              </w:rPr>
            </w:pPr>
            <w:r>
              <w:rPr>
                <w:rFonts w:hint="eastAsia" w:ascii="宋体" w:hAnsi="宋体" w:cs="Times New Roman"/>
                <w:color w:val="auto"/>
                <w:highlight w:val="none"/>
              </w:rPr>
              <w:t>优惠及其它：</w:t>
            </w:r>
          </w:p>
        </w:tc>
      </w:tr>
    </w:tbl>
    <w:p w14:paraId="2932E8BC">
      <w:pPr>
        <w:snapToGrid w:val="0"/>
        <w:spacing w:before="50" w:after="50"/>
        <w:ind w:firstLine="480" w:firstLineChars="200"/>
        <w:jc w:val="left"/>
        <w:rPr>
          <w:rFonts w:hint="eastAsia"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 xml:space="preserve">注： </w:t>
      </w:r>
    </w:p>
    <w:p w14:paraId="6E44EB7B">
      <w:pPr>
        <w:snapToGrid w:val="0"/>
        <w:spacing w:before="50" w:after="50"/>
        <w:ind w:firstLine="480" w:firstLineChars="200"/>
        <w:jc w:val="left"/>
        <w:rPr>
          <w:rFonts w:hint="eastAsia"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1、 供应商需按本表格式填写，不得自行更改，也不得留空, 如有多分标，按分标分别提供响应报价表</w:t>
      </w:r>
      <w:r>
        <w:rPr>
          <w:rFonts w:hint="eastAsia" w:ascii="仿宋_GB2312" w:hAnsi="仿宋" w:eastAsia="仿宋_GB2312" w:cs="仿宋_GB2312"/>
          <w:b/>
          <w:color w:val="auto"/>
          <w:kern w:val="0"/>
          <w:sz w:val="24"/>
          <w:highlight w:val="none"/>
          <w:lang w:val="zh-CN"/>
        </w:rPr>
        <w:t>。</w:t>
      </w:r>
    </w:p>
    <w:p w14:paraId="74FBA994">
      <w:pPr>
        <w:snapToGrid w:val="0"/>
        <w:spacing w:before="50" w:after="50"/>
        <w:ind w:firstLine="480" w:firstLineChars="200"/>
        <w:jc w:val="left"/>
        <w:rPr>
          <w:rFonts w:hint="eastAsia" w:ascii="仿宋_GB2312" w:hAnsi="仿宋" w:eastAsia="仿宋_GB2312" w:cs="仿宋_GB2312"/>
          <w:b/>
          <w:color w:val="auto"/>
          <w:kern w:val="0"/>
          <w:sz w:val="24"/>
          <w:highlight w:val="none"/>
          <w:lang w:val="zh-CN"/>
        </w:rPr>
      </w:pPr>
      <w:r>
        <w:rPr>
          <w:rFonts w:hint="eastAsia" w:ascii="仿宋_GB2312" w:hAnsi="仿宋" w:eastAsia="仿宋_GB2312" w:cs="仿宋_GB2312"/>
          <w:color w:val="auto"/>
          <w:kern w:val="0"/>
          <w:sz w:val="24"/>
          <w:highlight w:val="none"/>
          <w:lang w:val="zh-CN"/>
        </w:rPr>
        <w:t>2、如为联合体响应的，“供应商名称”处必须列明联合体各方名称，并标注联合体牵头人名称，且盖章处须加盖联合体各方公章，</w:t>
      </w:r>
      <w:r>
        <w:rPr>
          <w:rFonts w:hint="eastAsia" w:ascii="仿宋_GB2312" w:hAnsi="仿宋" w:eastAsia="仿宋_GB2312" w:cs="仿宋_GB2312"/>
          <w:b/>
          <w:color w:val="auto"/>
          <w:kern w:val="0"/>
          <w:sz w:val="24"/>
          <w:highlight w:val="none"/>
          <w:lang w:val="zh-CN"/>
        </w:rPr>
        <w:t>否则其响应作无效响应处理。</w:t>
      </w:r>
    </w:p>
    <w:p w14:paraId="42574DB0">
      <w:pPr>
        <w:snapToGrid w:val="0"/>
        <w:spacing w:before="50" w:after="50"/>
        <w:ind w:firstLine="480" w:firstLineChars="200"/>
        <w:jc w:val="left"/>
        <w:rPr>
          <w:rFonts w:hint="eastAsia" w:ascii="仿宋_GB2312" w:hAnsi="仿宋" w:eastAsia="仿宋_GB2312" w:cs="仿宋_GB2312"/>
          <w:b/>
          <w:color w:val="auto"/>
          <w:kern w:val="0"/>
          <w:sz w:val="24"/>
          <w:highlight w:val="none"/>
          <w:lang w:val="zh-CN"/>
        </w:rPr>
      </w:pPr>
      <w:r>
        <w:rPr>
          <w:rFonts w:hint="eastAsia" w:ascii="仿宋_GB2312" w:hAnsi="仿宋" w:eastAsia="仿宋_GB2312" w:cs="仿宋_GB2312"/>
          <w:color w:val="auto"/>
          <w:kern w:val="0"/>
          <w:sz w:val="24"/>
          <w:highlight w:val="none"/>
          <w:lang w:val="zh-CN"/>
        </w:rPr>
        <w:t>3、以上表格要求细分项目及报价，在“具体服务内容”一栏中，填写具体服务，，</w:t>
      </w:r>
      <w:r>
        <w:rPr>
          <w:rFonts w:hint="eastAsia" w:ascii="仿宋_GB2312" w:hAnsi="仿宋" w:eastAsia="仿宋_GB2312" w:cs="仿宋_GB2312"/>
          <w:b/>
          <w:color w:val="auto"/>
          <w:kern w:val="0"/>
          <w:sz w:val="24"/>
          <w:highlight w:val="none"/>
          <w:lang w:val="zh-CN"/>
        </w:rPr>
        <w:t>否则其响应作无效响应处理。</w:t>
      </w:r>
    </w:p>
    <w:p w14:paraId="555C2030">
      <w:pPr>
        <w:snapToGrid w:val="0"/>
        <w:ind w:firstLine="480" w:firstLineChars="200"/>
        <w:jc w:val="left"/>
        <w:rPr>
          <w:rFonts w:hint="eastAsia"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4、特别提示：采购机构将对项目名称和项目编号，成交供应商名称、地址和成交金额，主要成交标的的名称、规格型号、数量、单价、服务要求等予以公示。</w:t>
      </w:r>
    </w:p>
    <w:p w14:paraId="758F2BAB">
      <w:pPr>
        <w:snapToGrid w:val="0"/>
        <w:ind w:firstLine="480" w:firstLineChars="200"/>
        <w:jc w:val="left"/>
        <w:rPr>
          <w:rFonts w:hint="eastAsia"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5、符合采购文件中列明的可享受中小企业扶持政策的供应商，请填写中小企业声明函。注：供应商</w:t>
      </w:r>
      <w:r>
        <w:rPr>
          <w:rFonts w:ascii="仿宋_GB2312" w:hAnsi="仿宋" w:eastAsia="仿宋_GB2312" w:cs="仿宋_GB2312"/>
          <w:color w:val="auto"/>
          <w:kern w:val="0"/>
          <w:sz w:val="24"/>
          <w:highlight w:val="none"/>
          <w:lang w:val="zh-CN"/>
        </w:rPr>
        <w:t>提供</w:t>
      </w:r>
      <w:r>
        <w:rPr>
          <w:rFonts w:hint="eastAsia" w:ascii="仿宋_GB2312" w:hAnsi="仿宋" w:eastAsia="仿宋_GB2312" w:cs="仿宋_GB2312"/>
          <w:color w:val="auto"/>
          <w:kern w:val="0"/>
          <w:sz w:val="24"/>
          <w:highlight w:val="none"/>
          <w:lang w:val="zh-CN"/>
        </w:rPr>
        <w:t>的中小企业</w:t>
      </w:r>
      <w:r>
        <w:rPr>
          <w:rFonts w:ascii="仿宋_GB2312" w:hAnsi="仿宋" w:eastAsia="仿宋_GB2312" w:cs="仿宋_GB2312"/>
          <w:color w:val="auto"/>
          <w:kern w:val="0"/>
          <w:sz w:val="24"/>
          <w:highlight w:val="none"/>
          <w:lang w:val="zh-CN"/>
        </w:rPr>
        <w:t>声明函内容不实的，属于提供虚假材料谋取中标、成交，依照《中华人民共和国政府采购法》等国家有关规定追究相应责任。</w:t>
      </w:r>
    </w:p>
    <w:p w14:paraId="5C8E3FF2">
      <w:pPr>
        <w:autoSpaceDE w:val="0"/>
        <w:autoSpaceDN w:val="0"/>
        <w:spacing w:line="360" w:lineRule="auto"/>
        <w:ind w:left="4335" w:leftChars="1950" w:hanging="240" w:hangingChars="1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14:paraId="250F9DBC">
      <w:pPr>
        <w:pStyle w:val="18"/>
        <w:spacing w:line="500" w:lineRule="exact"/>
        <w:ind w:firstLine="6360" w:firstLineChars="2650"/>
        <w:rPr>
          <w:rFonts w:ascii="仿宋_GB2312" w:hAnsi="仿宋" w:eastAsia="仿宋_GB2312" w:cs="仿宋_GB2312"/>
          <w:color w:val="auto"/>
          <w:sz w:val="24"/>
          <w:highlight w:val="none"/>
          <w:lang w:val="zh-CN"/>
        </w:rPr>
        <w:sectPr>
          <w:pgSz w:w="11910" w:h="16840"/>
          <w:pgMar w:top="1340" w:right="1500" w:bottom="280" w:left="1680" w:header="720" w:footer="720" w:gutter="0"/>
          <w:pgBorders>
            <w:top w:val="none" w:sz="0" w:space="0"/>
            <w:left w:val="none" w:sz="0" w:space="0"/>
            <w:bottom w:val="none" w:sz="0" w:space="0"/>
            <w:right w:val="none" w:sz="0" w:space="0"/>
          </w:pgBorders>
          <w:pgNumType w:fmt="decimal"/>
          <w:cols w:space="720" w:num="1"/>
        </w:sectPr>
      </w:pPr>
      <w:r>
        <w:rPr>
          <w:rFonts w:hint="eastAsia" w:ascii="仿宋_GB2312" w:hAnsi="仿宋" w:eastAsia="仿宋_GB2312" w:cs="仿宋_GB2312"/>
          <w:color w:val="auto"/>
          <w:sz w:val="24"/>
          <w:highlight w:val="none"/>
          <w:lang w:val="zh-CN"/>
        </w:rPr>
        <w:t>日期：  年  月   日</w:t>
      </w:r>
    </w:p>
    <w:p w14:paraId="3D3900DC">
      <w:pPr>
        <w:pStyle w:val="18"/>
        <w:spacing w:line="500" w:lineRule="exact"/>
        <w:ind w:firstLine="602" w:firstLineChars="200"/>
        <w:rPr>
          <w:rFonts w:hint="eastAsia" w:ascii="仿宋" w:hAnsi="仿宋" w:eastAsia="仿宋" w:cs="仿宋_GB2312"/>
          <w:b/>
          <w:color w:val="auto"/>
          <w:kern w:val="2"/>
          <w:sz w:val="30"/>
          <w:szCs w:val="30"/>
          <w:highlight w:val="none"/>
          <w:lang w:val="en-US" w:eastAsia="zh-CN"/>
        </w:rPr>
      </w:pPr>
      <w:r>
        <w:rPr>
          <w:rFonts w:hint="eastAsia" w:ascii="仿宋" w:hAnsi="仿宋" w:eastAsia="仿宋" w:cs="仿宋_GB2312"/>
          <w:b/>
          <w:color w:val="auto"/>
          <w:kern w:val="2"/>
          <w:sz w:val="30"/>
          <w:szCs w:val="30"/>
          <w:highlight w:val="none"/>
          <w:lang w:val="en-US" w:eastAsia="zh-CN"/>
        </w:rPr>
        <w:t>三、中小企业声明函（如有请提供）</w:t>
      </w:r>
    </w:p>
    <w:p w14:paraId="4111FC3C">
      <w:pPr>
        <w:spacing w:line="300" w:lineRule="auto"/>
        <w:ind w:firstLine="2200" w:firstLineChars="500"/>
        <w:rPr>
          <w:rFonts w:hint="eastAsia" w:ascii="方正小标宋简体" w:hAnsi="方正小标宋简体" w:eastAsia="方正小标宋简体" w:cs="方正小标宋简体"/>
          <w:color w:val="auto"/>
          <w:sz w:val="44"/>
          <w:szCs w:val="44"/>
          <w:highlight w:val="none"/>
        </w:rPr>
      </w:pPr>
      <w:r>
        <w:rPr>
          <w:rFonts w:ascii="方正小标宋简体" w:hAnsi="方正小标宋简体" w:eastAsia="方正小标宋简体" w:cs="方正小标宋简体"/>
          <w:color w:val="auto"/>
          <w:sz w:val="44"/>
          <w:szCs w:val="44"/>
          <w:highlight w:val="none"/>
        </w:rPr>
        <w:t>中小企业声明函（</w:t>
      </w:r>
      <w:r>
        <w:rPr>
          <w:rFonts w:hint="eastAsia" w:ascii="方正小标宋简体" w:hAnsi="方正小标宋简体" w:eastAsia="方正小标宋简体" w:cs="方正小标宋简体"/>
          <w:color w:val="auto"/>
          <w:sz w:val="44"/>
          <w:szCs w:val="44"/>
          <w:highlight w:val="none"/>
        </w:rPr>
        <w:t>服务</w:t>
      </w:r>
      <w:r>
        <w:rPr>
          <w:rFonts w:ascii="方正小标宋简体" w:hAnsi="方正小标宋简体" w:eastAsia="方正小标宋简体" w:cs="方正小标宋简体"/>
          <w:color w:val="auto"/>
          <w:sz w:val="44"/>
          <w:szCs w:val="44"/>
          <w:highlight w:val="none"/>
        </w:rPr>
        <w:t>）</w:t>
      </w:r>
    </w:p>
    <w:p w14:paraId="421AF56F">
      <w:pPr>
        <w:pStyle w:val="14"/>
        <w:spacing w:after="0" w:line="360" w:lineRule="auto"/>
        <w:ind w:left="-426" w:right="142" w:firstLine="640"/>
        <w:contextualSpacing/>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本公司（联合体）郑重声明，根据《政府采购促进中小企业发展管理办法》（财库</w:t>
      </w:r>
      <w:r>
        <w:rPr>
          <w:rFonts w:hint="eastAsia" w:ascii="仿宋_GB2312" w:hAnsi="宋体"/>
          <w:color w:val="auto"/>
          <w:sz w:val="24"/>
          <w:highlight w:val="none"/>
        </w:rPr>
        <w:t>﹝</w:t>
      </w:r>
      <w:r>
        <w:rPr>
          <w:rFonts w:hint="eastAsia" w:ascii="仿宋_GB2312" w:hAnsi="宋体" w:eastAsia="仿宋_GB2312"/>
          <w:color w:val="auto"/>
          <w:sz w:val="24"/>
          <w:highlight w:val="none"/>
        </w:rPr>
        <w:t>2020</w:t>
      </w:r>
      <w:r>
        <w:rPr>
          <w:rFonts w:hint="eastAsia" w:ascii="仿宋_GB2312" w:hAnsi="宋体"/>
          <w:color w:val="auto"/>
          <w:sz w:val="24"/>
          <w:highlight w:val="none"/>
        </w:rPr>
        <w:t>﹞</w:t>
      </w:r>
      <w:r>
        <w:rPr>
          <w:rFonts w:hint="eastAsia" w:ascii="仿宋_GB2312" w:hAnsi="宋体" w:eastAsia="仿宋_GB2312"/>
          <w:color w:val="auto"/>
          <w:sz w:val="24"/>
          <w:highlight w:val="none"/>
        </w:rPr>
        <w:t>46号）的规定，本公司（联合体）参加</w:t>
      </w:r>
      <w:r>
        <w:rPr>
          <w:rFonts w:hint="eastAsia" w:ascii="仿宋_GB2312" w:hAnsi="宋体" w:eastAsia="仿宋_GB2312"/>
          <w:color w:val="auto"/>
          <w:sz w:val="24"/>
          <w:highlight w:val="none"/>
          <w:u w:val="single"/>
          <w:lang w:eastAsia="zh-CN"/>
        </w:rPr>
        <w:t>隆安县数据局</w:t>
      </w:r>
      <w:r>
        <w:rPr>
          <w:rFonts w:hint="eastAsia" w:ascii="仿宋_GB2312" w:hAnsi="宋体" w:eastAsia="仿宋_GB2312"/>
          <w:color w:val="auto"/>
          <w:sz w:val="24"/>
          <w:highlight w:val="none"/>
        </w:rPr>
        <w:t>的</w:t>
      </w:r>
      <w:r>
        <w:rPr>
          <w:rFonts w:hint="eastAsia" w:ascii="仿宋_GB2312" w:hAnsi="宋体" w:eastAsia="仿宋_GB2312"/>
          <w:color w:val="auto"/>
          <w:sz w:val="24"/>
          <w:highlight w:val="none"/>
          <w:u w:val="single"/>
          <w:lang w:eastAsia="zh-CN"/>
        </w:rPr>
        <w:t>隆安县电子政务外网一期线路租用及设备升级服务项目</w:t>
      </w:r>
      <w:r>
        <w:rPr>
          <w:rFonts w:hint="eastAsia" w:ascii="仿宋_GB2312" w:hAnsi="宋体" w:eastAsia="仿宋_GB2312"/>
          <w:color w:val="auto"/>
          <w:sz w:val="24"/>
          <w:highlight w:val="none"/>
        </w:rPr>
        <w:t>采购活动，提供的服务全部由符合政策要求的中小企业制造。相关企业（含联合体中的中小企业、签订分包意向协议的中小企业）的具体情况如下：</w:t>
      </w:r>
    </w:p>
    <w:p w14:paraId="25A2A99D">
      <w:pPr>
        <w:tabs>
          <w:tab w:val="left" w:pos="1384"/>
          <w:tab w:val="left" w:pos="4562"/>
          <w:tab w:val="left" w:pos="6803"/>
        </w:tabs>
        <w:spacing w:line="360" w:lineRule="auto"/>
        <w:ind w:left="-426" w:right="-58" w:firstLine="655"/>
        <w:contextualSpacing/>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1.</w:t>
      </w:r>
      <w:r>
        <w:rPr>
          <w:rFonts w:hint="eastAsia" w:ascii="仿宋_GB2312" w:hAnsi="宋体" w:eastAsia="仿宋_GB2312"/>
          <w:color w:val="auto"/>
          <w:sz w:val="24"/>
          <w:highlight w:val="none"/>
          <w:u w:val="single"/>
        </w:rPr>
        <w:t>（标的名称）</w:t>
      </w:r>
      <w:r>
        <w:rPr>
          <w:rFonts w:hint="eastAsia" w:ascii="仿宋_GB2312" w:hAnsi="宋体" w:eastAsia="仿宋_GB2312"/>
          <w:color w:val="auto"/>
          <w:sz w:val="24"/>
          <w:highlight w:val="none"/>
        </w:rPr>
        <w:t>，属于</w:t>
      </w:r>
      <w:r>
        <w:rPr>
          <w:rFonts w:hint="eastAsia" w:ascii="仿宋_GB2312" w:hAnsi="宋体" w:eastAsia="仿宋_GB2312"/>
          <w:color w:val="auto"/>
          <w:sz w:val="24"/>
          <w:highlight w:val="none"/>
          <w:u w:val="single"/>
        </w:rPr>
        <w:t>（采购文件中明确的所属行业）</w:t>
      </w:r>
      <w:r>
        <w:rPr>
          <w:rFonts w:hint="eastAsia" w:ascii="仿宋_GB2312" w:hAnsi="宋体" w:eastAsia="仿宋_GB2312"/>
          <w:color w:val="auto"/>
          <w:sz w:val="24"/>
          <w:highlight w:val="none"/>
        </w:rPr>
        <w:t>行业；制造商为</w:t>
      </w:r>
      <w:r>
        <w:rPr>
          <w:rFonts w:hint="eastAsia" w:ascii="仿宋_GB2312" w:hAnsi="宋体" w:eastAsia="仿宋_GB2312"/>
          <w:color w:val="auto"/>
          <w:sz w:val="24"/>
          <w:highlight w:val="none"/>
          <w:u w:val="single"/>
        </w:rPr>
        <w:t>（企业名称）</w:t>
      </w:r>
      <w:r>
        <w:rPr>
          <w:rFonts w:hint="eastAsia" w:ascii="仿宋_GB2312" w:hAnsi="宋体" w:eastAsia="仿宋_GB2312"/>
          <w:color w:val="auto"/>
          <w:sz w:val="24"/>
          <w:highlight w:val="none"/>
        </w:rPr>
        <w:t>，从业人员</w:t>
      </w:r>
      <w:r>
        <w:rPr>
          <w:rFonts w:hint="eastAsia" w:ascii="仿宋_GB2312" w:hAnsi="宋体" w:eastAsia="仿宋_GB2312"/>
          <w:color w:val="auto"/>
          <w:sz w:val="24"/>
          <w:highlight w:val="none"/>
          <w:u w:val="single"/>
        </w:rPr>
        <w:t xml:space="preserve">      </w:t>
      </w:r>
      <w:r>
        <w:rPr>
          <w:rFonts w:hint="eastAsia" w:ascii="仿宋_GB2312" w:hAnsi="宋体" w:eastAsia="仿宋_GB2312"/>
          <w:color w:val="auto"/>
          <w:sz w:val="24"/>
          <w:highlight w:val="none"/>
        </w:rPr>
        <w:t>人，营业收入为</w:t>
      </w:r>
      <w:r>
        <w:rPr>
          <w:rFonts w:hint="eastAsia" w:ascii="仿宋_GB2312" w:hAnsi="宋体" w:eastAsia="仿宋_GB2312"/>
          <w:color w:val="auto"/>
          <w:sz w:val="24"/>
          <w:highlight w:val="none"/>
          <w:u w:val="single"/>
        </w:rPr>
        <w:t xml:space="preserve">      </w:t>
      </w:r>
      <w:r>
        <w:rPr>
          <w:rFonts w:hint="eastAsia" w:ascii="仿宋_GB2312" w:hAnsi="宋体" w:eastAsia="仿宋_GB2312"/>
          <w:color w:val="auto"/>
          <w:sz w:val="24"/>
          <w:highlight w:val="none"/>
        </w:rPr>
        <w:t>万元，资产总额为</w:t>
      </w:r>
      <w:r>
        <w:rPr>
          <w:rFonts w:hint="eastAsia" w:ascii="仿宋_GB2312" w:hAnsi="宋体" w:eastAsia="仿宋_GB2312"/>
          <w:color w:val="auto"/>
          <w:sz w:val="24"/>
          <w:highlight w:val="none"/>
          <w:u w:val="single"/>
        </w:rPr>
        <w:t xml:space="preserve">      </w:t>
      </w:r>
      <w:r>
        <w:rPr>
          <w:rFonts w:hint="eastAsia" w:ascii="仿宋_GB2312" w:hAnsi="宋体" w:eastAsia="仿宋_GB2312"/>
          <w:color w:val="auto"/>
          <w:sz w:val="24"/>
          <w:highlight w:val="none"/>
        </w:rPr>
        <w:t>万元，属于</w:t>
      </w:r>
      <w:r>
        <w:rPr>
          <w:rFonts w:hint="eastAsia" w:ascii="仿宋_GB2312" w:hAnsi="宋体" w:eastAsia="仿宋_GB2312"/>
          <w:color w:val="auto"/>
          <w:sz w:val="24"/>
          <w:highlight w:val="none"/>
          <w:u w:val="single"/>
        </w:rPr>
        <w:t>（中型企业、小型企业、微型企业）</w:t>
      </w:r>
      <w:r>
        <w:rPr>
          <w:rFonts w:hint="eastAsia" w:ascii="仿宋_GB2312" w:hAnsi="宋体" w:eastAsia="仿宋_GB2312"/>
          <w:color w:val="auto"/>
          <w:sz w:val="24"/>
          <w:highlight w:val="none"/>
        </w:rPr>
        <w:t>；</w:t>
      </w:r>
    </w:p>
    <w:p w14:paraId="7A57D4C4">
      <w:pPr>
        <w:tabs>
          <w:tab w:val="left" w:pos="1065"/>
          <w:tab w:val="left" w:pos="6477"/>
        </w:tabs>
        <w:spacing w:line="360" w:lineRule="auto"/>
        <w:ind w:left="-426" w:right="-58" w:firstLine="655"/>
        <w:contextualSpacing/>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2.</w:t>
      </w:r>
      <w:r>
        <w:rPr>
          <w:rFonts w:hint="eastAsia" w:ascii="仿宋_GB2312" w:hAnsi="宋体" w:eastAsia="仿宋_GB2312"/>
          <w:color w:val="auto"/>
          <w:sz w:val="24"/>
          <w:highlight w:val="none"/>
          <w:u w:val="single"/>
        </w:rPr>
        <w:t>（标的名称）</w:t>
      </w:r>
      <w:r>
        <w:rPr>
          <w:rFonts w:hint="eastAsia" w:ascii="仿宋_GB2312" w:hAnsi="宋体" w:eastAsia="仿宋_GB2312"/>
          <w:color w:val="auto"/>
          <w:sz w:val="24"/>
          <w:highlight w:val="none"/>
        </w:rPr>
        <w:t>，属于</w:t>
      </w:r>
      <w:r>
        <w:rPr>
          <w:rFonts w:hint="eastAsia" w:ascii="仿宋_GB2312" w:hAnsi="宋体" w:eastAsia="仿宋_GB2312"/>
          <w:color w:val="auto"/>
          <w:sz w:val="24"/>
          <w:highlight w:val="none"/>
          <w:u w:val="single"/>
        </w:rPr>
        <w:t>（采购文件中明确的所属行业）</w:t>
      </w:r>
      <w:r>
        <w:rPr>
          <w:rFonts w:hint="eastAsia" w:ascii="仿宋_GB2312" w:hAnsi="宋体" w:eastAsia="仿宋_GB2312"/>
          <w:color w:val="auto"/>
          <w:sz w:val="24"/>
          <w:highlight w:val="none"/>
        </w:rPr>
        <w:t>行业；制造商为</w:t>
      </w:r>
      <w:r>
        <w:rPr>
          <w:rFonts w:hint="eastAsia" w:ascii="仿宋_GB2312" w:hAnsi="宋体" w:eastAsia="仿宋_GB2312"/>
          <w:color w:val="auto"/>
          <w:sz w:val="24"/>
          <w:highlight w:val="none"/>
          <w:u w:val="single"/>
        </w:rPr>
        <w:t>（企业名称）</w:t>
      </w:r>
      <w:r>
        <w:rPr>
          <w:rFonts w:hint="eastAsia" w:ascii="仿宋_GB2312" w:hAnsi="宋体" w:eastAsia="仿宋_GB2312"/>
          <w:color w:val="auto"/>
          <w:sz w:val="24"/>
          <w:highlight w:val="none"/>
        </w:rPr>
        <w:t>，从业人员</w:t>
      </w:r>
      <w:r>
        <w:rPr>
          <w:rFonts w:hint="eastAsia" w:ascii="仿宋_GB2312" w:hAnsi="宋体" w:eastAsia="仿宋_GB2312"/>
          <w:color w:val="auto"/>
          <w:sz w:val="24"/>
          <w:highlight w:val="none"/>
          <w:u w:val="single"/>
        </w:rPr>
        <w:t xml:space="preserve">      </w:t>
      </w:r>
      <w:r>
        <w:rPr>
          <w:rFonts w:hint="eastAsia" w:ascii="仿宋_GB2312" w:hAnsi="宋体" w:eastAsia="仿宋_GB2312"/>
          <w:color w:val="auto"/>
          <w:sz w:val="24"/>
          <w:highlight w:val="none"/>
        </w:rPr>
        <w:t>人，营业收入为</w:t>
      </w:r>
      <w:r>
        <w:rPr>
          <w:rFonts w:hint="eastAsia" w:ascii="仿宋_GB2312" w:hAnsi="宋体" w:eastAsia="仿宋_GB2312"/>
          <w:color w:val="auto"/>
          <w:sz w:val="24"/>
          <w:highlight w:val="none"/>
          <w:u w:val="single"/>
        </w:rPr>
        <w:t xml:space="preserve">      </w:t>
      </w:r>
      <w:r>
        <w:rPr>
          <w:rFonts w:hint="eastAsia" w:ascii="仿宋_GB2312" w:hAnsi="宋体" w:eastAsia="仿宋_GB2312"/>
          <w:color w:val="auto"/>
          <w:sz w:val="24"/>
          <w:highlight w:val="none"/>
        </w:rPr>
        <w:t>万元，资产总额为</w:t>
      </w:r>
      <w:r>
        <w:rPr>
          <w:rFonts w:hint="eastAsia" w:ascii="仿宋_GB2312" w:hAnsi="宋体" w:eastAsia="仿宋_GB2312"/>
          <w:color w:val="auto"/>
          <w:sz w:val="24"/>
          <w:highlight w:val="none"/>
          <w:u w:val="single"/>
        </w:rPr>
        <w:t xml:space="preserve">      </w:t>
      </w:r>
      <w:r>
        <w:rPr>
          <w:rFonts w:hint="eastAsia" w:ascii="仿宋_GB2312" w:hAnsi="宋体" w:eastAsia="仿宋_GB2312"/>
          <w:color w:val="auto"/>
          <w:sz w:val="24"/>
          <w:highlight w:val="none"/>
        </w:rPr>
        <w:t>万元，属于</w:t>
      </w:r>
      <w:r>
        <w:rPr>
          <w:rFonts w:hint="eastAsia" w:ascii="仿宋_GB2312" w:hAnsi="宋体" w:eastAsia="仿宋_GB2312"/>
          <w:color w:val="auto"/>
          <w:sz w:val="24"/>
          <w:highlight w:val="none"/>
          <w:u w:val="single"/>
        </w:rPr>
        <w:t>（中型企业、小型企业、微型企业）</w:t>
      </w:r>
      <w:r>
        <w:rPr>
          <w:rFonts w:hint="eastAsia" w:ascii="仿宋_GB2312" w:hAnsi="宋体" w:eastAsia="仿宋_GB2312"/>
          <w:color w:val="auto"/>
          <w:sz w:val="24"/>
          <w:highlight w:val="none"/>
        </w:rPr>
        <w:t>；</w:t>
      </w:r>
    </w:p>
    <w:p w14:paraId="6AFAE802">
      <w:pPr>
        <w:pStyle w:val="14"/>
        <w:spacing w:after="0" w:line="360" w:lineRule="auto"/>
        <w:ind w:left="142" w:right="142"/>
        <w:contextualSpacing/>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 xml:space="preserve">…… </w:t>
      </w:r>
    </w:p>
    <w:p w14:paraId="638E6471">
      <w:pPr>
        <w:pStyle w:val="14"/>
        <w:spacing w:after="0" w:line="360" w:lineRule="auto"/>
        <w:ind w:left="-405" w:leftChars="-193" w:right="142" w:firstLine="453" w:firstLineChars="189"/>
        <w:contextualSpacing/>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以上企业，不属于大企业的分支机构，不存在控股股东为大企业的情形，也不存在与大企业的负责人为同一人的情形。</w:t>
      </w:r>
    </w:p>
    <w:p w14:paraId="7C6A6E7B">
      <w:pPr>
        <w:pStyle w:val="14"/>
        <w:spacing w:after="0" w:line="360" w:lineRule="auto"/>
        <w:ind w:left="-426" w:right="142" w:firstLine="567"/>
        <w:contextualSpacing/>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本企业对上述声明内容的真实性负责。如有虚假，将依法承担相应责任。</w:t>
      </w:r>
    </w:p>
    <w:p w14:paraId="713B1145">
      <w:pPr>
        <w:pStyle w:val="14"/>
        <w:spacing w:after="0" w:line="360" w:lineRule="auto"/>
        <w:ind w:left="3960" w:right="1808"/>
        <w:contextualSpacing/>
        <w:rPr>
          <w:rFonts w:hint="eastAsia" w:ascii="宋体" w:hAnsi="宋体"/>
          <w:color w:val="auto"/>
          <w:sz w:val="24"/>
          <w:highlight w:val="none"/>
        </w:rPr>
      </w:pPr>
    </w:p>
    <w:p w14:paraId="41E375ED">
      <w:pPr>
        <w:autoSpaceDE w:val="0"/>
        <w:autoSpaceDN w:val="0"/>
        <w:spacing w:line="360" w:lineRule="auto"/>
        <w:ind w:left="4335" w:leftChars="1950" w:hanging="240" w:hangingChars="1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14:paraId="0A9A1AB4">
      <w:pPr>
        <w:autoSpaceDE w:val="0"/>
        <w:autoSpaceDN w:val="0"/>
        <w:spacing w:line="360" w:lineRule="auto"/>
        <w:ind w:firstLine="6480" w:firstLineChars="2700"/>
        <w:rPr>
          <w:rFonts w:hint="eastAsia"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日期：  年  月   日</w:t>
      </w:r>
    </w:p>
    <w:p w14:paraId="6B223117">
      <w:pPr>
        <w:pStyle w:val="14"/>
        <w:spacing w:after="0" w:line="360" w:lineRule="auto"/>
        <w:ind w:left="3960" w:right="1808"/>
        <w:contextualSpacing/>
        <w:rPr>
          <w:color w:val="auto"/>
          <w:highlight w:val="none"/>
        </w:rPr>
      </w:pPr>
    </w:p>
    <w:p w14:paraId="7B91528C">
      <w:pPr>
        <w:spacing w:line="360" w:lineRule="auto"/>
        <w:contextualSpacing/>
        <w:jc w:val="left"/>
        <w:rPr>
          <w:rFonts w:hint="eastAsia" w:ascii="仿宋_GB2312" w:hAnsi="仿宋" w:eastAsia="仿宋_GB2312" w:cs="仿宋_GB2312"/>
          <w:color w:val="auto"/>
          <w:kern w:val="0"/>
          <w:sz w:val="24"/>
          <w:highlight w:val="none"/>
        </w:rPr>
      </w:pPr>
      <w:r>
        <w:rPr>
          <w:rFonts w:hint="eastAsia" w:ascii="宋体" w:hAnsi="宋体" w:cs="仿宋_GB2312"/>
          <w:color w:val="auto"/>
          <w:sz w:val="24"/>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68C03AE0">
      <w:pPr>
        <w:snapToGrid w:val="0"/>
        <w:spacing w:before="120" w:beforeLines="50" w:after="50" w:line="360" w:lineRule="auto"/>
        <w:outlineLvl w:val="1"/>
        <w:rPr>
          <w:rFonts w:ascii="宋体" w:hAnsi="宋体"/>
          <w:b/>
          <w:bCs/>
          <w:color w:val="auto"/>
          <w:sz w:val="32"/>
          <w:szCs w:val="32"/>
          <w:highlight w:val="none"/>
        </w:rPr>
        <w:sectPr>
          <w:pgSz w:w="11910" w:h="16840"/>
          <w:pgMar w:top="1340" w:right="1500" w:bottom="280" w:left="1680" w:header="720" w:footer="720" w:gutter="0"/>
          <w:pgBorders>
            <w:top w:val="none" w:sz="0" w:space="0"/>
            <w:left w:val="none" w:sz="0" w:space="0"/>
            <w:bottom w:val="none" w:sz="0" w:space="0"/>
            <w:right w:val="none" w:sz="0" w:space="0"/>
          </w:pgBorders>
          <w:pgNumType w:fmt="decimal"/>
          <w:cols w:space="720" w:num="1"/>
        </w:sectPr>
      </w:pPr>
      <w:bookmarkStart w:id="91" w:name="_Toc35611438"/>
      <w:bookmarkStart w:id="92" w:name="_Toc35611516"/>
      <w:bookmarkStart w:id="93" w:name="_Toc44229899"/>
      <w:bookmarkStart w:id="94" w:name="_Toc31728084"/>
      <w:bookmarkStart w:id="95" w:name="_Toc31723070"/>
    </w:p>
    <w:bookmarkEnd w:id="91"/>
    <w:bookmarkEnd w:id="92"/>
    <w:bookmarkEnd w:id="93"/>
    <w:bookmarkEnd w:id="94"/>
    <w:bookmarkEnd w:id="95"/>
    <w:p w14:paraId="26A9B059">
      <w:pPr>
        <w:spacing w:line="520" w:lineRule="exact"/>
        <w:rPr>
          <w:rFonts w:ascii="宋体" w:hAnsi="宋体" w:cs="仿宋_GB2312"/>
          <w:color w:val="auto"/>
          <w:sz w:val="24"/>
          <w:highlight w:val="none"/>
        </w:rPr>
      </w:pPr>
    </w:p>
    <w:p w14:paraId="6140288D">
      <w:pPr>
        <w:spacing w:line="520" w:lineRule="exact"/>
        <w:jc w:val="center"/>
        <w:rPr>
          <w:rFonts w:hint="eastAsia" w:ascii="仿宋_GB2312" w:hAnsi="仿宋_GB2312" w:eastAsia="仿宋_GB2312" w:cs="仿宋_GB2312"/>
          <w:color w:val="auto"/>
          <w:sz w:val="32"/>
          <w:szCs w:val="32"/>
          <w:highlight w:val="none"/>
        </w:rPr>
      </w:pPr>
      <w:r>
        <w:rPr>
          <w:rFonts w:hint="eastAsia" w:ascii="方正小标宋简体" w:hAnsi="方正小标宋简体" w:eastAsia="方正小标宋简体" w:cs="方正小标宋简体"/>
          <w:color w:val="auto"/>
          <w:sz w:val="44"/>
          <w:szCs w:val="44"/>
          <w:highlight w:val="none"/>
        </w:rPr>
        <w:t>残疾人福利性单位声明函</w:t>
      </w:r>
    </w:p>
    <w:p w14:paraId="5D3E38EA">
      <w:pPr>
        <w:spacing w:line="520" w:lineRule="exact"/>
        <w:rPr>
          <w:rFonts w:hint="eastAsia" w:ascii="仿宋_GB2312" w:hAnsi="仿宋_GB2312" w:eastAsia="仿宋_GB2312" w:cs="仿宋_GB2312"/>
          <w:color w:val="auto"/>
          <w:sz w:val="32"/>
          <w:szCs w:val="32"/>
          <w:highlight w:val="none"/>
        </w:rPr>
      </w:pPr>
    </w:p>
    <w:p w14:paraId="3010EECF">
      <w:pPr>
        <w:spacing w:line="360" w:lineRule="auto"/>
        <w:ind w:firstLine="480" w:firstLineChars="200"/>
        <w:contextualSpacing/>
        <w:rPr>
          <w:rFonts w:hint="eastAsia" w:ascii="仿宋_GB2312" w:hAnsi="宋体" w:eastAsia="仿宋_GB2312" w:cs="仿宋_GB2312"/>
          <w:color w:val="auto"/>
          <w:sz w:val="24"/>
          <w:highlight w:val="none"/>
        </w:rPr>
      </w:pPr>
      <w:r>
        <w:rPr>
          <w:rFonts w:hint="eastAsia" w:ascii="仿宋_GB2312" w:hAnsi="宋体" w:eastAsia="仿宋_GB2312" w:cs="仿宋_GB2312"/>
          <w:color w:val="auto"/>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仿宋_GB2312" w:hAnsi="宋体" w:eastAsia="仿宋_GB2312" w:cs="仿宋_GB2312"/>
          <w:color w:val="auto"/>
          <w:sz w:val="24"/>
          <w:highlight w:val="none"/>
          <w:u w:val="single"/>
        </w:rPr>
        <w:t xml:space="preserve"> </w:t>
      </w:r>
      <w:r>
        <w:rPr>
          <w:rFonts w:hint="eastAsia" w:ascii="仿宋_GB2312" w:hAnsi="宋体" w:eastAsia="仿宋_GB2312" w:cs="仿宋_GB2312"/>
          <w:color w:val="auto"/>
          <w:sz w:val="24"/>
          <w:highlight w:val="none"/>
          <w:u w:val="single"/>
          <w:lang w:eastAsia="zh-CN"/>
        </w:rPr>
        <w:t>隆安县数据局</w:t>
      </w:r>
      <w:r>
        <w:rPr>
          <w:rFonts w:hint="eastAsia" w:ascii="仿宋_GB2312" w:hAnsi="宋体" w:eastAsia="仿宋_GB2312" w:cs="仿宋_GB2312"/>
          <w:color w:val="auto"/>
          <w:sz w:val="24"/>
          <w:highlight w:val="none"/>
          <w:u w:val="single"/>
        </w:rPr>
        <w:t xml:space="preserve"> </w:t>
      </w:r>
      <w:r>
        <w:rPr>
          <w:rFonts w:hint="eastAsia" w:ascii="仿宋_GB2312" w:hAnsi="宋体" w:eastAsia="仿宋_GB2312" w:cs="仿宋_GB2312"/>
          <w:color w:val="auto"/>
          <w:sz w:val="24"/>
          <w:highlight w:val="none"/>
        </w:rPr>
        <w:t>单位的</w:t>
      </w:r>
      <w:r>
        <w:rPr>
          <w:rFonts w:hint="eastAsia" w:ascii="仿宋_GB2312" w:hAnsi="宋体" w:eastAsia="仿宋_GB2312" w:cs="仿宋_GB2312"/>
          <w:color w:val="auto"/>
          <w:sz w:val="24"/>
          <w:highlight w:val="none"/>
          <w:u w:val="single"/>
        </w:rPr>
        <w:t xml:space="preserve"> </w:t>
      </w:r>
      <w:r>
        <w:rPr>
          <w:rFonts w:hint="eastAsia" w:ascii="仿宋_GB2312" w:hAnsi="宋体" w:eastAsia="仿宋_GB2312" w:cs="仿宋_GB2312"/>
          <w:color w:val="auto"/>
          <w:sz w:val="24"/>
          <w:highlight w:val="none"/>
          <w:u w:val="single"/>
          <w:lang w:eastAsia="zh-CN"/>
        </w:rPr>
        <w:t>隆安县电子政务外网一期线路租用及设备升级服务项目</w:t>
      </w:r>
      <w:r>
        <w:rPr>
          <w:rFonts w:hint="eastAsia" w:ascii="仿宋_GB2312" w:hAnsi="宋体" w:eastAsia="仿宋_GB2312" w:cs="仿宋_GB2312"/>
          <w:color w:val="auto"/>
          <w:sz w:val="24"/>
          <w:highlight w:val="none"/>
        </w:rPr>
        <w:t>项目采购活动由本单位提供服务。</w:t>
      </w:r>
    </w:p>
    <w:p w14:paraId="6CCA0D9C">
      <w:pPr>
        <w:spacing w:line="360" w:lineRule="auto"/>
        <w:ind w:firstLine="480" w:firstLineChars="200"/>
        <w:contextualSpacing/>
        <w:rPr>
          <w:rFonts w:hint="eastAsia" w:ascii="仿宋_GB2312" w:hAnsi="宋体" w:eastAsia="仿宋_GB2312" w:cs="仿宋_GB2312"/>
          <w:color w:val="auto"/>
          <w:sz w:val="24"/>
          <w:highlight w:val="none"/>
        </w:rPr>
      </w:pPr>
      <w:r>
        <w:rPr>
          <w:rFonts w:hint="eastAsia" w:ascii="仿宋_GB2312" w:hAnsi="宋体" w:eastAsia="仿宋_GB2312" w:cs="仿宋_GB2312"/>
          <w:color w:val="auto"/>
          <w:sz w:val="24"/>
          <w:highlight w:val="none"/>
        </w:rPr>
        <w:t>本单位对上述声明的真实性负责。如有虚假，将依法承担相应责任。</w:t>
      </w:r>
    </w:p>
    <w:p w14:paraId="19766D11">
      <w:pPr>
        <w:spacing w:line="360" w:lineRule="auto"/>
        <w:contextualSpacing/>
        <w:rPr>
          <w:rFonts w:hint="eastAsia" w:ascii="宋体" w:hAnsi="宋体" w:cs="仿宋_GB2312"/>
          <w:color w:val="auto"/>
          <w:sz w:val="24"/>
          <w:highlight w:val="none"/>
        </w:rPr>
      </w:pPr>
    </w:p>
    <w:p w14:paraId="1FF634E2">
      <w:pPr>
        <w:spacing w:line="360" w:lineRule="auto"/>
        <w:contextualSpacing/>
        <w:rPr>
          <w:rFonts w:hint="eastAsia" w:ascii="宋体" w:hAnsi="宋体" w:cs="仿宋_GB2312"/>
          <w:color w:val="auto"/>
          <w:sz w:val="24"/>
          <w:highlight w:val="none"/>
        </w:rPr>
      </w:pPr>
    </w:p>
    <w:p w14:paraId="5EB2AD59">
      <w:pPr>
        <w:spacing w:line="360" w:lineRule="auto"/>
        <w:contextualSpacing/>
        <w:rPr>
          <w:rFonts w:hint="eastAsia" w:ascii="宋体" w:hAnsi="宋体" w:cs="仿宋_GB2312"/>
          <w:color w:val="auto"/>
          <w:sz w:val="24"/>
          <w:highlight w:val="none"/>
        </w:rPr>
      </w:pPr>
    </w:p>
    <w:p w14:paraId="271B7DE3">
      <w:pPr>
        <w:spacing w:line="360" w:lineRule="auto"/>
        <w:ind w:firstLine="2400" w:firstLineChars="1000"/>
        <w:contextualSpacing/>
        <w:rPr>
          <w:rFonts w:hint="eastAsia" w:ascii="宋体" w:hAnsi="宋体" w:cs="仿宋_GB2312"/>
          <w:color w:val="auto"/>
          <w:sz w:val="24"/>
          <w:highlight w:val="none"/>
        </w:rPr>
      </w:pPr>
      <w:r>
        <w:rPr>
          <w:rFonts w:hint="eastAsia" w:ascii="宋体" w:hAnsi="宋体" w:cs="仿宋_GB2312"/>
          <w:color w:val="auto"/>
          <w:sz w:val="24"/>
          <w:highlight w:val="none"/>
        </w:rPr>
        <w:t>供应商名称（电子签章）：</w:t>
      </w:r>
    </w:p>
    <w:p w14:paraId="46D73C49">
      <w:pPr>
        <w:spacing w:line="360" w:lineRule="auto"/>
        <w:ind w:firstLine="4320" w:firstLineChars="1800"/>
        <w:contextualSpacing/>
        <w:rPr>
          <w:rFonts w:hint="eastAsia" w:ascii="宋体" w:hAnsi="宋体" w:cs="仿宋_GB2312"/>
          <w:color w:val="auto"/>
          <w:sz w:val="24"/>
          <w:highlight w:val="none"/>
        </w:rPr>
      </w:pPr>
      <w:r>
        <w:rPr>
          <w:rFonts w:hint="eastAsia" w:ascii="宋体" w:hAnsi="宋体" w:cs="仿宋_GB2312"/>
          <w:color w:val="auto"/>
          <w:sz w:val="24"/>
          <w:highlight w:val="none"/>
        </w:rPr>
        <w:t>日  期：     年   月   日</w:t>
      </w:r>
    </w:p>
    <w:p w14:paraId="08435F32">
      <w:pPr>
        <w:spacing w:line="360" w:lineRule="auto"/>
        <w:contextualSpacing/>
        <w:rPr>
          <w:rFonts w:hint="eastAsia" w:ascii="宋体" w:hAnsi="宋体" w:cs="仿宋_GB2312"/>
          <w:color w:val="auto"/>
          <w:sz w:val="24"/>
          <w:highlight w:val="none"/>
        </w:rPr>
      </w:pPr>
    </w:p>
    <w:p w14:paraId="1061BBF7">
      <w:pPr>
        <w:spacing w:line="360" w:lineRule="auto"/>
        <w:contextualSpacing/>
        <w:rPr>
          <w:rFonts w:hint="eastAsia" w:ascii="宋体" w:hAnsi="宋体" w:cs="仿宋_GB2312"/>
          <w:color w:val="auto"/>
          <w:sz w:val="24"/>
          <w:highlight w:val="none"/>
        </w:rPr>
      </w:pPr>
    </w:p>
    <w:p w14:paraId="0045BBC9">
      <w:pPr>
        <w:spacing w:line="360" w:lineRule="auto"/>
        <w:contextualSpacing/>
        <w:rPr>
          <w:rFonts w:hint="eastAsia" w:ascii="宋体" w:hAnsi="宋体" w:cs="仿宋_GB2312"/>
          <w:color w:val="auto"/>
          <w:sz w:val="24"/>
          <w:highlight w:val="none"/>
        </w:rPr>
      </w:pPr>
    </w:p>
    <w:p w14:paraId="7512731C">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注：请根据自己的真实情况出具《残疾人福利性单位声明函》。依法享受中小企业优惠政策的，采购人或者采购代理机构在公告中标结果时，同时公告其《残疾人福利性单位声明函》，接受社会监督。</w:t>
      </w:r>
    </w:p>
    <w:p w14:paraId="0EE34F09">
      <w:pPr>
        <w:spacing w:line="520" w:lineRule="exact"/>
        <w:jc w:val="center"/>
        <w:rPr>
          <w:rFonts w:ascii="宋体" w:hAnsi="宋体"/>
          <w:color w:val="auto"/>
          <w:sz w:val="24"/>
          <w:highlight w:val="none"/>
        </w:rPr>
      </w:pPr>
    </w:p>
    <w:p w14:paraId="2165A517">
      <w:pPr>
        <w:spacing w:line="520" w:lineRule="exact"/>
        <w:jc w:val="center"/>
        <w:rPr>
          <w:rFonts w:ascii="宋体" w:hAnsi="宋体"/>
          <w:color w:val="auto"/>
          <w:sz w:val="24"/>
          <w:highlight w:val="none"/>
        </w:rPr>
      </w:pPr>
    </w:p>
    <w:p w14:paraId="0CEA0595">
      <w:pPr>
        <w:numPr>
          <w:ilvl w:val="0"/>
          <w:numId w:val="5"/>
        </w:numPr>
        <w:spacing w:line="520" w:lineRule="exact"/>
        <w:ind w:left="0" w:leftChars="0" w:firstLine="0" w:firstLineChars="0"/>
        <w:jc w:val="center"/>
        <w:rPr>
          <w:rFonts w:hint="eastAsia" w:ascii="宋体" w:hAnsi="宋体" w:eastAsia="宋体" w:cs="Times New Roman"/>
          <w:b w:val="0"/>
          <w:bCs/>
          <w:color w:val="auto"/>
          <w:sz w:val="24"/>
          <w:highlight w:val="none"/>
        </w:rPr>
      </w:pPr>
      <w:r>
        <w:rPr>
          <w:rFonts w:hint="eastAsia" w:ascii="宋体" w:hAnsi="宋体" w:cs="宋体"/>
          <w:color w:val="auto"/>
          <w:sz w:val="24"/>
          <w:highlight w:val="none"/>
        </w:rPr>
        <w:t>根据《关于政府采购支持监狱企业发展有关问题的通知》（财库[2014]68号）的规定，供应商提供由省级以上监狱管理局、戒毒管理局（含新疆生产建设兵团）出具的属于监狱企业证明文件的，视同为小型和微型企业。</w:t>
      </w:r>
      <w:r>
        <w:rPr>
          <w:rFonts w:hint="eastAsia" w:ascii="宋体" w:hAnsi="宋体" w:eastAsia="宋体" w:cs="Times New Roman"/>
          <w:b w:val="0"/>
          <w:bCs/>
          <w:color w:val="auto"/>
          <w:sz w:val="24"/>
          <w:highlight w:val="none"/>
        </w:rPr>
        <w:t>(非监狱企业无需提供)</w:t>
      </w:r>
    </w:p>
    <w:p w14:paraId="1134EF61">
      <w:pPr>
        <w:spacing w:line="520" w:lineRule="exact"/>
        <w:jc w:val="center"/>
        <w:rPr>
          <w:rFonts w:ascii="宋体" w:hAnsi="宋体"/>
          <w:color w:val="auto"/>
          <w:sz w:val="24"/>
          <w:highlight w:val="none"/>
        </w:rPr>
      </w:pPr>
    </w:p>
    <w:p w14:paraId="4AA3C9AC">
      <w:pPr>
        <w:spacing w:line="520" w:lineRule="exact"/>
        <w:jc w:val="center"/>
        <w:rPr>
          <w:rFonts w:ascii="宋体" w:hAnsi="宋体"/>
          <w:color w:val="auto"/>
          <w:sz w:val="24"/>
          <w:highlight w:val="none"/>
        </w:rPr>
      </w:pPr>
    </w:p>
    <w:p w14:paraId="19C4DBDA">
      <w:pPr>
        <w:spacing w:line="520" w:lineRule="exact"/>
        <w:jc w:val="center"/>
        <w:rPr>
          <w:rFonts w:ascii="宋体" w:hAnsi="宋体"/>
          <w:color w:val="auto"/>
          <w:sz w:val="24"/>
          <w:highlight w:val="none"/>
        </w:rPr>
      </w:pPr>
    </w:p>
    <w:p w14:paraId="22C99905">
      <w:pPr>
        <w:spacing w:line="520" w:lineRule="exact"/>
        <w:jc w:val="center"/>
        <w:rPr>
          <w:rFonts w:ascii="宋体" w:hAnsi="宋体"/>
          <w:color w:val="auto"/>
          <w:sz w:val="24"/>
          <w:highlight w:val="none"/>
        </w:rPr>
      </w:pPr>
    </w:p>
    <w:p w14:paraId="3F7EA146">
      <w:pPr>
        <w:spacing w:line="520" w:lineRule="exact"/>
        <w:jc w:val="center"/>
        <w:rPr>
          <w:rFonts w:ascii="宋体" w:hAnsi="宋体"/>
          <w:color w:val="auto"/>
          <w:sz w:val="24"/>
          <w:highlight w:val="none"/>
        </w:rPr>
      </w:pPr>
    </w:p>
    <w:p w14:paraId="70733779">
      <w:pPr>
        <w:spacing w:line="520" w:lineRule="exact"/>
        <w:jc w:val="center"/>
        <w:rPr>
          <w:rFonts w:ascii="宋体" w:hAnsi="宋体"/>
          <w:color w:val="auto"/>
          <w:sz w:val="24"/>
          <w:highlight w:val="none"/>
        </w:rPr>
      </w:pPr>
    </w:p>
    <w:p w14:paraId="199F6CF8">
      <w:pPr>
        <w:spacing w:line="520" w:lineRule="exact"/>
        <w:jc w:val="center"/>
        <w:rPr>
          <w:rFonts w:ascii="宋体" w:hAnsi="宋体"/>
          <w:color w:val="auto"/>
          <w:sz w:val="24"/>
          <w:highlight w:val="none"/>
        </w:rPr>
      </w:pPr>
    </w:p>
    <w:p w14:paraId="4D3686C3">
      <w:pPr>
        <w:spacing w:line="520" w:lineRule="exact"/>
        <w:jc w:val="center"/>
        <w:rPr>
          <w:rFonts w:hint="eastAsia" w:ascii="方正小标宋简体" w:hAnsi="方正小标宋简体" w:eastAsia="方正小标宋简体" w:cs="方正小标宋简体"/>
          <w:color w:val="auto"/>
          <w:sz w:val="44"/>
          <w:szCs w:val="44"/>
          <w:highlight w:val="none"/>
        </w:rPr>
      </w:pPr>
    </w:p>
    <w:p w14:paraId="467B98E1">
      <w:pPr>
        <w:spacing w:line="520" w:lineRule="exact"/>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关于符合本国产品标准的声明函</w:t>
      </w:r>
    </w:p>
    <w:p w14:paraId="79004E75">
      <w:pPr>
        <w:pStyle w:val="2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14:paraId="7C2F8037">
      <w:pPr>
        <w:pStyle w:val="2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仿宋_GB2312" w:hAnsi="仿宋_GB2312" w:eastAsia="仿宋_GB2312" w:cs="仿宋_GB2312"/>
          <w:i w:val="0"/>
          <w:iCs w:val="0"/>
          <w:caps w:val="0"/>
          <w:color w:val="333333"/>
          <w:spacing w:val="0"/>
          <w:sz w:val="24"/>
          <w:szCs w:val="24"/>
        </w:rPr>
      </w:pPr>
      <w:r>
        <w:rPr>
          <w:rFonts w:hint="eastAsia" w:ascii="仿宋_GB2312" w:hAnsi="仿宋_GB2312" w:eastAsia="仿宋_GB2312" w:cs="仿宋_GB2312"/>
          <w:i w:val="0"/>
          <w:iCs w:val="0"/>
          <w:caps w:val="0"/>
          <w:color w:val="333333"/>
          <w:spacing w:val="0"/>
          <w:sz w:val="24"/>
          <w:szCs w:val="24"/>
          <w:shd w:val="clear" w:fill="FFFFFF"/>
        </w:rPr>
        <w:t>本公司（单位）郑重声明，根据《国务院办公厅关于在政府采购中实施本国产品标准及相关政策的通知》（国办发〔2025〕34号）的规定，本公司（单位）提供的以下产品属于本国产品。具体情况如下：</w:t>
      </w:r>
    </w:p>
    <w:p w14:paraId="174BACE2">
      <w:pPr>
        <w:pStyle w:val="2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仿宋_GB2312" w:hAnsi="仿宋_GB2312" w:eastAsia="仿宋_GB2312" w:cs="仿宋_GB2312"/>
          <w:i w:val="0"/>
          <w:iCs w:val="0"/>
          <w:caps w:val="0"/>
          <w:color w:val="333333"/>
          <w:spacing w:val="0"/>
          <w:sz w:val="24"/>
          <w:szCs w:val="24"/>
        </w:rPr>
      </w:pPr>
      <w:r>
        <w:rPr>
          <w:rFonts w:hint="eastAsia" w:ascii="仿宋_GB2312" w:hAnsi="仿宋_GB2312" w:eastAsia="仿宋_GB2312" w:cs="仿宋_GB2312"/>
          <w:i w:val="0"/>
          <w:iCs w:val="0"/>
          <w:caps w:val="0"/>
          <w:color w:val="333333"/>
          <w:spacing w:val="0"/>
          <w:sz w:val="24"/>
          <w:szCs w:val="24"/>
          <w:shd w:val="clear" w:fill="FFFFFF"/>
        </w:rPr>
        <w:t>1.</w:t>
      </w:r>
      <w:r>
        <w:rPr>
          <w:rStyle w:val="36"/>
          <w:rFonts w:hint="eastAsia" w:ascii="仿宋_GB2312" w:hAnsi="仿宋_GB2312" w:eastAsia="仿宋_GB2312" w:cs="仿宋_GB2312"/>
          <w:i w:val="0"/>
          <w:iCs w:val="0"/>
          <w:caps w:val="0"/>
          <w:color w:val="333333"/>
          <w:spacing w:val="0"/>
          <w:sz w:val="24"/>
          <w:szCs w:val="24"/>
          <w:u w:val="single"/>
          <w:shd w:val="clear" w:fill="FFFFFF"/>
        </w:rPr>
        <w:t>（产品名称1）</w:t>
      </w:r>
      <w:r>
        <w:rPr>
          <w:rStyle w:val="36"/>
          <w:rFonts w:hint="eastAsia" w:ascii="仿宋_GB2312" w:hAnsi="仿宋_GB2312" w:eastAsia="仿宋_GB2312" w:cs="仿宋_GB2312"/>
          <w:i w:val="0"/>
          <w:iCs w:val="0"/>
          <w:caps w:val="0"/>
          <w:color w:val="333333"/>
          <w:spacing w:val="0"/>
          <w:sz w:val="24"/>
          <w:szCs w:val="24"/>
          <w:u w:val="none"/>
          <w:shd w:val="clear" w:fill="FFFFFF"/>
          <w:vertAlign w:val="superscript"/>
        </w:rPr>
        <w:t>1</w:t>
      </w:r>
      <w:r>
        <w:rPr>
          <w:rFonts w:hint="eastAsia" w:ascii="仿宋_GB2312" w:hAnsi="仿宋_GB2312" w:eastAsia="仿宋_GB2312" w:cs="仿宋_GB2312"/>
          <w:i w:val="0"/>
          <w:iCs w:val="0"/>
          <w:caps w:val="0"/>
          <w:color w:val="333333"/>
          <w:spacing w:val="0"/>
          <w:sz w:val="24"/>
          <w:szCs w:val="24"/>
          <w:shd w:val="clear" w:fill="FFFFFF"/>
        </w:rPr>
        <w:t>，生产厂为</w:t>
      </w:r>
      <w:r>
        <w:rPr>
          <w:rStyle w:val="36"/>
          <w:rFonts w:hint="eastAsia" w:ascii="仿宋_GB2312" w:hAnsi="仿宋_GB2312" w:eastAsia="仿宋_GB2312" w:cs="仿宋_GB2312"/>
          <w:i w:val="0"/>
          <w:iCs w:val="0"/>
          <w:caps w:val="0"/>
          <w:color w:val="333333"/>
          <w:spacing w:val="0"/>
          <w:sz w:val="24"/>
          <w:szCs w:val="24"/>
          <w:u w:val="single"/>
          <w:shd w:val="clear" w:fill="FFFFFF"/>
        </w:rPr>
        <w:t>（厂名）</w:t>
      </w:r>
      <w:r>
        <w:rPr>
          <w:rStyle w:val="36"/>
          <w:rFonts w:hint="eastAsia" w:ascii="仿宋_GB2312" w:hAnsi="仿宋_GB2312" w:eastAsia="仿宋_GB2312" w:cs="仿宋_GB2312"/>
          <w:i w:val="0"/>
          <w:iCs w:val="0"/>
          <w:caps w:val="0"/>
          <w:color w:val="333333"/>
          <w:spacing w:val="0"/>
          <w:sz w:val="24"/>
          <w:szCs w:val="24"/>
          <w:u w:val="none"/>
          <w:shd w:val="clear" w:fill="FFFFFF"/>
          <w:vertAlign w:val="superscript"/>
        </w:rPr>
        <w:t>2</w:t>
      </w:r>
      <w:r>
        <w:rPr>
          <w:rFonts w:hint="eastAsia" w:ascii="仿宋_GB2312" w:hAnsi="仿宋_GB2312" w:eastAsia="仿宋_GB2312" w:cs="仿宋_GB2312"/>
          <w:i w:val="0"/>
          <w:iCs w:val="0"/>
          <w:caps w:val="0"/>
          <w:color w:val="333333"/>
          <w:spacing w:val="0"/>
          <w:sz w:val="24"/>
          <w:szCs w:val="24"/>
          <w:shd w:val="clear" w:fill="FFFFFF"/>
        </w:rPr>
        <w:t>，厂址为</w:t>
      </w:r>
      <w:r>
        <w:rPr>
          <w:rStyle w:val="36"/>
          <w:rFonts w:hint="eastAsia" w:ascii="仿宋_GB2312" w:hAnsi="仿宋_GB2312" w:eastAsia="仿宋_GB2312" w:cs="仿宋_GB2312"/>
          <w:i w:val="0"/>
          <w:iCs w:val="0"/>
          <w:caps w:val="0"/>
          <w:color w:val="333333"/>
          <w:spacing w:val="0"/>
          <w:sz w:val="24"/>
          <w:szCs w:val="24"/>
          <w:u w:val="single"/>
          <w:shd w:val="clear" w:fill="FFFFFF"/>
        </w:rPr>
        <w:t>（生产厂址）</w:t>
      </w:r>
      <w:r>
        <w:rPr>
          <w:rFonts w:hint="eastAsia" w:ascii="仿宋_GB2312" w:hAnsi="仿宋_GB2312" w:eastAsia="仿宋_GB2312" w:cs="仿宋_GB2312"/>
          <w:i w:val="0"/>
          <w:iCs w:val="0"/>
          <w:caps w:val="0"/>
          <w:color w:val="333333"/>
          <w:spacing w:val="0"/>
          <w:sz w:val="24"/>
          <w:szCs w:val="24"/>
          <w:shd w:val="clear" w:fill="FFFFFF"/>
        </w:rPr>
        <w:t>。</w:t>
      </w:r>
      <w:r>
        <w:rPr>
          <w:rStyle w:val="36"/>
          <w:rFonts w:hint="eastAsia" w:ascii="仿宋_GB2312" w:hAnsi="仿宋_GB2312" w:eastAsia="仿宋_GB2312" w:cs="仿宋_GB2312"/>
          <w:i w:val="0"/>
          <w:iCs w:val="0"/>
          <w:caps w:val="0"/>
          <w:color w:val="333333"/>
          <w:spacing w:val="0"/>
          <w:sz w:val="24"/>
          <w:szCs w:val="24"/>
          <w:u w:val="single"/>
          <w:shd w:val="clear" w:fill="FFFFFF"/>
        </w:rPr>
        <w:t>（产品名称1）</w:t>
      </w:r>
      <w:r>
        <w:rPr>
          <w:rFonts w:hint="eastAsia" w:ascii="仿宋_GB2312" w:hAnsi="仿宋_GB2312" w:eastAsia="仿宋_GB2312" w:cs="仿宋_GB2312"/>
          <w:i w:val="0"/>
          <w:iCs w:val="0"/>
          <w:caps w:val="0"/>
          <w:color w:val="333333"/>
          <w:spacing w:val="0"/>
          <w:sz w:val="24"/>
          <w:szCs w:val="24"/>
          <w:shd w:val="clear" w:fill="FFFFFF"/>
        </w:rPr>
        <w:t>的中国境内生产的组件成本占比≥</w:t>
      </w:r>
      <w:r>
        <w:rPr>
          <w:rStyle w:val="36"/>
          <w:rFonts w:hint="eastAsia" w:ascii="仿宋_GB2312" w:hAnsi="仿宋_GB2312" w:eastAsia="仿宋_GB2312" w:cs="仿宋_GB2312"/>
          <w:i w:val="0"/>
          <w:iCs w:val="0"/>
          <w:caps w:val="0"/>
          <w:color w:val="333333"/>
          <w:spacing w:val="0"/>
          <w:sz w:val="24"/>
          <w:szCs w:val="24"/>
          <w:u w:val="single"/>
          <w:shd w:val="clear" w:fill="FFFFFF"/>
        </w:rPr>
        <w:t>（规定比例）</w:t>
      </w:r>
      <w:r>
        <w:rPr>
          <w:rStyle w:val="36"/>
          <w:rFonts w:hint="eastAsia" w:ascii="仿宋_GB2312" w:hAnsi="仿宋_GB2312" w:eastAsia="仿宋_GB2312" w:cs="仿宋_GB2312"/>
          <w:i w:val="0"/>
          <w:iCs w:val="0"/>
          <w:caps w:val="0"/>
          <w:color w:val="333333"/>
          <w:spacing w:val="0"/>
          <w:sz w:val="24"/>
          <w:szCs w:val="24"/>
          <w:u w:val="none"/>
          <w:shd w:val="clear" w:fill="FFFFFF"/>
          <w:vertAlign w:val="superscript"/>
        </w:rPr>
        <w:t>3</w:t>
      </w:r>
      <w:r>
        <w:rPr>
          <w:rFonts w:hint="eastAsia" w:ascii="仿宋_GB2312" w:hAnsi="仿宋_GB2312" w:eastAsia="仿宋_GB2312" w:cs="仿宋_GB2312"/>
          <w:i w:val="0"/>
          <w:iCs w:val="0"/>
          <w:caps w:val="0"/>
          <w:color w:val="333333"/>
          <w:spacing w:val="0"/>
          <w:sz w:val="24"/>
          <w:szCs w:val="24"/>
          <w:shd w:val="clear" w:fill="FFFFFF"/>
        </w:rPr>
        <w:t>。</w:t>
      </w:r>
      <w:r>
        <w:rPr>
          <w:rStyle w:val="36"/>
          <w:rFonts w:hint="eastAsia" w:ascii="仿宋_GB2312" w:hAnsi="仿宋_GB2312" w:eastAsia="仿宋_GB2312" w:cs="仿宋_GB2312"/>
          <w:i w:val="0"/>
          <w:iCs w:val="0"/>
          <w:caps w:val="0"/>
          <w:color w:val="333333"/>
          <w:spacing w:val="0"/>
          <w:sz w:val="24"/>
          <w:szCs w:val="24"/>
          <w:u w:val="single"/>
          <w:shd w:val="clear" w:fill="FFFFFF"/>
        </w:rPr>
        <w:t>（产品名称1）</w:t>
      </w:r>
      <w:r>
        <w:rPr>
          <w:rFonts w:hint="eastAsia" w:ascii="仿宋_GB2312" w:hAnsi="仿宋_GB2312" w:eastAsia="仿宋_GB2312" w:cs="仿宋_GB2312"/>
          <w:i w:val="0"/>
          <w:iCs w:val="0"/>
          <w:caps w:val="0"/>
          <w:color w:val="333333"/>
          <w:spacing w:val="0"/>
          <w:sz w:val="24"/>
          <w:szCs w:val="24"/>
          <w:shd w:val="clear" w:fill="FFFFFF"/>
        </w:rPr>
        <w:t>的</w:t>
      </w:r>
      <w:r>
        <w:rPr>
          <w:rStyle w:val="36"/>
          <w:rFonts w:hint="eastAsia" w:ascii="仿宋_GB2312" w:hAnsi="仿宋_GB2312" w:eastAsia="仿宋_GB2312" w:cs="仿宋_GB2312"/>
          <w:i w:val="0"/>
          <w:iCs w:val="0"/>
          <w:caps w:val="0"/>
          <w:color w:val="333333"/>
          <w:spacing w:val="0"/>
          <w:sz w:val="24"/>
          <w:szCs w:val="24"/>
          <w:u w:val="single"/>
          <w:shd w:val="clear" w:fill="FFFFFF"/>
        </w:rPr>
        <w:t>（关键组件）</w:t>
      </w:r>
      <w:r>
        <w:rPr>
          <w:rStyle w:val="36"/>
          <w:rFonts w:hint="eastAsia" w:ascii="仿宋_GB2312" w:hAnsi="仿宋_GB2312" w:eastAsia="仿宋_GB2312" w:cs="仿宋_GB2312"/>
          <w:i w:val="0"/>
          <w:iCs w:val="0"/>
          <w:caps w:val="0"/>
          <w:color w:val="333333"/>
          <w:spacing w:val="0"/>
          <w:sz w:val="24"/>
          <w:szCs w:val="24"/>
          <w:u w:val="none"/>
          <w:shd w:val="clear" w:fill="FFFFFF"/>
          <w:vertAlign w:val="superscript"/>
        </w:rPr>
        <w:t>4</w:t>
      </w:r>
      <w:r>
        <w:rPr>
          <w:rFonts w:hint="eastAsia" w:ascii="仿宋_GB2312" w:hAnsi="仿宋_GB2312" w:eastAsia="仿宋_GB2312" w:cs="仿宋_GB2312"/>
          <w:i w:val="0"/>
          <w:iCs w:val="0"/>
          <w:caps w:val="0"/>
          <w:color w:val="333333"/>
          <w:spacing w:val="0"/>
          <w:sz w:val="24"/>
          <w:szCs w:val="24"/>
          <w:shd w:val="clear" w:fill="FFFFFF"/>
        </w:rPr>
        <w:t>在中国境内生产。</w:t>
      </w:r>
      <w:r>
        <w:rPr>
          <w:rStyle w:val="36"/>
          <w:rFonts w:hint="eastAsia" w:ascii="仿宋_GB2312" w:hAnsi="仿宋_GB2312" w:eastAsia="仿宋_GB2312" w:cs="仿宋_GB2312"/>
          <w:i w:val="0"/>
          <w:iCs w:val="0"/>
          <w:caps w:val="0"/>
          <w:color w:val="333333"/>
          <w:spacing w:val="0"/>
          <w:sz w:val="24"/>
          <w:szCs w:val="24"/>
          <w:u w:val="single"/>
          <w:shd w:val="clear" w:fill="FFFFFF"/>
        </w:rPr>
        <w:t>（产品名称1）</w:t>
      </w:r>
      <w:r>
        <w:rPr>
          <w:rFonts w:hint="eastAsia" w:ascii="仿宋_GB2312" w:hAnsi="仿宋_GB2312" w:eastAsia="仿宋_GB2312" w:cs="仿宋_GB2312"/>
          <w:i w:val="0"/>
          <w:iCs w:val="0"/>
          <w:caps w:val="0"/>
          <w:color w:val="333333"/>
          <w:spacing w:val="0"/>
          <w:sz w:val="24"/>
          <w:szCs w:val="24"/>
          <w:shd w:val="clear" w:fill="FFFFFF"/>
        </w:rPr>
        <w:t>的</w:t>
      </w:r>
      <w:r>
        <w:rPr>
          <w:rStyle w:val="36"/>
          <w:rFonts w:hint="eastAsia" w:ascii="仿宋_GB2312" w:hAnsi="仿宋_GB2312" w:eastAsia="仿宋_GB2312" w:cs="仿宋_GB2312"/>
          <w:i w:val="0"/>
          <w:iCs w:val="0"/>
          <w:caps w:val="0"/>
          <w:color w:val="333333"/>
          <w:spacing w:val="0"/>
          <w:sz w:val="24"/>
          <w:szCs w:val="24"/>
          <w:u w:val="single"/>
          <w:shd w:val="clear" w:fill="FFFFFF"/>
        </w:rPr>
        <w:t>（关键工序）</w:t>
      </w:r>
      <w:r>
        <w:rPr>
          <w:rStyle w:val="36"/>
          <w:rFonts w:hint="eastAsia" w:ascii="仿宋_GB2312" w:hAnsi="仿宋_GB2312" w:eastAsia="仿宋_GB2312" w:cs="仿宋_GB2312"/>
          <w:i w:val="0"/>
          <w:iCs w:val="0"/>
          <w:caps w:val="0"/>
          <w:color w:val="333333"/>
          <w:spacing w:val="0"/>
          <w:sz w:val="24"/>
          <w:szCs w:val="24"/>
          <w:u w:val="none"/>
          <w:shd w:val="clear" w:fill="FFFFFF"/>
          <w:vertAlign w:val="superscript"/>
        </w:rPr>
        <w:t>5</w:t>
      </w:r>
      <w:r>
        <w:rPr>
          <w:rFonts w:hint="eastAsia" w:ascii="仿宋_GB2312" w:hAnsi="仿宋_GB2312" w:eastAsia="仿宋_GB2312" w:cs="仿宋_GB2312"/>
          <w:i w:val="0"/>
          <w:iCs w:val="0"/>
          <w:caps w:val="0"/>
          <w:color w:val="333333"/>
          <w:spacing w:val="0"/>
          <w:sz w:val="24"/>
          <w:szCs w:val="24"/>
          <w:shd w:val="clear" w:fill="FFFFFF"/>
        </w:rPr>
        <w:t>在中国境内完成。</w:t>
      </w:r>
    </w:p>
    <w:p w14:paraId="732C30C0">
      <w:pPr>
        <w:pStyle w:val="2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仿宋_GB2312" w:hAnsi="仿宋_GB2312" w:eastAsia="仿宋_GB2312" w:cs="仿宋_GB2312"/>
          <w:i w:val="0"/>
          <w:iCs w:val="0"/>
          <w:caps w:val="0"/>
          <w:color w:val="333333"/>
          <w:spacing w:val="0"/>
          <w:sz w:val="24"/>
          <w:szCs w:val="24"/>
        </w:rPr>
      </w:pPr>
      <w:r>
        <w:rPr>
          <w:rFonts w:hint="eastAsia" w:ascii="仿宋_GB2312" w:hAnsi="仿宋_GB2312" w:eastAsia="仿宋_GB2312" w:cs="仿宋_GB2312"/>
          <w:i w:val="0"/>
          <w:iCs w:val="0"/>
          <w:caps w:val="0"/>
          <w:color w:val="333333"/>
          <w:spacing w:val="0"/>
          <w:sz w:val="24"/>
          <w:szCs w:val="24"/>
          <w:shd w:val="clear" w:fill="FFFFFF"/>
        </w:rPr>
        <w:t>2.</w:t>
      </w:r>
      <w:r>
        <w:rPr>
          <w:rStyle w:val="36"/>
          <w:rFonts w:hint="eastAsia" w:ascii="仿宋_GB2312" w:hAnsi="仿宋_GB2312" w:eastAsia="仿宋_GB2312" w:cs="仿宋_GB2312"/>
          <w:i w:val="0"/>
          <w:iCs w:val="0"/>
          <w:caps w:val="0"/>
          <w:color w:val="333333"/>
          <w:spacing w:val="0"/>
          <w:sz w:val="24"/>
          <w:szCs w:val="24"/>
          <w:u w:val="single"/>
          <w:shd w:val="clear" w:fill="FFFFFF"/>
        </w:rPr>
        <w:t>（产品名称2）</w:t>
      </w:r>
      <w:r>
        <w:rPr>
          <w:rFonts w:hint="eastAsia" w:ascii="仿宋_GB2312" w:hAnsi="仿宋_GB2312" w:eastAsia="仿宋_GB2312" w:cs="仿宋_GB2312"/>
          <w:i w:val="0"/>
          <w:iCs w:val="0"/>
          <w:caps w:val="0"/>
          <w:color w:val="333333"/>
          <w:spacing w:val="0"/>
          <w:sz w:val="24"/>
          <w:szCs w:val="24"/>
          <w:shd w:val="clear" w:fill="FFFFFF"/>
        </w:rPr>
        <w:t>，生产厂为</w:t>
      </w:r>
      <w:r>
        <w:rPr>
          <w:rStyle w:val="36"/>
          <w:rFonts w:hint="eastAsia" w:ascii="仿宋_GB2312" w:hAnsi="仿宋_GB2312" w:eastAsia="仿宋_GB2312" w:cs="仿宋_GB2312"/>
          <w:i w:val="0"/>
          <w:iCs w:val="0"/>
          <w:caps w:val="0"/>
          <w:color w:val="333333"/>
          <w:spacing w:val="0"/>
          <w:sz w:val="24"/>
          <w:szCs w:val="24"/>
          <w:u w:val="single"/>
          <w:shd w:val="clear" w:fill="FFFFFF"/>
        </w:rPr>
        <w:t>（厂名）</w:t>
      </w:r>
      <w:r>
        <w:rPr>
          <w:rFonts w:hint="eastAsia" w:ascii="仿宋_GB2312" w:hAnsi="仿宋_GB2312" w:eastAsia="仿宋_GB2312" w:cs="仿宋_GB2312"/>
          <w:i w:val="0"/>
          <w:iCs w:val="0"/>
          <w:caps w:val="0"/>
          <w:color w:val="333333"/>
          <w:spacing w:val="0"/>
          <w:sz w:val="24"/>
          <w:szCs w:val="24"/>
          <w:shd w:val="clear" w:fill="FFFFFF"/>
        </w:rPr>
        <w:t>，厂址为</w:t>
      </w:r>
      <w:r>
        <w:rPr>
          <w:rStyle w:val="36"/>
          <w:rFonts w:hint="eastAsia" w:ascii="仿宋_GB2312" w:hAnsi="仿宋_GB2312" w:eastAsia="仿宋_GB2312" w:cs="仿宋_GB2312"/>
          <w:i w:val="0"/>
          <w:iCs w:val="0"/>
          <w:caps w:val="0"/>
          <w:color w:val="333333"/>
          <w:spacing w:val="0"/>
          <w:sz w:val="24"/>
          <w:szCs w:val="24"/>
          <w:u w:val="single"/>
          <w:shd w:val="clear" w:fill="FFFFFF"/>
        </w:rPr>
        <w:t>（生产厂址）</w:t>
      </w:r>
      <w:r>
        <w:rPr>
          <w:rFonts w:hint="eastAsia" w:ascii="仿宋_GB2312" w:hAnsi="仿宋_GB2312" w:eastAsia="仿宋_GB2312" w:cs="仿宋_GB2312"/>
          <w:i w:val="0"/>
          <w:iCs w:val="0"/>
          <w:caps w:val="0"/>
          <w:color w:val="333333"/>
          <w:spacing w:val="0"/>
          <w:sz w:val="24"/>
          <w:szCs w:val="24"/>
          <w:shd w:val="clear" w:fill="FFFFFF"/>
        </w:rPr>
        <w:t>。</w:t>
      </w:r>
      <w:r>
        <w:rPr>
          <w:rStyle w:val="36"/>
          <w:rFonts w:hint="eastAsia" w:ascii="仿宋_GB2312" w:hAnsi="仿宋_GB2312" w:eastAsia="仿宋_GB2312" w:cs="仿宋_GB2312"/>
          <w:i w:val="0"/>
          <w:iCs w:val="0"/>
          <w:caps w:val="0"/>
          <w:color w:val="333333"/>
          <w:spacing w:val="0"/>
          <w:sz w:val="24"/>
          <w:szCs w:val="24"/>
          <w:u w:val="single"/>
          <w:shd w:val="clear" w:fill="FFFFFF"/>
        </w:rPr>
        <w:t>（产品名称2）</w:t>
      </w:r>
      <w:r>
        <w:rPr>
          <w:rFonts w:hint="eastAsia" w:ascii="仿宋_GB2312" w:hAnsi="仿宋_GB2312" w:eastAsia="仿宋_GB2312" w:cs="仿宋_GB2312"/>
          <w:i w:val="0"/>
          <w:iCs w:val="0"/>
          <w:caps w:val="0"/>
          <w:color w:val="333333"/>
          <w:spacing w:val="0"/>
          <w:sz w:val="24"/>
          <w:szCs w:val="24"/>
          <w:shd w:val="clear" w:fill="FFFFFF"/>
        </w:rPr>
        <w:t>的中国境内生产的组件成本占比≥</w:t>
      </w:r>
      <w:r>
        <w:rPr>
          <w:rStyle w:val="36"/>
          <w:rFonts w:hint="eastAsia" w:ascii="仿宋_GB2312" w:hAnsi="仿宋_GB2312" w:eastAsia="仿宋_GB2312" w:cs="仿宋_GB2312"/>
          <w:i w:val="0"/>
          <w:iCs w:val="0"/>
          <w:caps w:val="0"/>
          <w:color w:val="333333"/>
          <w:spacing w:val="0"/>
          <w:sz w:val="24"/>
          <w:szCs w:val="24"/>
          <w:u w:val="single"/>
          <w:shd w:val="clear" w:fill="FFFFFF"/>
        </w:rPr>
        <w:t>（规定比例）</w:t>
      </w:r>
      <w:r>
        <w:rPr>
          <w:rFonts w:hint="eastAsia" w:ascii="仿宋_GB2312" w:hAnsi="仿宋_GB2312" w:eastAsia="仿宋_GB2312" w:cs="仿宋_GB2312"/>
          <w:i w:val="0"/>
          <w:iCs w:val="0"/>
          <w:caps w:val="0"/>
          <w:color w:val="333333"/>
          <w:spacing w:val="0"/>
          <w:sz w:val="24"/>
          <w:szCs w:val="24"/>
          <w:shd w:val="clear" w:fill="FFFFFF"/>
        </w:rPr>
        <w:t>。</w:t>
      </w:r>
      <w:r>
        <w:rPr>
          <w:rStyle w:val="36"/>
          <w:rFonts w:hint="eastAsia" w:ascii="仿宋_GB2312" w:hAnsi="仿宋_GB2312" w:eastAsia="仿宋_GB2312" w:cs="仿宋_GB2312"/>
          <w:i w:val="0"/>
          <w:iCs w:val="0"/>
          <w:caps w:val="0"/>
          <w:color w:val="333333"/>
          <w:spacing w:val="0"/>
          <w:sz w:val="24"/>
          <w:szCs w:val="24"/>
          <w:u w:val="single"/>
          <w:shd w:val="clear" w:fill="FFFFFF"/>
        </w:rPr>
        <w:t>（产品名称2）</w:t>
      </w:r>
      <w:r>
        <w:rPr>
          <w:rFonts w:hint="eastAsia" w:ascii="仿宋_GB2312" w:hAnsi="仿宋_GB2312" w:eastAsia="仿宋_GB2312" w:cs="仿宋_GB2312"/>
          <w:i w:val="0"/>
          <w:iCs w:val="0"/>
          <w:caps w:val="0"/>
          <w:color w:val="333333"/>
          <w:spacing w:val="0"/>
          <w:sz w:val="24"/>
          <w:szCs w:val="24"/>
          <w:shd w:val="clear" w:fill="FFFFFF"/>
        </w:rPr>
        <w:t>的</w:t>
      </w:r>
      <w:r>
        <w:rPr>
          <w:rStyle w:val="36"/>
          <w:rFonts w:hint="eastAsia" w:ascii="仿宋_GB2312" w:hAnsi="仿宋_GB2312" w:eastAsia="仿宋_GB2312" w:cs="仿宋_GB2312"/>
          <w:i w:val="0"/>
          <w:iCs w:val="0"/>
          <w:caps w:val="0"/>
          <w:color w:val="333333"/>
          <w:spacing w:val="0"/>
          <w:sz w:val="24"/>
          <w:szCs w:val="24"/>
          <w:u w:val="single"/>
          <w:shd w:val="clear" w:fill="FFFFFF"/>
        </w:rPr>
        <w:t>（关键组件）</w:t>
      </w:r>
      <w:r>
        <w:rPr>
          <w:rFonts w:hint="eastAsia" w:ascii="仿宋_GB2312" w:hAnsi="仿宋_GB2312" w:eastAsia="仿宋_GB2312" w:cs="仿宋_GB2312"/>
          <w:i w:val="0"/>
          <w:iCs w:val="0"/>
          <w:caps w:val="0"/>
          <w:color w:val="333333"/>
          <w:spacing w:val="0"/>
          <w:sz w:val="24"/>
          <w:szCs w:val="24"/>
          <w:shd w:val="clear" w:fill="FFFFFF"/>
        </w:rPr>
        <w:t>在中国境内生产。</w:t>
      </w:r>
      <w:r>
        <w:rPr>
          <w:rStyle w:val="36"/>
          <w:rFonts w:hint="eastAsia" w:ascii="仿宋_GB2312" w:hAnsi="仿宋_GB2312" w:eastAsia="仿宋_GB2312" w:cs="仿宋_GB2312"/>
          <w:i w:val="0"/>
          <w:iCs w:val="0"/>
          <w:caps w:val="0"/>
          <w:color w:val="333333"/>
          <w:spacing w:val="0"/>
          <w:sz w:val="24"/>
          <w:szCs w:val="24"/>
          <w:u w:val="single"/>
          <w:shd w:val="clear" w:fill="FFFFFF"/>
        </w:rPr>
        <w:t>（产品名称2）</w:t>
      </w:r>
      <w:r>
        <w:rPr>
          <w:rFonts w:hint="eastAsia" w:ascii="仿宋_GB2312" w:hAnsi="仿宋_GB2312" w:eastAsia="仿宋_GB2312" w:cs="仿宋_GB2312"/>
          <w:i w:val="0"/>
          <w:iCs w:val="0"/>
          <w:caps w:val="0"/>
          <w:color w:val="333333"/>
          <w:spacing w:val="0"/>
          <w:sz w:val="24"/>
          <w:szCs w:val="24"/>
          <w:shd w:val="clear" w:fill="FFFFFF"/>
        </w:rPr>
        <w:t>的</w:t>
      </w:r>
      <w:r>
        <w:rPr>
          <w:rStyle w:val="36"/>
          <w:rFonts w:hint="eastAsia" w:ascii="仿宋_GB2312" w:hAnsi="仿宋_GB2312" w:eastAsia="仿宋_GB2312" w:cs="仿宋_GB2312"/>
          <w:i w:val="0"/>
          <w:iCs w:val="0"/>
          <w:caps w:val="0"/>
          <w:color w:val="333333"/>
          <w:spacing w:val="0"/>
          <w:sz w:val="24"/>
          <w:szCs w:val="24"/>
          <w:u w:val="single"/>
          <w:shd w:val="clear" w:fill="FFFFFF"/>
        </w:rPr>
        <w:t>（关键工序）</w:t>
      </w:r>
      <w:r>
        <w:rPr>
          <w:rFonts w:hint="eastAsia" w:ascii="仿宋_GB2312" w:hAnsi="仿宋_GB2312" w:eastAsia="仿宋_GB2312" w:cs="仿宋_GB2312"/>
          <w:i w:val="0"/>
          <w:iCs w:val="0"/>
          <w:caps w:val="0"/>
          <w:color w:val="333333"/>
          <w:spacing w:val="0"/>
          <w:sz w:val="24"/>
          <w:szCs w:val="24"/>
          <w:shd w:val="clear" w:fill="FFFFFF"/>
        </w:rPr>
        <w:t>在中国境内完成。</w:t>
      </w:r>
    </w:p>
    <w:p w14:paraId="348BE296">
      <w:pPr>
        <w:pStyle w:val="2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仿宋_GB2312" w:hAnsi="仿宋_GB2312" w:eastAsia="仿宋_GB2312" w:cs="仿宋_GB2312"/>
          <w:i w:val="0"/>
          <w:iCs w:val="0"/>
          <w:caps w:val="0"/>
          <w:color w:val="333333"/>
          <w:spacing w:val="0"/>
          <w:sz w:val="24"/>
          <w:szCs w:val="24"/>
        </w:rPr>
      </w:pPr>
      <w:r>
        <w:rPr>
          <w:rFonts w:hint="eastAsia" w:ascii="仿宋_GB2312" w:hAnsi="仿宋_GB2312" w:eastAsia="仿宋_GB2312" w:cs="仿宋_GB2312"/>
          <w:i w:val="0"/>
          <w:iCs w:val="0"/>
          <w:caps w:val="0"/>
          <w:color w:val="333333"/>
          <w:spacing w:val="0"/>
          <w:sz w:val="24"/>
          <w:szCs w:val="24"/>
          <w:shd w:val="clear" w:fill="FFFFFF"/>
        </w:rPr>
        <w:t>……</w:t>
      </w:r>
    </w:p>
    <w:p w14:paraId="0D36533D">
      <w:pPr>
        <w:pStyle w:val="2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仿宋_GB2312" w:hAnsi="仿宋_GB2312" w:eastAsia="仿宋_GB2312" w:cs="仿宋_GB2312"/>
          <w:i w:val="0"/>
          <w:iCs w:val="0"/>
          <w:caps w:val="0"/>
          <w:color w:val="333333"/>
          <w:spacing w:val="0"/>
          <w:sz w:val="24"/>
          <w:szCs w:val="24"/>
        </w:rPr>
      </w:pPr>
      <w:r>
        <w:rPr>
          <w:rFonts w:hint="eastAsia" w:ascii="仿宋_GB2312" w:hAnsi="仿宋_GB2312" w:eastAsia="仿宋_GB2312" w:cs="仿宋_GB2312"/>
          <w:i w:val="0"/>
          <w:iCs w:val="0"/>
          <w:caps w:val="0"/>
          <w:color w:val="333333"/>
          <w:spacing w:val="0"/>
          <w:sz w:val="24"/>
          <w:szCs w:val="24"/>
          <w:shd w:val="clear" w:fill="FFFFFF"/>
        </w:rPr>
        <w:t>本公司（单位）对上述声明内容的真实性负责。如有虚假，愿承担相应法律责任。</w:t>
      </w:r>
    </w:p>
    <w:p w14:paraId="043102A5">
      <w:pPr>
        <w:pStyle w:val="2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rPr>
          <w:rFonts w:hint="eastAsia" w:ascii="仿宋_GB2312" w:hAnsi="仿宋_GB2312" w:eastAsia="仿宋_GB2312" w:cs="仿宋_GB2312"/>
          <w:i w:val="0"/>
          <w:iCs w:val="0"/>
          <w:caps w:val="0"/>
          <w:color w:val="333333"/>
          <w:spacing w:val="0"/>
          <w:sz w:val="24"/>
          <w:szCs w:val="24"/>
        </w:rPr>
      </w:pPr>
    </w:p>
    <w:p w14:paraId="5974FCC3">
      <w:pPr>
        <w:pStyle w:val="2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jc w:val="right"/>
        <w:rPr>
          <w:rFonts w:hint="eastAsia" w:ascii="仿宋_GB2312" w:hAnsi="仿宋_GB2312" w:eastAsia="仿宋_GB2312" w:cs="仿宋_GB2312"/>
          <w:i w:val="0"/>
          <w:iCs w:val="0"/>
          <w:caps w:val="0"/>
          <w:color w:val="333333"/>
          <w:spacing w:val="0"/>
          <w:sz w:val="24"/>
          <w:szCs w:val="24"/>
        </w:rPr>
      </w:pPr>
      <w:r>
        <w:rPr>
          <w:rFonts w:hint="eastAsia" w:ascii="仿宋_GB2312" w:hAnsi="仿宋_GB2312" w:eastAsia="仿宋_GB2312" w:cs="仿宋_GB2312"/>
          <w:i w:val="0"/>
          <w:iCs w:val="0"/>
          <w:caps w:val="0"/>
          <w:color w:val="333333"/>
          <w:spacing w:val="0"/>
          <w:sz w:val="24"/>
          <w:szCs w:val="24"/>
          <w:shd w:val="clear" w:fill="FFFFFF"/>
        </w:rPr>
        <w:t>公司（单位）名称（盖章）：　        </w:t>
      </w:r>
    </w:p>
    <w:p w14:paraId="30120345">
      <w:pPr>
        <w:pStyle w:val="2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jc w:val="right"/>
        <w:rPr>
          <w:rFonts w:hint="eastAsia" w:ascii="仿宋_GB2312" w:hAnsi="仿宋_GB2312" w:eastAsia="仿宋_GB2312" w:cs="仿宋_GB2312"/>
          <w:i w:val="0"/>
          <w:iCs w:val="0"/>
          <w:caps w:val="0"/>
          <w:color w:val="333333"/>
          <w:spacing w:val="0"/>
          <w:sz w:val="24"/>
          <w:szCs w:val="24"/>
        </w:rPr>
      </w:pPr>
      <w:r>
        <w:rPr>
          <w:rFonts w:hint="eastAsia" w:ascii="仿宋_GB2312" w:hAnsi="仿宋_GB2312" w:eastAsia="仿宋_GB2312" w:cs="仿宋_GB2312"/>
          <w:i w:val="0"/>
          <w:iCs w:val="0"/>
          <w:caps w:val="0"/>
          <w:color w:val="333333"/>
          <w:spacing w:val="0"/>
          <w:sz w:val="24"/>
          <w:szCs w:val="24"/>
          <w:shd w:val="clear" w:fill="FFFFFF"/>
        </w:rPr>
        <w:t>日期：　     年　  月　  日         </w:t>
      </w:r>
    </w:p>
    <w:p w14:paraId="2803BEFB">
      <w:pPr>
        <w:pStyle w:val="2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jc w:val="left"/>
        <w:rPr>
          <w:rFonts w:hint="eastAsia" w:ascii="仿宋_GB2312" w:hAnsi="仿宋_GB2312" w:eastAsia="仿宋_GB2312" w:cs="仿宋_GB2312"/>
          <w:i w:val="0"/>
          <w:iCs w:val="0"/>
          <w:caps w:val="0"/>
          <w:color w:val="333333"/>
          <w:spacing w:val="0"/>
          <w:sz w:val="24"/>
          <w:szCs w:val="24"/>
        </w:rPr>
      </w:pPr>
      <w:r>
        <w:rPr>
          <w:rFonts w:hint="eastAsia" w:ascii="仿宋_GB2312" w:hAnsi="仿宋_GB2312" w:eastAsia="仿宋_GB2312" w:cs="仿宋_GB2312"/>
          <w:i w:val="0"/>
          <w:iCs w:val="0"/>
          <w:caps w:val="0"/>
          <w:color w:val="333333"/>
          <w:spacing w:val="0"/>
          <w:sz w:val="24"/>
          <w:szCs w:val="24"/>
          <w:shd w:val="clear" w:fill="FFFFFF"/>
        </w:rPr>
        <w:t>__________________</w:t>
      </w:r>
    </w:p>
    <w:p w14:paraId="502ECA93">
      <w:pPr>
        <w:pStyle w:val="2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仿宋_GB2312" w:hAnsi="仿宋_GB2312" w:eastAsia="仿宋_GB2312" w:cs="仿宋_GB2312"/>
          <w:i w:val="0"/>
          <w:iCs w:val="0"/>
          <w:caps w:val="0"/>
          <w:color w:val="333333"/>
          <w:spacing w:val="0"/>
          <w:sz w:val="21"/>
          <w:szCs w:val="21"/>
        </w:rPr>
      </w:pPr>
      <w:r>
        <w:rPr>
          <w:rFonts w:hint="eastAsia" w:ascii="仿宋_GB2312" w:hAnsi="仿宋_GB2312" w:eastAsia="仿宋_GB2312" w:cs="仿宋_GB2312"/>
          <w:i w:val="0"/>
          <w:iCs w:val="0"/>
          <w:caps w:val="0"/>
          <w:color w:val="333333"/>
          <w:spacing w:val="0"/>
          <w:sz w:val="21"/>
          <w:szCs w:val="21"/>
          <w:shd w:val="clear" w:fill="FFFFFF"/>
        </w:rPr>
        <w:t>1.产品如有型号，请在“产品名称”栏一并填写。</w:t>
      </w:r>
    </w:p>
    <w:p w14:paraId="0110592D">
      <w:pPr>
        <w:pStyle w:val="2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仿宋_GB2312" w:hAnsi="仿宋_GB2312" w:eastAsia="仿宋_GB2312" w:cs="仿宋_GB2312"/>
          <w:i w:val="0"/>
          <w:iCs w:val="0"/>
          <w:caps w:val="0"/>
          <w:color w:val="333333"/>
          <w:spacing w:val="0"/>
          <w:sz w:val="21"/>
          <w:szCs w:val="21"/>
        </w:rPr>
      </w:pPr>
      <w:r>
        <w:rPr>
          <w:rFonts w:hint="eastAsia" w:ascii="仿宋_GB2312" w:hAnsi="仿宋_GB2312" w:eastAsia="仿宋_GB2312" w:cs="仿宋_GB2312"/>
          <w:i w:val="0"/>
          <w:iCs w:val="0"/>
          <w:caps w:val="0"/>
          <w:color w:val="333333"/>
          <w:spacing w:val="0"/>
          <w:sz w:val="21"/>
          <w:szCs w:val="21"/>
          <w:shd w:val="clear" w:fill="FFFFFF"/>
        </w:rPr>
        <w:t>2.生产厂名与厂址应与生产厂营业执照载明的相关信息保持一致。</w:t>
      </w:r>
    </w:p>
    <w:p w14:paraId="7C102A60">
      <w:pPr>
        <w:pStyle w:val="2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仿宋_GB2312" w:hAnsi="仿宋_GB2312" w:eastAsia="仿宋_GB2312" w:cs="仿宋_GB2312"/>
          <w:i w:val="0"/>
          <w:iCs w:val="0"/>
          <w:caps w:val="0"/>
          <w:color w:val="333333"/>
          <w:spacing w:val="0"/>
          <w:sz w:val="21"/>
          <w:szCs w:val="21"/>
        </w:rPr>
      </w:pPr>
      <w:r>
        <w:rPr>
          <w:rFonts w:hint="eastAsia" w:ascii="仿宋_GB2312" w:hAnsi="仿宋_GB2312" w:eastAsia="仿宋_GB2312" w:cs="仿宋_GB2312"/>
          <w:i w:val="0"/>
          <w:iCs w:val="0"/>
          <w:caps w:val="0"/>
          <w:color w:val="333333"/>
          <w:spacing w:val="0"/>
          <w:sz w:val="21"/>
          <w:szCs w:val="21"/>
          <w:shd w:val="clear" w:fill="FFFFFF"/>
        </w:rPr>
        <w:t>3.该产品的中国境内生产的组件成本占比相关要求实施前，“规定比例”栏可不填，下同。</w:t>
      </w:r>
    </w:p>
    <w:p w14:paraId="19E51D87">
      <w:pPr>
        <w:pStyle w:val="2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仿宋_GB2312" w:hAnsi="仿宋_GB2312" w:eastAsia="仿宋_GB2312" w:cs="仿宋_GB2312"/>
          <w:i w:val="0"/>
          <w:iCs w:val="0"/>
          <w:caps w:val="0"/>
          <w:color w:val="333333"/>
          <w:spacing w:val="0"/>
          <w:sz w:val="21"/>
          <w:szCs w:val="21"/>
        </w:rPr>
      </w:pPr>
      <w:r>
        <w:rPr>
          <w:rFonts w:hint="eastAsia" w:ascii="仿宋_GB2312" w:hAnsi="仿宋_GB2312" w:eastAsia="仿宋_GB2312" w:cs="仿宋_GB2312"/>
          <w:i w:val="0"/>
          <w:iCs w:val="0"/>
          <w:caps w:val="0"/>
          <w:color w:val="333333"/>
          <w:spacing w:val="0"/>
          <w:sz w:val="21"/>
          <w:szCs w:val="21"/>
          <w:shd w:val="clear" w:fill="FFFFFF"/>
        </w:rPr>
        <w:t>4.该产品的关键组件要求实施前，“关键组件”栏可不填，下同。</w:t>
      </w:r>
    </w:p>
    <w:p w14:paraId="52AEA2CC">
      <w:pPr>
        <w:pStyle w:val="2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仿宋_GB2312" w:hAnsi="仿宋_GB2312" w:eastAsia="仿宋_GB2312" w:cs="仿宋_GB2312"/>
          <w:i w:val="0"/>
          <w:iCs w:val="0"/>
          <w:caps w:val="0"/>
          <w:color w:val="333333"/>
          <w:spacing w:val="0"/>
          <w:sz w:val="21"/>
          <w:szCs w:val="21"/>
        </w:rPr>
      </w:pPr>
      <w:r>
        <w:rPr>
          <w:rFonts w:hint="eastAsia" w:ascii="仿宋_GB2312" w:hAnsi="仿宋_GB2312" w:eastAsia="仿宋_GB2312" w:cs="仿宋_GB2312"/>
          <w:i w:val="0"/>
          <w:iCs w:val="0"/>
          <w:caps w:val="0"/>
          <w:color w:val="333333"/>
          <w:spacing w:val="0"/>
          <w:sz w:val="21"/>
          <w:szCs w:val="21"/>
          <w:shd w:val="clear" w:fill="FFFFFF"/>
        </w:rPr>
        <w:t>5.该产品的关键工序要求实施前，“关键工序”栏可不填，下同。</w:t>
      </w:r>
    </w:p>
    <w:p w14:paraId="743CA207">
      <w:pPr>
        <w:spacing w:line="520" w:lineRule="exact"/>
        <w:jc w:val="center"/>
        <w:rPr>
          <w:rFonts w:ascii="宋体" w:hAnsi="宋体"/>
          <w:color w:val="auto"/>
          <w:sz w:val="24"/>
          <w:highlight w:val="none"/>
        </w:rPr>
      </w:pPr>
    </w:p>
    <w:p w14:paraId="1A0869B4">
      <w:pPr>
        <w:spacing w:line="520" w:lineRule="exact"/>
        <w:jc w:val="center"/>
        <w:rPr>
          <w:rFonts w:ascii="宋体" w:hAnsi="宋体"/>
          <w:color w:val="auto"/>
          <w:sz w:val="24"/>
          <w:highlight w:val="none"/>
        </w:rPr>
      </w:pPr>
    </w:p>
    <w:p w14:paraId="24D5FD97">
      <w:pPr>
        <w:spacing w:line="520" w:lineRule="exact"/>
        <w:jc w:val="center"/>
        <w:rPr>
          <w:rFonts w:ascii="宋体" w:hAnsi="宋体"/>
          <w:color w:val="auto"/>
          <w:sz w:val="24"/>
          <w:highlight w:val="none"/>
        </w:rPr>
      </w:pPr>
    </w:p>
    <w:p w14:paraId="579AE9EA">
      <w:pPr>
        <w:spacing w:line="520" w:lineRule="exact"/>
        <w:jc w:val="center"/>
        <w:rPr>
          <w:rFonts w:ascii="宋体" w:hAnsi="宋体"/>
          <w:color w:val="auto"/>
          <w:sz w:val="24"/>
          <w:highlight w:val="none"/>
        </w:rPr>
      </w:pPr>
    </w:p>
    <w:p w14:paraId="5ED2DDDA">
      <w:pPr>
        <w:spacing w:line="520" w:lineRule="exact"/>
        <w:jc w:val="center"/>
        <w:rPr>
          <w:rFonts w:ascii="宋体" w:hAnsi="宋体"/>
          <w:color w:val="auto"/>
          <w:sz w:val="24"/>
          <w:highlight w:val="none"/>
        </w:rPr>
      </w:pPr>
    </w:p>
    <w:p w14:paraId="27D09E5E">
      <w:pPr>
        <w:pStyle w:val="3"/>
        <w:widowControl/>
        <w:jc w:val="center"/>
        <w:rPr>
          <w:rFonts w:hint="eastAsia" w:ascii="宋体" w:hAnsi="宋体" w:cs="宋体"/>
          <w:color w:val="auto"/>
          <w:highlight w:val="none"/>
        </w:rPr>
      </w:pPr>
      <w:bookmarkStart w:id="96" w:name="_Toc6298"/>
    </w:p>
    <w:p w14:paraId="2F980B4A">
      <w:pPr>
        <w:pStyle w:val="3"/>
        <w:widowControl/>
        <w:jc w:val="center"/>
        <w:rPr>
          <w:rFonts w:hint="eastAsia" w:ascii="宋体" w:hAnsi="宋体" w:cs="宋体"/>
          <w:color w:val="auto"/>
          <w:highlight w:val="none"/>
        </w:rPr>
      </w:pPr>
    </w:p>
    <w:p w14:paraId="7718C602">
      <w:pPr>
        <w:pStyle w:val="3"/>
        <w:widowControl/>
        <w:jc w:val="center"/>
        <w:rPr>
          <w:rFonts w:hint="eastAsia" w:ascii="宋体" w:hAnsi="宋体" w:cs="宋体"/>
          <w:b w:val="0"/>
          <w:color w:val="auto"/>
          <w:highlight w:val="none"/>
        </w:rPr>
      </w:pPr>
      <w:bookmarkStart w:id="97" w:name="_Toc22074"/>
      <w:r>
        <w:rPr>
          <w:rFonts w:hint="eastAsia" w:ascii="宋体" w:hAnsi="宋体" w:cs="宋体"/>
          <w:color w:val="auto"/>
          <w:highlight w:val="none"/>
        </w:rPr>
        <w:t>第五节 其他文书、文件格式</w:t>
      </w:r>
      <w:bookmarkEnd w:id="96"/>
      <w:bookmarkEnd w:id="97"/>
    </w:p>
    <w:p w14:paraId="6118DEE5">
      <w:pPr>
        <w:spacing w:line="520" w:lineRule="exact"/>
        <w:jc w:val="center"/>
        <w:rPr>
          <w:rFonts w:hint="eastAsia" w:ascii="宋体" w:hAnsi="宋体" w:cs="宋体"/>
          <w:color w:val="auto"/>
          <w:sz w:val="24"/>
          <w:highlight w:val="none"/>
        </w:rPr>
      </w:pPr>
    </w:p>
    <w:p w14:paraId="7C6B834F">
      <w:pPr>
        <w:spacing w:line="500" w:lineRule="exact"/>
        <w:jc w:val="center"/>
        <w:rPr>
          <w:rFonts w:hint="eastAsia" w:ascii="宋体" w:hAnsi="宋体" w:eastAsia="宋体" w:cs="仿宋"/>
          <w:bCs/>
          <w:color w:val="auto"/>
          <w:sz w:val="44"/>
          <w:szCs w:val="44"/>
          <w:highlight w:val="none"/>
          <w:lang w:bidi="ar"/>
        </w:rPr>
      </w:pPr>
      <w:r>
        <w:rPr>
          <w:rFonts w:hint="eastAsia" w:ascii="宋体" w:hAnsi="宋体" w:eastAsia="宋体" w:cs="仿宋"/>
          <w:bCs/>
          <w:color w:val="auto"/>
          <w:sz w:val="44"/>
          <w:szCs w:val="44"/>
          <w:highlight w:val="none"/>
          <w:lang w:bidi="ar"/>
        </w:rPr>
        <w:t>知识产权合规性声明</w:t>
      </w:r>
    </w:p>
    <w:p w14:paraId="56C8C916">
      <w:pPr>
        <w:rPr>
          <w:rFonts w:hint="eastAsia" w:ascii="仿宋_GB2312" w:eastAsia="仿宋_GB2312" w:cs="仿宋_GB2312"/>
          <w:color w:val="auto"/>
          <w:sz w:val="30"/>
          <w:szCs w:val="30"/>
          <w:highlight w:val="none"/>
        </w:rPr>
      </w:pPr>
      <w:r>
        <w:rPr>
          <w:rFonts w:hint="eastAsia" w:ascii="仿宋_GB2312" w:eastAsia="仿宋_GB2312" w:cs="仿宋_GB2312"/>
          <w:color w:val="auto"/>
          <w:sz w:val="30"/>
          <w:szCs w:val="30"/>
          <w:highlight w:val="none"/>
          <w:lang w:bidi="ar"/>
        </w:rPr>
        <w:t xml:space="preserve">    </w:t>
      </w:r>
    </w:p>
    <w:p w14:paraId="2ABAB989">
      <w:pPr>
        <w:spacing w:line="360" w:lineRule="auto"/>
        <w:rPr>
          <w:rFonts w:hint="eastAsia" w:ascii="宋体" w:hAnsi="宋体" w:cs="宋体"/>
          <w:color w:val="auto"/>
          <w:sz w:val="24"/>
          <w:highlight w:val="none"/>
        </w:rPr>
      </w:pPr>
      <w:r>
        <w:rPr>
          <w:rFonts w:hint="eastAsia" w:ascii="仿宋_GB2312" w:eastAsia="仿宋_GB2312" w:cs="仿宋_GB2312"/>
          <w:color w:val="auto"/>
          <w:sz w:val="30"/>
          <w:szCs w:val="30"/>
          <w:highlight w:val="none"/>
          <w:lang w:bidi="ar"/>
        </w:rPr>
        <w:t xml:space="preserve">   </w:t>
      </w:r>
      <w:r>
        <w:rPr>
          <w:rFonts w:hint="eastAsia" w:ascii="宋体" w:hAnsi="宋体" w:cs="宋体"/>
          <w:color w:val="auto"/>
          <w:sz w:val="30"/>
          <w:szCs w:val="30"/>
          <w:highlight w:val="none"/>
          <w:lang w:bidi="ar"/>
        </w:rPr>
        <w:t xml:space="preserve"> </w:t>
      </w:r>
      <w:r>
        <w:rPr>
          <w:rFonts w:hint="eastAsia" w:ascii="宋体" w:hAnsi="宋体" w:cs="宋体"/>
          <w:color w:val="auto"/>
          <w:sz w:val="24"/>
          <w:highlight w:val="none"/>
          <w:lang w:bidi="ar"/>
        </w:rPr>
        <w:t>本企业（单位）自愿参与政府投资政府采购的</w:t>
      </w:r>
      <w:r>
        <w:rPr>
          <w:rFonts w:hint="eastAsia" w:ascii="宋体" w:hAnsi="宋体" w:cs="宋体"/>
          <w:color w:val="auto"/>
          <w:sz w:val="24"/>
          <w:highlight w:val="none"/>
          <w:u w:val="single"/>
          <w:lang w:bidi="ar"/>
        </w:rPr>
        <w:t xml:space="preserve">           </w:t>
      </w:r>
      <w:r>
        <w:rPr>
          <w:rFonts w:hint="eastAsia" w:ascii="宋体" w:hAnsi="宋体" w:cs="宋体"/>
          <w:color w:val="auto"/>
          <w:sz w:val="24"/>
          <w:highlight w:val="none"/>
          <w:lang w:bidi="ar"/>
        </w:rPr>
        <w:t>项目，</w:t>
      </w:r>
      <w:r>
        <w:rPr>
          <w:rFonts w:hint="eastAsia" w:ascii="宋体" w:hAnsi="宋体" w:cs="宋体"/>
          <w:b/>
          <w:bCs/>
          <w:color w:val="auto"/>
          <w:sz w:val="24"/>
          <w:highlight w:val="none"/>
          <w:lang w:bidi="ar"/>
        </w:rPr>
        <w:t>在此郑重承诺：</w:t>
      </w:r>
      <w:r>
        <w:rPr>
          <w:rFonts w:hint="eastAsia" w:ascii="宋体" w:hAnsi="宋体" w:cs="宋体"/>
          <w:color w:val="auto"/>
          <w:sz w:val="24"/>
          <w:highlight w:val="none"/>
          <w:lang w:bidi="ar"/>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单位）将承担由此产生的全部责任。</w:t>
      </w:r>
    </w:p>
    <w:p w14:paraId="643CD8F2">
      <w:pPr>
        <w:snapToGrid w:val="0"/>
        <w:spacing w:line="360" w:lineRule="auto"/>
        <w:ind w:left="5634" w:leftChars="1736" w:hanging="1988" w:hangingChars="825"/>
        <w:rPr>
          <w:rFonts w:hint="eastAsia" w:ascii="宋体" w:hAnsi="宋体" w:cs="宋体"/>
          <w:b/>
          <w:color w:val="auto"/>
          <w:sz w:val="24"/>
          <w:highlight w:val="none"/>
        </w:rPr>
      </w:pPr>
      <w:r>
        <w:rPr>
          <w:rFonts w:hint="eastAsia" w:ascii="宋体" w:hAnsi="宋体" w:cs="宋体"/>
          <w:b/>
          <w:color w:val="auto"/>
          <w:sz w:val="24"/>
          <w:highlight w:val="none"/>
          <w:lang w:bidi="ar"/>
        </w:rPr>
        <w:t xml:space="preserve">           </w:t>
      </w:r>
    </w:p>
    <w:p w14:paraId="35DDD431">
      <w:pPr>
        <w:snapToGrid w:val="0"/>
        <w:spacing w:line="360" w:lineRule="auto"/>
        <w:ind w:left="5634" w:leftChars="1736" w:hanging="1988" w:hangingChars="825"/>
        <w:rPr>
          <w:rFonts w:hint="eastAsia" w:ascii="宋体" w:hAnsi="宋体" w:cs="宋体"/>
          <w:b/>
          <w:color w:val="auto"/>
          <w:sz w:val="24"/>
          <w:highlight w:val="none"/>
        </w:rPr>
      </w:pPr>
      <w:r>
        <w:rPr>
          <w:rFonts w:hint="eastAsia" w:ascii="宋体" w:hAnsi="宋体" w:cs="宋体"/>
          <w:b/>
          <w:color w:val="auto"/>
          <w:sz w:val="24"/>
          <w:highlight w:val="none"/>
          <w:lang w:bidi="ar"/>
        </w:rPr>
        <w:t xml:space="preserve"> </w:t>
      </w:r>
    </w:p>
    <w:p w14:paraId="2A5D2BA9">
      <w:pPr>
        <w:snapToGrid w:val="0"/>
        <w:spacing w:line="360" w:lineRule="auto"/>
        <w:ind w:left="5634" w:leftChars="1736" w:hanging="1988" w:hangingChars="825"/>
        <w:rPr>
          <w:rFonts w:hint="eastAsia" w:ascii="宋体" w:hAnsi="宋体" w:cs="宋体"/>
          <w:b/>
          <w:color w:val="auto"/>
          <w:sz w:val="24"/>
          <w:highlight w:val="none"/>
        </w:rPr>
      </w:pPr>
      <w:r>
        <w:rPr>
          <w:rFonts w:hint="eastAsia" w:ascii="宋体" w:hAnsi="宋体" w:cs="宋体"/>
          <w:b/>
          <w:color w:val="auto"/>
          <w:sz w:val="24"/>
          <w:highlight w:val="none"/>
          <w:lang w:bidi="ar"/>
        </w:rPr>
        <w:t xml:space="preserve"> </w:t>
      </w:r>
    </w:p>
    <w:p w14:paraId="073477AC">
      <w:pPr>
        <w:snapToGrid w:val="0"/>
        <w:spacing w:line="360" w:lineRule="auto"/>
        <w:ind w:left="5634" w:leftChars="1736" w:hanging="1988" w:hangingChars="825"/>
        <w:rPr>
          <w:rFonts w:hint="eastAsia" w:ascii="宋体" w:hAnsi="宋体" w:cs="宋体"/>
          <w:b/>
          <w:color w:val="auto"/>
          <w:sz w:val="24"/>
          <w:highlight w:val="none"/>
        </w:rPr>
      </w:pPr>
      <w:r>
        <w:rPr>
          <w:rFonts w:hint="eastAsia" w:ascii="宋体" w:hAnsi="宋体" w:cs="宋体"/>
          <w:b/>
          <w:color w:val="auto"/>
          <w:sz w:val="24"/>
          <w:highlight w:val="none"/>
          <w:lang w:bidi="ar"/>
        </w:rPr>
        <w:t xml:space="preserve"> </w:t>
      </w:r>
    </w:p>
    <w:p w14:paraId="378FF648">
      <w:pPr>
        <w:snapToGrid w:val="0"/>
        <w:spacing w:line="360" w:lineRule="auto"/>
        <w:ind w:left="5634" w:leftChars="1736" w:hanging="1988" w:hangingChars="825"/>
        <w:rPr>
          <w:rFonts w:hint="eastAsia" w:ascii="宋体" w:hAnsi="宋体" w:cs="宋体"/>
          <w:color w:val="auto"/>
          <w:kern w:val="0"/>
          <w:sz w:val="24"/>
          <w:highlight w:val="none"/>
        </w:rPr>
      </w:pPr>
      <w:r>
        <w:rPr>
          <w:rFonts w:hint="eastAsia" w:ascii="宋体" w:hAnsi="宋体" w:cs="宋体"/>
          <w:b/>
          <w:color w:val="auto"/>
          <w:sz w:val="24"/>
          <w:highlight w:val="none"/>
          <w:lang w:bidi="ar"/>
        </w:rPr>
        <w:t xml:space="preserve">      </w:t>
      </w:r>
      <w:r>
        <w:rPr>
          <w:rFonts w:hint="eastAsia" w:ascii="宋体" w:hAnsi="宋体" w:cs="宋体"/>
          <w:color w:val="auto"/>
          <w:kern w:val="0"/>
          <w:sz w:val="24"/>
          <w:highlight w:val="none"/>
          <w:lang w:eastAsia="zh-CN" w:bidi="ar"/>
        </w:rPr>
        <w:t>供应商</w:t>
      </w:r>
      <w:r>
        <w:rPr>
          <w:rFonts w:hint="eastAsia" w:ascii="宋体" w:hAnsi="宋体" w:cs="宋体"/>
          <w:color w:val="auto"/>
          <w:kern w:val="0"/>
          <w:sz w:val="24"/>
          <w:highlight w:val="none"/>
          <w:lang w:bidi="ar"/>
        </w:rPr>
        <w:t>名称(电子签章)：</w:t>
      </w:r>
    </w:p>
    <w:p w14:paraId="317E8150">
      <w:pPr>
        <w:snapToGrid w:val="0"/>
        <w:spacing w:line="360" w:lineRule="auto"/>
        <w:ind w:firstLine="5160" w:firstLineChars="2150"/>
        <w:rPr>
          <w:rFonts w:hint="eastAsia" w:ascii="仿宋_GB2312" w:hAnsi="仿宋" w:eastAsia="仿宋_GB2312" w:cs="仿宋_GB2312"/>
          <w:color w:val="auto"/>
          <w:kern w:val="0"/>
          <w:sz w:val="24"/>
          <w:highlight w:val="none"/>
        </w:rPr>
      </w:pPr>
      <w:r>
        <w:rPr>
          <w:rFonts w:hint="eastAsia" w:ascii="宋体" w:hAnsi="宋体" w:cs="宋体"/>
          <w:color w:val="auto"/>
          <w:kern w:val="0"/>
          <w:sz w:val="24"/>
          <w:highlight w:val="none"/>
          <w:lang w:bidi="ar"/>
        </w:rPr>
        <w:t>日期：  年  月   日</w:t>
      </w:r>
    </w:p>
    <w:p w14:paraId="61955694">
      <w:pPr>
        <w:spacing w:line="520" w:lineRule="exact"/>
        <w:jc w:val="center"/>
        <w:rPr>
          <w:rFonts w:ascii="宋体" w:hAnsi="宋体"/>
          <w:color w:val="auto"/>
          <w:sz w:val="24"/>
          <w:highlight w:val="none"/>
        </w:rPr>
      </w:pPr>
    </w:p>
    <w:p w14:paraId="43717C88">
      <w:pPr>
        <w:spacing w:line="520" w:lineRule="exact"/>
        <w:jc w:val="center"/>
        <w:rPr>
          <w:rFonts w:ascii="宋体" w:hAnsi="宋体"/>
          <w:color w:val="auto"/>
          <w:sz w:val="24"/>
          <w:highlight w:val="none"/>
        </w:rPr>
      </w:pPr>
    </w:p>
    <w:p w14:paraId="07DA3222">
      <w:pPr>
        <w:spacing w:line="520" w:lineRule="exact"/>
        <w:jc w:val="center"/>
        <w:rPr>
          <w:rFonts w:ascii="宋体" w:hAnsi="宋体"/>
          <w:color w:val="auto"/>
          <w:sz w:val="24"/>
          <w:highlight w:val="none"/>
        </w:rPr>
      </w:pPr>
    </w:p>
    <w:p w14:paraId="4D8D8DE8">
      <w:pPr>
        <w:spacing w:line="520" w:lineRule="exact"/>
        <w:jc w:val="center"/>
        <w:rPr>
          <w:rFonts w:ascii="宋体" w:hAnsi="宋体"/>
          <w:color w:val="auto"/>
          <w:sz w:val="24"/>
          <w:highlight w:val="none"/>
        </w:rPr>
      </w:pPr>
    </w:p>
    <w:p w14:paraId="56CBBAF4">
      <w:pPr>
        <w:pStyle w:val="21"/>
        <w:rPr>
          <w:rFonts w:ascii="宋体" w:hAnsi="宋体"/>
          <w:color w:val="auto"/>
          <w:sz w:val="24"/>
          <w:highlight w:val="none"/>
        </w:rPr>
      </w:pPr>
    </w:p>
    <w:p w14:paraId="7658626B">
      <w:pPr>
        <w:pStyle w:val="21"/>
        <w:rPr>
          <w:rFonts w:ascii="宋体" w:hAnsi="宋体"/>
          <w:color w:val="auto"/>
          <w:sz w:val="24"/>
          <w:highlight w:val="none"/>
        </w:rPr>
      </w:pPr>
    </w:p>
    <w:p w14:paraId="3CD3BE46">
      <w:pPr>
        <w:pStyle w:val="21"/>
        <w:rPr>
          <w:rFonts w:ascii="宋体" w:hAnsi="宋体"/>
          <w:color w:val="auto"/>
          <w:sz w:val="24"/>
          <w:highlight w:val="none"/>
        </w:rPr>
      </w:pPr>
    </w:p>
    <w:p w14:paraId="4E87A1DC">
      <w:pPr>
        <w:pStyle w:val="21"/>
        <w:rPr>
          <w:rFonts w:ascii="宋体" w:hAnsi="宋体"/>
          <w:color w:val="auto"/>
          <w:sz w:val="24"/>
          <w:highlight w:val="none"/>
        </w:rPr>
      </w:pPr>
    </w:p>
    <w:p w14:paraId="2CA5B12C">
      <w:pPr>
        <w:pStyle w:val="21"/>
        <w:rPr>
          <w:rFonts w:ascii="宋体" w:hAnsi="宋体"/>
          <w:color w:val="auto"/>
          <w:sz w:val="24"/>
          <w:highlight w:val="none"/>
        </w:rPr>
      </w:pPr>
    </w:p>
    <w:p w14:paraId="4FE4F54E">
      <w:pPr>
        <w:pStyle w:val="21"/>
        <w:rPr>
          <w:rFonts w:ascii="宋体" w:hAnsi="宋体"/>
          <w:color w:val="auto"/>
          <w:sz w:val="24"/>
          <w:highlight w:val="none"/>
        </w:rPr>
      </w:pPr>
    </w:p>
    <w:p w14:paraId="71070F35">
      <w:pPr>
        <w:pStyle w:val="21"/>
        <w:rPr>
          <w:rFonts w:ascii="宋体" w:hAnsi="宋体"/>
          <w:color w:val="auto"/>
          <w:sz w:val="24"/>
          <w:highlight w:val="none"/>
        </w:rPr>
      </w:pPr>
    </w:p>
    <w:p w14:paraId="0B91B88F">
      <w:pPr>
        <w:pStyle w:val="21"/>
        <w:rPr>
          <w:rFonts w:ascii="宋体" w:hAnsi="宋体"/>
          <w:color w:val="auto"/>
          <w:sz w:val="24"/>
          <w:highlight w:val="none"/>
        </w:rPr>
      </w:pPr>
    </w:p>
    <w:p w14:paraId="747312F5">
      <w:pPr>
        <w:pStyle w:val="21"/>
        <w:rPr>
          <w:rFonts w:ascii="宋体" w:hAnsi="宋体"/>
          <w:color w:val="auto"/>
          <w:sz w:val="24"/>
          <w:highlight w:val="none"/>
        </w:rPr>
      </w:pPr>
    </w:p>
    <w:p w14:paraId="25A3AA6B">
      <w:pPr>
        <w:pStyle w:val="21"/>
        <w:rPr>
          <w:rFonts w:ascii="宋体" w:hAnsi="宋体"/>
          <w:color w:val="auto"/>
          <w:sz w:val="24"/>
          <w:highlight w:val="none"/>
        </w:rPr>
      </w:pPr>
    </w:p>
    <w:p w14:paraId="3EC555E7">
      <w:pPr>
        <w:pStyle w:val="21"/>
        <w:rPr>
          <w:rFonts w:ascii="宋体" w:hAnsi="宋体"/>
          <w:color w:val="auto"/>
          <w:sz w:val="24"/>
          <w:highlight w:val="none"/>
        </w:rPr>
      </w:pPr>
    </w:p>
    <w:p w14:paraId="2EF003DF">
      <w:pPr>
        <w:spacing w:line="520" w:lineRule="exact"/>
        <w:jc w:val="center"/>
        <w:rPr>
          <w:rFonts w:ascii="宋体" w:hAnsi="宋体"/>
          <w:color w:val="auto"/>
          <w:sz w:val="24"/>
          <w:highlight w:val="none"/>
        </w:rPr>
      </w:pPr>
    </w:p>
    <w:p w14:paraId="4F702757">
      <w:pPr>
        <w:keepNext/>
        <w:keepLines/>
        <w:spacing w:before="340" w:after="330" w:line="578" w:lineRule="auto"/>
        <w:jc w:val="center"/>
        <w:outlineLvl w:val="0"/>
        <w:rPr>
          <w:rFonts w:hint="eastAsia" w:ascii="宋体" w:hAnsi="宋体"/>
          <w:color w:val="auto"/>
          <w:kern w:val="44"/>
          <w:sz w:val="44"/>
          <w:szCs w:val="44"/>
          <w:highlight w:val="none"/>
        </w:rPr>
      </w:pPr>
    </w:p>
    <w:p w14:paraId="7B75D361">
      <w:pPr>
        <w:keepNext/>
        <w:keepLines/>
        <w:spacing w:before="340" w:after="330" w:line="578" w:lineRule="auto"/>
        <w:jc w:val="center"/>
        <w:outlineLvl w:val="0"/>
        <w:rPr>
          <w:rFonts w:hint="eastAsia" w:ascii="宋体" w:hAnsi="宋体"/>
          <w:color w:val="auto"/>
          <w:kern w:val="44"/>
          <w:sz w:val="44"/>
          <w:szCs w:val="44"/>
          <w:highlight w:val="none"/>
        </w:rPr>
      </w:pPr>
    </w:p>
    <w:p w14:paraId="4FEB3AC4">
      <w:pPr>
        <w:keepNext/>
        <w:keepLines/>
        <w:spacing w:before="340" w:after="330" w:line="578" w:lineRule="auto"/>
        <w:jc w:val="center"/>
        <w:outlineLvl w:val="0"/>
        <w:rPr>
          <w:rFonts w:hint="eastAsia" w:ascii="宋体" w:hAnsi="宋体"/>
          <w:color w:val="auto"/>
          <w:kern w:val="44"/>
          <w:sz w:val="44"/>
          <w:szCs w:val="44"/>
          <w:highlight w:val="none"/>
        </w:rPr>
      </w:pPr>
    </w:p>
    <w:p w14:paraId="090503E2">
      <w:pPr>
        <w:keepNext/>
        <w:keepLines/>
        <w:spacing w:before="340" w:after="330" w:line="578" w:lineRule="auto"/>
        <w:jc w:val="center"/>
        <w:outlineLvl w:val="0"/>
        <w:rPr>
          <w:rFonts w:hint="eastAsia" w:ascii="宋体" w:hAnsi="宋体"/>
          <w:color w:val="auto"/>
          <w:kern w:val="44"/>
          <w:sz w:val="44"/>
          <w:szCs w:val="44"/>
          <w:highlight w:val="none"/>
        </w:rPr>
      </w:pPr>
    </w:p>
    <w:p w14:paraId="728B7E87">
      <w:pPr>
        <w:keepNext/>
        <w:keepLines/>
        <w:spacing w:before="340" w:after="330" w:line="578" w:lineRule="auto"/>
        <w:jc w:val="center"/>
        <w:outlineLvl w:val="0"/>
        <w:rPr>
          <w:rFonts w:ascii="宋体" w:hAnsi="宋体"/>
          <w:color w:val="auto"/>
          <w:kern w:val="44"/>
          <w:sz w:val="44"/>
          <w:szCs w:val="44"/>
          <w:highlight w:val="none"/>
        </w:rPr>
      </w:pPr>
      <w:bookmarkStart w:id="98" w:name="_Toc6357"/>
      <w:r>
        <w:rPr>
          <w:rFonts w:hint="eastAsia" w:ascii="宋体" w:hAnsi="宋体"/>
          <w:color w:val="auto"/>
          <w:kern w:val="44"/>
          <w:sz w:val="44"/>
          <w:szCs w:val="44"/>
          <w:highlight w:val="none"/>
        </w:rPr>
        <w:t>第六章 合同文本</w:t>
      </w:r>
      <w:r>
        <w:rPr>
          <w:rFonts w:ascii="宋体" w:hAnsi="宋体"/>
          <w:color w:val="auto"/>
          <w:kern w:val="44"/>
          <w:sz w:val="44"/>
          <w:szCs w:val="44"/>
          <w:highlight w:val="none"/>
        </w:rPr>
        <w:br w:type="page"/>
      </w:r>
      <w:bookmarkEnd w:id="98"/>
    </w:p>
    <w:p w14:paraId="446F0D0B">
      <w:pPr>
        <w:rPr>
          <w:rFonts w:ascii="宋体" w:hAnsi="宋体"/>
          <w:b/>
          <w:bCs/>
          <w:color w:val="auto"/>
          <w:highlight w:val="none"/>
        </w:rPr>
      </w:pPr>
      <w:r>
        <w:rPr>
          <w:rFonts w:hint="eastAsia" w:ascii="仿宋_GB2312" w:hAnsi="楷体" w:eastAsia="仿宋_GB2312"/>
          <w:color w:val="auto"/>
          <w:sz w:val="24"/>
          <w:highlight w:val="none"/>
        </w:rPr>
        <w:t>“</w:t>
      </w:r>
      <w:r>
        <w:rPr>
          <w:rFonts w:hint="eastAsia" w:ascii="仿宋_GB2312" w:hAnsi="楷体" w:eastAsia="仿宋_GB2312"/>
          <w:color w:val="auto"/>
          <w:sz w:val="24"/>
          <w:highlight w:val="none"/>
          <w:lang w:val="en-US" w:eastAsia="zh-CN"/>
        </w:rPr>
        <w:t>广西政府采购云平台</w:t>
      </w:r>
      <w:r>
        <w:rPr>
          <w:rFonts w:hint="eastAsia" w:ascii="仿宋_GB2312" w:hAnsi="楷体" w:eastAsia="仿宋_GB2312"/>
          <w:color w:val="auto"/>
          <w:sz w:val="24"/>
          <w:highlight w:val="none"/>
        </w:rPr>
        <w:t>”平台合同编号：</w:t>
      </w:r>
    </w:p>
    <w:p w14:paraId="6F6D9381">
      <w:pPr>
        <w:spacing w:line="360" w:lineRule="auto"/>
        <w:jc w:val="center"/>
        <w:rPr>
          <w:rFonts w:ascii="宋体"/>
          <w:b/>
          <w:bCs/>
          <w:color w:val="auto"/>
          <w:sz w:val="52"/>
          <w:highlight w:val="none"/>
        </w:rPr>
      </w:pPr>
      <w:r>
        <w:rPr>
          <w:rFonts w:hint="eastAsia" w:ascii="宋体"/>
          <w:b/>
          <w:bCs/>
          <w:color w:val="auto"/>
          <w:sz w:val="52"/>
          <w:highlight w:val="none"/>
        </w:rPr>
        <w:t>南 宁 市 政 府 采 购</w:t>
      </w:r>
    </w:p>
    <w:p w14:paraId="322BA302">
      <w:pPr>
        <w:spacing w:line="360" w:lineRule="auto"/>
        <w:ind w:firstLine="420" w:firstLineChars="200"/>
        <w:rPr>
          <w:rFonts w:ascii="宋体"/>
          <w:color w:val="auto"/>
          <w:highlight w:val="none"/>
        </w:rPr>
      </w:pPr>
    </w:p>
    <w:p w14:paraId="46D76BBC">
      <w:pPr>
        <w:spacing w:line="360" w:lineRule="auto"/>
        <w:ind w:firstLine="420" w:firstLineChars="200"/>
        <w:rPr>
          <w:rFonts w:ascii="宋体"/>
          <w:color w:val="auto"/>
          <w:highlight w:val="none"/>
        </w:rPr>
      </w:pPr>
    </w:p>
    <w:p w14:paraId="12DC72C1">
      <w:pPr>
        <w:spacing w:line="360" w:lineRule="auto"/>
        <w:jc w:val="center"/>
        <w:rPr>
          <w:rFonts w:ascii="宋体"/>
          <w:b/>
          <w:bCs/>
          <w:color w:val="auto"/>
          <w:sz w:val="44"/>
          <w:highlight w:val="none"/>
        </w:rPr>
      </w:pPr>
      <w:r>
        <w:rPr>
          <w:rFonts w:hint="eastAsia" w:ascii="宋体"/>
          <w:b/>
          <w:bCs/>
          <w:color w:val="auto"/>
          <w:sz w:val="44"/>
          <w:highlight w:val="none"/>
          <w:u w:val="single"/>
          <w:lang w:eastAsia="zh-CN"/>
        </w:rPr>
        <w:t>隆安县电子政务外网一期线路租用及设备升级服务项目</w:t>
      </w:r>
      <w:r>
        <w:rPr>
          <w:rFonts w:hint="eastAsia" w:ascii="宋体"/>
          <w:b/>
          <w:bCs/>
          <w:color w:val="auto"/>
          <w:sz w:val="44"/>
          <w:highlight w:val="none"/>
          <w:u w:val="single"/>
        </w:rPr>
        <w:t xml:space="preserve"> </w:t>
      </w:r>
      <w:r>
        <w:rPr>
          <w:rFonts w:hint="eastAsia" w:ascii="宋体"/>
          <w:b/>
          <w:bCs/>
          <w:color w:val="auto"/>
          <w:sz w:val="44"/>
          <w:highlight w:val="none"/>
        </w:rPr>
        <w:t>合同</w:t>
      </w:r>
    </w:p>
    <w:p w14:paraId="358CAD02">
      <w:pPr>
        <w:spacing w:line="360" w:lineRule="auto"/>
        <w:jc w:val="center"/>
        <w:rPr>
          <w:rFonts w:ascii="宋体"/>
          <w:b/>
          <w:bCs/>
          <w:color w:val="auto"/>
          <w:sz w:val="44"/>
          <w:highlight w:val="none"/>
        </w:rPr>
      </w:pPr>
    </w:p>
    <w:p w14:paraId="5C6CEB52">
      <w:pPr>
        <w:spacing w:line="360" w:lineRule="auto"/>
        <w:ind w:firstLine="3507" w:firstLineChars="794"/>
        <w:rPr>
          <w:rFonts w:ascii="宋体"/>
          <w:b/>
          <w:bCs/>
          <w:color w:val="auto"/>
          <w:sz w:val="44"/>
          <w:highlight w:val="none"/>
        </w:rPr>
      </w:pPr>
    </w:p>
    <w:p w14:paraId="1FC5B0D7">
      <w:pPr>
        <w:spacing w:line="360" w:lineRule="auto"/>
        <w:ind w:firstLine="3507" w:firstLineChars="794"/>
        <w:rPr>
          <w:rFonts w:ascii="宋体"/>
          <w:b/>
          <w:bCs/>
          <w:color w:val="auto"/>
          <w:sz w:val="44"/>
          <w:highlight w:val="none"/>
        </w:rPr>
      </w:pPr>
    </w:p>
    <w:p w14:paraId="1C012526">
      <w:pPr>
        <w:ind w:firstLine="1995" w:firstLineChars="552"/>
        <w:rPr>
          <w:rFonts w:hint="eastAsia" w:ascii="宋体" w:hAnsi="宋体"/>
          <w:b/>
          <w:color w:val="auto"/>
          <w:sz w:val="36"/>
          <w:szCs w:val="36"/>
          <w:highlight w:val="none"/>
        </w:rPr>
      </w:pPr>
      <w:r>
        <w:rPr>
          <w:rFonts w:hint="eastAsia" w:ascii="宋体" w:hAnsi="宋体"/>
          <w:b/>
          <w:color w:val="auto"/>
          <w:sz w:val="36"/>
          <w:szCs w:val="36"/>
          <w:highlight w:val="none"/>
        </w:rPr>
        <w:t>采购项目编号：</w:t>
      </w:r>
    </w:p>
    <w:p w14:paraId="5FCC4214">
      <w:pPr>
        <w:ind w:firstLine="1995" w:firstLineChars="552"/>
        <w:rPr>
          <w:rFonts w:ascii="宋体" w:hAnsi="宋体"/>
          <w:b/>
          <w:color w:val="auto"/>
          <w:sz w:val="36"/>
          <w:szCs w:val="36"/>
          <w:highlight w:val="none"/>
        </w:rPr>
      </w:pPr>
      <w:r>
        <w:rPr>
          <w:rFonts w:hint="eastAsia" w:ascii="宋体" w:hAnsi="宋体"/>
          <w:b/>
          <w:color w:val="auto"/>
          <w:sz w:val="36"/>
          <w:szCs w:val="36"/>
          <w:highlight w:val="none"/>
        </w:rPr>
        <w:t>采购计划编号：</w:t>
      </w:r>
    </w:p>
    <w:p w14:paraId="5C761CF8">
      <w:pPr>
        <w:ind w:firstLine="1308" w:firstLineChars="545"/>
        <w:rPr>
          <w:rFonts w:ascii="宋体" w:hAnsi="宋体" w:cs="宋体"/>
          <w:color w:val="auto"/>
          <w:sz w:val="24"/>
          <w:highlight w:val="none"/>
        </w:rPr>
      </w:pPr>
    </w:p>
    <w:p w14:paraId="3A7D7989">
      <w:pPr>
        <w:ind w:firstLine="1995" w:firstLineChars="552"/>
        <w:rPr>
          <w:rFonts w:ascii="宋体" w:hAnsi="宋体"/>
          <w:b/>
          <w:color w:val="auto"/>
          <w:sz w:val="36"/>
          <w:szCs w:val="36"/>
          <w:highlight w:val="none"/>
          <w:u w:val="single"/>
        </w:rPr>
      </w:pPr>
    </w:p>
    <w:p w14:paraId="3AD0422D">
      <w:pPr>
        <w:ind w:firstLine="1995" w:firstLineChars="552"/>
        <w:rPr>
          <w:rFonts w:ascii="宋体" w:hAnsi="宋体"/>
          <w:b/>
          <w:color w:val="auto"/>
          <w:sz w:val="36"/>
          <w:szCs w:val="36"/>
          <w:highlight w:val="none"/>
          <w:u w:val="single"/>
        </w:rPr>
      </w:pPr>
    </w:p>
    <w:p w14:paraId="29FFFDD2">
      <w:pPr>
        <w:tabs>
          <w:tab w:val="left" w:pos="7200"/>
        </w:tabs>
        <w:spacing w:line="360" w:lineRule="auto"/>
        <w:ind w:firstLine="1995" w:firstLineChars="552"/>
        <w:rPr>
          <w:rFonts w:hint="default" w:ascii="宋体" w:hAnsi="宋体" w:eastAsia="宋体"/>
          <w:b/>
          <w:color w:val="auto"/>
          <w:sz w:val="36"/>
          <w:szCs w:val="36"/>
          <w:highlight w:val="none"/>
          <w:u w:val="single"/>
          <w:lang w:val="en-US" w:eastAsia="zh-CN"/>
        </w:rPr>
      </w:pPr>
      <w:r>
        <w:rPr>
          <w:rFonts w:hint="eastAsia" w:ascii="宋体" w:hAnsi="宋体"/>
          <w:b/>
          <w:color w:val="auto"/>
          <w:sz w:val="36"/>
          <w:szCs w:val="36"/>
          <w:highlight w:val="none"/>
        </w:rPr>
        <w:t>采购人：</w:t>
      </w:r>
      <w:r>
        <w:rPr>
          <w:rFonts w:hint="eastAsia" w:ascii="宋体" w:hAnsi="宋体"/>
          <w:b/>
          <w:color w:val="auto"/>
          <w:sz w:val="36"/>
          <w:szCs w:val="36"/>
          <w:highlight w:val="none"/>
          <w:lang w:val="en-US" w:eastAsia="zh-CN"/>
        </w:rPr>
        <w:t>隆安县数据局</w:t>
      </w:r>
    </w:p>
    <w:p w14:paraId="1F5D8001">
      <w:pPr>
        <w:tabs>
          <w:tab w:val="left" w:pos="7380"/>
        </w:tabs>
        <w:spacing w:line="360" w:lineRule="auto"/>
        <w:ind w:firstLine="1995" w:firstLineChars="552"/>
        <w:rPr>
          <w:rFonts w:ascii="宋体"/>
          <w:b/>
          <w:bCs/>
          <w:color w:val="auto"/>
          <w:sz w:val="44"/>
          <w:highlight w:val="none"/>
        </w:rPr>
      </w:pPr>
      <w:r>
        <w:rPr>
          <w:rFonts w:hint="eastAsia" w:ascii="宋体" w:hAnsi="宋体"/>
          <w:b/>
          <w:color w:val="auto"/>
          <w:sz w:val="36"/>
          <w:szCs w:val="36"/>
          <w:highlight w:val="none"/>
        </w:rPr>
        <w:t>成交供应商：</w:t>
      </w:r>
    </w:p>
    <w:p w14:paraId="65835E53">
      <w:pPr>
        <w:tabs>
          <w:tab w:val="left" w:pos="7380"/>
        </w:tabs>
        <w:spacing w:line="360" w:lineRule="auto"/>
        <w:rPr>
          <w:rFonts w:ascii="宋体"/>
          <w:b/>
          <w:bCs/>
          <w:color w:val="auto"/>
          <w:sz w:val="44"/>
          <w:highlight w:val="none"/>
        </w:rPr>
      </w:pPr>
    </w:p>
    <w:p w14:paraId="1DA3CBA8">
      <w:pPr>
        <w:snapToGrid w:val="0"/>
        <w:spacing w:line="360" w:lineRule="auto"/>
        <w:jc w:val="center"/>
        <w:rPr>
          <w:rFonts w:ascii="仿宋_GB2312" w:hAnsi="楷体" w:eastAsia="仿宋_GB2312"/>
          <w:b/>
          <w:color w:val="auto"/>
          <w:sz w:val="24"/>
          <w:highlight w:val="none"/>
        </w:rPr>
      </w:pPr>
      <w:r>
        <w:rPr>
          <w:rFonts w:hint="eastAsia" w:ascii="宋体"/>
          <w:b/>
          <w:bCs/>
          <w:color w:val="auto"/>
          <w:sz w:val="44"/>
          <w:highlight w:val="none"/>
        </w:rPr>
        <w:br w:type="page"/>
      </w:r>
      <w:r>
        <w:rPr>
          <w:rFonts w:hint="eastAsia" w:ascii="仿宋_GB2312" w:hAnsi="楷体" w:eastAsia="仿宋_GB2312"/>
          <w:b/>
          <w:color w:val="auto"/>
          <w:sz w:val="24"/>
          <w:highlight w:val="none"/>
        </w:rPr>
        <w:t>合同目录</w:t>
      </w:r>
    </w:p>
    <w:p w14:paraId="547357E2">
      <w:pPr>
        <w:snapToGrid w:val="0"/>
        <w:spacing w:line="360" w:lineRule="auto"/>
        <w:jc w:val="center"/>
        <w:rPr>
          <w:rFonts w:ascii="宋体"/>
          <w:b/>
          <w:bCs/>
          <w:color w:val="auto"/>
          <w:sz w:val="44"/>
          <w:highlight w:val="none"/>
        </w:rPr>
      </w:pPr>
    </w:p>
    <w:p w14:paraId="0EAB5D9F">
      <w:pPr>
        <w:snapToGrid w:val="0"/>
        <w:spacing w:line="360" w:lineRule="auto"/>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一、</w:t>
      </w:r>
      <w:r>
        <w:rPr>
          <w:rFonts w:hint="eastAsia" w:ascii="仿宋_GB2312" w:hAnsi="仿宋" w:eastAsia="仿宋_GB2312"/>
          <w:color w:val="auto"/>
          <w:sz w:val="24"/>
          <w:highlight w:val="none"/>
        </w:rPr>
        <w:t>第一部分 合同书</w:t>
      </w:r>
      <w:r>
        <w:rPr>
          <w:rFonts w:hint="eastAsia" w:ascii="仿宋_GB2312" w:hAnsi="仿宋" w:eastAsia="仿宋_GB2312" w:cs="仿宋_GB2312"/>
          <w:color w:val="auto"/>
          <w:kern w:val="0"/>
          <w:sz w:val="24"/>
          <w:highlight w:val="none"/>
        </w:rPr>
        <w:t>……………………………………………………………（页码）</w:t>
      </w:r>
    </w:p>
    <w:p w14:paraId="71405932">
      <w:pPr>
        <w:snapToGrid w:val="0"/>
        <w:spacing w:line="360" w:lineRule="auto"/>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二、第二部分 合同一般条款……………………………………………………（页码）</w:t>
      </w:r>
    </w:p>
    <w:p w14:paraId="77DE470A">
      <w:pPr>
        <w:snapToGrid w:val="0"/>
        <w:spacing w:line="360" w:lineRule="auto"/>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三、第三部分 合同专用条款……………………………………………………（页码）</w:t>
      </w:r>
    </w:p>
    <w:p w14:paraId="1C231509">
      <w:pPr>
        <w:snapToGrid w:val="0"/>
        <w:spacing w:line="360" w:lineRule="auto"/>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四、</w:t>
      </w:r>
      <w:r>
        <w:rPr>
          <w:rFonts w:hint="eastAsia" w:ascii="仿宋_GB2312" w:hAnsi="仿宋" w:eastAsia="仿宋_GB2312"/>
          <w:color w:val="auto"/>
          <w:sz w:val="24"/>
          <w:highlight w:val="none"/>
        </w:rPr>
        <w:t>第四部分 合同附件</w:t>
      </w:r>
      <w:r>
        <w:rPr>
          <w:rFonts w:hint="eastAsia" w:ascii="仿宋_GB2312" w:hAnsi="仿宋" w:eastAsia="仿宋_GB2312" w:cs="仿宋_GB2312"/>
          <w:color w:val="auto"/>
          <w:kern w:val="0"/>
          <w:sz w:val="24"/>
          <w:highlight w:val="none"/>
        </w:rPr>
        <w:t>…………………………………………………………（页码）</w:t>
      </w:r>
    </w:p>
    <w:p w14:paraId="7E7D0316">
      <w:pPr>
        <w:snapToGrid w:val="0"/>
        <w:spacing w:line="360" w:lineRule="auto"/>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4.1成交通知书 …………………………………………………………………（页码）</w:t>
      </w:r>
    </w:p>
    <w:p w14:paraId="12689CBD">
      <w:pPr>
        <w:snapToGrid w:val="0"/>
        <w:spacing w:line="360" w:lineRule="auto"/>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4.2采购文件服务需求一览表 …………………………………………………（页码）</w:t>
      </w:r>
    </w:p>
    <w:p w14:paraId="78905676">
      <w:pPr>
        <w:snapToGrid w:val="0"/>
        <w:spacing w:line="360" w:lineRule="auto"/>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4.3采购文件的更改通知（如有） ……………………………………………（页码）</w:t>
      </w:r>
    </w:p>
    <w:p w14:paraId="06D2B6A9">
      <w:pPr>
        <w:snapToGrid w:val="0"/>
        <w:spacing w:line="360" w:lineRule="auto"/>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4.4响应函 ………………………………………………………………………（页码）</w:t>
      </w:r>
    </w:p>
    <w:p w14:paraId="1DE40D39">
      <w:pPr>
        <w:snapToGrid w:val="0"/>
        <w:spacing w:line="360" w:lineRule="auto"/>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4.5响应报价表 …………………………………………………………………（页码）</w:t>
      </w:r>
    </w:p>
    <w:p w14:paraId="645025A6">
      <w:pPr>
        <w:snapToGrid w:val="0"/>
        <w:spacing w:line="360" w:lineRule="auto"/>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4.6响应服务技术资料表 ………………………………………………………（页码）</w:t>
      </w:r>
    </w:p>
    <w:p w14:paraId="2B6D994F">
      <w:pPr>
        <w:snapToGrid w:val="0"/>
        <w:spacing w:line="360" w:lineRule="auto"/>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4.7商务条款偏离表 ……………………………………………………………（页码）</w:t>
      </w:r>
    </w:p>
    <w:p w14:paraId="2B7C4240">
      <w:pPr>
        <w:snapToGrid w:val="0"/>
        <w:spacing w:line="360" w:lineRule="auto"/>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4.8成交供应商澄清函（如有请提供） ………………………………………（页码）</w:t>
      </w:r>
    </w:p>
    <w:p w14:paraId="226BE19C">
      <w:pPr>
        <w:snapToGrid w:val="0"/>
        <w:spacing w:line="360" w:lineRule="auto"/>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4.9其他与本合同相关的资料（如有请提供） ………………………………（页码）</w:t>
      </w:r>
    </w:p>
    <w:p w14:paraId="2B7EC610">
      <w:pPr>
        <w:snapToGrid w:val="0"/>
        <w:spacing w:line="360" w:lineRule="auto"/>
        <w:rPr>
          <w:rFonts w:ascii="仿宋_GB2312" w:hAnsi="仿宋" w:eastAsia="仿宋_GB2312" w:cs="仿宋_GB2312"/>
          <w:color w:val="auto"/>
          <w:kern w:val="0"/>
          <w:sz w:val="24"/>
          <w:highlight w:val="none"/>
        </w:rPr>
      </w:pPr>
    </w:p>
    <w:p w14:paraId="1F21974B">
      <w:pPr>
        <w:ind w:firstLine="1126" w:firstLineChars="352"/>
        <w:rPr>
          <w:rFonts w:ascii="仿宋_GB2312" w:eastAsia="仿宋_GB2312"/>
          <w:color w:val="auto"/>
          <w:kern w:val="0"/>
          <w:sz w:val="32"/>
          <w:szCs w:val="20"/>
          <w:highlight w:val="none"/>
        </w:rPr>
        <w:sectPr>
          <w:pgSz w:w="11906" w:h="16838"/>
          <w:pgMar w:top="1134" w:right="1134" w:bottom="1134" w:left="1134" w:header="720" w:footer="720" w:gutter="0"/>
          <w:pgBorders>
            <w:top w:val="none" w:sz="0" w:space="0"/>
            <w:left w:val="none" w:sz="0" w:space="0"/>
            <w:bottom w:val="none" w:sz="0" w:space="0"/>
            <w:right w:val="none" w:sz="0" w:space="0"/>
          </w:pgBorders>
          <w:pgNumType w:fmt="decimal"/>
          <w:cols w:space="720" w:num="1"/>
          <w:docGrid w:type="lines" w:linePitch="331" w:charSpace="0"/>
        </w:sectPr>
      </w:pPr>
    </w:p>
    <w:p w14:paraId="3F676195">
      <w:pPr>
        <w:pStyle w:val="104"/>
        <w:spacing w:after="0"/>
        <w:ind w:firstLine="562"/>
        <w:jc w:val="center"/>
        <w:outlineLvl w:val="1"/>
        <w:rPr>
          <w:rFonts w:hint="eastAsia" w:ascii="仿宋_GB2312" w:hAnsi="楷体" w:eastAsia="仿宋_GB2312"/>
          <w:b/>
          <w:color w:val="auto"/>
          <w:sz w:val="28"/>
          <w:szCs w:val="28"/>
          <w:highlight w:val="none"/>
        </w:rPr>
      </w:pPr>
      <w:bookmarkStart w:id="99" w:name="_Toc21199"/>
      <w:bookmarkStart w:id="100" w:name="_Toc80886948"/>
      <w:bookmarkStart w:id="101" w:name="_Toc80205944"/>
      <w:r>
        <w:rPr>
          <w:rFonts w:hint="eastAsia" w:ascii="仿宋_GB2312" w:hAnsi="楷体" w:eastAsia="仿宋_GB2312"/>
          <w:b/>
          <w:color w:val="auto"/>
          <w:sz w:val="28"/>
          <w:szCs w:val="28"/>
          <w:highlight w:val="none"/>
        </w:rPr>
        <w:t>第一部分 合同书</w:t>
      </w:r>
      <w:bookmarkEnd w:id="99"/>
      <w:bookmarkEnd w:id="100"/>
      <w:bookmarkEnd w:id="101"/>
    </w:p>
    <w:p w14:paraId="20DC56D3">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u w:val="single"/>
          <w:lang w:val="zh-CN"/>
        </w:rPr>
        <w:t xml:space="preserve">     </w:t>
      </w:r>
      <w:r>
        <w:rPr>
          <w:rFonts w:hint="eastAsia" w:ascii="仿宋_GB2312" w:hAnsi="楷体" w:eastAsia="仿宋_GB2312"/>
          <w:color w:val="auto"/>
          <w:sz w:val="24"/>
          <w:highlight w:val="none"/>
          <w:lang w:val="zh-CN"/>
        </w:rPr>
        <w:t>年</w:t>
      </w:r>
      <w:r>
        <w:rPr>
          <w:rFonts w:hint="eastAsia" w:ascii="仿宋_GB2312" w:hAnsi="楷体" w:eastAsia="仿宋_GB2312"/>
          <w:color w:val="auto"/>
          <w:sz w:val="24"/>
          <w:highlight w:val="none"/>
          <w:u w:val="single"/>
          <w:lang w:val="zh-CN"/>
        </w:rPr>
        <w:t xml:space="preserve">    </w:t>
      </w:r>
      <w:r>
        <w:rPr>
          <w:rFonts w:hint="eastAsia" w:ascii="仿宋_GB2312" w:hAnsi="楷体" w:eastAsia="仿宋_GB2312"/>
          <w:color w:val="auto"/>
          <w:sz w:val="24"/>
          <w:highlight w:val="none"/>
          <w:lang w:val="zh-CN"/>
        </w:rPr>
        <w:t>月</w:t>
      </w:r>
      <w:r>
        <w:rPr>
          <w:rFonts w:hint="eastAsia" w:ascii="仿宋_GB2312" w:hAnsi="楷体" w:eastAsia="仿宋_GB2312"/>
          <w:color w:val="auto"/>
          <w:sz w:val="24"/>
          <w:highlight w:val="none"/>
          <w:u w:val="single"/>
          <w:lang w:val="zh-CN"/>
        </w:rPr>
        <w:t xml:space="preserve">    </w:t>
      </w:r>
      <w:r>
        <w:rPr>
          <w:rFonts w:hint="eastAsia" w:ascii="仿宋_GB2312" w:hAnsi="楷体" w:eastAsia="仿宋_GB2312"/>
          <w:color w:val="auto"/>
          <w:sz w:val="24"/>
          <w:highlight w:val="none"/>
          <w:lang w:val="zh-CN"/>
        </w:rPr>
        <w:t>日</w:t>
      </w:r>
      <w:r>
        <w:rPr>
          <w:rFonts w:hint="eastAsia" w:ascii="仿宋_GB2312" w:hAnsi="楷体" w:eastAsia="仿宋_GB2312"/>
          <w:color w:val="auto"/>
          <w:sz w:val="24"/>
          <w:highlight w:val="none"/>
        </w:rPr>
        <w:t>，</w:t>
      </w:r>
      <w:r>
        <w:rPr>
          <w:rFonts w:hint="eastAsia" w:ascii="仿宋_GB2312" w:hAnsi="仿宋" w:eastAsia="仿宋_GB2312"/>
          <w:color w:val="auto"/>
          <w:sz w:val="24"/>
          <w:highlight w:val="none"/>
          <w:u w:val="single"/>
        </w:rPr>
        <w:t xml:space="preserve">  </w:t>
      </w:r>
      <w:r>
        <w:rPr>
          <w:rFonts w:hint="eastAsia" w:ascii="仿宋_GB2312" w:hAnsi="仿宋" w:eastAsia="仿宋_GB2312"/>
          <w:color w:val="auto"/>
          <w:sz w:val="24"/>
          <w:highlight w:val="none"/>
          <w:u w:val="single"/>
          <w:lang w:eastAsia="zh-CN"/>
        </w:rPr>
        <w:t>隆安县数据局</w:t>
      </w:r>
      <w:r>
        <w:rPr>
          <w:rFonts w:hint="eastAsia" w:ascii="仿宋_GB2312" w:hAnsi="仿宋" w:eastAsia="仿宋_GB2312"/>
          <w:color w:val="auto"/>
          <w:sz w:val="24"/>
          <w:highlight w:val="none"/>
          <w:u w:val="single"/>
        </w:rPr>
        <w:t xml:space="preserve">  </w:t>
      </w:r>
      <w:r>
        <w:rPr>
          <w:rFonts w:ascii="仿宋_GB2312" w:hAnsi="仿宋" w:eastAsia="仿宋_GB2312"/>
          <w:color w:val="auto"/>
          <w:sz w:val="24"/>
          <w:highlight w:val="none"/>
          <w:u w:val="single"/>
        </w:rPr>
        <w:t xml:space="preserve"> </w:t>
      </w:r>
      <w:r>
        <w:rPr>
          <w:rFonts w:hint="eastAsia" w:ascii="仿宋_GB2312" w:hAnsi="仿宋" w:eastAsia="仿宋_GB2312"/>
          <w:color w:val="auto"/>
          <w:sz w:val="24"/>
          <w:highlight w:val="none"/>
        </w:rPr>
        <w:t>以</w:t>
      </w:r>
      <w:r>
        <w:rPr>
          <w:rFonts w:hint="eastAsia" w:ascii="仿宋_GB2312" w:hAnsi="仿宋" w:eastAsia="仿宋_GB2312"/>
          <w:color w:val="auto"/>
          <w:sz w:val="24"/>
          <w:highlight w:val="none"/>
          <w:u w:val="single"/>
        </w:rPr>
        <w:t xml:space="preserve">   竞争性磋商方式  </w:t>
      </w:r>
      <w:r>
        <w:rPr>
          <w:rFonts w:hint="eastAsia" w:ascii="仿宋_GB2312" w:hAnsi="仿宋" w:eastAsia="仿宋_GB2312"/>
          <w:color w:val="auto"/>
          <w:sz w:val="24"/>
          <w:highlight w:val="none"/>
        </w:rPr>
        <w:t>对</w:t>
      </w:r>
      <w:r>
        <w:rPr>
          <w:rFonts w:hint="eastAsia" w:ascii="仿宋_GB2312" w:hAnsi="仿宋" w:eastAsia="仿宋_GB2312"/>
          <w:color w:val="auto"/>
          <w:sz w:val="24"/>
          <w:highlight w:val="none"/>
          <w:u w:val="single"/>
        </w:rPr>
        <w:t xml:space="preserve">        </w:t>
      </w:r>
      <w:r>
        <w:rPr>
          <w:rFonts w:hint="eastAsia" w:ascii="仿宋_GB2312" w:hAnsi="楷体" w:eastAsia="仿宋_GB2312"/>
          <w:color w:val="auto"/>
          <w:sz w:val="24"/>
          <w:highlight w:val="none"/>
        </w:rPr>
        <w:t>项目进行了采购。经</w:t>
      </w:r>
      <w:r>
        <w:rPr>
          <w:rFonts w:hint="eastAsia" w:ascii="仿宋_GB2312" w:hAnsi="楷体" w:eastAsia="仿宋_GB2312"/>
          <w:color w:val="auto"/>
          <w:sz w:val="24"/>
          <w:highlight w:val="none"/>
          <w:u w:val="single"/>
        </w:rPr>
        <w:t xml:space="preserve">   （相关评定主体名称）   </w:t>
      </w:r>
      <w:r>
        <w:rPr>
          <w:rFonts w:hint="eastAsia" w:ascii="仿宋_GB2312" w:hAnsi="楷体" w:eastAsia="仿宋_GB2312"/>
          <w:color w:val="auto"/>
          <w:sz w:val="24"/>
          <w:highlight w:val="none"/>
        </w:rPr>
        <w:t>评定，</w:t>
      </w:r>
      <w:r>
        <w:rPr>
          <w:rFonts w:hint="eastAsia" w:ascii="仿宋_GB2312" w:hAnsi="楷体" w:eastAsia="仿宋_GB2312"/>
          <w:color w:val="auto"/>
          <w:sz w:val="24"/>
          <w:highlight w:val="none"/>
          <w:u w:val="single"/>
        </w:rPr>
        <w:t xml:space="preserve">   （供应商名称）</w:t>
      </w:r>
      <w:r>
        <w:rPr>
          <w:rFonts w:hint="eastAsia" w:ascii="仿宋_GB2312" w:hAnsi="楷体" w:eastAsia="仿宋_GB2312"/>
          <w:color w:val="auto"/>
          <w:sz w:val="24"/>
          <w:highlight w:val="none"/>
        </w:rPr>
        <w:t>为该项目成交供应商。现于成交通知书发出之日起</w:t>
      </w:r>
      <w:r>
        <w:rPr>
          <w:rFonts w:hint="eastAsia" w:ascii="仿宋_GB2312" w:hAnsi="楷体" w:eastAsia="仿宋_GB2312"/>
          <w:color w:val="auto"/>
          <w:sz w:val="24"/>
          <w:highlight w:val="none"/>
          <w:u w:val="single"/>
        </w:rPr>
        <w:t xml:space="preserve">    </w:t>
      </w:r>
      <w:r>
        <w:rPr>
          <w:rFonts w:hint="eastAsia" w:ascii="仿宋_GB2312" w:hAnsi="楷体" w:eastAsia="仿宋_GB2312"/>
          <w:color w:val="auto"/>
          <w:sz w:val="24"/>
          <w:highlight w:val="none"/>
        </w:rPr>
        <w:t>日（时限根据项目情况而定，不得超过25日）内，按照采购文件确定的事项签订本合同。</w:t>
      </w:r>
    </w:p>
    <w:p w14:paraId="7E55ADED">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lang w:val="zh-CN"/>
        </w:rPr>
        <w:t>根据《中华人民共和国民法典》、《中华人民共和国政府采购法》等相关法律法规之规定，按照平等、自愿、公平和诚实信用的原则，经</w:t>
      </w:r>
      <w:r>
        <w:rPr>
          <w:rFonts w:hint="eastAsia" w:ascii="仿宋_GB2312" w:hAnsi="楷体" w:eastAsia="仿宋_GB2312"/>
          <w:color w:val="auto"/>
          <w:sz w:val="24"/>
          <w:highlight w:val="none"/>
          <w:u w:val="single"/>
        </w:rPr>
        <w:t xml:space="preserve"> </w:t>
      </w:r>
      <w:r>
        <w:rPr>
          <w:rFonts w:hint="eastAsia" w:ascii="仿宋_GB2312" w:hAnsi="楷体" w:eastAsia="仿宋_GB2312"/>
          <w:color w:val="auto"/>
          <w:sz w:val="24"/>
          <w:highlight w:val="none"/>
          <w:u w:val="single"/>
          <w:lang w:eastAsia="zh-CN"/>
        </w:rPr>
        <w:t>隆安县数据局</w:t>
      </w:r>
      <w:r>
        <w:rPr>
          <w:rFonts w:hint="eastAsia" w:ascii="仿宋_GB2312" w:hAnsi="楷体" w:eastAsia="仿宋_GB2312"/>
          <w:color w:val="auto"/>
          <w:sz w:val="24"/>
          <w:highlight w:val="none"/>
          <w:u w:val="single"/>
        </w:rPr>
        <w:t xml:space="preserve">  </w:t>
      </w:r>
      <w:r>
        <w:rPr>
          <w:rFonts w:hint="eastAsia" w:ascii="仿宋_GB2312" w:hAnsi="楷体" w:eastAsia="仿宋_GB2312"/>
          <w:color w:val="auto"/>
          <w:sz w:val="24"/>
          <w:highlight w:val="none"/>
          <w:lang w:val="zh-CN"/>
        </w:rPr>
        <w:t>(以下简称：甲方)和</w:t>
      </w:r>
      <w:r>
        <w:rPr>
          <w:rFonts w:hint="eastAsia" w:ascii="仿宋_GB2312" w:hAnsi="楷体" w:eastAsia="仿宋_GB2312"/>
          <w:color w:val="auto"/>
          <w:sz w:val="24"/>
          <w:highlight w:val="none"/>
          <w:u w:val="single"/>
        </w:rPr>
        <w:t xml:space="preserve">   （中标人名称）   </w:t>
      </w:r>
      <w:r>
        <w:rPr>
          <w:rFonts w:hint="eastAsia" w:ascii="仿宋_GB2312" w:hAnsi="楷体" w:eastAsia="仿宋_GB2312"/>
          <w:color w:val="auto"/>
          <w:sz w:val="24"/>
          <w:highlight w:val="none"/>
          <w:lang w:val="zh-CN"/>
        </w:rPr>
        <w:t>(以下简称：乙方)协商一致，约定以下合同</w:t>
      </w:r>
      <w:r>
        <w:rPr>
          <w:rFonts w:hint="eastAsia" w:ascii="仿宋_GB2312" w:hAnsi="楷体" w:eastAsia="仿宋_GB2312"/>
          <w:color w:val="auto"/>
          <w:sz w:val="24"/>
          <w:highlight w:val="none"/>
        </w:rPr>
        <w:t>条款，以兹共同遵守、全面履行。</w:t>
      </w:r>
    </w:p>
    <w:p w14:paraId="773CE9DF">
      <w:pPr>
        <w:spacing w:line="360" w:lineRule="auto"/>
        <w:ind w:firstLine="482" w:firstLineChars="200"/>
        <w:rPr>
          <w:rFonts w:hint="eastAsia" w:ascii="仿宋_GB2312" w:hAnsi="楷体" w:eastAsia="仿宋_GB2312"/>
          <w:b/>
          <w:color w:val="auto"/>
          <w:sz w:val="24"/>
          <w:highlight w:val="none"/>
        </w:rPr>
      </w:pPr>
      <w:bookmarkStart w:id="102" w:name="_Toc24059"/>
      <w:bookmarkStart w:id="103" w:name="_Toc3029"/>
      <w:bookmarkStart w:id="104" w:name="_Toc2232"/>
      <w:r>
        <w:rPr>
          <w:rFonts w:hint="eastAsia" w:ascii="仿宋_GB2312" w:hAnsi="楷体" w:eastAsia="仿宋_GB2312"/>
          <w:b/>
          <w:color w:val="auto"/>
          <w:sz w:val="24"/>
          <w:highlight w:val="none"/>
        </w:rPr>
        <w:t>1.1 合同组成部分</w:t>
      </w:r>
      <w:bookmarkEnd w:id="102"/>
      <w:bookmarkEnd w:id="103"/>
      <w:bookmarkEnd w:id="104"/>
    </w:p>
    <w:p w14:paraId="77D28A77">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下列文件为本合同的组成部分，并构成一个整体，需综合解释、相互补充。如果下列文件内容出现不一致的情形，在保证按照采购文件确定的事项的前提下，组成本合同的多个文件的优先适用顺序如下：</w:t>
      </w:r>
    </w:p>
    <w:p w14:paraId="57530758">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1.1.1 本合同及其补充合同、变更协议；</w:t>
      </w:r>
    </w:p>
    <w:p w14:paraId="5327FF95">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1.1.2 成交通知书；</w:t>
      </w:r>
    </w:p>
    <w:p w14:paraId="704063F3">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1.1.3 采购文件及“响应报价”（含澄清或者说明文件）；</w:t>
      </w:r>
    </w:p>
    <w:p w14:paraId="79D7DD0D">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1.1.4 采购文件（含澄清或者修改文件）；</w:t>
      </w:r>
    </w:p>
    <w:p w14:paraId="239B10C2">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1.1.5 其他相关采购文件。</w:t>
      </w:r>
    </w:p>
    <w:p w14:paraId="796C92CE">
      <w:pPr>
        <w:spacing w:line="360" w:lineRule="auto"/>
        <w:ind w:firstLine="482" w:firstLineChars="200"/>
        <w:rPr>
          <w:rFonts w:hint="eastAsia" w:ascii="仿宋_GB2312" w:hAnsi="楷体" w:eastAsia="仿宋_GB2312"/>
          <w:b/>
          <w:color w:val="auto"/>
          <w:sz w:val="24"/>
          <w:highlight w:val="none"/>
        </w:rPr>
      </w:pPr>
      <w:bookmarkStart w:id="105" w:name="_Toc24300"/>
      <w:bookmarkStart w:id="106" w:name="_Toc27126"/>
      <w:bookmarkStart w:id="107" w:name="_Toc21295"/>
      <w:r>
        <w:rPr>
          <w:rFonts w:hint="eastAsia" w:ascii="仿宋_GB2312" w:hAnsi="楷体" w:eastAsia="仿宋_GB2312"/>
          <w:b/>
          <w:color w:val="auto"/>
          <w:sz w:val="24"/>
          <w:highlight w:val="none"/>
        </w:rPr>
        <w:t>1.2 标的物</w:t>
      </w:r>
      <w:bookmarkEnd w:id="105"/>
      <w:bookmarkEnd w:id="106"/>
      <w:bookmarkEnd w:id="107"/>
    </w:p>
    <w:p w14:paraId="267A37C8">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1.2.1 标的物1信息</w:t>
      </w:r>
    </w:p>
    <w:p w14:paraId="20A21563">
      <w:pPr>
        <w:spacing w:line="360" w:lineRule="auto"/>
        <w:ind w:firstLine="480" w:firstLineChars="200"/>
        <w:rPr>
          <w:rFonts w:hint="eastAsia" w:ascii="仿宋_GB2312" w:hAnsi="楷体" w:eastAsia="仿宋_GB2312"/>
          <w:color w:val="auto"/>
          <w:sz w:val="24"/>
          <w:highlight w:val="none"/>
          <w:u w:val="single"/>
        </w:rPr>
      </w:pPr>
      <w:r>
        <w:rPr>
          <w:rFonts w:hint="eastAsia" w:ascii="仿宋_GB2312" w:hAnsi="楷体" w:eastAsia="仿宋_GB2312"/>
          <w:color w:val="auto"/>
          <w:sz w:val="24"/>
          <w:highlight w:val="none"/>
        </w:rPr>
        <w:t>1.2.1.1名称：</w:t>
      </w:r>
      <w:r>
        <w:rPr>
          <w:rFonts w:hint="eastAsia" w:ascii="仿宋_GB2312" w:hAnsi="楷体" w:eastAsia="仿宋_GB2312"/>
          <w:color w:val="auto"/>
          <w:sz w:val="24"/>
          <w:highlight w:val="none"/>
          <w:u w:val="single"/>
        </w:rPr>
        <w:t xml:space="preserve">                                        </w:t>
      </w:r>
      <w:r>
        <w:rPr>
          <w:rFonts w:hint="eastAsia" w:ascii="仿宋_GB2312" w:hAnsi="楷体" w:eastAsia="仿宋_GB2312"/>
          <w:color w:val="auto"/>
          <w:sz w:val="24"/>
          <w:highlight w:val="none"/>
        </w:rPr>
        <w:t>；</w:t>
      </w:r>
    </w:p>
    <w:p w14:paraId="7D74A1C3">
      <w:pPr>
        <w:spacing w:line="360" w:lineRule="auto"/>
        <w:ind w:firstLine="480" w:firstLineChars="200"/>
        <w:rPr>
          <w:rFonts w:hint="eastAsia" w:ascii="仿宋_GB2312" w:hAnsi="楷体" w:eastAsia="仿宋_GB2312"/>
          <w:color w:val="auto"/>
          <w:sz w:val="24"/>
          <w:highlight w:val="none"/>
          <w:u w:val="single"/>
        </w:rPr>
      </w:pPr>
      <w:r>
        <w:rPr>
          <w:rFonts w:hint="eastAsia" w:ascii="仿宋_GB2312" w:hAnsi="楷体" w:eastAsia="仿宋_GB2312"/>
          <w:color w:val="auto"/>
          <w:sz w:val="24"/>
          <w:highlight w:val="none"/>
        </w:rPr>
        <w:t>1.2.1.2数量：</w:t>
      </w:r>
      <w:r>
        <w:rPr>
          <w:rFonts w:hint="eastAsia" w:ascii="仿宋_GB2312" w:hAnsi="楷体" w:eastAsia="仿宋_GB2312"/>
          <w:color w:val="auto"/>
          <w:sz w:val="24"/>
          <w:highlight w:val="none"/>
          <w:u w:val="single"/>
        </w:rPr>
        <w:t xml:space="preserve">                                        </w:t>
      </w:r>
      <w:r>
        <w:rPr>
          <w:rFonts w:hint="eastAsia" w:ascii="仿宋_GB2312" w:hAnsi="楷体" w:eastAsia="仿宋_GB2312"/>
          <w:color w:val="auto"/>
          <w:sz w:val="24"/>
          <w:highlight w:val="none"/>
        </w:rPr>
        <w:t>；</w:t>
      </w:r>
    </w:p>
    <w:p w14:paraId="05B4BD26">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1.2.1.3质量：</w:t>
      </w:r>
      <w:r>
        <w:rPr>
          <w:rFonts w:hint="eastAsia" w:ascii="仿宋_GB2312" w:hAnsi="楷体" w:eastAsia="仿宋_GB2312"/>
          <w:color w:val="auto"/>
          <w:sz w:val="24"/>
          <w:highlight w:val="none"/>
          <w:u w:val="single"/>
        </w:rPr>
        <w:t xml:space="preserve">　                                      </w:t>
      </w:r>
      <w:r>
        <w:rPr>
          <w:rFonts w:hint="eastAsia" w:ascii="仿宋_GB2312" w:hAnsi="楷体" w:eastAsia="仿宋_GB2312"/>
          <w:color w:val="auto"/>
          <w:sz w:val="24"/>
          <w:highlight w:val="none"/>
        </w:rPr>
        <w:t>。</w:t>
      </w:r>
    </w:p>
    <w:p w14:paraId="6C34C51B">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w:t>
      </w:r>
    </w:p>
    <w:p w14:paraId="5AD3DB30">
      <w:pPr>
        <w:spacing w:line="360" w:lineRule="auto"/>
        <w:ind w:firstLine="482" w:firstLineChars="200"/>
        <w:rPr>
          <w:rFonts w:hint="eastAsia" w:ascii="仿宋_GB2312" w:hAnsi="楷体" w:eastAsia="仿宋_GB2312"/>
          <w:b/>
          <w:color w:val="auto"/>
          <w:sz w:val="24"/>
          <w:highlight w:val="none"/>
        </w:rPr>
      </w:pPr>
      <w:bookmarkStart w:id="108" w:name="_Toc21631"/>
      <w:bookmarkStart w:id="109" w:name="_Toc21551"/>
      <w:bookmarkStart w:id="110" w:name="_Toc23292"/>
      <w:r>
        <w:rPr>
          <w:rFonts w:hint="eastAsia" w:ascii="仿宋_GB2312" w:hAnsi="楷体" w:eastAsia="仿宋_GB2312"/>
          <w:b/>
          <w:color w:val="auto"/>
          <w:sz w:val="24"/>
          <w:highlight w:val="none"/>
        </w:rPr>
        <w:t>1.3 价款</w:t>
      </w:r>
      <w:bookmarkEnd w:id="108"/>
      <w:bookmarkEnd w:id="109"/>
      <w:bookmarkEnd w:id="110"/>
    </w:p>
    <w:p w14:paraId="7EC0CB38">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lang w:val="en-US" w:eastAsia="zh-CN"/>
        </w:rPr>
        <w:t>1.3.1</w:t>
      </w:r>
      <w:r>
        <w:rPr>
          <w:rFonts w:hint="eastAsia" w:ascii="仿宋_GB2312" w:hAnsi="楷体" w:eastAsia="仿宋_GB2312"/>
          <w:color w:val="auto"/>
          <w:sz w:val="24"/>
          <w:highlight w:val="none"/>
        </w:rPr>
        <w:t>本合同总价为：人民币</w:t>
      </w:r>
      <w:r>
        <w:rPr>
          <w:rFonts w:hint="eastAsia" w:ascii="仿宋_GB2312" w:hAnsi="楷体" w:eastAsia="仿宋_GB2312"/>
          <w:color w:val="auto"/>
          <w:sz w:val="24"/>
          <w:highlight w:val="none"/>
          <w:u w:val="single"/>
        </w:rPr>
        <w:t xml:space="preserve">           </w:t>
      </w:r>
      <w:r>
        <w:rPr>
          <w:rFonts w:hint="eastAsia" w:ascii="仿宋_GB2312" w:hAnsi="楷体" w:eastAsia="仿宋_GB2312"/>
          <w:color w:val="auto"/>
          <w:sz w:val="24"/>
          <w:highlight w:val="none"/>
        </w:rPr>
        <w:t>元（大写：</w:t>
      </w:r>
      <w:r>
        <w:rPr>
          <w:rFonts w:hint="eastAsia" w:ascii="仿宋_GB2312" w:hAnsi="楷体" w:eastAsia="仿宋_GB2312"/>
          <w:color w:val="auto"/>
          <w:sz w:val="24"/>
          <w:highlight w:val="none"/>
          <w:u w:val="single"/>
        </w:rPr>
        <w:t xml:space="preserve">                 </w:t>
      </w:r>
      <w:r>
        <w:rPr>
          <w:rFonts w:hint="eastAsia" w:ascii="仿宋_GB2312" w:hAnsi="楷体" w:eastAsia="仿宋_GB2312"/>
          <w:color w:val="auto"/>
          <w:sz w:val="24"/>
          <w:highlight w:val="none"/>
        </w:rPr>
        <w:t>元人民币，含税）。</w:t>
      </w:r>
    </w:p>
    <w:p w14:paraId="63470C07">
      <w:pPr>
        <w:spacing w:line="360" w:lineRule="auto"/>
        <w:ind w:firstLine="480" w:firstLineChars="200"/>
        <w:rPr>
          <w:rFonts w:hint="eastAsia" w:ascii="仿宋_GB2312" w:hAnsi="楷体" w:eastAsia="仿宋_GB2312"/>
          <w:color w:val="auto"/>
          <w:sz w:val="24"/>
          <w:highlight w:val="none"/>
          <w:u w:val="single"/>
        </w:rPr>
      </w:pPr>
      <w:r>
        <w:rPr>
          <w:rFonts w:hint="eastAsia" w:ascii="仿宋_GB2312" w:hAnsi="楷体" w:eastAsia="仿宋_GB2312"/>
          <w:color w:val="auto"/>
          <w:sz w:val="24"/>
          <w:highlight w:val="none"/>
        </w:rPr>
        <w:t>分项价格：</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46E97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noWrap w:val="0"/>
            <w:vAlign w:val="center"/>
          </w:tcPr>
          <w:p w14:paraId="77142550">
            <w:pPr>
              <w:keepNext w:val="0"/>
              <w:keepLines w:val="0"/>
              <w:suppressLineNumbers w:val="0"/>
              <w:spacing w:before="0" w:beforeAutospacing="0" w:after="0" w:afterAutospacing="0" w:line="360" w:lineRule="auto"/>
              <w:ind w:left="0" w:right="0" w:firstLine="480" w:firstLineChars="200"/>
              <w:rPr>
                <w:rFonts w:hint="eastAsia" w:ascii="仿宋_GB2312" w:hAnsi="楷体" w:eastAsia="仿宋_GB2312" w:cs="Times New Roman"/>
                <w:color w:val="auto"/>
                <w:sz w:val="24"/>
                <w:highlight w:val="none"/>
              </w:rPr>
            </w:pPr>
            <w:r>
              <w:rPr>
                <w:rFonts w:hint="eastAsia" w:ascii="仿宋_GB2312" w:hAnsi="楷体" w:eastAsia="仿宋_GB2312" w:cs="Times New Roman"/>
                <w:color w:val="auto"/>
                <w:sz w:val="24"/>
                <w:highlight w:val="none"/>
              </w:rPr>
              <w:t>序号</w:t>
            </w:r>
          </w:p>
        </w:tc>
        <w:tc>
          <w:tcPr>
            <w:tcW w:w="3402" w:type="dxa"/>
            <w:noWrap w:val="0"/>
            <w:vAlign w:val="center"/>
          </w:tcPr>
          <w:p w14:paraId="6C829FCC">
            <w:pPr>
              <w:keepNext w:val="0"/>
              <w:keepLines w:val="0"/>
              <w:suppressLineNumbers w:val="0"/>
              <w:spacing w:before="0" w:beforeAutospacing="0" w:after="0" w:afterAutospacing="0" w:line="360" w:lineRule="auto"/>
              <w:ind w:left="0" w:right="0" w:firstLine="480" w:firstLineChars="200"/>
              <w:rPr>
                <w:rFonts w:hint="eastAsia" w:ascii="仿宋_GB2312" w:hAnsi="楷体" w:eastAsia="仿宋_GB2312" w:cs="Times New Roman"/>
                <w:color w:val="auto"/>
                <w:sz w:val="24"/>
                <w:highlight w:val="none"/>
              </w:rPr>
            </w:pPr>
            <w:r>
              <w:rPr>
                <w:rFonts w:hint="eastAsia" w:ascii="仿宋_GB2312" w:hAnsi="楷体" w:eastAsia="仿宋_GB2312" w:cs="Times New Roman"/>
                <w:color w:val="auto"/>
                <w:sz w:val="24"/>
                <w:highlight w:val="none"/>
              </w:rPr>
              <w:t>分项名称</w:t>
            </w:r>
          </w:p>
        </w:tc>
        <w:tc>
          <w:tcPr>
            <w:tcW w:w="2552" w:type="dxa"/>
            <w:noWrap w:val="0"/>
            <w:vAlign w:val="center"/>
          </w:tcPr>
          <w:p w14:paraId="02974EAB">
            <w:pPr>
              <w:keepNext w:val="0"/>
              <w:keepLines w:val="0"/>
              <w:suppressLineNumbers w:val="0"/>
              <w:spacing w:before="0" w:beforeAutospacing="0" w:after="0" w:afterAutospacing="0" w:line="360" w:lineRule="auto"/>
              <w:ind w:left="0" w:right="0" w:firstLine="480" w:firstLineChars="200"/>
              <w:rPr>
                <w:rFonts w:hint="eastAsia" w:ascii="仿宋_GB2312" w:hAnsi="楷体" w:eastAsia="仿宋_GB2312" w:cs="Times New Roman"/>
                <w:color w:val="auto"/>
                <w:sz w:val="24"/>
                <w:highlight w:val="none"/>
              </w:rPr>
            </w:pPr>
            <w:r>
              <w:rPr>
                <w:rFonts w:hint="eastAsia" w:ascii="仿宋_GB2312" w:hAnsi="楷体" w:eastAsia="仿宋_GB2312" w:cs="Times New Roman"/>
                <w:color w:val="auto"/>
                <w:sz w:val="24"/>
                <w:highlight w:val="none"/>
              </w:rPr>
              <w:t>分项价格</w:t>
            </w:r>
          </w:p>
        </w:tc>
      </w:tr>
      <w:tr w14:paraId="5FA54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noWrap w:val="0"/>
            <w:vAlign w:val="center"/>
          </w:tcPr>
          <w:p w14:paraId="1D490234">
            <w:pPr>
              <w:keepNext w:val="0"/>
              <w:keepLines w:val="0"/>
              <w:suppressLineNumbers w:val="0"/>
              <w:spacing w:before="0" w:beforeAutospacing="0" w:after="0" w:afterAutospacing="0" w:line="360" w:lineRule="auto"/>
              <w:ind w:left="0" w:right="0" w:firstLine="480" w:firstLineChars="200"/>
              <w:rPr>
                <w:rFonts w:hint="eastAsia" w:ascii="仿宋_GB2312" w:hAnsi="楷体" w:eastAsia="仿宋_GB2312" w:cs="Times New Roman"/>
                <w:color w:val="auto"/>
                <w:sz w:val="24"/>
                <w:highlight w:val="none"/>
              </w:rPr>
            </w:pPr>
          </w:p>
        </w:tc>
        <w:tc>
          <w:tcPr>
            <w:tcW w:w="3402" w:type="dxa"/>
            <w:noWrap w:val="0"/>
            <w:vAlign w:val="center"/>
          </w:tcPr>
          <w:p w14:paraId="02A3BE53">
            <w:pPr>
              <w:keepNext w:val="0"/>
              <w:keepLines w:val="0"/>
              <w:suppressLineNumbers w:val="0"/>
              <w:spacing w:before="0" w:beforeAutospacing="0" w:after="0" w:afterAutospacing="0" w:line="360" w:lineRule="auto"/>
              <w:ind w:left="0" w:right="0" w:firstLine="480" w:firstLineChars="200"/>
              <w:rPr>
                <w:rFonts w:hint="eastAsia" w:ascii="仿宋_GB2312" w:hAnsi="楷体" w:eastAsia="仿宋_GB2312" w:cs="Times New Roman"/>
                <w:color w:val="auto"/>
                <w:sz w:val="24"/>
                <w:highlight w:val="none"/>
              </w:rPr>
            </w:pPr>
          </w:p>
        </w:tc>
        <w:tc>
          <w:tcPr>
            <w:tcW w:w="2552" w:type="dxa"/>
            <w:noWrap w:val="0"/>
            <w:vAlign w:val="center"/>
          </w:tcPr>
          <w:p w14:paraId="62F135A2">
            <w:pPr>
              <w:keepNext w:val="0"/>
              <w:keepLines w:val="0"/>
              <w:suppressLineNumbers w:val="0"/>
              <w:spacing w:before="0" w:beforeAutospacing="0" w:after="0" w:afterAutospacing="0" w:line="360" w:lineRule="auto"/>
              <w:ind w:left="0" w:right="0" w:firstLine="480" w:firstLineChars="200"/>
              <w:rPr>
                <w:rFonts w:hint="eastAsia" w:ascii="仿宋_GB2312" w:hAnsi="楷体" w:eastAsia="仿宋_GB2312" w:cs="Times New Roman"/>
                <w:color w:val="auto"/>
                <w:sz w:val="24"/>
                <w:highlight w:val="none"/>
              </w:rPr>
            </w:pPr>
          </w:p>
        </w:tc>
      </w:tr>
      <w:tr w14:paraId="0F8FD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noWrap w:val="0"/>
            <w:vAlign w:val="center"/>
          </w:tcPr>
          <w:p w14:paraId="04E9CA1E">
            <w:pPr>
              <w:keepNext w:val="0"/>
              <w:keepLines w:val="0"/>
              <w:suppressLineNumbers w:val="0"/>
              <w:spacing w:before="0" w:beforeAutospacing="0" w:after="0" w:afterAutospacing="0" w:line="360" w:lineRule="auto"/>
              <w:ind w:left="0" w:right="0" w:firstLine="480" w:firstLineChars="200"/>
              <w:rPr>
                <w:rFonts w:hint="eastAsia" w:ascii="仿宋_GB2312" w:hAnsi="楷体" w:eastAsia="仿宋_GB2312" w:cs="Times New Roman"/>
                <w:color w:val="auto"/>
                <w:sz w:val="24"/>
                <w:highlight w:val="none"/>
              </w:rPr>
            </w:pPr>
          </w:p>
        </w:tc>
        <w:tc>
          <w:tcPr>
            <w:tcW w:w="3402" w:type="dxa"/>
            <w:noWrap w:val="0"/>
            <w:vAlign w:val="center"/>
          </w:tcPr>
          <w:p w14:paraId="565CDF84">
            <w:pPr>
              <w:keepNext w:val="0"/>
              <w:keepLines w:val="0"/>
              <w:suppressLineNumbers w:val="0"/>
              <w:spacing w:before="0" w:beforeAutospacing="0" w:after="0" w:afterAutospacing="0" w:line="360" w:lineRule="auto"/>
              <w:ind w:left="0" w:right="0" w:firstLine="480" w:firstLineChars="200"/>
              <w:rPr>
                <w:rFonts w:hint="eastAsia" w:ascii="仿宋_GB2312" w:hAnsi="楷体" w:eastAsia="仿宋_GB2312" w:cs="Times New Roman"/>
                <w:color w:val="auto"/>
                <w:sz w:val="24"/>
                <w:highlight w:val="none"/>
              </w:rPr>
            </w:pPr>
          </w:p>
        </w:tc>
        <w:tc>
          <w:tcPr>
            <w:tcW w:w="2552" w:type="dxa"/>
            <w:noWrap w:val="0"/>
            <w:vAlign w:val="center"/>
          </w:tcPr>
          <w:p w14:paraId="1A589278">
            <w:pPr>
              <w:keepNext w:val="0"/>
              <w:keepLines w:val="0"/>
              <w:suppressLineNumbers w:val="0"/>
              <w:spacing w:before="0" w:beforeAutospacing="0" w:after="0" w:afterAutospacing="0" w:line="360" w:lineRule="auto"/>
              <w:ind w:left="0" w:right="0" w:firstLine="480" w:firstLineChars="200"/>
              <w:rPr>
                <w:rFonts w:hint="eastAsia" w:ascii="仿宋_GB2312" w:hAnsi="楷体" w:eastAsia="仿宋_GB2312" w:cs="Times New Roman"/>
                <w:color w:val="auto"/>
                <w:sz w:val="24"/>
                <w:highlight w:val="none"/>
              </w:rPr>
            </w:pPr>
          </w:p>
        </w:tc>
      </w:tr>
      <w:tr w14:paraId="7E964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noWrap w:val="0"/>
            <w:vAlign w:val="center"/>
          </w:tcPr>
          <w:p w14:paraId="3641F854">
            <w:pPr>
              <w:keepNext w:val="0"/>
              <w:keepLines w:val="0"/>
              <w:suppressLineNumbers w:val="0"/>
              <w:spacing w:before="0" w:beforeAutospacing="0" w:after="0" w:afterAutospacing="0" w:line="360" w:lineRule="auto"/>
              <w:ind w:left="0" w:right="0" w:firstLine="480" w:firstLineChars="200"/>
              <w:rPr>
                <w:rFonts w:hint="eastAsia" w:ascii="仿宋_GB2312" w:hAnsi="楷体" w:eastAsia="仿宋_GB2312" w:cs="Times New Roman"/>
                <w:color w:val="auto"/>
                <w:sz w:val="24"/>
                <w:highlight w:val="none"/>
              </w:rPr>
            </w:pPr>
          </w:p>
        </w:tc>
        <w:tc>
          <w:tcPr>
            <w:tcW w:w="3402" w:type="dxa"/>
            <w:noWrap w:val="0"/>
            <w:vAlign w:val="center"/>
          </w:tcPr>
          <w:p w14:paraId="7A6A684B">
            <w:pPr>
              <w:keepNext w:val="0"/>
              <w:keepLines w:val="0"/>
              <w:suppressLineNumbers w:val="0"/>
              <w:spacing w:before="0" w:beforeAutospacing="0" w:after="0" w:afterAutospacing="0" w:line="360" w:lineRule="auto"/>
              <w:ind w:left="0" w:right="0" w:firstLine="480" w:firstLineChars="200"/>
              <w:rPr>
                <w:rFonts w:hint="eastAsia" w:ascii="仿宋_GB2312" w:hAnsi="楷体" w:eastAsia="仿宋_GB2312" w:cs="Times New Roman"/>
                <w:color w:val="auto"/>
                <w:sz w:val="24"/>
                <w:highlight w:val="none"/>
              </w:rPr>
            </w:pPr>
          </w:p>
        </w:tc>
        <w:tc>
          <w:tcPr>
            <w:tcW w:w="2552" w:type="dxa"/>
            <w:noWrap w:val="0"/>
            <w:vAlign w:val="center"/>
          </w:tcPr>
          <w:p w14:paraId="0132608B">
            <w:pPr>
              <w:keepNext w:val="0"/>
              <w:keepLines w:val="0"/>
              <w:suppressLineNumbers w:val="0"/>
              <w:spacing w:before="0" w:beforeAutospacing="0" w:after="0" w:afterAutospacing="0" w:line="360" w:lineRule="auto"/>
              <w:ind w:left="0" w:right="0" w:firstLine="480" w:firstLineChars="200"/>
              <w:rPr>
                <w:rFonts w:hint="eastAsia" w:ascii="仿宋_GB2312" w:hAnsi="楷体" w:eastAsia="仿宋_GB2312" w:cs="Times New Roman"/>
                <w:color w:val="auto"/>
                <w:sz w:val="24"/>
                <w:highlight w:val="none"/>
              </w:rPr>
            </w:pPr>
          </w:p>
        </w:tc>
      </w:tr>
      <w:tr w14:paraId="7AD2F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noWrap w:val="0"/>
            <w:vAlign w:val="center"/>
          </w:tcPr>
          <w:p w14:paraId="2E5AD122">
            <w:pPr>
              <w:keepNext w:val="0"/>
              <w:keepLines w:val="0"/>
              <w:suppressLineNumbers w:val="0"/>
              <w:spacing w:before="0" w:beforeAutospacing="0" w:after="0" w:afterAutospacing="0" w:line="360" w:lineRule="auto"/>
              <w:ind w:left="0" w:right="0" w:firstLine="480" w:firstLineChars="200"/>
              <w:rPr>
                <w:rFonts w:hint="eastAsia" w:ascii="仿宋_GB2312" w:hAnsi="楷体" w:eastAsia="仿宋_GB2312" w:cs="Times New Roman"/>
                <w:color w:val="auto"/>
                <w:sz w:val="24"/>
                <w:highlight w:val="none"/>
              </w:rPr>
            </w:pPr>
            <w:r>
              <w:rPr>
                <w:rFonts w:hint="eastAsia" w:ascii="仿宋_GB2312" w:hAnsi="楷体" w:eastAsia="仿宋_GB2312" w:cs="Times New Roman"/>
                <w:color w:val="auto"/>
                <w:sz w:val="24"/>
                <w:highlight w:val="none"/>
              </w:rPr>
              <w:t>总价</w:t>
            </w:r>
          </w:p>
        </w:tc>
        <w:tc>
          <w:tcPr>
            <w:tcW w:w="2552" w:type="dxa"/>
            <w:noWrap w:val="0"/>
            <w:vAlign w:val="center"/>
          </w:tcPr>
          <w:p w14:paraId="074E3D2E">
            <w:pPr>
              <w:keepNext w:val="0"/>
              <w:keepLines w:val="0"/>
              <w:suppressLineNumbers w:val="0"/>
              <w:spacing w:before="0" w:beforeAutospacing="0" w:after="0" w:afterAutospacing="0" w:line="360" w:lineRule="auto"/>
              <w:ind w:left="0" w:right="0" w:firstLine="480" w:firstLineChars="200"/>
              <w:rPr>
                <w:rFonts w:hint="eastAsia" w:ascii="仿宋_GB2312" w:hAnsi="楷体" w:eastAsia="仿宋_GB2312" w:cs="Times New Roman"/>
                <w:color w:val="auto"/>
                <w:sz w:val="24"/>
                <w:highlight w:val="none"/>
              </w:rPr>
            </w:pPr>
          </w:p>
        </w:tc>
      </w:tr>
    </w:tbl>
    <w:p w14:paraId="634DF196">
      <w:pPr>
        <w:spacing w:line="360" w:lineRule="auto"/>
        <w:ind w:firstLine="482" w:firstLineChars="200"/>
        <w:rPr>
          <w:rFonts w:hint="eastAsia" w:ascii="仿宋_GB2312" w:hAnsi="楷体" w:eastAsia="仿宋_GB2312"/>
          <w:b/>
          <w:color w:val="auto"/>
          <w:sz w:val="24"/>
          <w:highlight w:val="none"/>
        </w:rPr>
      </w:pPr>
      <w:bookmarkStart w:id="111" w:name="_Toc10340"/>
      <w:bookmarkStart w:id="112" w:name="_Toc22618"/>
      <w:bookmarkStart w:id="113" w:name="_Toc1814"/>
      <w:r>
        <w:rPr>
          <w:rFonts w:hint="eastAsia" w:ascii="仿宋_GB2312" w:hAnsi="楷体" w:eastAsia="仿宋_GB2312"/>
          <w:b/>
          <w:color w:val="auto"/>
          <w:sz w:val="24"/>
          <w:highlight w:val="none"/>
        </w:rPr>
        <w:t>1.4 付款方式和发票开具方式</w:t>
      </w:r>
      <w:bookmarkEnd w:id="111"/>
      <w:bookmarkEnd w:id="112"/>
      <w:bookmarkEnd w:id="113"/>
    </w:p>
    <w:p w14:paraId="7A3A65E0">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1.4.1 付款方式：</w:t>
      </w:r>
      <w:r>
        <w:rPr>
          <w:rFonts w:hint="eastAsia" w:ascii="仿宋_GB2312" w:hAnsi="楷体" w:eastAsia="仿宋_GB2312"/>
          <w:color w:val="auto"/>
          <w:sz w:val="24"/>
          <w:highlight w:val="none"/>
          <w:u w:val="single"/>
        </w:rPr>
        <w:t xml:space="preserve">                                                </w:t>
      </w:r>
      <w:r>
        <w:rPr>
          <w:rFonts w:hint="eastAsia" w:ascii="仿宋_GB2312" w:hAnsi="楷体" w:eastAsia="仿宋_GB2312"/>
          <w:color w:val="auto"/>
          <w:sz w:val="24"/>
          <w:highlight w:val="none"/>
        </w:rPr>
        <w:t>；</w:t>
      </w:r>
    </w:p>
    <w:p w14:paraId="68A8170C">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1.4.2 发票开具方式：</w:t>
      </w:r>
      <w:r>
        <w:rPr>
          <w:rFonts w:hint="eastAsia" w:ascii="仿宋_GB2312" w:hAnsi="楷体" w:eastAsia="仿宋_GB2312"/>
          <w:color w:val="auto"/>
          <w:sz w:val="24"/>
          <w:highlight w:val="none"/>
          <w:u w:val="single"/>
        </w:rPr>
        <w:t xml:space="preserve">                                            </w:t>
      </w:r>
      <w:r>
        <w:rPr>
          <w:rFonts w:hint="eastAsia" w:ascii="仿宋_GB2312" w:hAnsi="楷体" w:eastAsia="仿宋_GB2312"/>
          <w:color w:val="auto"/>
          <w:sz w:val="24"/>
          <w:highlight w:val="none"/>
        </w:rPr>
        <w:t>。</w:t>
      </w:r>
    </w:p>
    <w:p w14:paraId="2089621D">
      <w:pPr>
        <w:spacing w:line="360" w:lineRule="auto"/>
        <w:ind w:firstLine="482" w:firstLineChars="200"/>
        <w:rPr>
          <w:rFonts w:hint="eastAsia" w:ascii="仿宋_GB2312" w:hAnsi="楷体" w:eastAsia="仿宋_GB2312"/>
          <w:b/>
          <w:color w:val="auto"/>
          <w:sz w:val="24"/>
          <w:highlight w:val="none"/>
        </w:rPr>
      </w:pPr>
      <w:bookmarkStart w:id="114" w:name="_Toc2846"/>
      <w:bookmarkStart w:id="115" w:name="_Toc19304"/>
      <w:bookmarkStart w:id="116" w:name="_Toc32071"/>
      <w:r>
        <w:rPr>
          <w:rFonts w:hint="eastAsia" w:ascii="仿宋_GB2312" w:hAnsi="楷体" w:eastAsia="仿宋_GB2312"/>
          <w:b/>
          <w:color w:val="auto"/>
          <w:sz w:val="24"/>
          <w:highlight w:val="none"/>
        </w:rPr>
        <w:t>1.5 标的物交付期限、地点、方式</w:t>
      </w:r>
      <w:bookmarkEnd w:id="114"/>
      <w:bookmarkEnd w:id="115"/>
      <w:bookmarkEnd w:id="116"/>
      <w:r>
        <w:rPr>
          <w:rFonts w:hint="eastAsia" w:ascii="仿宋_GB2312" w:hAnsi="楷体" w:eastAsia="仿宋_GB2312"/>
          <w:b/>
          <w:color w:val="auto"/>
          <w:sz w:val="24"/>
          <w:highlight w:val="none"/>
        </w:rPr>
        <w:t>和服务期限</w:t>
      </w:r>
    </w:p>
    <w:p w14:paraId="25C2A79A">
      <w:pPr>
        <w:spacing w:line="360" w:lineRule="auto"/>
        <w:ind w:firstLine="480" w:firstLineChars="200"/>
        <w:rPr>
          <w:rFonts w:hint="eastAsia" w:ascii="仿宋_GB2312" w:hAnsi="楷体" w:eastAsia="仿宋_GB2312"/>
          <w:color w:val="auto"/>
          <w:sz w:val="24"/>
          <w:highlight w:val="none"/>
          <w:u w:val="single"/>
        </w:rPr>
      </w:pPr>
      <w:r>
        <w:rPr>
          <w:rFonts w:hint="eastAsia" w:ascii="仿宋_GB2312" w:hAnsi="楷体" w:eastAsia="仿宋_GB2312"/>
          <w:color w:val="auto"/>
          <w:sz w:val="24"/>
          <w:highlight w:val="none"/>
        </w:rPr>
        <w:t>1.5.1 交付期限：</w:t>
      </w:r>
      <w:r>
        <w:rPr>
          <w:rFonts w:hint="eastAsia" w:ascii="仿宋_GB2312" w:hAnsi="楷体" w:eastAsia="仿宋_GB2312"/>
          <w:color w:val="auto"/>
          <w:sz w:val="24"/>
          <w:highlight w:val="none"/>
          <w:u w:val="single"/>
        </w:rPr>
        <w:t xml:space="preserve">                                                 ；</w:t>
      </w:r>
    </w:p>
    <w:p w14:paraId="2FFE762B">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1.5.2 交付地点：</w:t>
      </w:r>
      <w:r>
        <w:rPr>
          <w:rFonts w:hint="eastAsia" w:ascii="仿宋_GB2312" w:hAnsi="楷体" w:eastAsia="仿宋_GB2312"/>
          <w:color w:val="auto"/>
          <w:sz w:val="24"/>
          <w:highlight w:val="none"/>
          <w:u w:val="single"/>
        </w:rPr>
        <w:t xml:space="preserve">                                                </w:t>
      </w:r>
      <w:r>
        <w:rPr>
          <w:rFonts w:hint="eastAsia" w:ascii="仿宋_GB2312" w:hAnsi="楷体" w:eastAsia="仿宋_GB2312"/>
          <w:color w:val="auto"/>
          <w:sz w:val="24"/>
          <w:highlight w:val="none"/>
        </w:rPr>
        <w:t>；</w:t>
      </w:r>
    </w:p>
    <w:p w14:paraId="3DE83099">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1.5.3 交付方式：</w:t>
      </w:r>
      <w:r>
        <w:rPr>
          <w:rFonts w:hint="eastAsia" w:ascii="仿宋_GB2312" w:hAnsi="楷体" w:eastAsia="仿宋_GB2312"/>
          <w:color w:val="auto"/>
          <w:sz w:val="24"/>
          <w:highlight w:val="none"/>
          <w:u w:val="single"/>
        </w:rPr>
        <w:t xml:space="preserve">                                        　      </w:t>
      </w:r>
      <w:r>
        <w:rPr>
          <w:rFonts w:hint="eastAsia" w:ascii="仿宋_GB2312" w:hAnsi="楷体" w:eastAsia="仿宋_GB2312"/>
          <w:color w:val="auto"/>
          <w:sz w:val="24"/>
          <w:highlight w:val="none"/>
        </w:rPr>
        <w:t>；</w:t>
      </w:r>
    </w:p>
    <w:p w14:paraId="6DF50B96">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1.5.</w:t>
      </w:r>
      <w:r>
        <w:rPr>
          <w:rFonts w:ascii="仿宋_GB2312" w:hAnsi="楷体" w:eastAsia="仿宋_GB2312"/>
          <w:color w:val="auto"/>
          <w:sz w:val="24"/>
          <w:highlight w:val="none"/>
        </w:rPr>
        <w:t>4</w:t>
      </w:r>
      <w:r>
        <w:rPr>
          <w:rFonts w:hint="eastAsia" w:ascii="仿宋_GB2312" w:hAnsi="楷体" w:eastAsia="仿宋_GB2312"/>
          <w:color w:val="auto"/>
          <w:sz w:val="24"/>
          <w:highlight w:val="none"/>
        </w:rPr>
        <w:t xml:space="preserve"> 服务及质保期限：</w:t>
      </w:r>
      <w:r>
        <w:rPr>
          <w:rFonts w:hint="eastAsia" w:ascii="仿宋_GB2312" w:hAnsi="楷体" w:eastAsia="仿宋_GB2312"/>
          <w:color w:val="auto"/>
          <w:sz w:val="24"/>
          <w:highlight w:val="none"/>
          <w:u w:val="single"/>
        </w:rPr>
        <w:t xml:space="preserve">                                           </w:t>
      </w:r>
      <w:r>
        <w:rPr>
          <w:rFonts w:hint="eastAsia" w:ascii="仿宋_GB2312" w:hAnsi="楷体" w:eastAsia="仿宋_GB2312"/>
          <w:color w:val="auto"/>
          <w:sz w:val="24"/>
          <w:highlight w:val="none"/>
        </w:rPr>
        <w:t>。</w:t>
      </w:r>
    </w:p>
    <w:p w14:paraId="10C3C90D">
      <w:pPr>
        <w:spacing w:line="360" w:lineRule="auto"/>
        <w:ind w:firstLine="482" w:firstLineChars="200"/>
        <w:rPr>
          <w:rFonts w:hint="eastAsia" w:ascii="仿宋_GB2312" w:hAnsi="楷体" w:eastAsia="仿宋_GB2312"/>
          <w:b/>
          <w:color w:val="auto"/>
          <w:sz w:val="24"/>
          <w:highlight w:val="none"/>
        </w:rPr>
      </w:pPr>
      <w:bookmarkStart w:id="117" w:name="_Toc27250"/>
      <w:bookmarkStart w:id="118" w:name="_Toc21423"/>
      <w:bookmarkStart w:id="119" w:name="_Toc19554"/>
      <w:r>
        <w:rPr>
          <w:rFonts w:hint="eastAsia" w:ascii="仿宋_GB2312" w:hAnsi="楷体" w:eastAsia="仿宋_GB2312"/>
          <w:b/>
          <w:color w:val="auto"/>
          <w:sz w:val="24"/>
          <w:highlight w:val="none"/>
        </w:rPr>
        <w:t>1.6 违约责任</w:t>
      </w:r>
      <w:bookmarkEnd w:id="117"/>
      <w:bookmarkEnd w:id="118"/>
      <w:bookmarkEnd w:id="119"/>
    </w:p>
    <w:p w14:paraId="1CC8E307">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1.6.1 除不可抗力外，如果乙方没有按照本合同约定的期限、地点和方式交付标的物，甲方可要求乙方支付违约金，违约金按每迟延交付标的物一日的应交付而未交付标的物价格的</w:t>
      </w:r>
      <w:r>
        <w:rPr>
          <w:rFonts w:hint="eastAsia" w:ascii="仿宋_GB2312" w:hAnsi="楷体" w:eastAsia="仿宋_GB2312"/>
          <w:color w:val="auto"/>
          <w:sz w:val="24"/>
          <w:highlight w:val="none"/>
          <w:u w:val="single"/>
        </w:rPr>
        <w:t>万分之五</w:t>
      </w:r>
      <w:r>
        <w:rPr>
          <w:rFonts w:hint="eastAsia" w:ascii="仿宋_GB2312" w:hAnsi="楷体" w:eastAsia="仿宋_GB2312"/>
          <w:color w:val="auto"/>
          <w:sz w:val="24"/>
          <w:highlight w:val="none"/>
        </w:rPr>
        <w:t>（根据项目实际填写，一般为万分之五）计算，最高限额为本合同总价的</w:t>
      </w:r>
      <w:r>
        <w:rPr>
          <w:rFonts w:hint="eastAsia" w:ascii="仿宋_GB2312" w:hAnsi="楷体" w:eastAsia="仿宋_GB2312"/>
          <w:color w:val="auto"/>
          <w:sz w:val="24"/>
          <w:highlight w:val="none"/>
          <w:u w:val="single"/>
        </w:rPr>
        <w:t xml:space="preserve">     </w:t>
      </w:r>
      <w:r>
        <w:rPr>
          <w:rFonts w:hint="eastAsia" w:ascii="仿宋_GB2312" w:hAnsi="楷体" w:eastAsia="仿宋_GB2312"/>
          <w:color w:val="auto"/>
          <w:sz w:val="24"/>
          <w:highlight w:val="none"/>
        </w:rPr>
        <w:t xml:space="preserve">%（根据项目实际填写，一般为20%）；迟延超过【 </w:t>
      </w:r>
      <w:r>
        <w:rPr>
          <w:rFonts w:ascii="仿宋_GB2312" w:hAnsi="楷体" w:eastAsia="仿宋_GB2312"/>
          <w:color w:val="auto"/>
          <w:sz w:val="24"/>
          <w:highlight w:val="none"/>
        </w:rPr>
        <w:t xml:space="preserve"> </w:t>
      </w:r>
      <w:r>
        <w:rPr>
          <w:rFonts w:hint="eastAsia" w:ascii="仿宋_GB2312" w:hAnsi="楷体" w:eastAsia="仿宋_GB2312"/>
          <w:color w:val="auto"/>
          <w:sz w:val="24"/>
          <w:highlight w:val="none"/>
        </w:rPr>
        <w:t>】日的，甲方有权在要求乙方支付违约金的同时，书面通知乙方解除本合同，乙方应退回全部已收取的合同价款并按合同总金额的</w:t>
      </w:r>
      <w:r>
        <w:rPr>
          <w:rFonts w:hint="eastAsia" w:ascii="仿宋_GB2312" w:hAnsi="楷体" w:eastAsia="仿宋_GB2312"/>
          <w:color w:val="auto"/>
          <w:sz w:val="24"/>
          <w:highlight w:val="none"/>
          <w:u w:val="single"/>
        </w:rPr>
        <w:t xml:space="preserve">     </w:t>
      </w:r>
      <w:r>
        <w:rPr>
          <w:rFonts w:hint="eastAsia" w:ascii="仿宋_GB2312" w:hAnsi="楷体" w:eastAsia="仿宋_GB2312"/>
          <w:color w:val="auto"/>
          <w:sz w:val="24"/>
          <w:highlight w:val="none"/>
        </w:rPr>
        <w:t>%（根据项目实际填写，一般为20%）向甲方支付违约金；</w:t>
      </w:r>
    </w:p>
    <w:p w14:paraId="36764029">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1.6.2 除不可抗力外，如果甲方没有按照本合同约定的付款方式付款，乙方可要求甲方支付违约金，违约金按每迟延付款一日的应付而未付款的</w:t>
      </w:r>
      <w:r>
        <w:rPr>
          <w:rFonts w:hint="eastAsia" w:ascii="仿宋_GB2312" w:hAnsi="楷体" w:eastAsia="仿宋_GB2312"/>
          <w:color w:val="auto"/>
          <w:sz w:val="24"/>
          <w:highlight w:val="none"/>
          <w:u w:val="single"/>
        </w:rPr>
        <w:t>万分之五</w:t>
      </w:r>
      <w:r>
        <w:rPr>
          <w:rFonts w:hint="eastAsia" w:ascii="仿宋_GB2312" w:hAnsi="楷体" w:eastAsia="仿宋_GB2312"/>
          <w:color w:val="auto"/>
          <w:sz w:val="24"/>
          <w:highlight w:val="none"/>
        </w:rPr>
        <w:t>（根据项目实际填写，一般为万分之五）计算，最高限额为欠付金额的</w:t>
      </w:r>
      <w:r>
        <w:rPr>
          <w:rFonts w:hint="eastAsia" w:ascii="仿宋_GB2312" w:hAnsi="楷体" w:eastAsia="仿宋_GB2312"/>
          <w:color w:val="auto"/>
          <w:sz w:val="24"/>
          <w:highlight w:val="none"/>
          <w:u w:val="single"/>
        </w:rPr>
        <w:t xml:space="preserve">      </w:t>
      </w:r>
      <w:r>
        <w:rPr>
          <w:rFonts w:hint="eastAsia" w:ascii="仿宋_GB2312" w:hAnsi="楷体" w:eastAsia="仿宋_GB2312"/>
          <w:color w:val="auto"/>
          <w:sz w:val="24"/>
          <w:highlight w:val="none"/>
        </w:rPr>
        <w:t>%（根据项目实际填写，一般为20%）；迟延付款的违约金计算数额达到前述最高限额之日起，乙方有权在要求甲方支付违约金的同时，书面通知甲方解除本合同；</w:t>
      </w:r>
    </w:p>
    <w:p w14:paraId="219C0AFF">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1.6.3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5BC9410C">
      <w:pPr>
        <w:spacing w:line="360" w:lineRule="auto"/>
        <w:ind w:left="239" w:leftChars="114" w:firstLine="240" w:firstLineChars="100"/>
        <w:rPr>
          <w:rFonts w:hint="eastAsia" w:ascii="仿宋" w:hAnsi="仿宋" w:eastAsia="仿宋" w:cs="仿宋"/>
          <w:color w:val="auto"/>
          <w:sz w:val="24"/>
          <w:highlight w:val="none"/>
        </w:rPr>
      </w:pPr>
      <w:r>
        <w:rPr>
          <w:rFonts w:hint="eastAsia" w:ascii="仿宋_GB2312" w:hAnsi="楷体" w:eastAsia="仿宋_GB2312"/>
          <w:color w:val="auto"/>
          <w:sz w:val="24"/>
          <w:highlight w:val="none"/>
        </w:rPr>
        <w:t>1.6.4乙方在质保期内未按承诺提供售后等服务的，每发生一次向甲方支付</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_GB2312" w:hAnsi="楷体" w:eastAsia="仿宋_GB2312"/>
          <w:color w:val="auto"/>
          <w:sz w:val="24"/>
          <w:highlight w:val="none"/>
        </w:rPr>
        <w:t>元（根据项目实际填写，一般为2000元）的违约金。</w:t>
      </w:r>
    </w:p>
    <w:p w14:paraId="4A2FF98A">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1.6.5 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0308BD35">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1.6.6 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0276B482">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1.6.7 如果出现政府采购监督管理部门在处理投诉事项期间，书面通知甲方暂停采购活动的情形，或者询问或质疑事项可能影响中标结果的，导致甲方中止履行合同的情形，均不视为甲方违约。</w:t>
      </w:r>
    </w:p>
    <w:p w14:paraId="39859D7C">
      <w:pPr>
        <w:spacing w:line="360" w:lineRule="auto"/>
        <w:ind w:firstLine="482" w:firstLineChars="200"/>
        <w:rPr>
          <w:rFonts w:hint="eastAsia" w:ascii="仿宋_GB2312" w:hAnsi="楷体" w:eastAsia="仿宋_GB2312"/>
          <w:b/>
          <w:color w:val="auto"/>
          <w:sz w:val="24"/>
          <w:highlight w:val="none"/>
        </w:rPr>
      </w:pPr>
      <w:bookmarkStart w:id="120" w:name="_Toc16021"/>
      <w:bookmarkStart w:id="121" w:name="_Toc28375"/>
      <w:bookmarkStart w:id="122" w:name="_Toc15583"/>
      <w:r>
        <w:rPr>
          <w:rFonts w:hint="eastAsia" w:ascii="仿宋_GB2312" w:hAnsi="楷体" w:eastAsia="仿宋_GB2312"/>
          <w:b/>
          <w:color w:val="auto"/>
          <w:sz w:val="24"/>
          <w:highlight w:val="none"/>
        </w:rPr>
        <w:t>1.7 合同争议的解决</w:t>
      </w:r>
      <w:bookmarkEnd w:id="120"/>
      <w:bookmarkEnd w:id="121"/>
      <w:bookmarkEnd w:id="122"/>
    </w:p>
    <w:p w14:paraId="7F172624">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本合同履行过程中发生的任何争议，双方当事人均可通过和解或者调解解决；不愿和解、调解或者和解、调解不成的，可以选择下列第</w:t>
      </w:r>
      <w:r>
        <w:rPr>
          <w:rFonts w:hint="eastAsia" w:ascii="仿宋_GB2312" w:hAnsi="楷体" w:eastAsia="仿宋_GB2312"/>
          <w:color w:val="auto"/>
          <w:sz w:val="24"/>
          <w:highlight w:val="none"/>
          <w:u w:val="single"/>
        </w:rPr>
        <w:t xml:space="preserve">     </w:t>
      </w:r>
      <w:r>
        <w:rPr>
          <w:rFonts w:hint="eastAsia" w:ascii="仿宋_GB2312" w:hAnsi="楷体" w:eastAsia="仿宋_GB2312"/>
          <w:color w:val="auto"/>
          <w:sz w:val="24"/>
          <w:highlight w:val="none"/>
        </w:rPr>
        <w:t>种方式解决：</w:t>
      </w:r>
    </w:p>
    <w:p w14:paraId="620AB447">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1.7.1 将争议提交</w:t>
      </w:r>
      <w:r>
        <w:rPr>
          <w:rFonts w:hint="eastAsia" w:ascii="仿宋_GB2312" w:hAnsi="楷体" w:eastAsia="仿宋_GB2312"/>
          <w:color w:val="auto"/>
          <w:sz w:val="24"/>
          <w:highlight w:val="none"/>
          <w:u w:val="single"/>
        </w:rPr>
        <w:t>南宁</w:t>
      </w:r>
      <w:r>
        <w:rPr>
          <w:rFonts w:hint="eastAsia" w:ascii="仿宋_GB2312" w:hAnsi="楷体" w:eastAsia="仿宋_GB2312"/>
          <w:color w:val="auto"/>
          <w:sz w:val="24"/>
          <w:highlight w:val="none"/>
        </w:rPr>
        <w:t>仲裁委员会依申请仲裁时其现行有效的仲裁规则裁决；</w:t>
      </w:r>
    </w:p>
    <w:p w14:paraId="7BC70830">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1.7.2 向</w:t>
      </w:r>
      <w:r>
        <w:rPr>
          <w:rFonts w:hint="eastAsia" w:ascii="仿宋_GB2312" w:hAnsi="楷体" w:eastAsia="仿宋_GB2312"/>
          <w:color w:val="auto"/>
          <w:sz w:val="24"/>
          <w:highlight w:val="none"/>
          <w:u w:val="single"/>
        </w:rPr>
        <w:t xml:space="preserve">   甲方所在地  </w:t>
      </w:r>
      <w:r>
        <w:rPr>
          <w:rFonts w:hint="eastAsia" w:ascii="仿宋_GB2312" w:hAnsi="楷体" w:eastAsia="仿宋_GB2312"/>
          <w:color w:val="auto"/>
          <w:sz w:val="24"/>
          <w:highlight w:val="none"/>
        </w:rPr>
        <w:t>人民法院起诉。</w:t>
      </w:r>
    </w:p>
    <w:p w14:paraId="66528D0B">
      <w:pPr>
        <w:spacing w:line="360" w:lineRule="auto"/>
        <w:ind w:firstLine="482" w:firstLineChars="200"/>
        <w:rPr>
          <w:rFonts w:hint="eastAsia" w:ascii="仿宋_GB2312" w:hAnsi="楷体" w:eastAsia="仿宋_GB2312"/>
          <w:b/>
          <w:color w:val="auto"/>
          <w:sz w:val="24"/>
          <w:highlight w:val="none"/>
        </w:rPr>
      </w:pPr>
      <w:bookmarkStart w:id="123" w:name="_Toc15322"/>
      <w:bookmarkStart w:id="124" w:name="_Toc11173"/>
      <w:bookmarkStart w:id="125" w:name="_Toc7245"/>
      <w:r>
        <w:rPr>
          <w:rFonts w:hint="eastAsia" w:ascii="仿宋_GB2312" w:hAnsi="楷体" w:eastAsia="仿宋_GB2312"/>
          <w:b/>
          <w:color w:val="auto"/>
          <w:sz w:val="24"/>
          <w:highlight w:val="none"/>
        </w:rPr>
        <w:t>1.8 合同生效</w:t>
      </w:r>
      <w:bookmarkEnd w:id="123"/>
      <w:bookmarkEnd w:id="124"/>
      <w:bookmarkEnd w:id="125"/>
    </w:p>
    <w:p w14:paraId="73146A21">
      <w:pPr>
        <w:spacing w:line="360" w:lineRule="auto"/>
        <w:ind w:firstLine="480" w:firstLineChars="200"/>
        <w:rPr>
          <w:rFonts w:hint="eastAsia" w:ascii="仿宋_GB2312" w:hAnsi="楷体" w:eastAsia="仿宋_GB2312"/>
          <w:b/>
          <w:color w:val="auto"/>
          <w:sz w:val="24"/>
          <w:highlight w:val="none"/>
        </w:rPr>
      </w:pPr>
      <w:r>
        <w:rPr>
          <w:rFonts w:hint="eastAsia" w:ascii="仿宋_GB2312" w:hAnsi="楷体" w:eastAsia="仿宋_GB2312"/>
          <w:color w:val="auto"/>
          <w:sz w:val="24"/>
          <w:highlight w:val="none"/>
        </w:rPr>
        <w:t>本合同自双方当事人加盖有效电子公章时生效。</w:t>
      </w:r>
    </w:p>
    <w:p w14:paraId="6011CDF4">
      <w:pPr>
        <w:spacing w:line="360" w:lineRule="auto"/>
        <w:ind w:firstLine="200"/>
        <w:rPr>
          <w:rFonts w:hint="eastAsia" w:ascii="仿宋_GB2312" w:hAnsi="楷体" w:eastAsia="仿宋_GB2312"/>
          <w:color w:val="auto"/>
          <w:sz w:val="24"/>
          <w:highlight w:val="none"/>
          <w:lang w:val="zh-CN"/>
        </w:rPr>
      </w:pPr>
      <w:r>
        <w:rPr>
          <w:rFonts w:hint="eastAsia" w:ascii="仿宋_GB2312" w:hAnsi="楷体" w:eastAsia="仿宋_GB2312"/>
          <w:color w:val="auto"/>
          <w:sz w:val="24"/>
          <w:highlight w:val="none"/>
          <w:lang w:val="zh-CN"/>
        </w:rPr>
        <w:t>甲方：                                   乙方：</w:t>
      </w:r>
    </w:p>
    <w:p w14:paraId="1F994DCF">
      <w:pPr>
        <w:spacing w:line="360" w:lineRule="auto"/>
        <w:ind w:firstLine="200"/>
        <w:rPr>
          <w:rFonts w:hint="eastAsia" w:ascii="仿宋_GB2312" w:hAnsi="楷体" w:eastAsia="仿宋_GB2312"/>
          <w:color w:val="auto"/>
          <w:sz w:val="24"/>
          <w:highlight w:val="none"/>
          <w:lang w:val="zh-CN"/>
        </w:rPr>
      </w:pPr>
      <w:r>
        <w:rPr>
          <w:rFonts w:hint="eastAsia" w:ascii="仿宋_GB2312" w:hAnsi="楷体" w:eastAsia="仿宋_GB2312"/>
          <w:color w:val="auto"/>
          <w:sz w:val="24"/>
          <w:highlight w:val="none"/>
          <w:lang w:val="zh-CN"/>
        </w:rPr>
        <w:t>统一社会信用代码：                        统一社会信用代码或身份证号码：</w:t>
      </w:r>
    </w:p>
    <w:p w14:paraId="6FB0B955">
      <w:pPr>
        <w:spacing w:line="360" w:lineRule="auto"/>
        <w:ind w:firstLine="200"/>
        <w:rPr>
          <w:rFonts w:hint="eastAsia" w:ascii="仿宋_GB2312" w:hAnsi="楷体" w:eastAsia="仿宋_GB2312"/>
          <w:color w:val="auto"/>
          <w:sz w:val="24"/>
          <w:highlight w:val="none"/>
          <w:lang w:val="zh-CN"/>
        </w:rPr>
      </w:pPr>
    </w:p>
    <w:p w14:paraId="5C23FBDA">
      <w:pPr>
        <w:spacing w:line="360" w:lineRule="auto"/>
        <w:ind w:firstLine="200"/>
        <w:rPr>
          <w:rFonts w:hint="eastAsia" w:ascii="仿宋_GB2312" w:hAnsi="楷体" w:eastAsia="仿宋_GB2312"/>
          <w:color w:val="auto"/>
          <w:sz w:val="24"/>
          <w:highlight w:val="none"/>
          <w:lang w:val="zh-CN"/>
        </w:rPr>
      </w:pPr>
      <w:r>
        <w:rPr>
          <w:rFonts w:hint="eastAsia" w:ascii="仿宋_GB2312" w:hAnsi="楷体" w:eastAsia="仿宋_GB2312"/>
          <w:color w:val="auto"/>
          <w:sz w:val="24"/>
          <w:highlight w:val="none"/>
          <w:lang w:val="zh-CN"/>
        </w:rPr>
        <w:t>住所：                                   住所：</w:t>
      </w:r>
    </w:p>
    <w:p w14:paraId="442B661D">
      <w:pPr>
        <w:spacing w:line="360" w:lineRule="auto"/>
        <w:ind w:firstLine="200"/>
        <w:rPr>
          <w:rFonts w:hint="eastAsia" w:ascii="仿宋_GB2312" w:hAnsi="楷体" w:eastAsia="仿宋_GB2312"/>
          <w:color w:val="auto"/>
          <w:sz w:val="24"/>
          <w:highlight w:val="none"/>
          <w:lang w:val="zh-CN"/>
        </w:rPr>
      </w:pPr>
      <w:r>
        <w:rPr>
          <w:rFonts w:hint="eastAsia" w:ascii="仿宋_GB2312" w:hAnsi="楷体" w:eastAsia="仿宋_GB2312"/>
          <w:color w:val="auto"/>
          <w:sz w:val="24"/>
          <w:highlight w:val="none"/>
          <w:lang w:val="zh-CN"/>
        </w:rPr>
        <w:t>法定代表人或                             法定代表人</w:t>
      </w:r>
    </w:p>
    <w:p w14:paraId="740045CA">
      <w:pPr>
        <w:spacing w:line="360" w:lineRule="auto"/>
        <w:ind w:firstLine="200"/>
        <w:rPr>
          <w:rFonts w:hint="eastAsia" w:ascii="仿宋_GB2312" w:hAnsi="楷体" w:eastAsia="仿宋_GB2312"/>
          <w:color w:val="auto"/>
          <w:sz w:val="24"/>
          <w:highlight w:val="none"/>
          <w:lang w:val="zh-CN"/>
        </w:rPr>
      </w:pPr>
      <w:r>
        <w:rPr>
          <w:rFonts w:hint="eastAsia" w:ascii="仿宋_GB2312" w:hAnsi="楷体" w:eastAsia="仿宋_GB2312"/>
          <w:color w:val="auto"/>
          <w:sz w:val="24"/>
          <w:highlight w:val="none"/>
          <w:lang w:val="zh-CN"/>
        </w:rPr>
        <w:t xml:space="preserve">授权代表（签字或盖章）：                 或授权代表（签字或盖章）: </w:t>
      </w:r>
    </w:p>
    <w:p w14:paraId="2E35CF9D">
      <w:pPr>
        <w:spacing w:line="360" w:lineRule="auto"/>
        <w:ind w:firstLine="200"/>
        <w:rPr>
          <w:rFonts w:hint="eastAsia" w:ascii="仿宋_GB2312" w:hAnsi="楷体" w:eastAsia="仿宋_GB2312"/>
          <w:color w:val="auto"/>
          <w:sz w:val="24"/>
          <w:highlight w:val="none"/>
          <w:lang w:val="zh-CN"/>
        </w:rPr>
      </w:pPr>
      <w:r>
        <w:rPr>
          <w:rFonts w:hint="eastAsia" w:ascii="仿宋_GB2312" w:hAnsi="楷体" w:eastAsia="仿宋_GB2312"/>
          <w:color w:val="auto"/>
          <w:sz w:val="24"/>
          <w:highlight w:val="none"/>
          <w:lang w:val="zh-CN"/>
        </w:rPr>
        <w:t>联系人：                                 联系人：</w:t>
      </w:r>
    </w:p>
    <w:p w14:paraId="5A282C2A">
      <w:pPr>
        <w:spacing w:line="360" w:lineRule="auto"/>
        <w:ind w:firstLine="200"/>
        <w:rPr>
          <w:rFonts w:hint="eastAsia" w:ascii="仿宋_GB2312" w:hAnsi="楷体" w:eastAsia="仿宋_GB2312"/>
          <w:color w:val="auto"/>
          <w:sz w:val="24"/>
          <w:highlight w:val="none"/>
          <w:lang w:val="zh-CN"/>
        </w:rPr>
      </w:pPr>
      <w:r>
        <w:rPr>
          <w:rFonts w:hint="eastAsia" w:ascii="仿宋_GB2312" w:hAnsi="楷体" w:eastAsia="仿宋_GB2312"/>
          <w:color w:val="auto"/>
          <w:sz w:val="24"/>
          <w:highlight w:val="none"/>
          <w:lang w:val="zh-CN"/>
        </w:rPr>
        <w:t>约定送达地址：                           约定送达地址：</w:t>
      </w:r>
    </w:p>
    <w:p w14:paraId="204DB21F">
      <w:pPr>
        <w:spacing w:line="360" w:lineRule="auto"/>
        <w:ind w:firstLine="200"/>
        <w:rPr>
          <w:rFonts w:hint="eastAsia" w:ascii="仿宋_GB2312" w:hAnsi="楷体" w:eastAsia="仿宋_GB2312"/>
          <w:color w:val="auto"/>
          <w:sz w:val="24"/>
          <w:highlight w:val="none"/>
          <w:lang w:val="zh-CN"/>
        </w:rPr>
      </w:pPr>
      <w:r>
        <w:rPr>
          <w:rFonts w:hint="eastAsia" w:ascii="仿宋_GB2312" w:hAnsi="楷体" w:eastAsia="仿宋_GB2312"/>
          <w:color w:val="auto"/>
          <w:sz w:val="24"/>
          <w:highlight w:val="none"/>
          <w:lang w:val="zh-CN"/>
        </w:rPr>
        <w:t>邮政编码：                               邮政编码：</w:t>
      </w:r>
    </w:p>
    <w:p w14:paraId="52A26679">
      <w:pPr>
        <w:spacing w:line="360" w:lineRule="auto"/>
        <w:ind w:firstLine="200"/>
        <w:rPr>
          <w:rFonts w:hint="eastAsia" w:ascii="仿宋_GB2312" w:hAnsi="楷体" w:eastAsia="仿宋_GB2312"/>
          <w:color w:val="auto"/>
          <w:sz w:val="24"/>
          <w:highlight w:val="none"/>
          <w:lang w:val="zh-CN"/>
        </w:rPr>
      </w:pPr>
      <w:r>
        <w:rPr>
          <w:rFonts w:hint="eastAsia" w:ascii="仿宋_GB2312" w:hAnsi="楷体" w:eastAsia="仿宋_GB2312"/>
          <w:color w:val="auto"/>
          <w:sz w:val="24"/>
          <w:highlight w:val="none"/>
          <w:lang w:val="zh-CN"/>
        </w:rPr>
        <w:t xml:space="preserve">电话:                                    电话: </w:t>
      </w:r>
    </w:p>
    <w:p w14:paraId="0EB10186">
      <w:pPr>
        <w:spacing w:line="360" w:lineRule="auto"/>
        <w:ind w:firstLine="200"/>
        <w:rPr>
          <w:rFonts w:hint="eastAsia" w:ascii="仿宋_GB2312" w:hAnsi="楷体" w:eastAsia="仿宋_GB2312"/>
          <w:color w:val="auto"/>
          <w:sz w:val="24"/>
          <w:highlight w:val="none"/>
          <w:lang w:val="zh-CN"/>
        </w:rPr>
      </w:pPr>
      <w:r>
        <w:rPr>
          <w:rFonts w:hint="eastAsia" w:ascii="仿宋_GB2312" w:hAnsi="楷体" w:eastAsia="仿宋_GB2312"/>
          <w:color w:val="auto"/>
          <w:sz w:val="24"/>
          <w:highlight w:val="none"/>
          <w:lang w:val="zh-CN"/>
        </w:rPr>
        <w:t>传真:                                    传真:</w:t>
      </w:r>
    </w:p>
    <w:p w14:paraId="17C27F64">
      <w:pPr>
        <w:spacing w:line="360" w:lineRule="auto"/>
        <w:ind w:firstLine="200"/>
        <w:rPr>
          <w:rFonts w:hint="eastAsia" w:ascii="仿宋_GB2312" w:hAnsi="楷体" w:eastAsia="仿宋_GB2312"/>
          <w:color w:val="auto"/>
          <w:sz w:val="24"/>
          <w:highlight w:val="none"/>
        </w:rPr>
      </w:pPr>
      <w:r>
        <w:rPr>
          <w:rFonts w:hint="eastAsia" w:ascii="仿宋_GB2312" w:hAnsi="楷体" w:eastAsia="仿宋_GB2312"/>
          <w:color w:val="auto"/>
          <w:sz w:val="24"/>
          <w:highlight w:val="none"/>
          <w:lang w:val="zh-CN"/>
        </w:rPr>
        <w:t>电子邮箱：                               电子邮箱：</w:t>
      </w:r>
    </w:p>
    <w:p w14:paraId="2DF61109">
      <w:pPr>
        <w:spacing w:line="360" w:lineRule="auto"/>
        <w:ind w:firstLine="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 xml:space="preserve">开户银行：                               开户银行： </w:t>
      </w:r>
    </w:p>
    <w:p w14:paraId="678FABB5">
      <w:pPr>
        <w:spacing w:line="360" w:lineRule="auto"/>
        <w:ind w:firstLine="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 xml:space="preserve">开户名称：                               开户名称： </w:t>
      </w:r>
    </w:p>
    <w:p w14:paraId="23EFECE5">
      <w:pPr>
        <w:spacing w:line="360" w:lineRule="auto"/>
        <w:ind w:firstLine="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开户账号：</w:t>
      </w:r>
      <w:r>
        <w:rPr>
          <w:rFonts w:hint="eastAsia" w:ascii="仿宋_GB2312" w:hAnsi="楷体" w:eastAsia="仿宋_GB2312"/>
          <w:color w:val="auto"/>
          <w:sz w:val="24"/>
          <w:highlight w:val="none"/>
          <w:lang w:val="zh-CN"/>
        </w:rPr>
        <w:t xml:space="preserve">                               </w:t>
      </w:r>
      <w:r>
        <w:rPr>
          <w:rFonts w:hint="eastAsia" w:ascii="仿宋_GB2312" w:hAnsi="楷体" w:eastAsia="仿宋_GB2312"/>
          <w:color w:val="auto"/>
          <w:sz w:val="24"/>
          <w:highlight w:val="none"/>
        </w:rPr>
        <w:t>开户账号：</w:t>
      </w:r>
    </w:p>
    <w:p w14:paraId="10B279CB">
      <w:pPr>
        <w:pStyle w:val="104"/>
        <w:spacing w:after="0"/>
        <w:ind w:firstLine="482"/>
        <w:jc w:val="center"/>
        <w:outlineLvl w:val="1"/>
        <w:rPr>
          <w:rFonts w:hint="eastAsia" w:ascii="仿宋_GB2312" w:hAnsi="楷体" w:eastAsia="仿宋_GB2312"/>
          <w:b/>
          <w:color w:val="auto"/>
          <w:sz w:val="28"/>
          <w:szCs w:val="28"/>
          <w:highlight w:val="none"/>
        </w:rPr>
      </w:pPr>
      <w:bookmarkStart w:id="126" w:name="_Toc331685783"/>
      <w:r>
        <w:rPr>
          <w:rFonts w:hint="eastAsia" w:ascii="仿宋_GB2312" w:hAnsi="楷体" w:eastAsia="仿宋_GB2312"/>
          <w:b/>
          <w:color w:val="auto"/>
          <w:highlight w:val="none"/>
        </w:rPr>
        <w:br w:type="page"/>
      </w:r>
      <w:bookmarkStart w:id="127" w:name="_Toc1643"/>
      <w:bookmarkStart w:id="128" w:name="_Toc80886949"/>
      <w:bookmarkStart w:id="129" w:name="_Toc80205945"/>
      <w:r>
        <w:rPr>
          <w:rFonts w:hint="eastAsia" w:ascii="仿宋_GB2312" w:hAnsi="楷体" w:eastAsia="仿宋_GB2312"/>
          <w:b/>
          <w:color w:val="auto"/>
          <w:sz w:val="28"/>
          <w:szCs w:val="28"/>
          <w:highlight w:val="none"/>
        </w:rPr>
        <w:t>第二部分 合同一般条款</w:t>
      </w:r>
      <w:bookmarkEnd w:id="126"/>
      <w:bookmarkEnd w:id="127"/>
      <w:bookmarkEnd w:id="128"/>
      <w:bookmarkEnd w:id="129"/>
    </w:p>
    <w:p w14:paraId="057B99F3">
      <w:pPr>
        <w:spacing w:line="360" w:lineRule="auto"/>
        <w:ind w:firstLine="482" w:firstLineChars="200"/>
        <w:rPr>
          <w:rFonts w:hint="eastAsia" w:ascii="仿宋_GB2312" w:hAnsi="楷体" w:eastAsia="仿宋_GB2312"/>
          <w:b/>
          <w:color w:val="auto"/>
          <w:sz w:val="24"/>
          <w:highlight w:val="none"/>
        </w:rPr>
      </w:pPr>
      <w:bookmarkStart w:id="130" w:name="_Ref467378404"/>
      <w:bookmarkStart w:id="131" w:name="_Ref467379225"/>
      <w:bookmarkStart w:id="132" w:name="_Toc28763"/>
      <w:bookmarkStart w:id="133" w:name="_Toc16917"/>
      <w:bookmarkStart w:id="134" w:name="_Toc19614"/>
      <w:bookmarkStart w:id="135" w:name="_Ref467379195"/>
      <w:bookmarkStart w:id="136" w:name="_Toc487900349"/>
      <w:bookmarkStart w:id="137" w:name="_Ref467378499"/>
      <w:bookmarkStart w:id="138" w:name="_Ref467379214"/>
      <w:bookmarkStart w:id="139" w:name="_Ref467379101"/>
      <w:bookmarkStart w:id="140" w:name="_Toc259093669"/>
      <w:bookmarkStart w:id="141" w:name="_Ref467379109"/>
      <w:bookmarkStart w:id="142" w:name="_Ref467378463"/>
      <w:bookmarkStart w:id="143" w:name="_Toc279701240"/>
      <w:bookmarkStart w:id="144" w:name="_Ref467379094"/>
      <w:bookmarkStart w:id="145" w:name="_Ref467379205"/>
      <w:r>
        <w:rPr>
          <w:rFonts w:hint="eastAsia" w:ascii="仿宋_GB2312" w:hAnsi="楷体" w:eastAsia="仿宋_GB2312"/>
          <w:b/>
          <w:color w:val="auto"/>
          <w:sz w:val="24"/>
          <w:highlight w:val="none"/>
        </w:rPr>
        <w:t>2.1 定义</w:t>
      </w:r>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14:paraId="14F2AF2E">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本合同中的下列词语应按以下内容进行解释：</w:t>
      </w:r>
    </w:p>
    <w:p w14:paraId="3CFAE05B">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2.1.1 “合同”系指采购人和中标人签订的载明双方当事人所达成的协议，并包括所有的附件、附录和构成合同的其他文件。</w:t>
      </w:r>
    </w:p>
    <w:p w14:paraId="42FADCAC">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2.1.2 “合同价”系指根据合同约定，中标人在完全履行合同义务后，采购人应支付给中标人的价格。</w:t>
      </w:r>
    </w:p>
    <w:p w14:paraId="7D8881E0">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2.1.3 “标的物”系指中标人根据合同约定应向采购人交付的一切各种形态和种类的货物、服务和工程，包括但不限于原材料、燃料、设备、机械、仪表、备件、计算机软件、信息化系统、信息化维保、物业服务、产品等，并包括工具、手册等其他相关资料。</w:t>
      </w:r>
    </w:p>
    <w:p w14:paraId="540DC057">
      <w:pPr>
        <w:spacing w:line="360" w:lineRule="auto"/>
        <w:ind w:firstLine="480" w:firstLineChars="200"/>
        <w:rPr>
          <w:rFonts w:hint="eastAsia" w:ascii="仿宋_GB2312" w:hAnsi="楷体" w:eastAsia="仿宋_GB2312"/>
          <w:color w:val="auto"/>
          <w:sz w:val="24"/>
          <w:highlight w:val="none"/>
        </w:rPr>
      </w:pPr>
      <w:bookmarkStart w:id="146" w:name="_Ref467378840"/>
      <w:r>
        <w:rPr>
          <w:rFonts w:hint="eastAsia" w:ascii="仿宋_GB2312" w:hAnsi="楷体" w:eastAsia="仿宋_GB2312"/>
          <w:color w:val="auto"/>
          <w:sz w:val="24"/>
          <w:highlight w:val="none"/>
        </w:rPr>
        <w:t>2.1.4 “甲方”系指与中标人签署合同的采购人</w:t>
      </w:r>
      <w:bookmarkEnd w:id="146"/>
      <w:r>
        <w:rPr>
          <w:rFonts w:hint="eastAsia" w:ascii="仿宋_GB2312" w:hAnsi="楷体" w:eastAsia="仿宋_GB2312"/>
          <w:color w:val="auto"/>
          <w:sz w:val="24"/>
          <w:highlight w:val="none"/>
        </w:rPr>
        <w:t>；采购人委托采购机构代表其与乙方签订合同的，采购人的授权委托书作为合同附件。</w:t>
      </w:r>
    </w:p>
    <w:p w14:paraId="6BF59569">
      <w:pPr>
        <w:spacing w:line="360" w:lineRule="auto"/>
        <w:ind w:firstLine="480" w:firstLineChars="200"/>
        <w:rPr>
          <w:rFonts w:hint="eastAsia" w:ascii="仿宋_GB2312" w:hAnsi="楷体" w:eastAsia="仿宋_GB2312"/>
          <w:color w:val="auto"/>
          <w:sz w:val="24"/>
          <w:highlight w:val="none"/>
        </w:rPr>
      </w:pPr>
      <w:bookmarkStart w:id="147" w:name="_Ref467379400"/>
      <w:r>
        <w:rPr>
          <w:rFonts w:hint="eastAsia" w:ascii="仿宋_GB2312" w:hAnsi="楷体" w:eastAsia="仿宋_GB2312"/>
          <w:color w:val="auto"/>
          <w:sz w:val="24"/>
          <w:highlight w:val="none"/>
        </w:rPr>
        <w:t>2.1.5 “乙方”系指根据合同约定交付标的物的</w:t>
      </w:r>
      <w:bookmarkEnd w:id="147"/>
      <w:r>
        <w:rPr>
          <w:rFonts w:hint="eastAsia" w:ascii="仿宋_GB2312" w:hAnsi="楷体" w:eastAsia="仿宋_GB2312"/>
          <w:color w:val="auto"/>
          <w:sz w:val="24"/>
          <w:highlight w:val="none"/>
        </w:rPr>
        <w:t>中标人；两个以上的自然人、法人或者其他组织组成一个联合体，以一个供应商的身份共同参加政府采购的，联合体各方均应为乙方或者与乙方相同地位的合同当事人，并就合同约定的事项对甲方承担连带责任。</w:t>
      </w:r>
    </w:p>
    <w:p w14:paraId="3A922877">
      <w:pPr>
        <w:spacing w:line="360" w:lineRule="auto"/>
        <w:ind w:firstLine="480" w:firstLineChars="200"/>
        <w:rPr>
          <w:rFonts w:hint="eastAsia" w:ascii="仿宋_GB2312" w:hAnsi="楷体" w:eastAsia="仿宋_GB2312"/>
          <w:color w:val="auto"/>
          <w:sz w:val="24"/>
          <w:highlight w:val="none"/>
        </w:rPr>
      </w:pPr>
      <w:bookmarkStart w:id="148" w:name="_Ref467379436"/>
      <w:r>
        <w:rPr>
          <w:rFonts w:hint="eastAsia" w:ascii="仿宋_GB2312" w:hAnsi="楷体" w:eastAsia="仿宋_GB2312"/>
          <w:color w:val="auto"/>
          <w:sz w:val="24"/>
          <w:highlight w:val="none"/>
        </w:rPr>
        <w:t>2.1.6 “现场”系指合同约定标的物将要运至或者实施或者安装的地点。</w:t>
      </w:r>
      <w:bookmarkEnd w:id="148"/>
    </w:p>
    <w:p w14:paraId="19445EF9">
      <w:pPr>
        <w:spacing w:line="360" w:lineRule="auto"/>
        <w:ind w:firstLine="482" w:firstLineChars="200"/>
        <w:rPr>
          <w:rFonts w:hint="eastAsia" w:ascii="仿宋_GB2312" w:hAnsi="楷体" w:eastAsia="仿宋_GB2312"/>
          <w:b/>
          <w:color w:val="auto"/>
          <w:sz w:val="24"/>
          <w:highlight w:val="none"/>
        </w:rPr>
      </w:pPr>
      <w:bookmarkStart w:id="149" w:name="_Toc32504"/>
      <w:bookmarkStart w:id="150" w:name="_Toc487900350"/>
      <w:bookmarkStart w:id="151" w:name="_Toc259093670"/>
      <w:bookmarkStart w:id="152" w:name="_Toc13336"/>
      <w:bookmarkStart w:id="153" w:name="_Toc27635"/>
      <w:bookmarkStart w:id="154" w:name="_Toc279701241"/>
      <w:r>
        <w:rPr>
          <w:rFonts w:hint="eastAsia" w:ascii="仿宋_GB2312" w:hAnsi="楷体" w:eastAsia="仿宋_GB2312"/>
          <w:b/>
          <w:color w:val="auto"/>
          <w:sz w:val="24"/>
          <w:highlight w:val="none"/>
        </w:rPr>
        <w:t>2.2 技术规范</w:t>
      </w:r>
      <w:bookmarkEnd w:id="149"/>
      <w:bookmarkEnd w:id="150"/>
      <w:bookmarkEnd w:id="151"/>
      <w:bookmarkEnd w:id="152"/>
      <w:bookmarkEnd w:id="153"/>
      <w:bookmarkEnd w:id="154"/>
    </w:p>
    <w:p w14:paraId="33CCB0E6">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标的物所应遵守的技术规范应与采购文件规定的技术规范和技术规范附件(如果有的话)及其技术规范偏差表(如果被甲方接受的话)相一致；如果采购文件中没有技术规范的相应说明，应以国家有关部门最新颁布的相应标准和规范为准。</w:t>
      </w:r>
    </w:p>
    <w:p w14:paraId="7F389E17">
      <w:pPr>
        <w:spacing w:line="360" w:lineRule="auto"/>
        <w:ind w:firstLine="482" w:firstLineChars="200"/>
        <w:rPr>
          <w:rFonts w:hint="eastAsia" w:ascii="仿宋_GB2312" w:hAnsi="楷体" w:eastAsia="仿宋_GB2312"/>
          <w:b/>
          <w:color w:val="auto"/>
          <w:sz w:val="24"/>
          <w:highlight w:val="none"/>
        </w:rPr>
      </w:pPr>
      <w:bookmarkStart w:id="155" w:name="_Toc27853"/>
      <w:bookmarkStart w:id="156" w:name="_Toc259093671"/>
      <w:bookmarkStart w:id="157" w:name="_Toc31634"/>
      <w:bookmarkStart w:id="158" w:name="_Toc279701242"/>
      <w:bookmarkStart w:id="159" w:name="_Toc9829"/>
      <w:bookmarkStart w:id="160" w:name="_Toc487900351"/>
      <w:r>
        <w:rPr>
          <w:rFonts w:hint="eastAsia" w:ascii="仿宋_GB2312" w:hAnsi="楷体" w:eastAsia="仿宋_GB2312"/>
          <w:b/>
          <w:color w:val="auto"/>
          <w:sz w:val="24"/>
          <w:highlight w:val="none"/>
        </w:rPr>
        <w:t>2.3 知识产权</w:t>
      </w:r>
      <w:bookmarkEnd w:id="155"/>
      <w:bookmarkEnd w:id="156"/>
      <w:bookmarkEnd w:id="157"/>
      <w:bookmarkEnd w:id="158"/>
      <w:bookmarkEnd w:id="159"/>
      <w:bookmarkEnd w:id="160"/>
    </w:p>
    <w:p w14:paraId="7AF9042D">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2.3.1 乙方应保证甲方在使用该标的物或其任何一部分时不受任何第三方提出的侵犯其著作权、商标权、专利权等知识产权方面的起诉；如果任何第三方提出侵权指控，乙方须与该第三方交涉并承担由此发生的一切责任、费用和赔偿；</w:t>
      </w:r>
    </w:p>
    <w:p w14:paraId="2126F37F">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2.3.2具有知识产权的计算机软件等标的物的知识产权归属，详见</w:t>
      </w:r>
      <w:r>
        <w:rPr>
          <w:rFonts w:hint="eastAsia" w:ascii="仿宋_GB2312" w:hAnsi="楷体" w:eastAsia="仿宋_GB2312"/>
          <w:b/>
          <w:i/>
          <w:color w:val="auto"/>
          <w:sz w:val="24"/>
          <w:highlight w:val="none"/>
          <w:u w:val="single"/>
        </w:rPr>
        <w:t>合同专用条款</w:t>
      </w:r>
      <w:r>
        <w:rPr>
          <w:rFonts w:hint="eastAsia" w:ascii="仿宋_GB2312" w:hAnsi="楷体" w:eastAsia="仿宋_GB2312"/>
          <w:color w:val="auto"/>
          <w:sz w:val="24"/>
          <w:highlight w:val="none"/>
        </w:rPr>
        <w:t>。</w:t>
      </w:r>
    </w:p>
    <w:p w14:paraId="209297DB">
      <w:pPr>
        <w:spacing w:line="360" w:lineRule="auto"/>
        <w:ind w:firstLine="482" w:firstLineChars="200"/>
        <w:rPr>
          <w:rFonts w:hint="eastAsia" w:ascii="仿宋_GB2312" w:hAnsi="楷体" w:eastAsia="仿宋_GB2312"/>
          <w:b/>
          <w:color w:val="auto"/>
          <w:sz w:val="24"/>
          <w:highlight w:val="none"/>
        </w:rPr>
      </w:pPr>
      <w:bookmarkStart w:id="161" w:name="_Toc4194"/>
      <w:bookmarkStart w:id="162" w:name="_Toc29149"/>
      <w:bookmarkStart w:id="163" w:name="_Toc11932"/>
      <w:r>
        <w:rPr>
          <w:rFonts w:hint="eastAsia" w:ascii="仿宋_GB2312" w:hAnsi="楷体" w:eastAsia="仿宋_GB2312"/>
          <w:b/>
          <w:color w:val="auto"/>
          <w:sz w:val="24"/>
          <w:highlight w:val="none"/>
        </w:rPr>
        <w:t>2.4 包装和装运</w:t>
      </w:r>
      <w:bookmarkEnd w:id="161"/>
      <w:bookmarkEnd w:id="162"/>
      <w:bookmarkEnd w:id="163"/>
    </w:p>
    <w:p w14:paraId="7DAE00E2">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2.4.1除</w:t>
      </w:r>
      <w:r>
        <w:rPr>
          <w:rFonts w:hint="eastAsia" w:ascii="仿宋_GB2312" w:hAnsi="楷体" w:eastAsia="仿宋_GB2312"/>
          <w:b/>
          <w:i/>
          <w:color w:val="auto"/>
          <w:sz w:val="24"/>
          <w:highlight w:val="none"/>
          <w:u w:val="single"/>
        </w:rPr>
        <w:t>合同专用条款</w:t>
      </w:r>
      <w:r>
        <w:rPr>
          <w:rFonts w:hint="eastAsia" w:ascii="仿宋_GB2312" w:hAnsi="楷体" w:eastAsia="仿宋_GB2312"/>
          <w:color w:val="auto"/>
          <w:sz w:val="24"/>
          <w:highlight w:val="none"/>
        </w:rPr>
        <w:t>另有约定外,乙方交付的全部标的物,均应采用本行业通用的方式进行包装，没有通用方式的，应当采取足以保护标的物的包装方式，且该包装应符合国家有关包装的法律、法规的规定。如有必要，包装应适用于远距离运输、防潮、防震、防锈和防粗暴装卸，确保标的物安全无损地运抵现场。由于包装不善所引起的标的物锈蚀、损坏和损失等一切风险均由乙方承担。</w:t>
      </w:r>
    </w:p>
    <w:p w14:paraId="63F99537">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2.4.2 装运标的物的要求和通知，详见</w:t>
      </w:r>
      <w:r>
        <w:rPr>
          <w:rFonts w:hint="eastAsia" w:ascii="仿宋_GB2312" w:hAnsi="楷体" w:eastAsia="仿宋_GB2312"/>
          <w:b/>
          <w:i/>
          <w:color w:val="auto"/>
          <w:sz w:val="24"/>
          <w:highlight w:val="none"/>
          <w:u w:val="single"/>
        </w:rPr>
        <w:t>合同专用条款</w:t>
      </w:r>
      <w:r>
        <w:rPr>
          <w:rFonts w:hint="eastAsia" w:ascii="仿宋_GB2312" w:hAnsi="楷体" w:eastAsia="仿宋_GB2312"/>
          <w:color w:val="auto"/>
          <w:sz w:val="24"/>
          <w:highlight w:val="none"/>
        </w:rPr>
        <w:t>。</w:t>
      </w:r>
    </w:p>
    <w:p w14:paraId="71D5B4C9">
      <w:pPr>
        <w:spacing w:line="360" w:lineRule="auto"/>
        <w:ind w:firstLine="482" w:firstLineChars="200"/>
        <w:rPr>
          <w:rFonts w:hint="eastAsia" w:ascii="仿宋_GB2312" w:hAnsi="楷体" w:eastAsia="仿宋_GB2312"/>
          <w:b/>
          <w:color w:val="auto"/>
          <w:sz w:val="24"/>
          <w:highlight w:val="none"/>
        </w:rPr>
      </w:pPr>
      <w:bookmarkStart w:id="164" w:name="_Toc279701245"/>
      <w:bookmarkStart w:id="165" w:name="_Ref467378591"/>
      <w:bookmarkStart w:id="166" w:name="_Toc487900354"/>
      <w:bookmarkStart w:id="167" w:name="_Ref467379542"/>
      <w:bookmarkStart w:id="168" w:name="_Ref467379536"/>
      <w:bookmarkStart w:id="169" w:name="_Ref467378541"/>
      <w:bookmarkStart w:id="170" w:name="_Toc259093674"/>
      <w:bookmarkStart w:id="171" w:name="_Ref467379527"/>
      <w:bookmarkStart w:id="172" w:name="_Toc26182"/>
      <w:bookmarkStart w:id="173" w:name="_Toc19074"/>
      <w:bookmarkStart w:id="174" w:name="_Toc30272"/>
      <w:r>
        <w:rPr>
          <w:rFonts w:hint="eastAsia" w:ascii="仿宋_GB2312" w:hAnsi="楷体" w:eastAsia="仿宋_GB2312"/>
          <w:b/>
          <w:color w:val="auto"/>
          <w:sz w:val="24"/>
          <w:highlight w:val="none"/>
        </w:rPr>
        <w:t>2.</w:t>
      </w:r>
      <w:bookmarkEnd w:id="164"/>
      <w:bookmarkEnd w:id="165"/>
      <w:bookmarkEnd w:id="166"/>
      <w:bookmarkEnd w:id="167"/>
      <w:bookmarkEnd w:id="168"/>
      <w:bookmarkEnd w:id="169"/>
      <w:bookmarkEnd w:id="170"/>
      <w:bookmarkEnd w:id="171"/>
      <w:r>
        <w:rPr>
          <w:rFonts w:hint="eastAsia" w:ascii="仿宋_GB2312" w:hAnsi="楷体" w:eastAsia="仿宋_GB2312"/>
          <w:b/>
          <w:color w:val="auto"/>
          <w:sz w:val="24"/>
          <w:highlight w:val="none"/>
        </w:rPr>
        <w:t>5 履约检查和问题反馈</w:t>
      </w:r>
      <w:bookmarkEnd w:id="172"/>
      <w:bookmarkEnd w:id="173"/>
      <w:bookmarkEnd w:id="174"/>
    </w:p>
    <w:p w14:paraId="3F462265">
      <w:pPr>
        <w:spacing w:line="360" w:lineRule="auto"/>
        <w:ind w:firstLine="480" w:firstLineChars="200"/>
        <w:rPr>
          <w:rFonts w:hint="eastAsia" w:ascii="仿宋_GB2312" w:hAnsi="楷体" w:eastAsia="仿宋_GB2312"/>
          <w:color w:val="auto"/>
          <w:sz w:val="24"/>
          <w:highlight w:val="none"/>
        </w:rPr>
      </w:pPr>
      <w:bookmarkStart w:id="175" w:name="_Ref467379657"/>
      <w:r>
        <w:rPr>
          <w:rFonts w:hint="eastAsia" w:ascii="仿宋_GB2312" w:hAnsi="楷体" w:eastAsia="仿宋_GB2312"/>
          <w:color w:val="auto"/>
          <w:sz w:val="24"/>
          <w:highlight w:val="none"/>
        </w:rPr>
        <w:t>2.5.1</w:t>
      </w:r>
      <w:bookmarkEnd w:id="175"/>
      <w:bookmarkStart w:id="176" w:name="_Toc186431854"/>
      <w:bookmarkStart w:id="177" w:name="_Toc487900357"/>
      <w:bookmarkStart w:id="178" w:name="_Ref467379793"/>
      <w:bookmarkStart w:id="179" w:name="_Toc259093676"/>
      <w:bookmarkStart w:id="180" w:name="_Ref467379807"/>
      <w:bookmarkStart w:id="181" w:name="_Toc279701247"/>
      <w:r>
        <w:rPr>
          <w:rFonts w:hint="eastAsia" w:ascii="仿宋_GB2312" w:hAnsi="楷体" w:eastAsia="仿宋_GB2312"/>
          <w:color w:val="auto"/>
          <w:sz w:val="24"/>
          <w:highlight w:val="none"/>
        </w:rPr>
        <w:t>甲方有权在其认为必要时，对乙方是否能够按照合同约定交付标的物进行履约检查，以确保乙方所交付的标的物能够依约满足甲方之项目需求，但不得因履约检查妨碍乙方的正常工作，乙方应予积极配合；</w:t>
      </w:r>
    </w:p>
    <w:p w14:paraId="73E4A368">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2.5.2 合同履行期间，甲方有权将履行过程中出现的问题反馈给乙方，双方当事人应以书面形式约定需要完善和改进的内容</w:t>
      </w:r>
      <w:bookmarkEnd w:id="176"/>
      <w:bookmarkStart w:id="182" w:name="_Toc186431855"/>
      <w:r>
        <w:rPr>
          <w:rFonts w:hint="eastAsia" w:ascii="仿宋_GB2312" w:hAnsi="楷体" w:eastAsia="仿宋_GB2312"/>
          <w:color w:val="auto"/>
          <w:sz w:val="24"/>
          <w:highlight w:val="none"/>
        </w:rPr>
        <w:t>。</w:t>
      </w:r>
    </w:p>
    <w:bookmarkEnd w:id="182"/>
    <w:p w14:paraId="5F47958C">
      <w:pPr>
        <w:spacing w:line="360" w:lineRule="auto"/>
        <w:ind w:firstLine="482" w:firstLineChars="200"/>
        <w:rPr>
          <w:rFonts w:hint="eastAsia" w:ascii="仿宋_GB2312" w:hAnsi="楷体" w:eastAsia="仿宋_GB2312"/>
          <w:b/>
          <w:color w:val="auto"/>
          <w:sz w:val="24"/>
          <w:highlight w:val="none"/>
        </w:rPr>
      </w:pPr>
      <w:bookmarkStart w:id="183" w:name="_Toc19219"/>
      <w:bookmarkStart w:id="184" w:name="_Toc7836"/>
      <w:bookmarkStart w:id="185" w:name="_Toc28451"/>
      <w:r>
        <w:rPr>
          <w:rFonts w:hint="eastAsia" w:ascii="仿宋_GB2312" w:hAnsi="楷体" w:eastAsia="仿宋_GB2312"/>
          <w:b/>
          <w:color w:val="auto"/>
          <w:sz w:val="24"/>
          <w:highlight w:val="none"/>
        </w:rPr>
        <w:t>2.6 结算方式和付款条件</w:t>
      </w:r>
      <w:bookmarkEnd w:id="177"/>
      <w:bookmarkEnd w:id="178"/>
      <w:bookmarkEnd w:id="179"/>
      <w:bookmarkEnd w:id="180"/>
      <w:bookmarkEnd w:id="181"/>
      <w:bookmarkEnd w:id="183"/>
      <w:bookmarkEnd w:id="184"/>
      <w:bookmarkEnd w:id="185"/>
    </w:p>
    <w:p w14:paraId="41CA9AC4">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详见</w:t>
      </w:r>
      <w:r>
        <w:rPr>
          <w:rFonts w:hint="eastAsia" w:ascii="仿宋_GB2312" w:hAnsi="楷体" w:eastAsia="仿宋_GB2312"/>
          <w:b/>
          <w:i/>
          <w:color w:val="auto"/>
          <w:sz w:val="24"/>
          <w:highlight w:val="none"/>
          <w:u w:val="single"/>
        </w:rPr>
        <w:t>合同专用条款</w:t>
      </w:r>
      <w:r>
        <w:rPr>
          <w:rFonts w:hint="eastAsia" w:ascii="仿宋_GB2312" w:hAnsi="楷体" w:eastAsia="仿宋_GB2312"/>
          <w:color w:val="auto"/>
          <w:sz w:val="24"/>
          <w:highlight w:val="none"/>
        </w:rPr>
        <w:t>。</w:t>
      </w:r>
    </w:p>
    <w:p w14:paraId="1637CB78">
      <w:pPr>
        <w:spacing w:line="360" w:lineRule="auto"/>
        <w:ind w:firstLine="482" w:firstLineChars="200"/>
        <w:rPr>
          <w:rFonts w:hint="eastAsia" w:ascii="仿宋_GB2312" w:hAnsi="楷体" w:eastAsia="仿宋_GB2312"/>
          <w:b/>
          <w:color w:val="auto"/>
          <w:sz w:val="24"/>
          <w:highlight w:val="none"/>
        </w:rPr>
      </w:pPr>
      <w:bookmarkStart w:id="186" w:name="_Ref467379863"/>
      <w:bookmarkStart w:id="187" w:name="_Ref467379923"/>
      <w:bookmarkStart w:id="188" w:name="_Toc487900358"/>
      <w:bookmarkStart w:id="189" w:name="_Toc259093677"/>
      <w:bookmarkStart w:id="190" w:name="_Toc279701248"/>
      <w:bookmarkStart w:id="191" w:name="_Ref467379852"/>
      <w:bookmarkStart w:id="192" w:name="_Toc16110"/>
      <w:bookmarkStart w:id="193" w:name="_Toc774"/>
      <w:bookmarkStart w:id="194" w:name="_Toc3225"/>
      <w:r>
        <w:rPr>
          <w:rFonts w:hint="eastAsia" w:ascii="仿宋_GB2312" w:hAnsi="楷体" w:eastAsia="仿宋_GB2312"/>
          <w:b/>
          <w:color w:val="auto"/>
          <w:sz w:val="24"/>
          <w:highlight w:val="none"/>
        </w:rPr>
        <w:t>2.7 技术资料</w:t>
      </w:r>
      <w:bookmarkEnd w:id="186"/>
      <w:bookmarkEnd w:id="187"/>
      <w:bookmarkEnd w:id="188"/>
      <w:bookmarkEnd w:id="189"/>
      <w:bookmarkEnd w:id="190"/>
      <w:bookmarkEnd w:id="191"/>
      <w:r>
        <w:rPr>
          <w:rFonts w:hint="eastAsia" w:ascii="仿宋_GB2312" w:hAnsi="楷体" w:eastAsia="仿宋_GB2312"/>
          <w:b/>
          <w:color w:val="auto"/>
          <w:sz w:val="24"/>
          <w:highlight w:val="none"/>
        </w:rPr>
        <w:t>和保密义务</w:t>
      </w:r>
      <w:bookmarkEnd w:id="192"/>
      <w:bookmarkEnd w:id="193"/>
      <w:bookmarkEnd w:id="194"/>
    </w:p>
    <w:p w14:paraId="0CF606F8">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2.7.1 乙方有权依据合同约定和项目需要，向甲方了解有关情况，调阅有关资料等，甲方应予积极配合；</w:t>
      </w:r>
    </w:p>
    <w:p w14:paraId="7616911F">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2.7.2 乙方有义务妥善保管和保护由甲方提供的前款信息和资料等；</w:t>
      </w:r>
    </w:p>
    <w:p w14:paraId="28199535">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2.7.3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及方式防止任何第三方接触到对方当事人的上述保密信息和资料。</w:t>
      </w:r>
    </w:p>
    <w:p w14:paraId="111488B1">
      <w:pPr>
        <w:spacing w:line="360" w:lineRule="auto"/>
        <w:ind w:firstLine="482" w:firstLineChars="200"/>
        <w:rPr>
          <w:rFonts w:hint="eastAsia" w:ascii="仿宋_GB2312" w:hAnsi="楷体" w:eastAsia="仿宋_GB2312"/>
          <w:b/>
          <w:color w:val="auto"/>
          <w:sz w:val="24"/>
          <w:highlight w:val="none"/>
        </w:rPr>
      </w:pPr>
      <w:bookmarkStart w:id="195" w:name="_Toc7860"/>
      <w:r>
        <w:rPr>
          <w:rFonts w:hint="eastAsia" w:ascii="仿宋_GB2312" w:hAnsi="楷体" w:eastAsia="仿宋_GB2312"/>
          <w:b/>
          <w:color w:val="auto"/>
          <w:sz w:val="24"/>
          <w:highlight w:val="none"/>
        </w:rPr>
        <w:t>2.8 质量保证</w:t>
      </w:r>
      <w:bookmarkEnd w:id="195"/>
    </w:p>
    <w:p w14:paraId="4DA1592C">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2.8.1 乙方应建立和完善履行合同的内部质量保证体系，并提供相关内部规章制度给甲方，以便甲方进行监督检查；</w:t>
      </w:r>
    </w:p>
    <w:p w14:paraId="2B37225E">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2.8.2 乙方应保证履行合同的人员数量和素质、软件和硬件设备的配置、场地、环境和设施等满足全面履行合同的要求，并应接受甲方的监督检查。</w:t>
      </w:r>
    </w:p>
    <w:p w14:paraId="59B72115">
      <w:pPr>
        <w:spacing w:line="360" w:lineRule="auto"/>
        <w:ind w:firstLine="480" w:firstLineChars="200"/>
        <w:rPr>
          <w:rFonts w:hint="eastAsia" w:ascii="仿宋_GB2312" w:hAnsi="仿宋" w:eastAsia="仿宋_GB2312" w:cs="仿宋_GB2312"/>
          <w:color w:val="auto"/>
          <w:kern w:val="0"/>
          <w:sz w:val="24"/>
          <w:highlight w:val="none"/>
        </w:rPr>
      </w:pPr>
      <w:r>
        <w:rPr>
          <w:rFonts w:hint="eastAsia" w:ascii="仿宋_GB2312" w:hAnsi="仿宋" w:eastAsia="仿宋_GB2312"/>
          <w:color w:val="auto"/>
          <w:sz w:val="24"/>
          <w:highlight w:val="none"/>
        </w:rPr>
        <w:t>2.8.3乙方应确保项目技术人员的数量和水平与投标文件一致。未经甲方书面同意，乙方不得擅自更换投标文件中注明的项目经理和技术负责人。否则</w:t>
      </w:r>
      <w:r>
        <w:rPr>
          <w:rFonts w:hint="eastAsia" w:ascii="仿宋_GB2312" w:hAnsi="仿宋" w:eastAsia="仿宋_GB2312" w:cs="仿宋_GB2312"/>
          <w:color w:val="auto"/>
          <w:kern w:val="0"/>
          <w:sz w:val="24"/>
          <w:highlight w:val="none"/>
        </w:rPr>
        <w:t>甲方有权放弃或终止合同。</w:t>
      </w:r>
    </w:p>
    <w:p w14:paraId="42284C7B">
      <w:pPr>
        <w:spacing w:line="360" w:lineRule="auto"/>
        <w:ind w:firstLine="480" w:firstLineChars="200"/>
        <w:rPr>
          <w:rFonts w:hint="eastAsia" w:ascii="仿宋_GB2312" w:hAnsi="楷体" w:eastAsia="仿宋_GB2312"/>
          <w:color w:val="auto"/>
          <w:sz w:val="24"/>
          <w:highlight w:val="none"/>
        </w:rPr>
      </w:pPr>
      <w:r>
        <w:rPr>
          <w:rFonts w:hint="eastAsia" w:ascii="仿宋_GB2312" w:hAnsi="仿宋" w:eastAsia="仿宋_GB2312"/>
          <w:color w:val="auto"/>
          <w:sz w:val="24"/>
          <w:highlight w:val="none"/>
        </w:rPr>
        <w:t>2.8.4因乙方原因造成甲方其他系统不能正常运行，酿成重大事故（工作日系统中断一天以上）的，乙方应承担全部法律责任，并赔偿经济损失，赔偿金额为项目总价的</w:t>
      </w:r>
      <w:r>
        <w:rPr>
          <w:rFonts w:hint="eastAsia" w:ascii="仿宋_GB2312" w:hAnsi="仿宋" w:eastAsia="仿宋_GB2312"/>
          <w:color w:val="auto"/>
          <w:sz w:val="24"/>
          <w:highlight w:val="none"/>
          <w:u w:val="single"/>
        </w:rPr>
        <w:t>30%</w:t>
      </w:r>
      <w:r>
        <w:rPr>
          <w:rFonts w:hint="eastAsia" w:ascii="仿宋_GB2312" w:hAnsi="仿宋" w:eastAsia="仿宋_GB2312"/>
          <w:color w:val="auto"/>
          <w:sz w:val="24"/>
          <w:highlight w:val="none"/>
        </w:rPr>
        <w:t>（根据项目实际情况填写，一般为30%）。</w:t>
      </w:r>
    </w:p>
    <w:p w14:paraId="1E3CDB5E">
      <w:pPr>
        <w:spacing w:line="360" w:lineRule="auto"/>
        <w:ind w:firstLine="482" w:firstLineChars="200"/>
        <w:rPr>
          <w:rFonts w:hint="eastAsia" w:ascii="仿宋_GB2312" w:hAnsi="楷体" w:eastAsia="仿宋_GB2312"/>
          <w:b/>
          <w:color w:val="auto"/>
          <w:sz w:val="24"/>
          <w:highlight w:val="none"/>
        </w:rPr>
      </w:pPr>
      <w:bookmarkStart w:id="196" w:name="_Toc17244"/>
      <w:bookmarkStart w:id="197" w:name="_Toc259093681"/>
      <w:bookmarkStart w:id="198" w:name="_Toc279701252"/>
      <w:bookmarkStart w:id="199" w:name="_Toc487900362"/>
      <w:r>
        <w:rPr>
          <w:rFonts w:hint="eastAsia" w:ascii="仿宋_GB2312" w:hAnsi="楷体" w:eastAsia="仿宋_GB2312"/>
          <w:b/>
          <w:color w:val="auto"/>
          <w:sz w:val="24"/>
          <w:highlight w:val="none"/>
        </w:rPr>
        <w:t>2.9 标的物的风险负担</w:t>
      </w:r>
      <w:bookmarkEnd w:id="196"/>
    </w:p>
    <w:p w14:paraId="7C5750BA">
      <w:pPr>
        <w:spacing w:line="360" w:lineRule="auto"/>
        <w:ind w:firstLine="480" w:firstLineChars="200"/>
        <w:rPr>
          <w:rFonts w:hint="eastAsia" w:ascii="仿宋_GB2312" w:hAnsi="楷体" w:eastAsia="仿宋_GB2312"/>
          <w:b/>
          <w:color w:val="auto"/>
          <w:sz w:val="24"/>
          <w:highlight w:val="none"/>
        </w:rPr>
      </w:pPr>
      <w:r>
        <w:rPr>
          <w:rFonts w:hint="eastAsia" w:ascii="仿宋_GB2312" w:hAnsi="楷体" w:eastAsia="仿宋_GB2312"/>
          <w:color w:val="auto"/>
          <w:sz w:val="24"/>
          <w:highlight w:val="none"/>
        </w:rPr>
        <w:t>标的物或者在途标的物或者交付给第一承运人后的标的物毁损、灭失的风险负担详见</w:t>
      </w:r>
      <w:r>
        <w:rPr>
          <w:rFonts w:hint="eastAsia" w:ascii="仿宋_GB2312" w:hAnsi="楷体" w:eastAsia="仿宋_GB2312"/>
          <w:b/>
          <w:i/>
          <w:color w:val="auto"/>
          <w:sz w:val="24"/>
          <w:highlight w:val="none"/>
          <w:u w:val="single"/>
        </w:rPr>
        <w:t>合同专用条款</w:t>
      </w:r>
      <w:r>
        <w:rPr>
          <w:rFonts w:hint="eastAsia" w:ascii="仿宋_GB2312" w:hAnsi="楷体" w:eastAsia="仿宋_GB2312"/>
          <w:color w:val="auto"/>
          <w:sz w:val="24"/>
          <w:highlight w:val="none"/>
        </w:rPr>
        <w:t>。</w:t>
      </w:r>
    </w:p>
    <w:p w14:paraId="314A6DB5">
      <w:pPr>
        <w:spacing w:line="360" w:lineRule="auto"/>
        <w:ind w:firstLine="482" w:firstLineChars="200"/>
        <w:rPr>
          <w:rFonts w:hint="eastAsia" w:ascii="仿宋_GB2312" w:hAnsi="楷体" w:eastAsia="仿宋_GB2312"/>
          <w:b/>
          <w:color w:val="auto"/>
          <w:sz w:val="24"/>
          <w:highlight w:val="none"/>
        </w:rPr>
      </w:pPr>
      <w:bookmarkStart w:id="200" w:name="_Toc14055"/>
      <w:r>
        <w:rPr>
          <w:rFonts w:hint="eastAsia" w:ascii="仿宋_GB2312" w:hAnsi="楷体" w:eastAsia="仿宋_GB2312"/>
          <w:b/>
          <w:color w:val="auto"/>
          <w:sz w:val="24"/>
          <w:highlight w:val="none"/>
        </w:rPr>
        <w:t>2.10 延迟交货</w:t>
      </w:r>
      <w:bookmarkEnd w:id="197"/>
      <w:bookmarkEnd w:id="198"/>
      <w:bookmarkEnd w:id="199"/>
      <w:bookmarkEnd w:id="200"/>
      <w:r>
        <w:rPr>
          <w:rFonts w:hint="eastAsia" w:ascii="仿宋_GB2312" w:hAnsi="楷体" w:eastAsia="仿宋_GB2312"/>
          <w:b/>
          <w:color w:val="auto"/>
          <w:sz w:val="24"/>
          <w:highlight w:val="none"/>
        </w:rPr>
        <w:t>/交付</w:t>
      </w:r>
    </w:p>
    <w:p w14:paraId="1AA09213">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在合同履行过程中，如果乙方遇到不能按时交付标的物的情况，应及时以书面形式将不能按时交付标的物的理由、预期延误时间通知甲方；甲方收到乙方通知后，认为其理由正当的，可以书面形式酌情同意乙方可以延长交货的具体时间。</w:t>
      </w:r>
    </w:p>
    <w:p w14:paraId="0266543B">
      <w:pPr>
        <w:spacing w:line="360" w:lineRule="auto"/>
        <w:ind w:firstLine="482" w:firstLineChars="200"/>
        <w:rPr>
          <w:rFonts w:hint="eastAsia" w:ascii="仿宋_GB2312" w:hAnsi="楷体" w:eastAsia="仿宋_GB2312"/>
          <w:b/>
          <w:color w:val="auto"/>
          <w:sz w:val="24"/>
          <w:highlight w:val="none"/>
        </w:rPr>
      </w:pPr>
      <w:bookmarkStart w:id="201" w:name="_Toc7502"/>
      <w:bookmarkStart w:id="202" w:name="_Ref467378121"/>
      <w:bookmarkStart w:id="203" w:name="_Toc487900364"/>
      <w:bookmarkStart w:id="204" w:name="_Toc279701254"/>
      <w:bookmarkStart w:id="205" w:name="_Toc259093683"/>
      <w:r>
        <w:rPr>
          <w:rFonts w:hint="eastAsia" w:ascii="仿宋_GB2312" w:hAnsi="楷体" w:eastAsia="仿宋_GB2312"/>
          <w:b/>
          <w:color w:val="auto"/>
          <w:sz w:val="24"/>
          <w:highlight w:val="none"/>
        </w:rPr>
        <w:t>2.11 合同变更</w:t>
      </w:r>
      <w:bookmarkEnd w:id="201"/>
    </w:p>
    <w:p w14:paraId="170A1A96">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2.11.1双方当事人协商一致，可以签订书面补充合同的形式变更合同，但不得违背采购文件确定的事项。如果系追加与合同标的相同的标的物的，那么需经采购监督管理部门同意，且所有补充合同的采购金额不得超过原合同价的10%；</w:t>
      </w:r>
    </w:p>
    <w:p w14:paraId="7073C531">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2.11.2 合同继续履行将损害国家利益和社会公共利益的，双方当事人应当以书面形式变更合同。有过错的一方应当承担赔偿责任，双方当事人都有过错的，各自承担相应的责任。</w:t>
      </w:r>
      <w:bookmarkStart w:id="206" w:name="_Toc279701259"/>
      <w:bookmarkStart w:id="207" w:name="_Toc259093688"/>
      <w:bookmarkStart w:id="208" w:name="_Toc487900369"/>
    </w:p>
    <w:p w14:paraId="6781CBA2">
      <w:pPr>
        <w:spacing w:line="360" w:lineRule="auto"/>
        <w:ind w:firstLine="482" w:firstLineChars="200"/>
        <w:rPr>
          <w:rFonts w:hint="eastAsia" w:ascii="仿宋_GB2312" w:hAnsi="楷体" w:eastAsia="仿宋_GB2312"/>
          <w:b/>
          <w:color w:val="auto"/>
          <w:sz w:val="24"/>
          <w:highlight w:val="none"/>
        </w:rPr>
      </w:pPr>
      <w:bookmarkStart w:id="209" w:name="_Toc22955"/>
      <w:bookmarkStart w:id="210" w:name="_Toc15237"/>
      <w:bookmarkStart w:id="211" w:name="_Toc10366"/>
      <w:r>
        <w:rPr>
          <w:rFonts w:hint="eastAsia" w:ascii="仿宋_GB2312" w:hAnsi="楷体" w:eastAsia="仿宋_GB2312"/>
          <w:b/>
          <w:color w:val="auto"/>
          <w:sz w:val="24"/>
          <w:highlight w:val="none"/>
        </w:rPr>
        <w:t>2.12 合同转让</w:t>
      </w:r>
      <w:bookmarkEnd w:id="206"/>
      <w:bookmarkEnd w:id="207"/>
      <w:bookmarkEnd w:id="208"/>
      <w:r>
        <w:rPr>
          <w:rFonts w:hint="eastAsia" w:ascii="仿宋_GB2312" w:hAnsi="楷体" w:eastAsia="仿宋_GB2312"/>
          <w:b/>
          <w:color w:val="auto"/>
          <w:sz w:val="24"/>
          <w:highlight w:val="none"/>
        </w:rPr>
        <w:t>和分包</w:t>
      </w:r>
      <w:bookmarkEnd w:id="209"/>
      <w:bookmarkEnd w:id="210"/>
      <w:bookmarkEnd w:id="211"/>
    </w:p>
    <w:p w14:paraId="3ED45581">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合同的权利义务依法不得转让，但经甲方书面同意，乙方可以依法采取分包方式履行合同，即：依法可以将合同项下的部分非主体、非关键性工作分包给他人完成，接受分包的供应商应当具备相应的资格条件，并不得再次分包，且乙方应就分包项目向甲方负责，并与分包供应商就分包项目向甲方承担连带责任。</w:t>
      </w:r>
    </w:p>
    <w:p w14:paraId="36E08A39">
      <w:pPr>
        <w:spacing w:line="360" w:lineRule="auto"/>
        <w:ind w:firstLine="482" w:firstLineChars="200"/>
        <w:rPr>
          <w:rFonts w:hint="eastAsia" w:ascii="仿宋_GB2312" w:hAnsi="楷体" w:eastAsia="仿宋_GB2312"/>
          <w:b/>
          <w:color w:val="auto"/>
          <w:sz w:val="24"/>
          <w:highlight w:val="none"/>
        </w:rPr>
      </w:pPr>
      <w:bookmarkStart w:id="212" w:name="_Toc16508"/>
      <w:bookmarkStart w:id="213" w:name="_Toc13566"/>
      <w:bookmarkStart w:id="214" w:name="_Toc14066"/>
      <w:r>
        <w:rPr>
          <w:rFonts w:hint="eastAsia" w:ascii="仿宋_GB2312" w:hAnsi="楷体" w:eastAsia="仿宋_GB2312"/>
          <w:b/>
          <w:color w:val="auto"/>
          <w:sz w:val="24"/>
          <w:highlight w:val="none"/>
        </w:rPr>
        <w:t>2.13 不可抗力</w:t>
      </w:r>
      <w:bookmarkEnd w:id="212"/>
      <w:bookmarkEnd w:id="213"/>
      <w:bookmarkEnd w:id="214"/>
    </w:p>
    <w:p w14:paraId="316D5D02">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2.13.1如果任何一方遭遇法律规定的不可抗力，致使合同履行受阻时，履行合同的期限应予延长，延长的期限应相当于不可抗力所影响的时间；</w:t>
      </w:r>
    </w:p>
    <w:p w14:paraId="3A22DB1C">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2.13.2受不可抗力影响的一方在不可抗力发生后，应在</w:t>
      </w:r>
      <w:r>
        <w:rPr>
          <w:rFonts w:hint="eastAsia" w:ascii="仿宋_GB2312" w:hAnsi="楷体" w:eastAsia="仿宋_GB2312"/>
          <w:b/>
          <w:i/>
          <w:color w:val="auto"/>
          <w:sz w:val="24"/>
          <w:highlight w:val="none"/>
          <w:u w:val="single"/>
        </w:rPr>
        <w:t>合同专用条款</w:t>
      </w:r>
      <w:r>
        <w:rPr>
          <w:rFonts w:hint="eastAsia" w:ascii="仿宋_GB2312" w:hAnsi="楷体" w:eastAsia="仿宋_GB2312"/>
          <w:color w:val="auto"/>
          <w:sz w:val="24"/>
          <w:highlight w:val="none"/>
        </w:rPr>
        <w:t>约定时间内以书面形式通知对方当事人，并在</w:t>
      </w:r>
      <w:r>
        <w:rPr>
          <w:rFonts w:hint="eastAsia" w:ascii="仿宋_GB2312" w:hAnsi="楷体" w:eastAsia="仿宋_GB2312"/>
          <w:b/>
          <w:i/>
          <w:color w:val="auto"/>
          <w:sz w:val="24"/>
          <w:highlight w:val="none"/>
          <w:u w:val="single"/>
        </w:rPr>
        <w:t>合同专用条款</w:t>
      </w:r>
      <w:r>
        <w:rPr>
          <w:rFonts w:hint="eastAsia" w:ascii="仿宋_GB2312" w:hAnsi="楷体" w:eastAsia="仿宋_GB2312"/>
          <w:color w:val="auto"/>
          <w:sz w:val="24"/>
          <w:highlight w:val="none"/>
        </w:rPr>
        <w:t>约定时间内，将有关部门出具的证明文件送达对方当事人。</w:t>
      </w:r>
    </w:p>
    <w:p w14:paraId="79AE918A">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2.13.3 因不可抗力致使不能实现合同目的的，当事人可以解除合同；</w:t>
      </w:r>
    </w:p>
    <w:p w14:paraId="3807ED1D">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2.13.4 因不可抗力致使合同有变更必要的，双方当事人应在</w:t>
      </w:r>
      <w:r>
        <w:rPr>
          <w:rFonts w:hint="eastAsia" w:ascii="仿宋_GB2312" w:hAnsi="楷体" w:eastAsia="仿宋_GB2312"/>
          <w:b/>
          <w:i/>
          <w:color w:val="auto"/>
          <w:sz w:val="24"/>
          <w:highlight w:val="none"/>
          <w:u w:val="single"/>
        </w:rPr>
        <w:t>合同专用条款</w:t>
      </w:r>
      <w:r>
        <w:rPr>
          <w:rFonts w:hint="eastAsia" w:ascii="仿宋_GB2312" w:hAnsi="楷体" w:eastAsia="仿宋_GB2312"/>
          <w:color w:val="auto"/>
          <w:sz w:val="24"/>
          <w:highlight w:val="none"/>
        </w:rPr>
        <w:t>约定时间内以书面形式变更合同；</w:t>
      </w:r>
    </w:p>
    <w:p w14:paraId="1D7A28FE">
      <w:pPr>
        <w:spacing w:line="360" w:lineRule="auto"/>
        <w:ind w:firstLine="482" w:firstLineChars="200"/>
        <w:rPr>
          <w:rFonts w:hint="eastAsia" w:ascii="仿宋_GB2312" w:hAnsi="楷体" w:eastAsia="仿宋_GB2312"/>
          <w:b/>
          <w:color w:val="auto"/>
          <w:sz w:val="24"/>
          <w:highlight w:val="none"/>
        </w:rPr>
      </w:pPr>
      <w:bookmarkStart w:id="215" w:name="_Toc6969"/>
      <w:bookmarkStart w:id="216" w:name="_Toc689"/>
      <w:bookmarkStart w:id="217" w:name="_Toc259093684"/>
      <w:bookmarkStart w:id="218" w:name="_Toc487900365"/>
      <w:bookmarkStart w:id="219" w:name="_Toc279701255"/>
      <w:bookmarkStart w:id="220" w:name="_Toc30676"/>
      <w:r>
        <w:rPr>
          <w:rFonts w:hint="eastAsia" w:ascii="仿宋_GB2312" w:hAnsi="楷体" w:eastAsia="仿宋_GB2312"/>
          <w:b/>
          <w:color w:val="auto"/>
          <w:sz w:val="24"/>
          <w:highlight w:val="none"/>
        </w:rPr>
        <w:t>2.14 税费</w:t>
      </w:r>
      <w:bookmarkEnd w:id="215"/>
      <w:bookmarkEnd w:id="216"/>
      <w:bookmarkEnd w:id="217"/>
      <w:bookmarkEnd w:id="218"/>
      <w:bookmarkEnd w:id="219"/>
      <w:bookmarkEnd w:id="220"/>
    </w:p>
    <w:p w14:paraId="61A69FD6">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与合同有关的一切税费，均按照中华人民共和国法律的相关规定执行。</w:t>
      </w:r>
    </w:p>
    <w:p w14:paraId="6F282BFE">
      <w:pPr>
        <w:spacing w:line="360" w:lineRule="auto"/>
        <w:ind w:firstLine="482" w:firstLineChars="200"/>
        <w:rPr>
          <w:rFonts w:hint="eastAsia" w:ascii="仿宋_GB2312" w:hAnsi="楷体" w:eastAsia="仿宋_GB2312"/>
          <w:b/>
          <w:color w:val="auto"/>
          <w:sz w:val="24"/>
          <w:highlight w:val="none"/>
        </w:rPr>
      </w:pPr>
      <w:bookmarkStart w:id="221" w:name="_Toc279701258"/>
      <w:bookmarkStart w:id="222" w:name="_Toc487900368"/>
      <w:bookmarkStart w:id="223" w:name="_Toc8298"/>
      <w:bookmarkStart w:id="224" w:name="_Toc259093687"/>
      <w:bookmarkStart w:id="225" w:name="_Toc16959"/>
      <w:bookmarkStart w:id="226" w:name="_Toc7102"/>
      <w:r>
        <w:rPr>
          <w:rFonts w:hint="eastAsia" w:ascii="仿宋_GB2312" w:hAnsi="楷体" w:eastAsia="仿宋_GB2312"/>
          <w:b/>
          <w:color w:val="auto"/>
          <w:sz w:val="24"/>
          <w:highlight w:val="none"/>
        </w:rPr>
        <w:t>2.15 乙方破产</w:t>
      </w:r>
      <w:bookmarkEnd w:id="221"/>
      <w:bookmarkEnd w:id="222"/>
      <w:bookmarkEnd w:id="223"/>
      <w:bookmarkEnd w:id="224"/>
      <w:bookmarkEnd w:id="225"/>
      <w:bookmarkEnd w:id="226"/>
    </w:p>
    <w:p w14:paraId="7B64B103">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1C7EA45B">
      <w:pPr>
        <w:spacing w:line="360" w:lineRule="auto"/>
        <w:ind w:firstLine="482" w:firstLineChars="200"/>
        <w:rPr>
          <w:rFonts w:hint="eastAsia" w:ascii="仿宋_GB2312" w:hAnsi="楷体" w:eastAsia="仿宋_GB2312"/>
          <w:b/>
          <w:color w:val="auto"/>
          <w:sz w:val="24"/>
          <w:highlight w:val="none"/>
        </w:rPr>
      </w:pPr>
      <w:bookmarkStart w:id="227" w:name="_Toc15387"/>
      <w:bookmarkStart w:id="228" w:name="_Toc29333"/>
      <w:bookmarkStart w:id="229" w:name="_Toc6134"/>
      <w:r>
        <w:rPr>
          <w:rFonts w:hint="eastAsia" w:ascii="仿宋_GB2312" w:hAnsi="楷体" w:eastAsia="仿宋_GB2312"/>
          <w:b/>
          <w:color w:val="auto"/>
          <w:sz w:val="24"/>
          <w:highlight w:val="none"/>
        </w:rPr>
        <w:t>2.16 合同中止、终止</w:t>
      </w:r>
      <w:bookmarkEnd w:id="227"/>
      <w:bookmarkEnd w:id="228"/>
      <w:bookmarkEnd w:id="229"/>
    </w:p>
    <w:p w14:paraId="6898F47F">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2.16.1 双方当事人不得擅自中止或者终止合同；</w:t>
      </w:r>
    </w:p>
    <w:p w14:paraId="50E5285D">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2.16.2合同继续履行将损害国家利益和社会公共利益的，双方当事人应当中止或者终止合同。有过错的一方应当承担赔偿责任，双方当事人都有过错的，各自承担相应的责任。</w:t>
      </w:r>
    </w:p>
    <w:p w14:paraId="0B2A0C62">
      <w:pPr>
        <w:spacing w:line="360" w:lineRule="auto"/>
        <w:ind w:firstLine="482" w:firstLineChars="200"/>
        <w:rPr>
          <w:rFonts w:hint="eastAsia" w:ascii="仿宋_GB2312" w:hAnsi="楷体" w:eastAsia="仿宋_GB2312"/>
          <w:b/>
          <w:color w:val="auto"/>
          <w:sz w:val="24"/>
          <w:highlight w:val="none"/>
        </w:rPr>
      </w:pPr>
      <w:bookmarkStart w:id="230" w:name="_Toc6596"/>
      <w:bookmarkStart w:id="231" w:name="_Toc14563"/>
      <w:bookmarkStart w:id="232" w:name="_Toc1125"/>
      <w:r>
        <w:rPr>
          <w:rFonts w:hint="eastAsia" w:ascii="仿宋_GB2312" w:hAnsi="楷体" w:eastAsia="仿宋_GB2312"/>
          <w:b/>
          <w:color w:val="auto"/>
          <w:sz w:val="24"/>
          <w:highlight w:val="none"/>
        </w:rPr>
        <w:t>2.17 检验和验收</w:t>
      </w:r>
      <w:bookmarkEnd w:id="230"/>
      <w:bookmarkEnd w:id="231"/>
      <w:bookmarkEnd w:id="232"/>
    </w:p>
    <w:p w14:paraId="0348D39A">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2.17.1标的物交付前，乙方应对标的物的质量、数量等方面进行详细、全面的检验，并向甲方出具证明标的物符合合同约定的文件；标的物交付时，乙方在</w:t>
      </w:r>
      <w:r>
        <w:rPr>
          <w:rFonts w:hint="eastAsia" w:ascii="仿宋_GB2312" w:hAnsi="楷体" w:eastAsia="仿宋_GB2312"/>
          <w:b/>
          <w:i/>
          <w:color w:val="auto"/>
          <w:sz w:val="24"/>
          <w:highlight w:val="none"/>
          <w:u w:val="single"/>
        </w:rPr>
        <w:t>合同专用条款</w:t>
      </w:r>
      <w:r>
        <w:rPr>
          <w:rFonts w:hint="eastAsia" w:ascii="仿宋_GB2312" w:hAnsi="楷体" w:eastAsia="仿宋_GB2312"/>
          <w:color w:val="auto"/>
          <w:sz w:val="24"/>
          <w:highlight w:val="none"/>
        </w:rPr>
        <w:t>约定时间内组织验收，并可依法邀请相关方参加，验收应出具验收书。</w:t>
      </w:r>
    </w:p>
    <w:p w14:paraId="2F53AE9A">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2.17.2合同期满或者履行完毕后，甲方有权组织（包括依法邀请国家认可的质量检测机构参加）对乙方履约的验收，即：按照合同约定的技术、服务、安全标准，组织对每一项技术、服务、安全标准的履约情况的验收，并出具验收书。</w:t>
      </w:r>
    </w:p>
    <w:p w14:paraId="6D98382A">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2.17.3 检验和验收标准、程序等具体内容以及前述验收书的效力详见</w:t>
      </w:r>
      <w:r>
        <w:rPr>
          <w:rFonts w:hint="eastAsia" w:ascii="仿宋_GB2312" w:hAnsi="楷体" w:eastAsia="仿宋_GB2312"/>
          <w:b/>
          <w:i/>
          <w:color w:val="auto"/>
          <w:sz w:val="24"/>
          <w:highlight w:val="none"/>
          <w:u w:val="single"/>
        </w:rPr>
        <w:t>合同专用条款</w:t>
      </w:r>
      <w:r>
        <w:rPr>
          <w:rFonts w:hint="eastAsia" w:ascii="仿宋_GB2312" w:hAnsi="楷体" w:eastAsia="仿宋_GB2312"/>
          <w:i/>
          <w:color w:val="auto"/>
          <w:sz w:val="24"/>
          <w:highlight w:val="none"/>
        </w:rPr>
        <w:t>。</w:t>
      </w:r>
    </w:p>
    <w:bookmarkEnd w:id="202"/>
    <w:bookmarkEnd w:id="203"/>
    <w:bookmarkEnd w:id="204"/>
    <w:bookmarkEnd w:id="205"/>
    <w:p w14:paraId="60F52FD1">
      <w:pPr>
        <w:spacing w:line="360" w:lineRule="auto"/>
        <w:ind w:firstLine="482" w:firstLineChars="200"/>
        <w:rPr>
          <w:rFonts w:hint="eastAsia" w:ascii="仿宋_GB2312" w:hAnsi="楷体" w:eastAsia="仿宋_GB2312"/>
          <w:b/>
          <w:color w:val="auto"/>
          <w:sz w:val="24"/>
          <w:highlight w:val="none"/>
        </w:rPr>
      </w:pPr>
      <w:bookmarkStart w:id="233" w:name="_Toc487900371"/>
      <w:bookmarkStart w:id="234" w:name="_Toc259093690"/>
      <w:bookmarkStart w:id="235" w:name="_Toc279701261"/>
      <w:bookmarkStart w:id="236" w:name="_Toc11284"/>
      <w:bookmarkStart w:id="237" w:name="_Toc19604"/>
      <w:bookmarkStart w:id="238" w:name="_Toc25182"/>
      <w:r>
        <w:rPr>
          <w:rFonts w:hint="eastAsia" w:ascii="仿宋_GB2312" w:hAnsi="楷体" w:eastAsia="仿宋_GB2312"/>
          <w:b/>
          <w:color w:val="auto"/>
          <w:sz w:val="24"/>
          <w:highlight w:val="none"/>
        </w:rPr>
        <w:t>2.18 通知</w:t>
      </w:r>
      <w:bookmarkEnd w:id="233"/>
      <w:bookmarkEnd w:id="234"/>
      <w:bookmarkEnd w:id="235"/>
      <w:r>
        <w:rPr>
          <w:rFonts w:hint="eastAsia" w:ascii="仿宋_GB2312" w:hAnsi="楷体" w:eastAsia="仿宋_GB2312"/>
          <w:b/>
          <w:color w:val="auto"/>
          <w:sz w:val="24"/>
          <w:highlight w:val="none"/>
        </w:rPr>
        <w:t>和送达</w:t>
      </w:r>
      <w:bookmarkEnd w:id="236"/>
      <w:bookmarkEnd w:id="237"/>
      <w:bookmarkEnd w:id="238"/>
    </w:p>
    <w:p w14:paraId="7EA11F35">
      <w:pPr>
        <w:spacing w:line="360" w:lineRule="auto"/>
        <w:ind w:firstLine="480" w:firstLineChars="200"/>
        <w:rPr>
          <w:rFonts w:hint="eastAsia" w:ascii="仿宋_GB2312" w:hAnsi="楷体" w:eastAsia="仿宋_GB2312"/>
          <w:color w:val="auto"/>
          <w:sz w:val="24"/>
          <w:highlight w:val="none"/>
        </w:rPr>
      </w:pPr>
      <w:bookmarkStart w:id="239" w:name="_Toc6698"/>
      <w:bookmarkStart w:id="240" w:name="_Toc3135"/>
      <w:bookmarkStart w:id="241" w:name="_Toc487900372"/>
      <w:bookmarkStart w:id="242" w:name="_Toc279701262"/>
      <w:bookmarkStart w:id="243" w:name="_Toc259093691"/>
      <w:r>
        <w:rPr>
          <w:rFonts w:hint="eastAsia" w:ascii="仿宋_GB2312" w:hAnsi="楷体" w:eastAsia="仿宋_GB2312"/>
          <w:color w:val="auto"/>
          <w:sz w:val="24"/>
          <w:highlight w:val="none"/>
        </w:rPr>
        <w:t>2.18.1 任何一方因履行合同而以合同第一部分尾部所列明的</w:t>
      </w:r>
      <w:r>
        <w:rPr>
          <w:rFonts w:hint="eastAsia" w:ascii="仿宋_GB2312" w:hAnsi="楷体" w:eastAsia="仿宋_GB2312"/>
          <w:color w:val="auto"/>
          <w:sz w:val="24"/>
          <w:highlight w:val="none"/>
          <w:u w:val="single"/>
        </w:rPr>
        <w:t>“约定送达地址”</w:t>
      </w:r>
      <w:r>
        <w:rPr>
          <w:rFonts w:hint="eastAsia" w:ascii="仿宋_GB2312" w:hAnsi="楷体" w:eastAsia="仿宋_GB2312"/>
          <w:color w:val="auto"/>
          <w:sz w:val="24"/>
          <w:highlight w:val="none"/>
        </w:rPr>
        <w:t>为收件地址的所有通知、文件、材料，均视为已向对方当事人送达；任何一方变更上述送达方式或者地址的，应于</w:t>
      </w:r>
      <w:r>
        <w:rPr>
          <w:rFonts w:hint="eastAsia" w:ascii="仿宋_GB2312" w:hAnsi="楷体" w:eastAsia="仿宋_GB2312"/>
          <w:color w:val="auto"/>
          <w:sz w:val="24"/>
          <w:highlight w:val="none"/>
          <w:u w:val="single"/>
        </w:rPr>
        <w:t xml:space="preserve">    </w:t>
      </w:r>
      <w:r>
        <w:rPr>
          <w:rFonts w:hint="eastAsia" w:ascii="仿宋_GB2312" w:hAnsi="楷体" w:eastAsia="仿宋_GB2312"/>
          <w:color w:val="auto"/>
          <w:sz w:val="24"/>
          <w:highlight w:val="none"/>
        </w:rPr>
        <w:t>个工作日内（根据项目实际填写）书面通知对方当事人，在对方当事人收到有关变更通知之前，变更前的约定送达方式或者地址仍视为有效。</w:t>
      </w:r>
      <w:bookmarkEnd w:id="239"/>
      <w:bookmarkEnd w:id="240"/>
    </w:p>
    <w:p w14:paraId="41137A92">
      <w:pPr>
        <w:spacing w:line="360" w:lineRule="auto"/>
        <w:ind w:firstLine="480" w:firstLineChars="200"/>
        <w:rPr>
          <w:rFonts w:hint="eastAsia" w:ascii="仿宋_GB2312" w:hAnsi="楷体" w:eastAsia="仿宋_GB2312"/>
          <w:color w:val="auto"/>
          <w:sz w:val="24"/>
          <w:highlight w:val="none"/>
        </w:rPr>
      </w:pPr>
      <w:bookmarkStart w:id="244" w:name="_Toc23294"/>
      <w:bookmarkStart w:id="245" w:name="_Toc23128"/>
      <w:r>
        <w:rPr>
          <w:rFonts w:hint="eastAsia" w:ascii="仿宋_GB2312" w:hAnsi="楷体" w:eastAsia="仿宋_GB2312"/>
          <w:color w:val="auto"/>
          <w:sz w:val="24"/>
          <w:highlight w:val="none"/>
        </w:rPr>
        <w:t>2.18.2以当面交付方式送达的，交付之时视为送达；以电子邮件方式送达的，发出电子邮件之时视为送达；以传真方式送达的，发出传真之时视为送达；以邮寄方式送达的，邮件挂号寄出或者交邮之日之次日视为送达。</w:t>
      </w:r>
      <w:bookmarkEnd w:id="244"/>
      <w:bookmarkEnd w:id="245"/>
    </w:p>
    <w:p w14:paraId="4FE7F5F0">
      <w:pPr>
        <w:spacing w:line="360" w:lineRule="auto"/>
        <w:ind w:firstLine="482" w:firstLineChars="200"/>
        <w:rPr>
          <w:rFonts w:hint="eastAsia" w:ascii="仿宋_GB2312" w:hAnsi="楷体" w:eastAsia="仿宋_GB2312"/>
          <w:b/>
          <w:color w:val="auto"/>
          <w:sz w:val="24"/>
          <w:highlight w:val="none"/>
        </w:rPr>
      </w:pPr>
      <w:bookmarkStart w:id="246" w:name="_Toc18540"/>
      <w:bookmarkStart w:id="247" w:name="_Toc30599"/>
      <w:bookmarkStart w:id="248" w:name="_Toc4355"/>
      <w:r>
        <w:rPr>
          <w:rFonts w:hint="eastAsia" w:ascii="仿宋_GB2312" w:hAnsi="楷体" w:eastAsia="仿宋_GB2312"/>
          <w:b/>
          <w:color w:val="auto"/>
          <w:sz w:val="24"/>
          <w:highlight w:val="none"/>
        </w:rPr>
        <w:t>2.19 计量单位</w:t>
      </w:r>
      <w:bookmarkEnd w:id="241"/>
      <w:bookmarkEnd w:id="242"/>
      <w:bookmarkEnd w:id="243"/>
      <w:bookmarkEnd w:id="246"/>
      <w:bookmarkEnd w:id="247"/>
      <w:bookmarkEnd w:id="248"/>
    </w:p>
    <w:p w14:paraId="11D8D929">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除技术规范中另有规定外,合同的计量单位均使用国家法定计量单位。</w:t>
      </w:r>
    </w:p>
    <w:p w14:paraId="4AA1A500">
      <w:pPr>
        <w:spacing w:line="360" w:lineRule="auto"/>
        <w:ind w:firstLine="482" w:firstLineChars="200"/>
        <w:rPr>
          <w:rFonts w:hint="eastAsia" w:ascii="仿宋_GB2312" w:hAnsi="楷体" w:eastAsia="仿宋_GB2312"/>
          <w:b/>
          <w:color w:val="auto"/>
          <w:sz w:val="24"/>
          <w:highlight w:val="none"/>
        </w:rPr>
      </w:pPr>
      <w:bookmarkStart w:id="249" w:name="_Toc12773"/>
      <w:bookmarkStart w:id="250" w:name="_Toc487900373"/>
      <w:bookmarkStart w:id="251" w:name="_Toc10330"/>
      <w:bookmarkStart w:id="252" w:name="_Toc279701263"/>
      <w:bookmarkStart w:id="253" w:name="_Toc18567"/>
      <w:bookmarkStart w:id="254" w:name="_Toc259093692"/>
      <w:r>
        <w:rPr>
          <w:rFonts w:hint="eastAsia" w:ascii="仿宋_GB2312" w:hAnsi="楷体" w:eastAsia="仿宋_GB2312"/>
          <w:b/>
          <w:color w:val="auto"/>
          <w:sz w:val="24"/>
          <w:highlight w:val="none"/>
        </w:rPr>
        <w:t>2.20 合同使用的文字和适用的法律</w:t>
      </w:r>
      <w:bookmarkEnd w:id="249"/>
      <w:bookmarkEnd w:id="250"/>
      <w:bookmarkEnd w:id="251"/>
      <w:bookmarkEnd w:id="252"/>
      <w:bookmarkEnd w:id="253"/>
      <w:bookmarkEnd w:id="254"/>
    </w:p>
    <w:p w14:paraId="62A6B435">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2.20.1 合同使用汉语书就、变更和解释；</w:t>
      </w:r>
    </w:p>
    <w:p w14:paraId="3C0EEBEE">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2.20.2 合同适用中华人民共和国法律。</w:t>
      </w:r>
    </w:p>
    <w:p w14:paraId="3B3BF54D">
      <w:pPr>
        <w:spacing w:line="360" w:lineRule="auto"/>
        <w:ind w:firstLine="482" w:firstLineChars="200"/>
        <w:rPr>
          <w:rFonts w:hint="eastAsia" w:ascii="仿宋_GB2312" w:hAnsi="楷体" w:eastAsia="仿宋_GB2312"/>
          <w:b/>
          <w:color w:val="auto"/>
          <w:sz w:val="24"/>
          <w:highlight w:val="none"/>
        </w:rPr>
      </w:pPr>
      <w:bookmarkStart w:id="255" w:name="_Toc16673"/>
      <w:bookmarkStart w:id="256" w:name="_Toc259093693"/>
      <w:bookmarkStart w:id="257" w:name="_Toc279701264"/>
      <w:bookmarkStart w:id="258" w:name="_Toc3148"/>
      <w:bookmarkStart w:id="259" w:name="_Toc12004"/>
      <w:bookmarkStart w:id="260" w:name="_Toc487900374"/>
      <w:r>
        <w:rPr>
          <w:rFonts w:hint="eastAsia" w:ascii="仿宋_GB2312" w:hAnsi="楷体" w:eastAsia="仿宋_GB2312"/>
          <w:b/>
          <w:color w:val="auto"/>
          <w:sz w:val="24"/>
          <w:highlight w:val="none"/>
        </w:rPr>
        <w:t>2.21 履约保证金</w:t>
      </w:r>
      <w:bookmarkEnd w:id="255"/>
      <w:bookmarkEnd w:id="256"/>
      <w:bookmarkEnd w:id="257"/>
      <w:bookmarkEnd w:id="258"/>
      <w:bookmarkEnd w:id="259"/>
    </w:p>
    <w:p w14:paraId="0D547EC5">
      <w:pPr>
        <w:spacing w:line="360" w:lineRule="auto"/>
        <w:ind w:firstLine="480" w:firstLineChars="200"/>
        <w:rPr>
          <w:rFonts w:ascii="仿宋_GB2312" w:hAnsi="仿宋" w:eastAsia="仿宋_GB2312" w:cs="Arial"/>
          <w:snapToGrid w:val="0"/>
          <w:color w:val="auto"/>
          <w:kern w:val="0"/>
          <w:sz w:val="24"/>
          <w:highlight w:val="none"/>
        </w:rPr>
      </w:pPr>
      <w:r>
        <w:rPr>
          <w:rFonts w:hint="eastAsia" w:ascii="仿宋_GB2312" w:hAnsi="楷体" w:eastAsia="仿宋_GB2312"/>
          <w:color w:val="auto"/>
          <w:sz w:val="24"/>
          <w:highlight w:val="none"/>
        </w:rPr>
        <w:t>本项目不收取履约保证金</w:t>
      </w:r>
    </w:p>
    <w:p w14:paraId="294A2AAF">
      <w:pPr>
        <w:spacing w:line="360" w:lineRule="auto"/>
        <w:ind w:firstLine="482" w:firstLineChars="200"/>
        <w:rPr>
          <w:rFonts w:hint="eastAsia" w:ascii="仿宋_GB2312" w:hAnsi="仿宋" w:eastAsia="仿宋_GB2312"/>
          <w:color w:val="auto"/>
          <w:kern w:val="0"/>
          <w:sz w:val="24"/>
          <w:highlight w:val="none"/>
          <w:lang w:val="zh-CN"/>
        </w:rPr>
      </w:pPr>
      <w:r>
        <w:rPr>
          <w:rFonts w:hint="eastAsia" w:ascii="仿宋_GB2312" w:hAnsi="楷体" w:eastAsia="仿宋_GB2312"/>
          <w:b/>
          <w:color w:val="auto"/>
          <w:sz w:val="24"/>
          <w:highlight w:val="none"/>
        </w:rPr>
        <w:t>2.22 中小企业政策</w:t>
      </w:r>
    </w:p>
    <w:p w14:paraId="55AFD25E">
      <w:pPr>
        <w:spacing w:line="360" w:lineRule="auto"/>
        <w:ind w:firstLine="480" w:firstLineChars="200"/>
        <w:rPr>
          <w:rFonts w:hint="eastAsia" w:ascii="仿宋_GB2312" w:hAnsi="仿宋" w:eastAsia="仿宋_GB2312"/>
          <w:color w:val="auto"/>
          <w:kern w:val="0"/>
          <w:sz w:val="24"/>
          <w:highlight w:val="none"/>
          <w:lang w:val="zh-CN"/>
        </w:rPr>
      </w:pPr>
      <w:r>
        <w:rPr>
          <w:rFonts w:hint="eastAsia" w:ascii="仿宋_GB2312" w:hAnsi="仿宋" w:eastAsia="仿宋_GB2312"/>
          <w:color w:val="auto"/>
          <w:kern w:val="0"/>
          <w:sz w:val="24"/>
          <w:highlight w:val="none"/>
          <w:lang w:val="zh-CN"/>
        </w:rPr>
        <w:t>2.22.1本合同（□是  □否）为中小企业“政采贷”可融资合同，关于中小企业信用融资事项见采购文件“供应商须知正文”。</w:t>
      </w:r>
    </w:p>
    <w:p w14:paraId="27F0E6CA">
      <w:pPr>
        <w:spacing w:line="360" w:lineRule="auto"/>
        <w:ind w:firstLine="480" w:firstLineChars="200"/>
        <w:rPr>
          <w:rFonts w:ascii="仿宋_GB2312" w:hAnsi="仿宋" w:eastAsia="仿宋_GB2312"/>
          <w:color w:val="auto"/>
          <w:kern w:val="0"/>
          <w:sz w:val="24"/>
          <w:highlight w:val="none"/>
          <w:lang w:val="zh-CN"/>
        </w:rPr>
      </w:pPr>
      <w:r>
        <w:rPr>
          <w:rFonts w:hint="eastAsia" w:ascii="仿宋_GB2312" w:hAnsi="仿宋" w:eastAsia="仿宋_GB2312"/>
          <w:color w:val="auto"/>
          <w:kern w:val="0"/>
          <w:sz w:val="24"/>
          <w:highlight w:val="none"/>
          <w:lang w:val="zh-CN"/>
        </w:rPr>
        <w:t>2.22.2</w:t>
      </w:r>
      <w:r>
        <w:rPr>
          <w:rFonts w:ascii="仿宋_GB2312" w:hAnsi="仿宋" w:eastAsia="仿宋_GB2312"/>
          <w:color w:val="auto"/>
          <w:kern w:val="0"/>
          <w:sz w:val="24"/>
          <w:highlight w:val="none"/>
          <w:lang w:val="zh-CN"/>
        </w:rPr>
        <w:t xml:space="preserve">本合同（□是  </w:t>
      </w:r>
      <w:r>
        <w:rPr>
          <w:rFonts w:hint="eastAsia" w:ascii="仿宋_GB2312" w:hAnsi="仿宋" w:eastAsia="仿宋_GB2312"/>
          <w:color w:val="auto"/>
          <w:kern w:val="0"/>
          <w:sz w:val="24"/>
          <w:highlight w:val="none"/>
          <w:lang w:val="zh-CN"/>
        </w:rPr>
        <w:t>□否）为中小企业预留合同。</w:t>
      </w:r>
    </w:p>
    <w:bookmarkEnd w:id="260"/>
    <w:p w14:paraId="2A833DD5">
      <w:pPr>
        <w:spacing w:line="360" w:lineRule="auto"/>
        <w:ind w:firstLine="482" w:firstLineChars="200"/>
        <w:rPr>
          <w:rFonts w:hint="eastAsia" w:ascii="仿宋_GB2312" w:hAnsi="楷体" w:eastAsia="仿宋_GB2312"/>
          <w:b/>
          <w:color w:val="auto"/>
          <w:sz w:val="24"/>
          <w:highlight w:val="none"/>
        </w:rPr>
      </w:pPr>
      <w:bookmarkStart w:id="261" w:name="_Toc19890"/>
      <w:bookmarkStart w:id="262" w:name="_Toc14001"/>
      <w:bookmarkStart w:id="263" w:name="_Toc6885"/>
      <w:r>
        <w:rPr>
          <w:rFonts w:hint="eastAsia" w:ascii="仿宋_GB2312" w:hAnsi="楷体" w:eastAsia="仿宋_GB2312"/>
          <w:b/>
          <w:color w:val="auto"/>
          <w:sz w:val="24"/>
          <w:highlight w:val="none"/>
        </w:rPr>
        <w:t>2.23 合同份数</w:t>
      </w:r>
      <w:bookmarkEnd w:id="261"/>
      <w:bookmarkEnd w:id="262"/>
      <w:bookmarkEnd w:id="263"/>
    </w:p>
    <w:p w14:paraId="5F8783AD">
      <w:pPr>
        <w:spacing w:line="360" w:lineRule="auto"/>
        <w:ind w:firstLine="480" w:firstLineChars="200"/>
        <w:rPr>
          <w:rFonts w:hint="eastAsia" w:ascii="仿宋_GB2312" w:hAnsi="楷体" w:eastAsia="仿宋_GB2312"/>
          <w:color w:val="auto"/>
          <w:sz w:val="24"/>
          <w:highlight w:val="none"/>
        </w:rPr>
      </w:pPr>
      <w:r>
        <w:rPr>
          <w:rFonts w:hint="eastAsia" w:ascii="仿宋_GB2312" w:hAnsi="宋体" w:eastAsia="仿宋_GB2312"/>
          <w:color w:val="auto"/>
          <w:sz w:val="24"/>
          <w:highlight w:val="none"/>
        </w:rPr>
        <w:t>本合同壹式</w:t>
      </w:r>
      <w:r>
        <w:rPr>
          <w:rFonts w:hint="eastAsia" w:ascii="仿宋_GB2312" w:hAnsi="宋体" w:eastAsia="仿宋_GB2312"/>
          <w:color w:val="auto"/>
          <w:sz w:val="24"/>
          <w:highlight w:val="none"/>
          <w:u w:val="single"/>
        </w:rPr>
        <w:t xml:space="preserve">  </w:t>
      </w:r>
      <w:r>
        <w:rPr>
          <w:rFonts w:hint="eastAsia" w:ascii="仿宋_GB2312" w:hAnsi="仿宋" w:eastAsia="仿宋_GB2312"/>
          <w:color w:val="auto"/>
          <w:sz w:val="24"/>
          <w:highlight w:val="none"/>
          <w:u w:val="single"/>
        </w:rPr>
        <w:t xml:space="preserve"> </w:t>
      </w:r>
      <w:r>
        <w:rPr>
          <w:rFonts w:hint="eastAsia" w:ascii="仿宋_GB2312" w:hAnsi="宋体" w:eastAsia="仿宋_GB2312"/>
          <w:color w:val="auto"/>
          <w:sz w:val="24"/>
          <w:highlight w:val="none"/>
        </w:rPr>
        <w:t>份，甲方执</w:t>
      </w:r>
      <w:r>
        <w:rPr>
          <w:rFonts w:hint="eastAsia" w:ascii="仿宋_GB2312" w:hAnsi="宋体" w:eastAsia="仿宋_GB2312"/>
          <w:color w:val="auto"/>
          <w:sz w:val="24"/>
          <w:highlight w:val="none"/>
          <w:u w:val="single"/>
        </w:rPr>
        <w:t xml:space="preserve">  </w:t>
      </w:r>
      <w:r>
        <w:rPr>
          <w:rFonts w:hint="eastAsia" w:ascii="仿宋_GB2312" w:hAnsi="仿宋" w:eastAsia="仿宋_GB2312"/>
          <w:color w:val="auto"/>
          <w:sz w:val="24"/>
          <w:highlight w:val="none"/>
          <w:u w:val="single"/>
        </w:rPr>
        <w:t xml:space="preserve"> </w:t>
      </w:r>
      <w:r>
        <w:rPr>
          <w:rFonts w:hint="eastAsia" w:ascii="仿宋_GB2312" w:hAnsi="宋体" w:eastAsia="仿宋_GB2312"/>
          <w:color w:val="auto"/>
          <w:sz w:val="24"/>
          <w:highlight w:val="none"/>
        </w:rPr>
        <w:t>份，乙方执</w:t>
      </w:r>
      <w:r>
        <w:rPr>
          <w:rFonts w:hint="eastAsia" w:ascii="仿宋_GB2312" w:hAnsi="仿宋" w:eastAsia="仿宋_GB2312"/>
          <w:color w:val="auto"/>
          <w:sz w:val="24"/>
          <w:highlight w:val="none"/>
          <w:u w:val="single"/>
        </w:rPr>
        <w:t xml:space="preserve">  </w:t>
      </w:r>
      <w:r>
        <w:rPr>
          <w:rFonts w:hint="eastAsia" w:ascii="仿宋_GB2312" w:hAnsi="宋体" w:eastAsia="仿宋_GB2312"/>
          <w:color w:val="auto"/>
          <w:sz w:val="24"/>
          <w:highlight w:val="none"/>
          <w:u w:val="single"/>
        </w:rPr>
        <w:t xml:space="preserve"> </w:t>
      </w:r>
      <w:r>
        <w:rPr>
          <w:rFonts w:hint="eastAsia" w:ascii="仿宋_GB2312" w:hAnsi="宋体" w:eastAsia="仿宋_GB2312"/>
          <w:color w:val="auto"/>
          <w:sz w:val="24"/>
          <w:highlight w:val="none"/>
        </w:rPr>
        <w:t>份。</w:t>
      </w:r>
      <w:r>
        <w:rPr>
          <w:rFonts w:hint="eastAsia" w:ascii="仿宋_GB2312" w:hAnsi="楷体" w:eastAsia="仿宋_GB2312"/>
          <w:color w:val="auto"/>
          <w:sz w:val="24"/>
          <w:highlight w:val="none"/>
        </w:rPr>
        <w:t>每份均具有同等法律效力。</w:t>
      </w:r>
    </w:p>
    <w:p w14:paraId="2771771B">
      <w:pPr>
        <w:pStyle w:val="104"/>
        <w:spacing w:after="0"/>
        <w:jc w:val="center"/>
        <w:outlineLvl w:val="1"/>
        <w:rPr>
          <w:rFonts w:hint="eastAsia" w:ascii="仿宋_GB2312" w:hAnsi="楷体" w:eastAsia="仿宋_GB2312"/>
          <w:b/>
          <w:color w:val="auto"/>
          <w:sz w:val="28"/>
          <w:szCs w:val="28"/>
          <w:highlight w:val="none"/>
        </w:rPr>
      </w:pPr>
      <w:r>
        <w:rPr>
          <w:rFonts w:hint="eastAsia" w:ascii="仿宋_GB2312" w:hAnsi="楷体" w:eastAsia="仿宋_GB2312"/>
          <w:color w:val="auto"/>
          <w:highlight w:val="none"/>
        </w:rPr>
        <w:br w:type="page"/>
      </w:r>
      <w:bookmarkStart w:id="264" w:name="_Toc80205946"/>
      <w:bookmarkStart w:id="265" w:name="_Toc80886950"/>
      <w:bookmarkStart w:id="266" w:name="_Toc331685784"/>
      <w:bookmarkStart w:id="267" w:name="_Toc21037"/>
      <w:r>
        <w:rPr>
          <w:rFonts w:hint="eastAsia" w:ascii="仿宋_GB2312" w:hAnsi="楷体" w:eastAsia="仿宋_GB2312"/>
          <w:b/>
          <w:color w:val="auto"/>
          <w:sz w:val="28"/>
          <w:szCs w:val="28"/>
          <w:highlight w:val="none"/>
        </w:rPr>
        <w:t>第三部分 合同专用条款</w:t>
      </w:r>
      <w:bookmarkEnd w:id="264"/>
      <w:bookmarkEnd w:id="265"/>
      <w:bookmarkEnd w:id="266"/>
      <w:bookmarkEnd w:id="267"/>
    </w:p>
    <w:p w14:paraId="0C39989C">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p w14:paraId="47CF4245">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2.3.2具有知识产权的标的物知识产权归属：</w:t>
      </w:r>
    </w:p>
    <w:p w14:paraId="3EB86AF1">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u w:val="single"/>
        </w:rPr>
        <w:t xml:space="preserve">                                                                 </w:t>
      </w:r>
      <w:r>
        <w:rPr>
          <w:rFonts w:hint="eastAsia" w:ascii="仿宋_GB2312" w:hAnsi="楷体" w:eastAsia="仿宋_GB2312"/>
          <w:color w:val="auto"/>
          <w:sz w:val="24"/>
          <w:highlight w:val="none"/>
        </w:rPr>
        <w:t xml:space="preserve">           </w:t>
      </w:r>
    </w:p>
    <w:p w14:paraId="22B26452">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2.4.1包装和装运专用条款（如果有）：</w:t>
      </w:r>
    </w:p>
    <w:p w14:paraId="511304B9">
      <w:pPr>
        <w:spacing w:line="360" w:lineRule="auto"/>
        <w:ind w:firstLine="480" w:firstLineChars="200"/>
        <w:rPr>
          <w:rFonts w:hint="eastAsia" w:ascii="仿宋_GB2312" w:hAnsi="楷体" w:eastAsia="仿宋_GB2312"/>
          <w:color w:val="auto"/>
          <w:sz w:val="24"/>
          <w:highlight w:val="none"/>
          <w:u w:val="single"/>
        </w:rPr>
      </w:pPr>
      <w:r>
        <w:rPr>
          <w:rFonts w:hint="eastAsia" w:ascii="仿宋_GB2312" w:hAnsi="楷体" w:eastAsia="仿宋_GB2312"/>
          <w:color w:val="auto"/>
          <w:sz w:val="24"/>
          <w:highlight w:val="none"/>
          <w:u w:val="single"/>
        </w:rPr>
        <w:t xml:space="preserve">                                                                     </w:t>
      </w:r>
    </w:p>
    <w:p w14:paraId="22D9220F">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2.4.2装运标的物的要求和通知：</w:t>
      </w:r>
    </w:p>
    <w:p w14:paraId="33F9FA28">
      <w:pPr>
        <w:spacing w:line="360" w:lineRule="auto"/>
        <w:ind w:firstLine="480" w:firstLineChars="200"/>
        <w:rPr>
          <w:rFonts w:hint="eastAsia" w:ascii="仿宋_GB2312" w:hAnsi="楷体" w:eastAsia="仿宋_GB2312"/>
          <w:color w:val="auto"/>
          <w:sz w:val="24"/>
          <w:highlight w:val="none"/>
          <w:u w:val="single"/>
        </w:rPr>
      </w:pPr>
      <w:r>
        <w:rPr>
          <w:rFonts w:hint="eastAsia" w:ascii="仿宋_GB2312" w:hAnsi="楷体" w:eastAsia="仿宋_GB2312"/>
          <w:color w:val="auto"/>
          <w:sz w:val="24"/>
          <w:highlight w:val="none"/>
          <w:u w:val="single"/>
        </w:rPr>
        <w:t xml:space="preserve">                                                                     </w:t>
      </w:r>
    </w:p>
    <w:p w14:paraId="4DF4D2BA">
      <w:pPr>
        <w:spacing w:line="360" w:lineRule="auto"/>
        <w:ind w:firstLine="480" w:firstLineChars="200"/>
        <w:rPr>
          <w:rFonts w:hint="eastAsia" w:ascii="仿宋_GB2312" w:hAnsi="楷体" w:eastAsia="仿宋_GB2312"/>
          <w:b/>
          <w:color w:val="auto"/>
          <w:sz w:val="24"/>
          <w:highlight w:val="none"/>
        </w:rPr>
      </w:pPr>
      <w:r>
        <w:rPr>
          <w:rFonts w:hint="eastAsia" w:ascii="仿宋_GB2312" w:hAnsi="楷体" w:eastAsia="仿宋_GB2312"/>
          <w:color w:val="auto"/>
          <w:sz w:val="24"/>
          <w:highlight w:val="none"/>
        </w:rPr>
        <w:t>2.6</w:t>
      </w:r>
      <w:r>
        <w:rPr>
          <w:rFonts w:hint="eastAsia" w:ascii="仿宋_GB2312" w:hAnsi="楷体" w:eastAsia="仿宋_GB2312"/>
          <w:b/>
          <w:color w:val="auto"/>
          <w:sz w:val="24"/>
          <w:highlight w:val="none"/>
        </w:rPr>
        <w:t>结算方式和付款条件</w:t>
      </w:r>
    </w:p>
    <w:p w14:paraId="73CC9E50">
      <w:pPr>
        <w:spacing w:line="360" w:lineRule="auto"/>
        <w:ind w:firstLine="480" w:firstLineChars="200"/>
        <w:rPr>
          <w:rFonts w:hint="eastAsia" w:ascii="仿宋_GB2312" w:eastAsia="仿宋_GB2312" w:cs="仿宋_GB2312"/>
          <w:color w:val="auto"/>
          <w:kern w:val="0"/>
          <w:sz w:val="24"/>
          <w:highlight w:val="none"/>
          <w:lang w:val="zh-CN"/>
        </w:rPr>
      </w:pPr>
      <w:r>
        <w:rPr>
          <w:rFonts w:hint="eastAsia" w:ascii="仿宋_GB2312" w:eastAsia="仿宋_GB2312" w:cs="仿宋_GB2312"/>
          <w:color w:val="auto"/>
          <w:kern w:val="0"/>
          <w:sz w:val="24"/>
          <w:highlight w:val="none"/>
          <w:lang w:val="zh-CN"/>
        </w:rPr>
        <w:t>本次项目合同总价为大写人民币</w:t>
      </w:r>
      <w:r>
        <w:rPr>
          <w:rFonts w:hint="eastAsia" w:ascii="仿宋_GB2312" w:eastAsia="仿宋_GB2312" w:cs="仿宋_GB2312"/>
          <w:color w:val="auto"/>
          <w:kern w:val="0"/>
          <w:sz w:val="24"/>
          <w:highlight w:val="none"/>
          <w:u w:val="single"/>
          <w:lang w:val="zh-CN"/>
        </w:rPr>
        <w:t xml:space="preserve">            （</w:t>
      </w:r>
      <w:r>
        <w:rPr>
          <w:rFonts w:hint="eastAsia" w:ascii="仿宋_GB2312" w:eastAsia="仿宋_GB2312" w:cs="仿宋_GB2312"/>
          <w:color w:val="auto"/>
          <w:kern w:val="0"/>
          <w:sz w:val="24"/>
          <w:highlight w:val="none"/>
          <w:lang w:val="zh-CN"/>
        </w:rPr>
        <w:t>￥    元）。本项目采用以下勾选结算方式进行支付：</w:t>
      </w:r>
    </w:p>
    <w:p w14:paraId="6DF4D859">
      <w:pPr>
        <w:spacing w:line="360" w:lineRule="auto"/>
        <w:ind w:firstLine="480" w:firstLineChars="200"/>
        <w:rPr>
          <w:rFonts w:hint="eastAsia" w:ascii="仿宋_GB2312" w:eastAsia="仿宋_GB2312" w:cs="仿宋_GB2312"/>
          <w:color w:val="auto"/>
          <w:kern w:val="0"/>
          <w:sz w:val="24"/>
          <w:highlight w:val="none"/>
          <w:lang w:val="zh-CN"/>
        </w:rPr>
      </w:pPr>
      <w:r>
        <w:rPr>
          <w:rFonts w:hint="eastAsia" w:ascii="仿宋_GB2312" w:eastAsia="仿宋_GB2312" w:cs="仿宋_GB2312"/>
          <w:color w:val="auto"/>
          <w:kern w:val="0"/>
          <w:sz w:val="24"/>
          <w:highlight w:val="none"/>
          <w:lang w:val="zh-CN"/>
        </w:rPr>
        <w:t>□采用一次性支付方式，付款条件为：</w:t>
      </w:r>
      <w:r>
        <w:rPr>
          <w:rFonts w:hint="eastAsia" w:ascii="仿宋_GB2312" w:eastAsia="仿宋_GB2312" w:cs="仿宋_GB2312"/>
          <w:color w:val="auto"/>
          <w:kern w:val="0"/>
          <w:sz w:val="24"/>
          <w:highlight w:val="none"/>
          <w:u w:val="single"/>
        </w:rPr>
        <w:t xml:space="preserve">           </w:t>
      </w:r>
    </w:p>
    <w:p w14:paraId="1DC03276">
      <w:pPr>
        <w:spacing w:line="360" w:lineRule="auto"/>
        <w:ind w:firstLine="480" w:firstLineChars="200"/>
        <w:rPr>
          <w:rFonts w:hint="eastAsia" w:ascii="仿宋_GB2312" w:eastAsia="仿宋_GB2312" w:cs="仿宋_GB2312"/>
          <w:color w:val="auto"/>
          <w:kern w:val="0"/>
          <w:sz w:val="24"/>
          <w:highlight w:val="none"/>
        </w:rPr>
      </w:pPr>
      <w:r>
        <w:rPr>
          <w:rFonts w:hint="eastAsia" w:ascii="仿宋_GB2312" w:eastAsia="仿宋_GB2312" w:cs="仿宋_GB2312"/>
          <w:color w:val="auto"/>
          <w:kern w:val="0"/>
          <w:sz w:val="24"/>
          <w:highlight w:val="none"/>
          <w:lang w:val="zh-CN"/>
        </w:rPr>
        <w:t>□采用分期付款方式，付款条件为</w:t>
      </w:r>
      <w:r>
        <w:rPr>
          <w:rFonts w:hint="eastAsia" w:ascii="仿宋_GB2312" w:eastAsia="仿宋_GB2312" w:cs="仿宋_GB2312"/>
          <w:color w:val="auto"/>
          <w:kern w:val="0"/>
          <w:sz w:val="24"/>
          <w:highlight w:val="none"/>
        </w:rPr>
        <w:t>：</w:t>
      </w:r>
    </w:p>
    <w:p w14:paraId="0BB09318">
      <w:pPr>
        <w:spacing w:line="360" w:lineRule="auto"/>
        <w:ind w:firstLine="480" w:firstLineChars="200"/>
        <w:rPr>
          <w:rFonts w:hint="eastAsia" w:ascii="仿宋_GB2312" w:eastAsia="仿宋_GB2312" w:cs="仿宋_GB2312"/>
          <w:color w:val="auto"/>
          <w:kern w:val="0"/>
          <w:sz w:val="24"/>
          <w:highlight w:val="none"/>
        </w:rPr>
      </w:pPr>
      <w:r>
        <w:rPr>
          <w:rFonts w:hint="eastAsia" w:ascii="仿宋_GB2312" w:eastAsia="仿宋_GB2312" w:cs="仿宋_GB2312"/>
          <w:color w:val="auto"/>
          <w:kern w:val="0"/>
          <w:sz w:val="24"/>
          <w:highlight w:val="none"/>
          <w:lang w:val="zh-CN"/>
        </w:rPr>
        <w:t>第一期付款</w:t>
      </w:r>
      <w:r>
        <w:rPr>
          <w:rFonts w:hint="eastAsia" w:ascii="仿宋_GB2312" w:eastAsia="仿宋_GB2312" w:cs="仿宋_GB2312"/>
          <w:color w:val="auto"/>
          <w:kern w:val="0"/>
          <w:sz w:val="24"/>
          <w:highlight w:val="none"/>
        </w:rPr>
        <w:t>：</w:t>
      </w:r>
      <w:r>
        <w:rPr>
          <w:rFonts w:hint="eastAsia" w:ascii="仿宋_GB2312" w:eastAsia="仿宋_GB2312" w:cs="仿宋_GB2312"/>
          <w:color w:val="auto"/>
          <w:kern w:val="0"/>
          <w:sz w:val="24"/>
          <w:highlight w:val="none"/>
          <w:u w:val="single"/>
        </w:rPr>
        <w:t xml:space="preserve">                                        </w:t>
      </w:r>
    </w:p>
    <w:p w14:paraId="45E8DD71">
      <w:pPr>
        <w:spacing w:line="360" w:lineRule="auto"/>
        <w:ind w:firstLine="480" w:firstLineChars="200"/>
        <w:rPr>
          <w:rFonts w:hint="eastAsia" w:ascii="仿宋_GB2312" w:eastAsia="仿宋_GB2312" w:cs="仿宋_GB2312"/>
          <w:color w:val="auto"/>
          <w:kern w:val="0"/>
          <w:sz w:val="24"/>
          <w:highlight w:val="none"/>
          <w:u w:val="single"/>
        </w:rPr>
      </w:pPr>
      <w:r>
        <w:rPr>
          <w:rFonts w:hint="eastAsia" w:ascii="仿宋_GB2312" w:eastAsia="仿宋_GB2312" w:cs="仿宋_GB2312"/>
          <w:color w:val="auto"/>
          <w:kern w:val="0"/>
          <w:sz w:val="24"/>
          <w:highlight w:val="none"/>
          <w:lang w:val="zh-CN"/>
        </w:rPr>
        <w:t>第</w:t>
      </w:r>
      <w:r>
        <w:rPr>
          <w:rFonts w:hint="eastAsia" w:ascii="仿宋_GB2312" w:eastAsia="仿宋_GB2312" w:cs="仿宋_GB2312"/>
          <w:color w:val="auto"/>
          <w:kern w:val="0"/>
          <w:sz w:val="24"/>
          <w:highlight w:val="none"/>
        </w:rPr>
        <w:t>二</w:t>
      </w:r>
      <w:r>
        <w:rPr>
          <w:rFonts w:hint="eastAsia" w:ascii="仿宋_GB2312" w:eastAsia="仿宋_GB2312" w:cs="仿宋_GB2312"/>
          <w:color w:val="auto"/>
          <w:kern w:val="0"/>
          <w:sz w:val="24"/>
          <w:highlight w:val="none"/>
          <w:lang w:val="zh-CN"/>
        </w:rPr>
        <w:t>期付款</w:t>
      </w:r>
      <w:r>
        <w:rPr>
          <w:rFonts w:hint="eastAsia" w:ascii="仿宋_GB2312" w:eastAsia="仿宋_GB2312" w:cs="仿宋_GB2312"/>
          <w:color w:val="auto"/>
          <w:kern w:val="0"/>
          <w:sz w:val="24"/>
          <w:highlight w:val="none"/>
        </w:rPr>
        <w:t>：</w:t>
      </w:r>
      <w:r>
        <w:rPr>
          <w:rFonts w:hint="eastAsia" w:ascii="仿宋_GB2312" w:eastAsia="仿宋_GB2312" w:cs="仿宋_GB2312"/>
          <w:color w:val="auto"/>
          <w:kern w:val="0"/>
          <w:sz w:val="24"/>
          <w:highlight w:val="none"/>
          <w:u w:val="single"/>
        </w:rPr>
        <w:t xml:space="preserve">                                        </w:t>
      </w:r>
    </w:p>
    <w:p w14:paraId="2D62519F">
      <w:pPr>
        <w:spacing w:line="360" w:lineRule="auto"/>
        <w:ind w:firstLine="480" w:firstLineChars="200"/>
        <w:rPr>
          <w:rFonts w:hint="eastAsia" w:ascii="仿宋_GB2312" w:eastAsia="仿宋_GB2312" w:cs="仿宋_GB2312"/>
          <w:color w:val="auto"/>
          <w:kern w:val="0"/>
          <w:sz w:val="24"/>
          <w:highlight w:val="none"/>
        </w:rPr>
      </w:pPr>
      <w:r>
        <w:rPr>
          <w:rFonts w:hint="eastAsia" w:ascii="仿宋_GB2312" w:eastAsia="仿宋_GB2312" w:cs="仿宋_GB2312"/>
          <w:color w:val="auto"/>
          <w:kern w:val="0"/>
          <w:sz w:val="24"/>
          <w:highlight w:val="none"/>
        </w:rPr>
        <w:t>……</w:t>
      </w:r>
    </w:p>
    <w:p w14:paraId="6F2C2FCD">
      <w:pPr>
        <w:spacing w:line="360" w:lineRule="auto"/>
        <w:ind w:firstLine="480" w:firstLineChars="200"/>
        <w:rPr>
          <w:rFonts w:hint="eastAsia" w:ascii="仿宋_GB2312" w:eastAsia="仿宋_GB2312" w:cs="仿宋_GB2312"/>
          <w:color w:val="auto"/>
          <w:kern w:val="0"/>
          <w:sz w:val="24"/>
          <w:highlight w:val="none"/>
          <w:lang w:val="zh-CN"/>
        </w:rPr>
      </w:pPr>
      <w:r>
        <w:rPr>
          <w:rFonts w:hint="eastAsia" w:ascii="仿宋_GB2312" w:hAnsi="仿宋" w:eastAsia="仿宋_GB2312"/>
          <w:color w:val="auto"/>
          <w:sz w:val="24"/>
          <w:highlight w:val="none"/>
        </w:rPr>
        <w:t>甲方无故逾期支付服务费用的，按照每逾期一日支付欠付服务费额度的</w:t>
      </w:r>
      <w:r>
        <w:rPr>
          <w:rFonts w:hint="eastAsia" w:ascii="仿宋_GB2312" w:hAnsi="仿宋" w:eastAsia="仿宋_GB2312"/>
          <w:color w:val="auto"/>
          <w:sz w:val="24"/>
          <w:highlight w:val="none"/>
          <w:u w:val="single"/>
        </w:rPr>
        <w:t>万分之五</w:t>
      </w:r>
      <w:r>
        <w:rPr>
          <w:rFonts w:hint="eastAsia" w:ascii="仿宋_GB2312" w:hAnsi="仿宋" w:eastAsia="仿宋_GB2312"/>
          <w:color w:val="auto"/>
          <w:sz w:val="24"/>
          <w:highlight w:val="none"/>
        </w:rPr>
        <w:t>（</w:t>
      </w:r>
      <w:r>
        <w:rPr>
          <w:rFonts w:hint="eastAsia" w:ascii="仿宋_GB2312" w:hAnsi="楷体" w:eastAsia="仿宋_GB2312"/>
          <w:color w:val="auto"/>
          <w:sz w:val="24"/>
          <w:highlight w:val="none"/>
        </w:rPr>
        <w:t>根据项目实际填写，一般为万分之五</w:t>
      </w:r>
      <w:r>
        <w:rPr>
          <w:rFonts w:hint="eastAsia" w:ascii="仿宋_GB2312" w:hAnsi="仿宋" w:eastAsia="仿宋_GB2312"/>
          <w:color w:val="auto"/>
          <w:sz w:val="24"/>
          <w:highlight w:val="none"/>
        </w:rPr>
        <w:t>）承担违约责任，违约金上限按照《合同书》约定执行。</w:t>
      </w:r>
    </w:p>
    <w:p w14:paraId="1205B13F">
      <w:pPr>
        <w:spacing w:line="360" w:lineRule="auto"/>
        <w:ind w:firstLine="480" w:firstLineChars="200"/>
        <w:rPr>
          <w:rFonts w:hint="eastAsia" w:ascii="仿宋_GB2312" w:hAnsi="楷体" w:eastAsia="仿宋_GB2312"/>
          <w:b/>
          <w:color w:val="auto"/>
          <w:sz w:val="24"/>
          <w:highlight w:val="none"/>
        </w:rPr>
      </w:pPr>
      <w:r>
        <w:rPr>
          <w:rFonts w:hint="eastAsia" w:ascii="仿宋_GB2312" w:hAnsi="楷体" w:eastAsia="仿宋_GB2312"/>
          <w:color w:val="auto"/>
          <w:sz w:val="24"/>
          <w:highlight w:val="none"/>
        </w:rPr>
        <w:t>2.9</w:t>
      </w:r>
      <w:r>
        <w:rPr>
          <w:rFonts w:hint="eastAsia" w:ascii="仿宋_GB2312" w:hAnsi="楷体" w:eastAsia="仿宋_GB2312"/>
          <w:b/>
          <w:color w:val="auto"/>
          <w:sz w:val="24"/>
          <w:highlight w:val="none"/>
        </w:rPr>
        <w:t>标的物的风险负担</w:t>
      </w:r>
    </w:p>
    <w:p w14:paraId="79F836CC">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标的物或者在途标的物或者交付给第一承运人后的标的物毁损、灭失的风险负担：</w:t>
      </w:r>
    </w:p>
    <w:p w14:paraId="3941CCB1">
      <w:pPr>
        <w:spacing w:line="360" w:lineRule="auto"/>
        <w:ind w:firstLine="480" w:firstLineChars="200"/>
        <w:rPr>
          <w:rFonts w:hint="eastAsia" w:ascii="仿宋_GB2312" w:hAnsi="楷体" w:eastAsia="仿宋_GB2312"/>
          <w:color w:val="auto"/>
          <w:sz w:val="24"/>
          <w:highlight w:val="none"/>
          <w:u w:val="single"/>
        </w:rPr>
      </w:pPr>
      <w:r>
        <w:rPr>
          <w:rFonts w:hint="eastAsia" w:ascii="仿宋_GB2312" w:hAnsi="楷体" w:eastAsia="仿宋_GB2312"/>
          <w:color w:val="auto"/>
          <w:sz w:val="24"/>
          <w:highlight w:val="none"/>
          <w:u w:val="single"/>
        </w:rPr>
        <w:t xml:space="preserve">乙方                                                                       </w:t>
      </w:r>
    </w:p>
    <w:p w14:paraId="733106E4">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2.13.2受不可抗力影响的一方在不可抗力发生后，应在</w:t>
      </w:r>
      <w:r>
        <w:rPr>
          <w:rFonts w:hint="eastAsia" w:ascii="仿宋_GB2312" w:hAnsi="楷体" w:eastAsia="仿宋_GB2312"/>
          <w:color w:val="auto"/>
          <w:sz w:val="24"/>
          <w:highlight w:val="none"/>
          <w:u w:val="single"/>
        </w:rPr>
        <w:t xml:space="preserve">    </w:t>
      </w:r>
      <w:r>
        <w:rPr>
          <w:rFonts w:hint="eastAsia" w:ascii="仿宋_GB2312" w:hAnsi="楷体" w:eastAsia="仿宋_GB2312"/>
          <w:color w:val="auto"/>
          <w:sz w:val="24"/>
          <w:highlight w:val="none"/>
        </w:rPr>
        <w:t>日内（根据项目实际填写）以书面形式通知对方当事人，并在</w:t>
      </w:r>
      <w:r>
        <w:rPr>
          <w:rFonts w:hint="eastAsia" w:ascii="仿宋_GB2312" w:hAnsi="楷体" w:eastAsia="仿宋_GB2312"/>
          <w:color w:val="auto"/>
          <w:sz w:val="24"/>
          <w:highlight w:val="none"/>
          <w:u w:val="single"/>
        </w:rPr>
        <w:t xml:space="preserve">   </w:t>
      </w:r>
      <w:r>
        <w:rPr>
          <w:rFonts w:hint="eastAsia" w:ascii="仿宋_GB2312" w:hAnsi="楷体" w:eastAsia="仿宋_GB2312"/>
          <w:color w:val="auto"/>
          <w:sz w:val="24"/>
          <w:highlight w:val="none"/>
        </w:rPr>
        <w:t>日内（根据项目实际填写），将有关部门出具的证明文件送达对方当事人。</w:t>
      </w:r>
    </w:p>
    <w:p w14:paraId="14FB9978">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2.13.4因不可抗力致使合同有变更必要的，双方当事人应在</w:t>
      </w:r>
      <w:r>
        <w:rPr>
          <w:rFonts w:hint="eastAsia" w:ascii="仿宋_GB2312" w:hAnsi="楷体" w:eastAsia="仿宋_GB2312"/>
          <w:color w:val="auto"/>
          <w:sz w:val="24"/>
          <w:highlight w:val="none"/>
          <w:u w:val="single"/>
        </w:rPr>
        <w:t xml:space="preserve">    </w:t>
      </w:r>
      <w:r>
        <w:rPr>
          <w:rFonts w:hint="eastAsia" w:ascii="仿宋_GB2312" w:hAnsi="楷体" w:eastAsia="仿宋_GB2312"/>
          <w:color w:val="auto"/>
          <w:sz w:val="24"/>
          <w:highlight w:val="none"/>
        </w:rPr>
        <w:t>日内（根据项目实际填写）以书面形式变更合同；</w:t>
      </w:r>
    </w:p>
    <w:p w14:paraId="615C6366">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2.17.1标的物交付前，乙方应对标的物的质量、数量等方面进行详细、全面的检验，并向甲方出具证明标的物符合合同约定的文件；标的物交付时，乙方在</w:t>
      </w:r>
      <w:r>
        <w:rPr>
          <w:rFonts w:hint="eastAsia" w:ascii="仿宋_GB2312" w:hAnsi="楷体" w:eastAsia="仿宋_GB2312"/>
          <w:color w:val="auto"/>
          <w:sz w:val="24"/>
          <w:highlight w:val="none"/>
          <w:u w:val="single"/>
        </w:rPr>
        <w:t xml:space="preserve">     </w:t>
      </w:r>
      <w:r>
        <w:rPr>
          <w:rFonts w:hint="eastAsia" w:ascii="仿宋_GB2312" w:hAnsi="楷体" w:eastAsia="仿宋_GB2312"/>
          <w:color w:val="auto"/>
          <w:sz w:val="24"/>
          <w:highlight w:val="none"/>
        </w:rPr>
        <w:t>日内（根据项目实际填写）发起验收，并可依法邀请相关方参加，验收应出具验收书。</w:t>
      </w:r>
    </w:p>
    <w:p w14:paraId="751EAC69">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2.17.3 检验和验收标准、程序等具体内容以及前述验收书的效力：</w:t>
      </w:r>
    </w:p>
    <w:p w14:paraId="3DC533E3">
      <w:pPr>
        <w:spacing w:line="360" w:lineRule="auto"/>
        <w:ind w:firstLine="480" w:firstLineChars="200"/>
        <w:rPr>
          <w:rFonts w:hint="eastAsia" w:ascii="仿宋_GB2312" w:hAnsi="楷体" w:eastAsia="仿宋_GB2312"/>
          <w:color w:val="auto"/>
          <w:sz w:val="24"/>
          <w:highlight w:val="none"/>
          <w:u w:val="single"/>
        </w:rPr>
      </w:pPr>
      <w:r>
        <w:rPr>
          <w:rFonts w:hint="eastAsia" w:ascii="仿宋_GB2312" w:hAnsi="楷体" w:eastAsia="仿宋_GB2312"/>
          <w:color w:val="auto"/>
          <w:sz w:val="24"/>
          <w:highlight w:val="none"/>
          <w:u w:val="single"/>
        </w:rPr>
        <w:t xml:space="preserve">                                                                       </w:t>
      </w:r>
    </w:p>
    <w:p w14:paraId="6E5F0BC3">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3.1 其他：</w:t>
      </w:r>
    </w:p>
    <w:p w14:paraId="44D68E3A">
      <w:pPr>
        <w:spacing w:line="360" w:lineRule="auto"/>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项目验收：</w:t>
      </w:r>
    </w:p>
    <w:p w14:paraId="58644474">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1、甲方参照《南宁市政府采购供应商履约验收评价管理办法》（南财采[2019]217号）规定组织对乙方履约的验收。验收方成员应当在验收书上签字，并承担相应的法律责任。如果发现与合同中要求不符，乙方须承担由此发生的一切损失和费用，并接受相应的处理。</w:t>
      </w:r>
    </w:p>
    <w:p w14:paraId="67EDBEF2">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严格按照采购合同开展履约验收。甲方成立验收小组，按照采购合同的约定对供应商履约情况进行验收，验收时，按照采购合同的约定对每一项技术、服务、安全标准的履约情况进行确认，出具验收报告并经验收小组全体成员签字。甲方根据验收报告形成验收意见并经甲方与乙方签字盖章生效。验收结果与采购合同约定的资金支付条件挂钩。履约验收的各项资料应当存档备查。</w:t>
      </w:r>
    </w:p>
    <w:p w14:paraId="776AC9D3">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3、验收合格的项目，甲方将根据采购合同的约定及时向供应商支付采购资金。验收不合格的项目，甲方将依法及时处理。采购合同的履行、违约责任和解决争议的方式等适用《中华人民共和国民法典》，并按照《合同书》约定执行。</w:t>
      </w:r>
    </w:p>
    <w:p w14:paraId="2DEDA21C">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4、验收产生的费用首次验收费用由甲方承担，如首次验收不合格，后续验收费用由乙方支付。</w:t>
      </w:r>
    </w:p>
    <w:p w14:paraId="0D2E9356">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5、验收内容及资料要求：</w:t>
      </w:r>
    </w:p>
    <w:p w14:paraId="6EDCF63F">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根根据采购文件确定的技术指标或者服务要求确定验收指标和标准。未进行相应约定的，应当符合国家强制性规定、政策要求、安全标准、行业或企业有关标准等。</w:t>
      </w:r>
    </w:p>
    <w:p w14:paraId="4486F4E5">
      <w:pPr>
        <w:tabs>
          <w:tab w:val="left" w:pos="904"/>
        </w:tabs>
        <w:snapToGrid w:val="0"/>
        <w:spacing w:line="360" w:lineRule="auto"/>
        <w:ind w:firstLine="480" w:firstLineChars="200"/>
        <w:jc w:val="left"/>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5.1验收内容</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3"/>
        <w:gridCol w:w="1914"/>
        <w:gridCol w:w="5930"/>
      </w:tblGrid>
      <w:tr w14:paraId="2DC01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3" w:type="dxa"/>
            <w:noWrap w:val="0"/>
            <w:vAlign w:val="center"/>
          </w:tcPr>
          <w:p w14:paraId="41CCFBB8">
            <w:pPr>
              <w:keepNext w:val="0"/>
              <w:keepLines w:val="0"/>
              <w:widowControl/>
              <w:suppressLineNumbers w:val="0"/>
              <w:spacing w:before="0" w:beforeAutospacing="0" w:after="0" w:afterAutospacing="0" w:line="360" w:lineRule="auto"/>
              <w:ind w:left="0" w:right="0"/>
              <w:jc w:val="both"/>
              <w:rPr>
                <w:rFonts w:hint="eastAsia"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序号</w:t>
            </w:r>
          </w:p>
        </w:tc>
        <w:tc>
          <w:tcPr>
            <w:tcW w:w="1914" w:type="dxa"/>
            <w:noWrap w:val="0"/>
            <w:vAlign w:val="center"/>
          </w:tcPr>
          <w:p w14:paraId="73C74F13">
            <w:pPr>
              <w:keepNext w:val="0"/>
              <w:keepLines w:val="0"/>
              <w:widowControl/>
              <w:suppressLineNumbers w:val="0"/>
              <w:spacing w:before="0" w:beforeAutospacing="0" w:after="0" w:afterAutospacing="0" w:line="360" w:lineRule="auto"/>
              <w:ind w:left="0" w:right="0" w:firstLine="200"/>
              <w:jc w:val="center"/>
              <w:rPr>
                <w:rFonts w:hint="eastAsia"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验收内容</w:t>
            </w:r>
          </w:p>
        </w:tc>
        <w:tc>
          <w:tcPr>
            <w:tcW w:w="5930" w:type="dxa"/>
            <w:noWrap w:val="0"/>
            <w:vAlign w:val="center"/>
          </w:tcPr>
          <w:p w14:paraId="57F15D3D">
            <w:pPr>
              <w:keepNext w:val="0"/>
              <w:keepLines w:val="0"/>
              <w:widowControl/>
              <w:suppressLineNumbers w:val="0"/>
              <w:spacing w:before="0" w:beforeAutospacing="0" w:after="0" w:afterAutospacing="0" w:line="360" w:lineRule="auto"/>
              <w:ind w:left="0" w:right="0" w:firstLine="200"/>
              <w:jc w:val="center"/>
              <w:rPr>
                <w:rFonts w:hint="eastAsia"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 xml:space="preserve"> 验收标准</w:t>
            </w:r>
          </w:p>
        </w:tc>
      </w:tr>
      <w:tr w14:paraId="7D6D8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673" w:type="dxa"/>
            <w:noWrap w:val="0"/>
            <w:vAlign w:val="center"/>
          </w:tcPr>
          <w:p w14:paraId="51A0B9FD">
            <w:pPr>
              <w:keepNext w:val="0"/>
              <w:keepLines w:val="0"/>
              <w:widowControl/>
              <w:suppressLineNumbers w:val="0"/>
              <w:spacing w:before="0" w:beforeAutospacing="0" w:after="0" w:afterAutospacing="0" w:line="360" w:lineRule="auto"/>
              <w:ind w:left="0" w:right="0" w:firstLine="200"/>
              <w:jc w:val="center"/>
              <w:rPr>
                <w:rFonts w:hint="eastAsia"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1</w:t>
            </w:r>
          </w:p>
        </w:tc>
        <w:tc>
          <w:tcPr>
            <w:tcW w:w="1914" w:type="dxa"/>
            <w:noWrap w:val="0"/>
            <w:vAlign w:val="center"/>
          </w:tcPr>
          <w:p w14:paraId="30E7EB80">
            <w:pPr>
              <w:keepNext w:val="0"/>
              <w:keepLines w:val="0"/>
              <w:widowControl/>
              <w:suppressLineNumbers w:val="0"/>
              <w:spacing w:before="0" w:beforeAutospacing="0" w:after="0" w:afterAutospacing="0" w:line="360" w:lineRule="auto"/>
              <w:ind w:left="0" w:right="0" w:firstLine="200"/>
              <w:jc w:val="center"/>
              <w:rPr>
                <w:rFonts w:hint="eastAsia"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交货产品数量</w:t>
            </w:r>
          </w:p>
        </w:tc>
        <w:tc>
          <w:tcPr>
            <w:tcW w:w="5930" w:type="dxa"/>
            <w:noWrap w:val="0"/>
            <w:vAlign w:val="center"/>
          </w:tcPr>
          <w:p w14:paraId="5E5C645B">
            <w:pPr>
              <w:keepNext w:val="0"/>
              <w:keepLines w:val="0"/>
              <w:suppressLineNumbers w:val="0"/>
              <w:spacing w:before="0" w:beforeAutospacing="0" w:after="0" w:afterAutospacing="0" w:line="360" w:lineRule="auto"/>
              <w:ind w:left="0" w:right="0" w:firstLine="480" w:firstLineChars="200"/>
              <w:rPr>
                <w:rFonts w:hint="eastAsia" w:ascii="仿宋" w:hAnsi="仿宋" w:eastAsia="仿宋" w:cs="仿宋"/>
                <w:color w:val="auto"/>
                <w:kern w:val="0"/>
                <w:sz w:val="24"/>
                <w:highlight w:val="none"/>
              </w:rPr>
            </w:pPr>
          </w:p>
        </w:tc>
      </w:tr>
      <w:tr w14:paraId="7F692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673" w:type="dxa"/>
            <w:noWrap w:val="0"/>
            <w:vAlign w:val="center"/>
          </w:tcPr>
          <w:p w14:paraId="77D50B2C">
            <w:pPr>
              <w:keepNext w:val="0"/>
              <w:keepLines w:val="0"/>
              <w:widowControl/>
              <w:suppressLineNumbers w:val="0"/>
              <w:spacing w:before="0" w:beforeAutospacing="0" w:after="0" w:afterAutospacing="0" w:line="360" w:lineRule="auto"/>
              <w:ind w:left="0" w:right="0" w:firstLine="200"/>
              <w:jc w:val="center"/>
              <w:rPr>
                <w:rFonts w:hint="eastAsia"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2</w:t>
            </w:r>
          </w:p>
        </w:tc>
        <w:tc>
          <w:tcPr>
            <w:tcW w:w="1914" w:type="dxa"/>
            <w:noWrap w:val="0"/>
            <w:vAlign w:val="center"/>
          </w:tcPr>
          <w:p w14:paraId="208C0590">
            <w:pPr>
              <w:keepNext w:val="0"/>
              <w:keepLines w:val="0"/>
              <w:widowControl/>
              <w:suppressLineNumbers w:val="0"/>
              <w:spacing w:before="0" w:beforeAutospacing="0" w:after="0" w:afterAutospacing="0" w:line="360" w:lineRule="auto"/>
              <w:ind w:left="0" w:right="0" w:firstLine="200"/>
              <w:jc w:val="center"/>
              <w:rPr>
                <w:rFonts w:hint="eastAsia"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交货产品的质量文件</w:t>
            </w:r>
          </w:p>
        </w:tc>
        <w:tc>
          <w:tcPr>
            <w:tcW w:w="5930" w:type="dxa"/>
            <w:noWrap w:val="0"/>
            <w:vAlign w:val="center"/>
          </w:tcPr>
          <w:p w14:paraId="212633FE">
            <w:pPr>
              <w:keepNext w:val="0"/>
              <w:keepLines w:val="0"/>
              <w:widowControl/>
              <w:suppressLineNumbers w:val="0"/>
              <w:spacing w:before="0" w:beforeAutospacing="0" w:after="0" w:afterAutospacing="0" w:line="360" w:lineRule="auto"/>
              <w:ind w:left="0" w:right="0" w:firstLine="200"/>
              <w:jc w:val="center"/>
              <w:rPr>
                <w:rFonts w:hint="eastAsia" w:ascii="仿宋" w:hAnsi="仿宋" w:eastAsia="仿宋" w:cs="仿宋"/>
                <w:color w:val="auto"/>
                <w:kern w:val="0"/>
                <w:sz w:val="24"/>
                <w:highlight w:val="none"/>
              </w:rPr>
            </w:pPr>
          </w:p>
        </w:tc>
      </w:tr>
      <w:tr w14:paraId="4A687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jc w:val="center"/>
        </w:trPr>
        <w:tc>
          <w:tcPr>
            <w:tcW w:w="673" w:type="dxa"/>
            <w:noWrap w:val="0"/>
            <w:vAlign w:val="center"/>
          </w:tcPr>
          <w:p w14:paraId="19CB9707">
            <w:pPr>
              <w:keepNext w:val="0"/>
              <w:keepLines w:val="0"/>
              <w:widowControl/>
              <w:suppressLineNumbers w:val="0"/>
              <w:spacing w:before="0" w:beforeAutospacing="0" w:after="0" w:afterAutospacing="0" w:line="360" w:lineRule="auto"/>
              <w:ind w:left="0" w:right="0" w:firstLine="200"/>
              <w:jc w:val="center"/>
              <w:rPr>
                <w:rFonts w:hint="eastAsia"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4</w:t>
            </w:r>
          </w:p>
        </w:tc>
        <w:tc>
          <w:tcPr>
            <w:tcW w:w="1914" w:type="dxa"/>
            <w:noWrap w:val="0"/>
            <w:vAlign w:val="center"/>
          </w:tcPr>
          <w:p w14:paraId="13878F20">
            <w:pPr>
              <w:keepNext w:val="0"/>
              <w:keepLines w:val="0"/>
              <w:suppressLineNumbers w:val="0"/>
              <w:spacing w:before="0" w:beforeAutospacing="0" w:after="0" w:afterAutospacing="0" w:line="360" w:lineRule="auto"/>
              <w:ind w:left="0" w:right="0" w:firstLine="200"/>
              <w:jc w:val="center"/>
              <w:rPr>
                <w:rFonts w:hint="eastAsia"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交货产品技术、性能指标</w:t>
            </w:r>
          </w:p>
        </w:tc>
        <w:tc>
          <w:tcPr>
            <w:tcW w:w="5930" w:type="dxa"/>
            <w:noWrap w:val="0"/>
            <w:vAlign w:val="center"/>
          </w:tcPr>
          <w:p w14:paraId="14040EDF">
            <w:pPr>
              <w:keepNext w:val="0"/>
              <w:keepLines w:val="0"/>
              <w:widowControl/>
              <w:suppressLineNumbers w:val="0"/>
              <w:spacing w:before="0" w:beforeAutospacing="0" w:after="0" w:afterAutospacing="0" w:line="360" w:lineRule="auto"/>
              <w:ind w:left="0" w:right="0" w:firstLine="200"/>
              <w:jc w:val="center"/>
              <w:rPr>
                <w:rFonts w:hint="eastAsia" w:ascii="仿宋" w:hAnsi="仿宋" w:eastAsia="仿宋" w:cs="仿宋"/>
                <w:color w:val="auto"/>
                <w:highlight w:val="none"/>
                <w:lang w:eastAsia="zh-CN"/>
              </w:rPr>
            </w:pPr>
          </w:p>
        </w:tc>
      </w:tr>
      <w:tr w14:paraId="68A89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1" w:hRule="atLeast"/>
          <w:jc w:val="center"/>
        </w:trPr>
        <w:tc>
          <w:tcPr>
            <w:tcW w:w="673" w:type="dxa"/>
            <w:noWrap w:val="0"/>
            <w:vAlign w:val="center"/>
          </w:tcPr>
          <w:p w14:paraId="1BFFBC50">
            <w:pPr>
              <w:keepNext w:val="0"/>
              <w:keepLines w:val="0"/>
              <w:widowControl/>
              <w:suppressLineNumbers w:val="0"/>
              <w:spacing w:before="0" w:beforeAutospacing="0" w:after="0" w:afterAutospacing="0" w:line="360" w:lineRule="auto"/>
              <w:ind w:left="0" w:right="0" w:firstLine="200"/>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w:t>
            </w:r>
          </w:p>
        </w:tc>
        <w:tc>
          <w:tcPr>
            <w:tcW w:w="1914" w:type="dxa"/>
            <w:noWrap w:val="0"/>
            <w:vAlign w:val="center"/>
          </w:tcPr>
          <w:p w14:paraId="606EB458">
            <w:pPr>
              <w:keepNext w:val="0"/>
              <w:keepLines w:val="0"/>
              <w:suppressLineNumbers w:val="0"/>
              <w:spacing w:before="0" w:beforeAutospacing="0" w:after="0" w:afterAutospacing="0" w:line="360" w:lineRule="auto"/>
              <w:ind w:left="0" w:right="0" w:firstLine="20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售后服务</w:t>
            </w:r>
          </w:p>
          <w:p w14:paraId="2E18D8A8">
            <w:pPr>
              <w:keepNext w:val="0"/>
              <w:keepLines w:val="0"/>
              <w:widowControl/>
              <w:suppressLineNumbers w:val="0"/>
              <w:spacing w:before="0" w:beforeAutospacing="0" w:after="0" w:afterAutospacing="0" w:line="360" w:lineRule="auto"/>
              <w:ind w:left="0" w:right="0" w:firstLine="200"/>
              <w:jc w:val="center"/>
              <w:rPr>
                <w:rFonts w:hint="eastAsia" w:ascii="仿宋" w:hAnsi="仿宋" w:eastAsia="仿宋" w:cs="仿宋"/>
                <w:bCs/>
                <w:color w:val="auto"/>
                <w:kern w:val="0"/>
                <w:sz w:val="24"/>
                <w:highlight w:val="none"/>
              </w:rPr>
            </w:pPr>
            <w:r>
              <w:rPr>
                <w:rFonts w:hint="eastAsia" w:ascii="仿宋" w:hAnsi="仿宋" w:eastAsia="仿宋" w:cs="仿宋"/>
                <w:color w:val="auto"/>
                <w:sz w:val="24"/>
                <w:highlight w:val="none"/>
              </w:rPr>
              <w:t>承诺</w:t>
            </w:r>
          </w:p>
        </w:tc>
        <w:tc>
          <w:tcPr>
            <w:tcW w:w="5930" w:type="dxa"/>
            <w:noWrap w:val="0"/>
            <w:vAlign w:val="center"/>
          </w:tcPr>
          <w:p w14:paraId="4091A24D">
            <w:pPr>
              <w:keepNext w:val="0"/>
              <w:keepLines w:val="0"/>
              <w:suppressLineNumbers w:val="0"/>
              <w:spacing w:before="0" w:beforeAutospacing="0" w:after="0" w:afterAutospacing="0" w:line="360" w:lineRule="auto"/>
              <w:ind w:left="0" w:right="0" w:firstLine="200"/>
              <w:jc w:val="center"/>
              <w:rPr>
                <w:rFonts w:hint="default" w:ascii="仿宋" w:hAnsi="仿宋" w:eastAsia="仿宋" w:cs="仿宋"/>
                <w:color w:val="auto"/>
                <w:kern w:val="0"/>
                <w:sz w:val="24"/>
                <w:highlight w:val="none"/>
                <w:lang w:val="en-US" w:eastAsia="zh-CN"/>
              </w:rPr>
            </w:pPr>
          </w:p>
        </w:tc>
      </w:tr>
      <w:tr w14:paraId="18AE4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jc w:val="center"/>
        </w:trPr>
        <w:tc>
          <w:tcPr>
            <w:tcW w:w="673" w:type="dxa"/>
            <w:noWrap w:val="0"/>
            <w:vAlign w:val="center"/>
          </w:tcPr>
          <w:p w14:paraId="2A487AA2">
            <w:pPr>
              <w:keepNext w:val="0"/>
              <w:keepLines w:val="0"/>
              <w:widowControl/>
              <w:suppressLineNumbers w:val="0"/>
              <w:spacing w:before="0" w:beforeAutospacing="0" w:after="0" w:afterAutospacing="0" w:line="360" w:lineRule="auto"/>
              <w:ind w:left="0" w:right="0" w:firstLine="200"/>
              <w:jc w:val="center"/>
              <w:rPr>
                <w:rFonts w:hint="eastAsia"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6</w:t>
            </w:r>
          </w:p>
        </w:tc>
        <w:tc>
          <w:tcPr>
            <w:tcW w:w="1914" w:type="dxa"/>
            <w:noWrap w:val="0"/>
            <w:vAlign w:val="center"/>
          </w:tcPr>
          <w:p w14:paraId="75BBB012">
            <w:pPr>
              <w:keepNext w:val="0"/>
              <w:keepLines w:val="0"/>
              <w:widowControl/>
              <w:suppressLineNumbers w:val="0"/>
              <w:spacing w:before="0" w:beforeAutospacing="0" w:after="0" w:afterAutospacing="0" w:line="360" w:lineRule="auto"/>
              <w:ind w:left="0" w:right="0" w:firstLine="200"/>
              <w:jc w:val="center"/>
              <w:rPr>
                <w:rFonts w:hint="eastAsia"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其他工作</w:t>
            </w:r>
          </w:p>
        </w:tc>
        <w:tc>
          <w:tcPr>
            <w:tcW w:w="5930" w:type="dxa"/>
            <w:noWrap w:val="0"/>
            <w:vAlign w:val="center"/>
          </w:tcPr>
          <w:p w14:paraId="490EB809">
            <w:pPr>
              <w:keepNext w:val="0"/>
              <w:keepLines w:val="0"/>
              <w:widowControl/>
              <w:suppressLineNumbers w:val="0"/>
              <w:spacing w:before="0" w:beforeAutospacing="0" w:after="0" w:afterAutospacing="0" w:line="360" w:lineRule="auto"/>
              <w:ind w:left="0" w:right="0"/>
              <w:jc w:val="left"/>
              <w:rPr>
                <w:rFonts w:hint="eastAsia" w:ascii="仿宋" w:hAnsi="仿宋" w:eastAsia="仿宋" w:cs="仿宋"/>
                <w:color w:val="auto"/>
                <w:kern w:val="0"/>
                <w:sz w:val="24"/>
                <w:highlight w:val="none"/>
              </w:rPr>
            </w:pPr>
          </w:p>
        </w:tc>
      </w:tr>
    </w:tbl>
    <w:p w14:paraId="234C4F9E">
      <w:pPr>
        <w:tabs>
          <w:tab w:val="left" w:pos="904"/>
        </w:tabs>
        <w:snapToGrid w:val="0"/>
        <w:spacing w:line="360" w:lineRule="auto"/>
        <w:ind w:firstLine="480" w:firstLineChars="200"/>
        <w:jc w:val="left"/>
        <w:rPr>
          <w:rFonts w:hint="eastAsia" w:ascii="仿宋" w:hAnsi="仿宋" w:eastAsia="仿宋" w:cs="仿宋"/>
          <w:color w:val="auto"/>
          <w:sz w:val="24"/>
          <w:highlight w:val="none"/>
        </w:rPr>
      </w:pPr>
    </w:p>
    <w:p w14:paraId="379B877A">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5.2验收资料要求</w:t>
      </w:r>
    </w:p>
    <w:p w14:paraId="68C8D541">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验收资料要求包括（不限于）以下内容：</w:t>
      </w:r>
    </w:p>
    <w:p w14:paraId="0D228E61">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（1）采购文件；</w:t>
      </w:r>
    </w:p>
    <w:p w14:paraId="62C24E2B">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（2）响应文件；</w:t>
      </w:r>
    </w:p>
    <w:p w14:paraId="4627E654">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（3）采购合同；</w:t>
      </w:r>
    </w:p>
    <w:p w14:paraId="24CE0408">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（4）到货核验单（需采购核验人、复核人及乙方交货人三方签字盖章）、产品拍照图片、产品说明书、产品合格证、质量保证书原件、三包凭证、产品的检测报告、原厂质保承诺函等；</w:t>
      </w:r>
    </w:p>
    <w:p w14:paraId="6D36982A">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（5）其他需提供的相关材料。</w:t>
      </w:r>
    </w:p>
    <w:p w14:paraId="346DC935">
      <w:pPr>
        <w:widowControl/>
        <w:ind w:firstLine="720" w:firstLineChars="300"/>
        <w:jc w:val="left"/>
        <w:rPr>
          <w:rFonts w:hint="eastAsia" w:ascii="仿宋" w:hAnsi="仿宋" w:eastAsia="仿宋"/>
          <w:bCs/>
          <w:color w:val="auto"/>
          <w:sz w:val="24"/>
          <w:highlight w:val="none"/>
        </w:rPr>
      </w:pPr>
    </w:p>
    <w:p w14:paraId="279E0400">
      <w:pPr>
        <w:spacing w:line="360" w:lineRule="auto"/>
        <w:ind w:firstLine="480" w:firstLineChars="200"/>
        <w:rPr>
          <w:rFonts w:ascii="宋体" w:hAnsi="宋体" w:cs="仿宋_GB2312"/>
          <w:b/>
          <w:color w:val="auto"/>
          <w:sz w:val="44"/>
          <w:szCs w:val="44"/>
          <w:highlight w:val="none"/>
        </w:rPr>
      </w:pPr>
      <w:r>
        <w:rPr>
          <w:rFonts w:hint="eastAsia" w:ascii="仿宋_GB2312" w:hAnsi="楷体" w:eastAsia="仿宋_GB2312"/>
          <w:color w:val="auto"/>
          <w:sz w:val="24"/>
          <w:highlight w:val="none"/>
          <w:u w:val="single"/>
        </w:rPr>
        <w:t xml:space="preserve">                                                                       </w:t>
      </w:r>
    </w:p>
    <w:p w14:paraId="2F22622D">
      <w:pPr>
        <w:tabs>
          <w:tab w:val="left" w:pos="3261"/>
        </w:tabs>
        <w:spacing w:line="360" w:lineRule="auto"/>
        <w:contextualSpacing/>
        <w:jc w:val="center"/>
        <w:rPr>
          <w:rFonts w:ascii="宋体" w:hAnsi="宋体" w:cs="仿宋_GB2312"/>
          <w:b/>
          <w:color w:val="auto"/>
          <w:sz w:val="44"/>
          <w:szCs w:val="44"/>
          <w:highlight w:val="none"/>
        </w:rPr>
      </w:pPr>
    </w:p>
    <w:p w14:paraId="5E80B303">
      <w:pPr>
        <w:tabs>
          <w:tab w:val="left" w:pos="7380"/>
        </w:tabs>
        <w:spacing w:line="360" w:lineRule="auto"/>
        <w:jc w:val="center"/>
        <w:rPr>
          <w:rFonts w:ascii="宋体" w:hAnsi="宋体" w:cs="仿宋_GB2312"/>
          <w:b/>
          <w:color w:val="auto"/>
          <w:sz w:val="44"/>
          <w:szCs w:val="44"/>
          <w:highlight w:val="none"/>
        </w:rPr>
      </w:pPr>
    </w:p>
    <w:p w14:paraId="724FD7F4">
      <w:pPr>
        <w:tabs>
          <w:tab w:val="left" w:pos="3261"/>
        </w:tabs>
        <w:spacing w:line="360" w:lineRule="auto"/>
        <w:contextualSpacing/>
        <w:jc w:val="center"/>
        <w:rPr>
          <w:rFonts w:ascii="宋体" w:hAnsi="宋体" w:cs="仿宋_GB2312"/>
          <w:b/>
          <w:color w:val="auto"/>
          <w:sz w:val="44"/>
          <w:szCs w:val="44"/>
          <w:highlight w:val="none"/>
        </w:rPr>
      </w:pPr>
    </w:p>
    <w:p w14:paraId="6C013241">
      <w:pPr>
        <w:tabs>
          <w:tab w:val="left" w:pos="3261"/>
        </w:tabs>
        <w:spacing w:line="360" w:lineRule="auto"/>
        <w:contextualSpacing/>
        <w:jc w:val="center"/>
        <w:rPr>
          <w:rFonts w:ascii="宋体" w:hAnsi="宋体" w:cs="仿宋_GB2312"/>
          <w:b/>
          <w:color w:val="auto"/>
          <w:sz w:val="44"/>
          <w:szCs w:val="44"/>
          <w:highlight w:val="none"/>
        </w:rPr>
      </w:pPr>
    </w:p>
    <w:p w14:paraId="37E8708E">
      <w:pPr>
        <w:spacing w:line="360" w:lineRule="auto"/>
        <w:jc w:val="both"/>
        <w:rPr>
          <w:rFonts w:ascii="宋体" w:hAnsi="宋体"/>
          <w:b/>
          <w:bCs/>
          <w:color w:val="auto"/>
          <w:sz w:val="44"/>
          <w:szCs w:val="44"/>
          <w:highlight w:val="none"/>
        </w:rPr>
        <w:sectPr>
          <w:pgSz w:w="11910" w:h="16840"/>
          <w:pgMar w:top="1340" w:right="1500" w:bottom="280" w:left="1680" w:header="720" w:footer="720" w:gutter="0"/>
          <w:pgBorders>
            <w:top w:val="none" w:sz="0" w:space="0"/>
            <w:left w:val="none" w:sz="0" w:space="0"/>
            <w:bottom w:val="none" w:sz="0" w:space="0"/>
            <w:right w:val="none" w:sz="0" w:space="0"/>
          </w:pgBorders>
          <w:pgNumType w:fmt="decimal"/>
          <w:cols w:space="720" w:num="1"/>
        </w:sectPr>
      </w:pPr>
    </w:p>
    <w:p w14:paraId="2142B9F4">
      <w:pPr>
        <w:tabs>
          <w:tab w:val="left" w:pos="3261"/>
        </w:tabs>
        <w:spacing w:line="360" w:lineRule="auto"/>
        <w:contextualSpacing/>
        <w:jc w:val="center"/>
        <w:rPr>
          <w:rFonts w:ascii="宋体" w:hAnsi="宋体" w:cs="仿宋_GB2312"/>
          <w:b/>
          <w:color w:val="auto"/>
          <w:sz w:val="44"/>
          <w:szCs w:val="44"/>
          <w:highlight w:val="none"/>
        </w:rPr>
      </w:pPr>
    </w:p>
    <w:p w14:paraId="5E92D39C">
      <w:pPr>
        <w:tabs>
          <w:tab w:val="left" w:pos="3261"/>
        </w:tabs>
        <w:spacing w:line="360" w:lineRule="auto"/>
        <w:contextualSpacing/>
        <w:jc w:val="center"/>
        <w:rPr>
          <w:rFonts w:ascii="宋体" w:hAnsi="宋体" w:cs="仿宋_GB2312"/>
          <w:b/>
          <w:color w:val="auto"/>
          <w:sz w:val="44"/>
          <w:szCs w:val="44"/>
          <w:highlight w:val="none"/>
        </w:rPr>
      </w:pPr>
    </w:p>
    <w:p w14:paraId="6BFA9F74">
      <w:pPr>
        <w:tabs>
          <w:tab w:val="left" w:pos="3261"/>
        </w:tabs>
        <w:spacing w:line="360" w:lineRule="auto"/>
        <w:contextualSpacing/>
        <w:jc w:val="center"/>
        <w:rPr>
          <w:rFonts w:ascii="宋体" w:hAnsi="宋体" w:cs="仿宋_GB2312"/>
          <w:b/>
          <w:color w:val="auto"/>
          <w:sz w:val="44"/>
          <w:szCs w:val="44"/>
          <w:highlight w:val="none"/>
        </w:rPr>
      </w:pPr>
    </w:p>
    <w:p w14:paraId="6321C6B3">
      <w:pPr>
        <w:tabs>
          <w:tab w:val="left" w:pos="3261"/>
        </w:tabs>
        <w:spacing w:line="360" w:lineRule="auto"/>
        <w:contextualSpacing/>
        <w:jc w:val="center"/>
        <w:rPr>
          <w:rFonts w:ascii="宋体" w:hAnsi="宋体" w:cs="仿宋_GB2312"/>
          <w:b/>
          <w:color w:val="auto"/>
          <w:sz w:val="44"/>
          <w:szCs w:val="44"/>
          <w:highlight w:val="none"/>
        </w:rPr>
      </w:pPr>
    </w:p>
    <w:p w14:paraId="7ADE050A">
      <w:pPr>
        <w:tabs>
          <w:tab w:val="left" w:pos="3261"/>
        </w:tabs>
        <w:spacing w:line="360" w:lineRule="auto"/>
        <w:contextualSpacing/>
        <w:jc w:val="center"/>
        <w:rPr>
          <w:rFonts w:ascii="宋体" w:hAnsi="宋体" w:cs="仿宋_GB2312"/>
          <w:b/>
          <w:color w:val="auto"/>
          <w:sz w:val="44"/>
          <w:szCs w:val="44"/>
          <w:highlight w:val="none"/>
        </w:rPr>
      </w:pPr>
    </w:p>
    <w:p w14:paraId="40CD6219">
      <w:pPr>
        <w:keepNext/>
        <w:keepLines/>
        <w:spacing w:before="340" w:after="330" w:line="578" w:lineRule="auto"/>
        <w:jc w:val="center"/>
        <w:outlineLvl w:val="0"/>
        <w:rPr>
          <w:rFonts w:ascii="宋体" w:hAnsi="宋体" w:cs="仿宋_GB2312"/>
          <w:b/>
          <w:bCs/>
          <w:color w:val="auto"/>
          <w:kern w:val="44"/>
          <w:sz w:val="44"/>
          <w:szCs w:val="44"/>
          <w:highlight w:val="none"/>
        </w:rPr>
        <w:sectPr>
          <w:pgSz w:w="11910" w:h="16840"/>
          <w:pgMar w:top="1340" w:right="1500" w:bottom="280" w:left="1680" w:header="720" w:footer="720" w:gutter="0"/>
          <w:pgBorders>
            <w:top w:val="none" w:sz="0" w:space="0"/>
            <w:left w:val="none" w:sz="0" w:space="0"/>
            <w:bottom w:val="none" w:sz="0" w:space="0"/>
            <w:right w:val="none" w:sz="0" w:space="0"/>
          </w:pgBorders>
          <w:pgNumType w:fmt="decimal"/>
          <w:cols w:space="720" w:num="1"/>
        </w:sectPr>
      </w:pPr>
      <w:bookmarkStart w:id="268" w:name="_Toc22936"/>
      <w:r>
        <w:rPr>
          <w:rFonts w:hint="eastAsia" w:ascii="宋体" w:hAnsi="宋体" w:cs="仿宋_GB2312"/>
          <w:bCs/>
          <w:color w:val="auto"/>
          <w:kern w:val="44"/>
          <w:sz w:val="44"/>
          <w:szCs w:val="44"/>
          <w:highlight w:val="none"/>
        </w:rPr>
        <w:t>第七章 质疑、投诉材料格式</w:t>
      </w:r>
      <w:bookmarkEnd w:id="268"/>
    </w:p>
    <w:p w14:paraId="40F984EB">
      <w:pPr>
        <w:spacing w:line="360" w:lineRule="auto"/>
        <w:jc w:val="center"/>
        <w:rPr>
          <w:rFonts w:hint="eastAsia" w:ascii="宋体" w:hAnsi="宋体"/>
          <w:b/>
          <w:bCs/>
          <w:color w:val="auto"/>
          <w:sz w:val="32"/>
          <w:szCs w:val="32"/>
          <w:highlight w:val="none"/>
        </w:rPr>
      </w:pPr>
      <w:r>
        <w:rPr>
          <w:rFonts w:hint="eastAsia" w:ascii="宋体" w:hAnsi="宋体"/>
          <w:b/>
          <w:bCs/>
          <w:color w:val="auto"/>
          <w:sz w:val="32"/>
          <w:szCs w:val="32"/>
          <w:highlight w:val="none"/>
        </w:rPr>
        <w:t>质疑函（格式）</w:t>
      </w:r>
    </w:p>
    <w:p w14:paraId="2A32E3DF">
      <w:pPr>
        <w:pStyle w:val="18"/>
        <w:spacing w:line="360" w:lineRule="auto"/>
        <w:ind w:firstLine="482" w:firstLineChars="200"/>
        <w:contextualSpacing/>
        <w:rPr>
          <w:rFonts w:hAnsi="宋体"/>
          <w:b/>
          <w:bCs/>
          <w:color w:val="auto"/>
          <w:sz w:val="24"/>
          <w:szCs w:val="24"/>
          <w:highlight w:val="none"/>
        </w:rPr>
      </w:pPr>
      <w:r>
        <w:rPr>
          <w:rFonts w:hint="eastAsia" w:hAnsi="宋体"/>
          <w:b/>
          <w:bCs/>
          <w:color w:val="auto"/>
          <w:sz w:val="24"/>
          <w:szCs w:val="24"/>
          <w:highlight w:val="none"/>
        </w:rPr>
        <w:t>一、质疑供应商基本信息：</w:t>
      </w:r>
    </w:p>
    <w:p w14:paraId="459A791D">
      <w:pPr>
        <w:pStyle w:val="18"/>
        <w:spacing w:line="360" w:lineRule="auto"/>
        <w:ind w:firstLine="480" w:firstLineChars="200"/>
        <w:contextualSpacing/>
        <w:rPr>
          <w:rFonts w:hint="eastAsia" w:hAnsi="宋体"/>
          <w:bCs/>
          <w:color w:val="auto"/>
          <w:sz w:val="24"/>
          <w:szCs w:val="24"/>
          <w:highlight w:val="none"/>
          <w:u w:val="single"/>
        </w:rPr>
      </w:pPr>
      <w:r>
        <w:rPr>
          <w:rFonts w:hint="eastAsia" w:hAnsi="宋体"/>
          <w:bCs/>
          <w:color w:val="auto"/>
          <w:sz w:val="24"/>
          <w:szCs w:val="24"/>
          <w:highlight w:val="none"/>
        </w:rPr>
        <w:t>质疑供应商：</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04A99D8C">
      <w:pPr>
        <w:pStyle w:val="18"/>
        <w:spacing w:line="360" w:lineRule="auto"/>
        <w:ind w:firstLine="480" w:firstLineChars="200"/>
        <w:contextualSpacing/>
        <w:rPr>
          <w:rFonts w:hint="eastAsia"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7F53770B">
      <w:pPr>
        <w:pStyle w:val="18"/>
        <w:spacing w:line="360" w:lineRule="auto"/>
        <w:ind w:firstLine="480" w:firstLineChars="200"/>
        <w:contextualSpacing/>
        <w:rPr>
          <w:rFonts w:hint="eastAsia" w:hAnsi="宋体"/>
          <w:bCs/>
          <w:color w:val="auto"/>
          <w:sz w:val="24"/>
          <w:szCs w:val="24"/>
          <w:highlight w:val="none"/>
        </w:rPr>
      </w:pPr>
      <w:r>
        <w:rPr>
          <w:rFonts w:hAnsi="宋体"/>
          <w:bCs/>
          <w:color w:val="auto"/>
          <w:sz w:val="24"/>
          <w:szCs w:val="24"/>
          <w:highlight w:val="none"/>
        </w:rPr>
        <w:t>联系人</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联系电话</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1B73AB55">
      <w:pPr>
        <w:pStyle w:val="18"/>
        <w:spacing w:line="360" w:lineRule="auto"/>
        <w:ind w:firstLine="480" w:firstLineChars="200"/>
        <w:contextualSpacing/>
        <w:rPr>
          <w:rFonts w:hint="eastAsia" w:hAnsi="宋体"/>
          <w:bCs/>
          <w:color w:val="auto"/>
          <w:sz w:val="24"/>
          <w:szCs w:val="24"/>
          <w:highlight w:val="none"/>
        </w:rPr>
      </w:pPr>
      <w:r>
        <w:rPr>
          <w:rFonts w:hint="eastAsia" w:hAnsi="宋体"/>
          <w:bCs/>
          <w:color w:val="auto"/>
          <w:sz w:val="24"/>
          <w:szCs w:val="24"/>
          <w:highlight w:val="none"/>
        </w:rPr>
        <w:t>授权代表：</w:t>
      </w:r>
      <w:r>
        <w:rPr>
          <w:rFonts w:hint="eastAsia" w:hAnsi="宋体"/>
          <w:bCs/>
          <w:color w:val="auto"/>
          <w:sz w:val="24"/>
          <w:szCs w:val="24"/>
          <w:highlight w:val="none"/>
          <w:u w:val="single"/>
        </w:rPr>
        <w:t xml:space="preserve">                      </w:t>
      </w:r>
    </w:p>
    <w:p w14:paraId="78DD3D08">
      <w:pPr>
        <w:pStyle w:val="18"/>
        <w:spacing w:line="360" w:lineRule="auto"/>
        <w:ind w:firstLine="480" w:firstLineChars="200"/>
        <w:contextualSpacing/>
        <w:rPr>
          <w:rFonts w:hint="eastAsia" w:hAnsi="宋体"/>
          <w:bCs/>
          <w:color w:val="auto"/>
          <w:sz w:val="24"/>
          <w:szCs w:val="24"/>
          <w:highlight w:val="none"/>
          <w:u w:val="single"/>
        </w:rPr>
      </w:pP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22C4971F">
      <w:pPr>
        <w:pStyle w:val="18"/>
        <w:spacing w:line="360" w:lineRule="auto"/>
        <w:ind w:firstLine="480" w:firstLineChars="200"/>
        <w:contextualSpacing/>
        <w:rPr>
          <w:rFonts w:hint="eastAsia"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23288182">
      <w:pPr>
        <w:pStyle w:val="18"/>
        <w:spacing w:line="360" w:lineRule="auto"/>
        <w:ind w:firstLine="482" w:firstLineChars="200"/>
        <w:contextualSpacing/>
        <w:rPr>
          <w:rFonts w:hint="eastAsia" w:hAnsi="宋体"/>
          <w:b/>
          <w:bCs/>
          <w:color w:val="auto"/>
          <w:sz w:val="24"/>
          <w:szCs w:val="24"/>
          <w:highlight w:val="none"/>
        </w:rPr>
      </w:pPr>
      <w:r>
        <w:rPr>
          <w:rFonts w:hint="eastAsia" w:hAnsi="宋体"/>
          <w:b/>
          <w:bCs/>
          <w:color w:val="auto"/>
          <w:sz w:val="24"/>
          <w:szCs w:val="24"/>
          <w:highlight w:val="none"/>
        </w:rPr>
        <w:t>二、质疑项目基本情况：</w:t>
      </w:r>
    </w:p>
    <w:p w14:paraId="0FDF2D11">
      <w:pPr>
        <w:pStyle w:val="18"/>
        <w:spacing w:line="360" w:lineRule="auto"/>
        <w:ind w:left="25" w:leftChars="12" w:firstLine="472" w:firstLineChars="197"/>
        <w:contextualSpacing/>
        <w:rPr>
          <w:rFonts w:hint="eastAsia" w:hAnsi="宋体" w:eastAsia="宋体"/>
          <w:color w:val="auto"/>
          <w:sz w:val="24"/>
          <w:szCs w:val="24"/>
          <w:highlight w:val="none"/>
          <w:lang w:eastAsia="zh-CN"/>
        </w:rPr>
      </w:pPr>
      <w:r>
        <w:rPr>
          <w:rFonts w:hint="eastAsia" w:hAnsi="宋体"/>
          <w:bCs/>
          <w:color w:val="auto"/>
          <w:sz w:val="24"/>
          <w:szCs w:val="24"/>
          <w:highlight w:val="none"/>
        </w:rPr>
        <w:t>质疑</w:t>
      </w:r>
      <w:r>
        <w:rPr>
          <w:rFonts w:hint="eastAsia" w:hAnsi="宋体"/>
          <w:color w:val="auto"/>
          <w:sz w:val="24"/>
          <w:szCs w:val="24"/>
          <w:highlight w:val="none"/>
        </w:rPr>
        <w:t>项目的名称：</w:t>
      </w:r>
      <w:r>
        <w:rPr>
          <w:rFonts w:hint="eastAsia" w:hAnsi="宋体"/>
          <w:bCs/>
          <w:color w:val="auto"/>
          <w:sz w:val="24"/>
          <w:szCs w:val="24"/>
          <w:highlight w:val="none"/>
          <w:u w:val="single"/>
        </w:rPr>
        <w:t xml:space="preserve"> </w:t>
      </w:r>
      <w:r>
        <w:rPr>
          <w:rFonts w:hint="eastAsia" w:hAnsi="宋体"/>
          <w:bCs/>
          <w:color w:val="auto"/>
          <w:sz w:val="24"/>
          <w:szCs w:val="24"/>
          <w:highlight w:val="none"/>
          <w:u w:val="single"/>
          <w:lang w:eastAsia="zh-CN"/>
        </w:rPr>
        <w:t>隆安县电子政务外网一期线路租用及设备升级服务项目</w:t>
      </w:r>
    </w:p>
    <w:p w14:paraId="0428C884">
      <w:pPr>
        <w:pStyle w:val="18"/>
        <w:spacing w:line="360" w:lineRule="auto"/>
        <w:ind w:left="25" w:leftChars="12" w:firstLine="472" w:firstLineChars="197"/>
        <w:contextualSpacing/>
        <w:rPr>
          <w:rFonts w:hint="eastAsia" w:hAnsi="宋体" w:eastAsia="宋体"/>
          <w:color w:val="auto"/>
          <w:sz w:val="24"/>
          <w:szCs w:val="24"/>
          <w:highlight w:val="none"/>
          <w:lang w:eastAsia="zh-CN"/>
        </w:rPr>
      </w:pPr>
      <w:r>
        <w:rPr>
          <w:rFonts w:hint="eastAsia" w:hAnsi="宋体"/>
          <w:bCs/>
          <w:color w:val="auto"/>
          <w:sz w:val="24"/>
          <w:szCs w:val="24"/>
          <w:highlight w:val="none"/>
        </w:rPr>
        <w:t>质疑</w:t>
      </w:r>
      <w:r>
        <w:rPr>
          <w:rFonts w:hint="eastAsia" w:hAnsi="宋体"/>
          <w:color w:val="auto"/>
          <w:sz w:val="24"/>
          <w:szCs w:val="24"/>
          <w:highlight w:val="none"/>
        </w:rPr>
        <w:t>项目的编号：</w:t>
      </w:r>
    </w:p>
    <w:p w14:paraId="2085CF77">
      <w:pPr>
        <w:pStyle w:val="18"/>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采购人名称：</w:t>
      </w:r>
      <w:r>
        <w:rPr>
          <w:rFonts w:hint="eastAsia" w:hAnsi="宋体"/>
          <w:bCs/>
          <w:color w:val="auto"/>
          <w:sz w:val="24"/>
          <w:szCs w:val="24"/>
          <w:highlight w:val="none"/>
          <w:u w:val="single"/>
        </w:rPr>
        <w:t xml:space="preserve">   </w:t>
      </w:r>
      <w:r>
        <w:rPr>
          <w:rFonts w:hint="eastAsia" w:hAnsi="宋体"/>
          <w:bCs/>
          <w:color w:val="auto"/>
          <w:sz w:val="24"/>
          <w:szCs w:val="24"/>
          <w:highlight w:val="none"/>
          <w:u w:val="single"/>
          <w:lang w:eastAsia="zh-CN"/>
        </w:rPr>
        <w:t>隆安县数据局</w:t>
      </w:r>
      <w:r>
        <w:rPr>
          <w:rFonts w:hint="eastAsia" w:hAnsi="宋体"/>
          <w:bCs/>
          <w:color w:val="auto"/>
          <w:sz w:val="24"/>
          <w:szCs w:val="24"/>
          <w:highlight w:val="none"/>
          <w:u w:val="single"/>
        </w:rPr>
        <w:t xml:space="preserve">  </w:t>
      </w:r>
    </w:p>
    <w:p w14:paraId="39D44A33">
      <w:pPr>
        <w:pStyle w:val="18"/>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质疑事项：</w:t>
      </w:r>
    </w:p>
    <w:p w14:paraId="5B13D0E5">
      <w:pPr>
        <w:pStyle w:val="18"/>
        <w:spacing w:line="360" w:lineRule="auto"/>
        <w:ind w:left="25" w:leftChars="12" w:firstLine="352" w:firstLineChars="147"/>
        <w:contextualSpacing/>
        <w:rPr>
          <w:rFonts w:hint="eastAsia" w:hAnsi="宋体"/>
          <w:color w:val="auto"/>
          <w:sz w:val="24"/>
          <w:szCs w:val="24"/>
          <w:highlight w:val="none"/>
        </w:rPr>
      </w:pPr>
      <w:r>
        <w:rPr>
          <w:rFonts w:hint="eastAsia" w:hAnsi="宋体"/>
          <w:color w:val="auto"/>
          <w:sz w:val="24"/>
          <w:szCs w:val="24"/>
          <w:highlight w:val="none"/>
        </w:rPr>
        <w:t>□采购文件   采购文件获取日期：</w:t>
      </w:r>
      <w:r>
        <w:rPr>
          <w:rFonts w:hint="eastAsia" w:hAnsi="宋体"/>
          <w:bCs/>
          <w:color w:val="auto"/>
          <w:sz w:val="24"/>
          <w:szCs w:val="24"/>
          <w:highlight w:val="none"/>
          <w:u w:val="single"/>
        </w:rPr>
        <w:t xml:space="preserve">                                   </w:t>
      </w:r>
    </w:p>
    <w:p w14:paraId="5CFBF9E4">
      <w:pPr>
        <w:pStyle w:val="18"/>
        <w:spacing w:line="360" w:lineRule="auto"/>
        <w:ind w:left="25" w:leftChars="12" w:firstLine="352" w:firstLineChars="147"/>
        <w:contextualSpacing/>
        <w:rPr>
          <w:rFonts w:hint="eastAsia" w:hAnsi="宋体"/>
          <w:color w:val="auto"/>
          <w:sz w:val="24"/>
          <w:szCs w:val="24"/>
          <w:highlight w:val="none"/>
        </w:rPr>
      </w:pPr>
      <w:r>
        <w:rPr>
          <w:rFonts w:hint="eastAsia" w:hAnsi="宋体"/>
          <w:color w:val="auto"/>
          <w:sz w:val="24"/>
          <w:szCs w:val="24"/>
          <w:highlight w:val="none"/>
        </w:rPr>
        <w:t xml:space="preserve">□采购过程   </w:t>
      </w:r>
    </w:p>
    <w:p w14:paraId="50E7ED96">
      <w:pPr>
        <w:pStyle w:val="18"/>
        <w:spacing w:line="360" w:lineRule="auto"/>
        <w:ind w:left="25" w:leftChars="12" w:firstLine="352" w:firstLineChars="147"/>
        <w:contextualSpacing/>
        <w:rPr>
          <w:rFonts w:hint="eastAsia" w:hAnsi="宋体"/>
          <w:bCs/>
          <w:color w:val="auto"/>
          <w:sz w:val="24"/>
          <w:szCs w:val="24"/>
          <w:highlight w:val="none"/>
          <w:u w:val="single"/>
        </w:rPr>
      </w:pPr>
      <w:r>
        <w:rPr>
          <w:rFonts w:hint="eastAsia" w:hAnsi="宋体"/>
          <w:color w:val="auto"/>
          <w:sz w:val="24"/>
          <w:szCs w:val="24"/>
          <w:highlight w:val="none"/>
        </w:rPr>
        <w:t xml:space="preserve">□成交结果   </w:t>
      </w:r>
    </w:p>
    <w:p w14:paraId="2A4E7555">
      <w:pPr>
        <w:pStyle w:val="18"/>
        <w:spacing w:line="360" w:lineRule="auto"/>
        <w:ind w:left="25" w:leftChars="12" w:firstLine="472" w:firstLineChars="196"/>
        <w:contextualSpacing/>
        <w:rPr>
          <w:rFonts w:hint="eastAsia" w:hAnsi="宋体"/>
          <w:b/>
          <w:color w:val="auto"/>
          <w:sz w:val="24"/>
          <w:szCs w:val="24"/>
          <w:highlight w:val="none"/>
        </w:rPr>
      </w:pPr>
      <w:r>
        <w:rPr>
          <w:rFonts w:hint="eastAsia" w:hAnsi="宋体"/>
          <w:b/>
          <w:color w:val="auto"/>
          <w:sz w:val="24"/>
          <w:szCs w:val="24"/>
          <w:highlight w:val="none"/>
        </w:rPr>
        <w:t>三、质疑事项具体内容</w:t>
      </w:r>
    </w:p>
    <w:p w14:paraId="25C7BE8D">
      <w:pPr>
        <w:pStyle w:val="18"/>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质疑事项1：</w:t>
      </w:r>
      <w:r>
        <w:rPr>
          <w:rFonts w:hint="eastAsia" w:hAnsi="宋体"/>
          <w:bCs/>
          <w:color w:val="auto"/>
          <w:sz w:val="24"/>
          <w:szCs w:val="24"/>
          <w:highlight w:val="none"/>
          <w:u w:val="single"/>
        </w:rPr>
        <w:t xml:space="preserve">                                                                    </w:t>
      </w:r>
    </w:p>
    <w:p w14:paraId="63C3F9E8">
      <w:pPr>
        <w:pStyle w:val="18"/>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事实依据：</w:t>
      </w:r>
      <w:r>
        <w:rPr>
          <w:rFonts w:hint="eastAsia" w:hAnsi="宋体"/>
          <w:bCs/>
          <w:color w:val="auto"/>
          <w:sz w:val="24"/>
          <w:szCs w:val="24"/>
          <w:highlight w:val="none"/>
          <w:u w:val="single"/>
        </w:rPr>
        <w:t xml:space="preserve">                                                                      </w:t>
      </w:r>
    </w:p>
    <w:p w14:paraId="1EB7295D">
      <w:pPr>
        <w:pStyle w:val="18"/>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法律依据：</w:t>
      </w:r>
      <w:r>
        <w:rPr>
          <w:rFonts w:hint="eastAsia" w:hAnsi="宋体"/>
          <w:color w:val="auto"/>
          <w:sz w:val="24"/>
          <w:szCs w:val="24"/>
          <w:highlight w:val="none"/>
          <w:u w:val="single"/>
        </w:rPr>
        <w:t xml:space="preserve">                                                        </w:t>
      </w:r>
      <w:r>
        <w:rPr>
          <w:rFonts w:hint="eastAsia" w:hAnsi="宋体"/>
          <w:bCs/>
          <w:color w:val="auto"/>
          <w:sz w:val="24"/>
          <w:szCs w:val="24"/>
          <w:highlight w:val="none"/>
          <w:u w:val="single"/>
        </w:rPr>
        <w:t xml:space="preserve">               </w:t>
      </w:r>
    </w:p>
    <w:p w14:paraId="7FD85469">
      <w:pPr>
        <w:pStyle w:val="18"/>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质疑事项2</w:t>
      </w:r>
    </w:p>
    <w:p w14:paraId="6D12EED7">
      <w:pPr>
        <w:pStyle w:val="18"/>
        <w:spacing w:line="360" w:lineRule="auto"/>
        <w:ind w:left="25" w:leftChars="12" w:firstLine="472" w:firstLineChars="197"/>
        <w:contextualSpacing/>
        <w:rPr>
          <w:rFonts w:hint="eastAsia" w:hAnsi="宋体"/>
          <w:color w:val="auto"/>
          <w:sz w:val="24"/>
          <w:szCs w:val="24"/>
          <w:highlight w:val="none"/>
        </w:rPr>
      </w:pPr>
      <w:r>
        <w:rPr>
          <w:rFonts w:hAnsi="宋体"/>
          <w:color w:val="auto"/>
          <w:sz w:val="24"/>
          <w:szCs w:val="24"/>
          <w:highlight w:val="none"/>
        </w:rPr>
        <w:t>……</w:t>
      </w:r>
    </w:p>
    <w:p w14:paraId="2373475E">
      <w:pPr>
        <w:pStyle w:val="18"/>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四、与质疑事项相关的质疑请求：</w:t>
      </w:r>
    </w:p>
    <w:p w14:paraId="635C1CAA">
      <w:pPr>
        <w:pStyle w:val="18"/>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请求：</w:t>
      </w:r>
      <w:r>
        <w:rPr>
          <w:rFonts w:hint="eastAsia" w:hAnsi="宋体"/>
          <w:bCs/>
          <w:color w:val="auto"/>
          <w:sz w:val="24"/>
          <w:szCs w:val="24"/>
          <w:highlight w:val="none"/>
          <w:u w:val="single"/>
        </w:rPr>
        <w:t xml:space="preserve">                                                                </w:t>
      </w:r>
    </w:p>
    <w:p w14:paraId="49EEBA30">
      <w:pPr>
        <w:pStyle w:val="18"/>
        <w:spacing w:line="360" w:lineRule="auto"/>
        <w:ind w:left="25" w:leftChars="12" w:firstLine="352" w:firstLineChars="147"/>
        <w:contextualSpacing/>
        <w:rPr>
          <w:rFonts w:hint="eastAsia" w:hAnsi="宋体"/>
          <w:color w:val="auto"/>
          <w:sz w:val="24"/>
          <w:szCs w:val="24"/>
          <w:highlight w:val="none"/>
        </w:rPr>
      </w:pPr>
    </w:p>
    <w:p w14:paraId="0A656203">
      <w:pPr>
        <w:pStyle w:val="18"/>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签字（签章）：                                       公章：</w:t>
      </w:r>
    </w:p>
    <w:p w14:paraId="3E1CA2F0">
      <w:pPr>
        <w:pStyle w:val="18"/>
        <w:spacing w:line="360" w:lineRule="auto"/>
        <w:ind w:left="25" w:leftChars="12" w:firstLine="352" w:firstLineChars="147"/>
        <w:contextualSpacing/>
        <w:rPr>
          <w:rFonts w:hint="eastAsia" w:hAnsi="宋体"/>
          <w:color w:val="auto"/>
          <w:sz w:val="24"/>
          <w:szCs w:val="24"/>
          <w:highlight w:val="none"/>
        </w:rPr>
      </w:pPr>
    </w:p>
    <w:p w14:paraId="511966F7">
      <w:pPr>
        <w:pStyle w:val="18"/>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日期：</w:t>
      </w:r>
    </w:p>
    <w:p w14:paraId="4F2A9233">
      <w:pPr>
        <w:pStyle w:val="18"/>
        <w:spacing w:line="360" w:lineRule="auto"/>
        <w:contextualSpacing/>
        <w:rPr>
          <w:rFonts w:hint="eastAsia" w:hAnsi="宋体"/>
          <w:b/>
          <w:color w:val="auto"/>
          <w:sz w:val="24"/>
          <w:szCs w:val="24"/>
          <w:highlight w:val="none"/>
          <w:lang w:eastAsia="zh-CN"/>
        </w:rPr>
      </w:pPr>
    </w:p>
    <w:p w14:paraId="48F233C9">
      <w:pPr>
        <w:pStyle w:val="18"/>
        <w:spacing w:line="360" w:lineRule="auto"/>
        <w:contextualSpacing/>
        <w:rPr>
          <w:rFonts w:hint="eastAsia" w:hAnsi="宋体"/>
          <w:b/>
          <w:color w:val="auto"/>
          <w:sz w:val="24"/>
          <w:szCs w:val="24"/>
          <w:highlight w:val="none"/>
          <w:lang w:eastAsia="zh-CN"/>
        </w:rPr>
      </w:pPr>
    </w:p>
    <w:p w14:paraId="0C01EE1A">
      <w:pPr>
        <w:pStyle w:val="18"/>
        <w:spacing w:line="360" w:lineRule="auto"/>
        <w:contextualSpacing/>
        <w:rPr>
          <w:rFonts w:hint="eastAsia" w:hAnsi="宋体"/>
          <w:b/>
          <w:color w:val="auto"/>
          <w:sz w:val="24"/>
          <w:szCs w:val="24"/>
          <w:highlight w:val="none"/>
        </w:rPr>
      </w:pPr>
      <w:r>
        <w:rPr>
          <w:rFonts w:hint="eastAsia" w:hAnsi="宋体"/>
          <w:b/>
          <w:color w:val="auto"/>
          <w:sz w:val="24"/>
          <w:szCs w:val="24"/>
          <w:highlight w:val="none"/>
        </w:rPr>
        <w:t>说明：</w:t>
      </w:r>
    </w:p>
    <w:p w14:paraId="14423F63">
      <w:pPr>
        <w:pStyle w:val="18"/>
        <w:spacing w:line="360" w:lineRule="auto"/>
        <w:ind w:left="25" w:leftChars="12" w:firstLine="354" w:firstLineChars="147"/>
        <w:contextualSpacing/>
        <w:rPr>
          <w:rFonts w:hint="eastAsia" w:hAnsi="宋体"/>
          <w:b/>
          <w:bCs/>
          <w:color w:val="auto"/>
          <w:sz w:val="24"/>
          <w:szCs w:val="24"/>
          <w:highlight w:val="none"/>
        </w:rPr>
      </w:pPr>
      <w:r>
        <w:rPr>
          <w:rFonts w:hint="eastAsia" w:hAnsi="宋体"/>
          <w:b/>
          <w:color w:val="auto"/>
          <w:sz w:val="24"/>
          <w:szCs w:val="24"/>
          <w:highlight w:val="none"/>
        </w:rPr>
        <w:t>1.供应商提出质疑时，应提交质疑函和必要的证明材料</w:t>
      </w:r>
      <w:r>
        <w:rPr>
          <w:rFonts w:hint="eastAsia" w:hAnsi="宋体"/>
          <w:b/>
          <w:bCs/>
          <w:color w:val="auto"/>
          <w:sz w:val="24"/>
          <w:szCs w:val="24"/>
          <w:highlight w:val="none"/>
        </w:rPr>
        <w:t>。</w:t>
      </w:r>
    </w:p>
    <w:p w14:paraId="172514BC">
      <w:pPr>
        <w:pStyle w:val="18"/>
        <w:spacing w:line="360" w:lineRule="auto"/>
        <w:ind w:left="25" w:leftChars="12" w:firstLine="354" w:firstLineChars="147"/>
        <w:contextualSpacing/>
        <w:rPr>
          <w:rFonts w:hint="eastAsia" w:hAnsi="宋体"/>
          <w:b/>
          <w:color w:val="auto"/>
          <w:sz w:val="24"/>
          <w:szCs w:val="24"/>
          <w:highlight w:val="none"/>
        </w:rPr>
      </w:pPr>
      <w:r>
        <w:rPr>
          <w:rFonts w:hint="eastAsia" w:hAnsi="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033B7F15">
      <w:pPr>
        <w:pStyle w:val="18"/>
        <w:spacing w:line="360" w:lineRule="auto"/>
        <w:ind w:left="25" w:leftChars="12" w:firstLine="354" w:firstLineChars="147"/>
        <w:contextualSpacing/>
        <w:rPr>
          <w:rFonts w:hint="eastAsia" w:hAnsi="宋体"/>
          <w:b/>
          <w:color w:val="auto"/>
          <w:sz w:val="24"/>
          <w:szCs w:val="24"/>
          <w:highlight w:val="none"/>
        </w:rPr>
      </w:pPr>
      <w:r>
        <w:rPr>
          <w:rFonts w:hint="eastAsia" w:hAnsi="宋体"/>
          <w:b/>
          <w:color w:val="auto"/>
          <w:sz w:val="24"/>
          <w:szCs w:val="24"/>
          <w:highlight w:val="none"/>
        </w:rPr>
        <w:t>3.质疑函的质疑事项应具体、明确，并有必要的事实依据和法律依据。</w:t>
      </w:r>
    </w:p>
    <w:p w14:paraId="5509A9F6">
      <w:pPr>
        <w:pStyle w:val="18"/>
        <w:spacing w:line="360" w:lineRule="auto"/>
        <w:ind w:left="25" w:leftChars="12" w:firstLine="354" w:firstLineChars="147"/>
        <w:contextualSpacing/>
        <w:rPr>
          <w:rFonts w:hint="eastAsia" w:hAnsi="宋体"/>
          <w:b/>
          <w:color w:val="auto"/>
          <w:sz w:val="24"/>
          <w:szCs w:val="24"/>
          <w:highlight w:val="none"/>
        </w:rPr>
      </w:pPr>
      <w:r>
        <w:rPr>
          <w:rFonts w:hint="eastAsia" w:hAnsi="宋体"/>
          <w:b/>
          <w:color w:val="auto"/>
          <w:sz w:val="24"/>
          <w:szCs w:val="24"/>
          <w:highlight w:val="none"/>
        </w:rPr>
        <w:t>4.质疑函的质疑请求应与质疑事项相关。</w:t>
      </w:r>
    </w:p>
    <w:p w14:paraId="45B7312E">
      <w:pPr>
        <w:pStyle w:val="18"/>
        <w:spacing w:line="360" w:lineRule="auto"/>
        <w:ind w:left="25" w:leftChars="12" w:firstLine="354" w:firstLineChars="147"/>
        <w:contextualSpacing/>
        <w:rPr>
          <w:rFonts w:hint="eastAsia" w:hAnsi="宋体"/>
          <w:b/>
          <w:color w:val="auto"/>
          <w:highlight w:val="none"/>
        </w:rPr>
      </w:pPr>
      <w:r>
        <w:rPr>
          <w:rFonts w:hint="eastAsia" w:hAnsi="宋体"/>
          <w:b/>
          <w:color w:val="auto"/>
          <w:sz w:val="24"/>
          <w:szCs w:val="24"/>
          <w:highlight w:val="none"/>
        </w:rPr>
        <w:t>5.质疑供应商为法人或者其他组织的，质疑函应由法定代表人、主要负责人，或者其授权代表签字或者盖章，并加盖公章。</w:t>
      </w:r>
    </w:p>
    <w:p w14:paraId="59391C39">
      <w:pPr>
        <w:pStyle w:val="18"/>
        <w:snapToGrid w:val="0"/>
        <w:rPr>
          <w:rFonts w:hint="eastAsia"/>
          <w:b/>
          <w:color w:val="auto"/>
          <w:sz w:val="24"/>
          <w:szCs w:val="24"/>
          <w:highlight w:val="none"/>
        </w:rPr>
      </w:pPr>
    </w:p>
    <w:p w14:paraId="469DFCD8">
      <w:pPr>
        <w:spacing w:line="460" w:lineRule="exact"/>
        <w:jc w:val="center"/>
        <w:rPr>
          <w:rFonts w:hint="eastAsia" w:eastAsia="隶书"/>
          <w:color w:val="auto"/>
          <w:sz w:val="44"/>
          <w:highlight w:val="none"/>
        </w:rPr>
      </w:pPr>
      <w:r>
        <w:rPr>
          <w:rFonts w:eastAsia="隶书"/>
          <w:color w:val="auto"/>
          <w:sz w:val="44"/>
          <w:highlight w:val="none"/>
        </w:rPr>
        <w:br w:type="page"/>
      </w:r>
    </w:p>
    <w:p w14:paraId="7D6A97EB">
      <w:pPr>
        <w:spacing w:line="360" w:lineRule="auto"/>
        <w:jc w:val="center"/>
        <w:rPr>
          <w:rFonts w:hint="eastAsia" w:ascii="宋体" w:hAnsi="宋体"/>
          <w:b/>
          <w:bCs/>
          <w:color w:val="auto"/>
          <w:sz w:val="32"/>
          <w:szCs w:val="32"/>
          <w:highlight w:val="none"/>
        </w:rPr>
      </w:pPr>
      <w:r>
        <w:rPr>
          <w:rFonts w:hint="eastAsia" w:ascii="宋体" w:hAnsi="宋体"/>
          <w:b/>
          <w:bCs/>
          <w:color w:val="auto"/>
          <w:sz w:val="32"/>
          <w:szCs w:val="32"/>
          <w:highlight w:val="none"/>
        </w:rPr>
        <w:t>投诉书（格式）</w:t>
      </w:r>
    </w:p>
    <w:p w14:paraId="44123AFA">
      <w:pPr>
        <w:pStyle w:val="18"/>
        <w:snapToGrid w:val="0"/>
        <w:spacing w:line="360" w:lineRule="auto"/>
        <w:ind w:firstLine="482" w:firstLineChars="200"/>
        <w:rPr>
          <w:rFonts w:hAnsi="宋体"/>
          <w:b/>
          <w:bCs/>
          <w:color w:val="auto"/>
          <w:sz w:val="24"/>
          <w:szCs w:val="24"/>
          <w:highlight w:val="none"/>
        </w:rPr>
      </w:pPr>
      <w:r>
        <w:rPr>
          <w:rFonts w:hint="eastAsia" w:hAnsi="宋体"/>
          <w:b/>
          <w:bCs/>
          <w:color w:val="auto"/>
          <w:sz w:val="24"/>
          <w:szCs w:val="24"/>
          <w:highlight w:val="none"/>
        </w:rPr>
        <w:t>一、投诉相关主体基本情况：</w:t>
      </w:r>
    </w:p>
    <w:p w14:paraId="7224EC4C">
      <w:pPr>
        <w:pStyle w:val="18"/>
        <w:snapToGrid w:val="0"/>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供应商：</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23CAD074">
      <w:pPr>
        <w:pStyle w:val="18"/>
        <w:snapToGrid w:val="0"/>
        <w:spacing w:line="360" w:lineRule="auto"/>
        <w:ind w:firstLine="480" w:firstLineChars="200"/>
        <w:rPr>
          <w:rFonts w:hint="eastAsia"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02D80B73">
      <w:pPr>
        <w:pStyle w:val="18"/>
        <w:snapToGrid w:val="0"/>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法定代表人/主要负责人：</w:t>
      </w:r>
      <w:r>
        <w:rPr>
          <w:rFonts w:hint="eastAsia" w:hAnsi="宋体"/>
          <w:bCs/>
          <w:color w:val="auto"/>
          <w:sz w:val="24"/>
          <w:szCs w:val="24"/>
          <w:highlight w:val="none"/>
          <w:u w:val="single"/>
        </w:rPr>
        <w:t xml:space="preserve">                                                         </w:t>
      </w:r>
    </w:p>
    <w:p w14:paraId="66061C2B">
      <w:pPr>
        <w:pStyle w:val="18"/>
        <w:snapToGrid w:val="0"/>
        <w:spacing w:line="360" w:lineRule="auto"/>
        <w:ind w:firstLine="480" w:firstLineChars="200"/>
        <w:rPr>
          <w:rFonts w:hint="eastAsia" w:hAnsi="宋体"/>
          <w:bCs/>
          <w:color w:val="auto"/>
          <w:sz w:val="24"/>
          <w:szCs w:val="24"/>
          <w:highlight w:val="none"/>
        </w:rPr>
      </w:pPr>
      <w:r>
        <w:rPr>
          <w:rFonts w:hAnsi="宋体"/>
          <w:bCs/>
          <w:color w:val="auto"/>
          <w:sz w:val="24"/>
          <w:szCs w:val="24"/>
          <w:highlight w:val="none"/>
        </w:rPr>
        <w:t>联系电话</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79599B7D">
      <w:pPr>
        <w:pStyle w:val="18"/>
        <w:snapToGrid w:val="0"/>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授权代表：</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20C5EB2D">
      <w:pPr>
        <w:pStyle w:val="18"/>
        <w:snapToGrid w:val="0"/>
        <w:spacing w:line="360" w:lineRule="auto"/>
        <w:ind w:firstLine="480" w:firstLineChars="200"/>
        <w:rPr>
          <w:rFonts w:hint="eastAsia" w:hAnsi="宋体"/>
          <w:bCs/>
          <w:color w:val="auto"/>
          <w:sz w:val="24"/>
          <w:szCs w:val="24"/>
          <w:highlight w:val="none"/>
          <w:u w:val="single"/>
          <w:lang w:eastAsia="zh-CN"/>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2CE59DC5">
      <w:pPr>
        <w:pStyle w:val="18"/>
        <w:snapToGrid w:val="0"/>
        <w:spacing w:line="360" w:lineRule="auto"/>
        <w:ind w:firstLine="480" w:firstLineChars="200"/>
        <w:rPr>
          <w:rFonts w:hint="eastAsia" w:hAnsi="宋体"/>
          <w:bCs/>
          <w:color w:val="auto"/>
          <w:sz w:val="24"/>
          <w:szCs w:val="24"/>
          <w:highlight w:val="none"/>
        </w:rPr>
      </w:pP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2DB134B1">
      <w:pPr>
        <w:pStyle w:val="18"/>
        <w:snapToGrid w:val="0"/>
        <w:spacing w:line="360" w:lineRule="auto"/>
        <w:ind w:firstLine="480" w:firstLineChars="200"/>
        <w:rPr>
          <w:rFonts w:hint="eastAsia" w:hAnsi="宋体"/>
          <w:bCs/>
          <w:color w:val="auto"/>
          <w:sz w:val="24"/>
          <w:szCs w:val="24"/>
          <w:highlight w:val="none"/>
        </w:rPr>
      </w:pPr>
      <w:r>
        <w:rPr>
          <w:rFonts w:hint="eastAsia" w:hAnsi="宋体"/>
          <w:bCs/>
          <w:color w:val="auto"/>
          <w:sz w:val="24"/>
          <w:szCs w:val="24"/>
          <w:highlight w:val="none"/>
        </w:rPr>
        <w:t>被投诉人1：</w:t>
      </w:r>
    </w:p>
    <w:p w14:paraId="15B57C51">
      <w:pPr>
        <w:pStyle w:val="18"/>
        <w:snapToGrid w:val="0"/>
        <w:spacing w:line="360" w:lineRule="auto"/>
        <w:ind w:firstLine="480" w:firstLineChars="200"/>
        <w:rPr>
          <w:rFonts w:hint="eastAsia" w:hAnsi="宋体"/>
          <w:bCs/>
          <w:color w:val="auto"/>
          <w:sz w:val="24"/>
          <w:szCs w:val="24"/>
          <w:highlight w:val="none"/>
          <w:u w:val="single"/>
          <w:lang w:eastAsia="zh-CN"/>
        </w:rPr>
      </w:pPr>
      <w:r>
        <w:rPr>
          <w:rFonts w:hint="eastAsia" w:hAnsi="宋体"/>
          <w:bCs/>
          <w:color w:val="auto"/>
          <w:sz w:val="24"/>
          <w:szCs w:val="24"/>
          <w:highlight w:val="none"/>
        </w:rPr>
        <w:t>地址：</w:t>
      </w:r>
      <w:r>
        <w:rPr>
          <w:rFonts w:hint="eastAsia" w:hAnsi="宋体"/>
          <w:bCs/>
          <w:color w:val="auto"/>
          <w:sz w:val="24"/>
          <w:szCs w:val="24"/>
          <w:highlight w:val="none"/>
          <w:u w:val="single"/>
        </w:rPr>
        <w:t xml:space="preserve">                                                            </w:t>
      </w:r>
    </w:p>
    <w:p w14:paraId="615DC0D7">
      <w:pPr>
        <w:pStyle w:val="18"/>
        <w:snapToGrid w:val="0"/>
        <w:spacing w:line="360" w:lineRule="auto"/>
        <w:ind w:firstLine="480" w:firstLineChars="200"/>
        <w:rPr>
          <w:rFonts w:hint="eastAsia" w:hAnsi="宋体"/>
          <w:bCs/>
          <w:color w:val="auto"/>
          <w:sz w:val="24"/>
          <w:szCs w:val="24"/>
          <w:highlight w:val="none"/>
        </w:rPr>
      </w:pP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647B4527">
      <w:pPr>
        <w:pStyle w:val="18"/>
        <w:snapToGrid w:val="0"/>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联系人：</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5F64AE57">
      <w:pPr>
        <w:pStyle w:val="18"/>
        <w:snapToGrid w:val="0"/>
        <w:spacing w:line="360" w:lineRule="auto"/>
        <w:ind w:firstLine="480" w:firstLineChars="200"/>
        <w:rPr>
          <w:rFonts w:hint="eastAsia" w:hAnsi="宋体"/>
          <w:bCs/>
          <w:color w:val="auto"/>
          <w:sz w:val="24"/>
          <w:szCs w:val="24"/>
          <w:highlight w:val="none"/>
        </w:rPr>
      </w:pPr>
      <w:r>
        <w:rPr>
          <w:rFonts w:hint="eastAsia" w:hAnsi="宋体"/>
          <w:bCs/>
          <w:color w:val="auto"/>
          <w:sz w:val="24"/>
          <w:szCs w:val="24"/>
          <w:highlight w:val="none"/>
        </w:rPr>
        <w:t>被投诉人2：</w:t>
      </w:r>
    </w:p>
    <w:p w14:paraId="44C6126E">
      <w:pPr>
        <w:pStyle w:val="18"/>
        <w:snapToGrid w:val="0"/>
        <w:spacing w:line="360" w:lineRule="auto"/>
        <w:ind w:firstLine="480" w:firstLineChars="200"/>
        <w:rPr>
          <w:rFonts w:hint="eastAsia" w:hAnsi="宋体"/>
          <w:bCs/>
          <w:color w:val="auto"/>
          <w:sz w:val="24"/>
          <w:szCs w:val="24"/>
          <w:highlight w:val="none"/>
        </w:rPr>
      </w:pPr>
      <w:r>
        <w:rPr>
          <w:rFonts w:hAnsi="宋体"/>
          <w:bCs/>
          <w:color w:val="auto"/>
          <w:sz w:val="24"/>
          <w:szCs w:val="24"/>
          <w:highlight w:val="none"/>
        </w:rPr>
        <w:t>……</w:t>
      </w:r>
    </w:p>
    <w:p w14:paraId="34872422">
      <w:pPr>
        <w:pStyle w:val="18"/>
        <w:snapToGrid w:val="0"/>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相关供应商：</w:t>
      </w:r>
      <w:r>
        <w:rPr>
          <w:rFonts w:hint="eastAsia" w:hAnsi="宋体"/>
          <w:bCs/>
          <w:color w:val="auto"/>
          <w:sz w:val="24"/>
          <w:szCs w:val="24"/>
          <w:highlight w:val="none"/>
          <w:u w:val="single"/>
        </w:rPr>
        <w:t xml:space="preserve">                                                                       </w:t>
      </w:r>
    </w:p>
    <w:p w14:paraId="3F810602">
      <w:pPr>
        <w:pStyle w:val="18"/>
        <w:snapToGrid w:val="0"/>
        <w:spacing w:line="360" w:lineRule="auto"/>
        <w:ind w:firstLine="480" w:firstLineChars="200"/>
        <w:rPr>
          <w:rFonts w:hint="eastAsia" w:hAnsi="宋体"/>
          <w:bCs/>
          <w:color w:val="auto"/>
          <w:sz w:val="24"/>
          <w:szCs w:val="24"/>
          <w:highlight w:val="none"/>
          <w:u w:val="singl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31C58303">
      <w:pPr>
        <w:pStyle w:val="18"/>
        <w:snapToGrid w:val="0"/>
        <w:spacing w:line="360" w:lineRule="auto"/>
        <w:ind w:firstLine="480" w:firstLineChars="200"/>
        <w:rPr>
          <w:rFonts w:hint="eastAsia" w:hAnsi="宋体"/>
          <w:bCs/>
          <w:color w:val="auto"/>
          <w:sz w:val="24"/>
          <w:szCs w:val="24"/>
          <w:highlight w:val="none"/>
        </w:rPr>
      </w:pPr>
      <w:r>
        <w:rPr>
          <w:rFonts w:hint="eastAsia" w:hAnsi="宋体"/>
          <w:bCs/>
          <w:color w:val="auto"/>
          <w:sz w:val="24"/>
          <w:szCs w:val="24"/>
          <w:highlight w:val="none"/>
        </w:rPr>
        <w:t>联系人：</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2CC9964E">
      <w:pPr>
        <w:pStyle w:val="18"/>
        <w:snapToGrid w:val="0"/>
        <w:spacing w:line="360" w:lineRule="auto"/>
        <w:ind w:firstLine="482" w:firstLineChars="200"/>
        <w:rPr>
          <w:rFonts w:hint="eastAsia" w:hAnsi="宋体"/>
          <w:b/>
          <w:bCs/>
          <w:color w:val="auto"/>
          <w:sz w:val="24"/>
          <w:szCs w:val="24"/>
          <w:highlight w:val="none"/>
        </w:rPr>
      </w:pPr>
      <w:r>
        <w:rPr>
          <w:rFonts w:hint="eastAsia" w:hAnsi="宋体"/>
          <w:b/>
          <w:bCs/>
          <w:color w:val="auto"/>
          <w:sz w:val="24"/>
          <w:szCs w:val="24"/>
          <w:highlight w:val="none"/>
        </w:rPr>
        <w:t>二、投诉项目基本情况：</w:t>
      </w:r>
    </w:p>
    <w:p w14:paraId="54ABEADC">
      <w:pPr>
        <w:pStyle w:val="18"/>
        <w:spacing w:line="360" w:lineRule="auto"/>
        <w:ind w:left="25" w:leftChars="12" w:firstLine="472" w:firstLineChars="197"/>
        <w:rPr>
          <w:rFonts w:hint="eastAsia" w:hAnsi="宋体"/>
          <w:color w:val="auto"/>
          <w:sz w:val="24"/>
          <w:szCs w:val="24"/>
          <w:highlight w:val="none"/>
          <w:lang w:eastAsia="zh-CN"/>
        </w:rPr>
      </w:pPr>
      <w:r>
        <w:rPr>
          <w:rFonts w:hint="eastAsia" w:hAnsi="宋体"/>
          <w:bCs/>
          <w:color w:val="auto"/>
          <w:sz w:val="24"/>
          <w:szCs w:val="24"/>
          <w:highlight w:val="none"/>
        </w:rPr>
        <w:t>采购</w:t>
      </w:r>
      <w:r>
        <w:rPr>
          <w:rFonts w:hint="eastAsia" w:hAnsi="宋体"/>
          <w:color w:val="auto"/>
          <w:sz w:val="24"/>
          <w:szCs w:val="24"/>
          <w:highlight w:val="none"/>
        </w:rPr>
        <w:t>项目的名称：</w:t>
      </w:r>
      <w:r>
        <w:rPr>
          <w:rFonts w:hint="eastAsia" w:hAnsi="宋体"/>
          <w:bCs/>
          <w:color w:val="auto"/>
          <w:sz w:val="24"/>
          <w:szCs w:val="24"/>
          <w:highlight w:val="none"/>
          <w:u w:val="single"/>
        </w:rPr>
        <w:t xml:space="preserve">  </w:t>
      </w:r>
      <w:r>
        <w:rPr>
          <w:rFonts w:hint="eastAsia" w:hAnsi="宋体"/>
          <w:bCs/>
          <w:color w:val="auto"/>
          <w:sz w:val="24"/>
          <w:szCs w:val="24"/>
          <w:highlight w:val="none"/>
          <w:u w:val="single"/>
          <w:lang w:eastAsia="zh-CN"/>
        </w:rPr>
        <w:t>隆安县电子政务外网一期线路租用及设备升级服务项目</w:t>
      </w:r>
      <w:r>
        <w:rPr>
          <w:rFonts w:hint="eastAsia" w:hAnsi="宋体"/>
          <w:bCs/>
          <w:color w:val="auto"/>
          <w:sz w:val="24"/>
          <w:szCs w:val="24"/>
          <w:highlight w:val="none"/>
          <w:u w:val="single"/>
        </w:rPr>
        <w:t xml:space="preserve">   </w:t>
      </w:r>
    </w:p>
    <w:p w14:paraId="0670EBA7">
      <w:pPr>
        <w:pStyle w:val="18"/>
        <w:spacing w:line="360" w:lineRule="auto"/>
        <w:ind w:left="25" w:leftChars="12" w:firstLine="472" w:firstLineChars="197"/>
        <w:rPr>
          <w:rFonts w:hint="eastAsia" w:hAnsi="宋体"/>
          <w:color w:val="auto"/>
          <w:sz w:val="24"/>
          <w:szCs w:val="24"/>
          <w:highlight w:val="none"/>
        </w:rPr>
      </w:pPr>
      <w:r>
        <w:rPr>
          <w:rFonts w:hint="eastAsia" w:hAnsi="宋体"/>
          <w:bCs/>
          <w:color w:val="auto"/>
          <w:sz w:val="24"/>
          <w:szCs w:val="24"/>
          <w:highlight w:val="none"/>
        </w:rPr>
        <w:t>采购</w:t>
      </w:r>
      <w:r>
        <w:rPr>
          <w:rFonts w:hint="eastAsia" w:hAnsi="宋体"/>
          <w:color w:val="auto"/>
          <w:sz w:val="24"/>
          <w:szCs w:val="24"/>
          <w:highlight w:val="none"/>
        </w:rPr>
        <w:t>项目的编号：</w:t>
      </w:r>
      <w:r>
        <w:rPr>
          <w:rFonts w:hint="eastAsia" w:hAnsi="宋体"/>
          <w:bCs/>
          <w:color w:val="auto"/>
          <w:sz w:val="24"/>
          <w:szCs w:val="24"/>
          <w:highlight w:val="none"/>
          <w:u w:val="single"/>
        </w:rPr>
        <w:t xml:space="preserve">  </w:t>
      </w:r>
      <w:r>
        <w:rPr>
          <w:rFonts w:hint="eastAsia" w:hAnsi="宋体"/>
          <w:bCs/>
          <w:color w:val="auto"/>
          <w:sz w:val="24"/>
          <w:szCs w:val="24"/>
          <w:highlight w:val="none"/>
          <w:u w:val="single"/>
          <w:lang w:eastAsia="zh-CN"/>
        </w:rPr>
        <w:t>NNZC2022-C3-230006-GXGG</w:t>
      </w:r>
      <w:r>
        <w:rPr>
          <w:rFonts w:hint="eastAsia" w:hAnsi="宋体"/>
          <w:bCs/>
          <w:color w:val="auto"/>
          <w:sz w:val="24"/>
          <w:szCs w:val="24"/>
          <w:highlight w:val="none"/>
          <w:u w:val="single"/>
        </w:rPr>
        <w:t xml:space="preserve">   </w:t>
      </w:r>
    </w:p>
    <w:p w14:paraId="385119C0">
      <w:pPr>
        <w:pStyle w:val="18"/>
        <w:spacing w:line="360" w:lineRule="auto"/>
        <w:ind w:left="25" w:leftChars="12" w:firstLine="472" w:firstLineChars="197"/>
        <w:rPr>
          <w:rFonts w:hint="eastAsia" w:hAnsi="宋体"/>
          <w:bCs/>
          <w:color w:val="auto"/>
          <w:sz w:val="24"/>
          <w:szCs w:val="24"/>
          <w:highlight w:val="none"/>
          <w:u w:val="single"/>
        </w:rPr>
      </w:pPr>
      <w:r>
        <w:rPr>
          <w:rFonts w:hint="eastAsia" w:hAnsi="宋体"/>
          <w:color w:val="auto"/>
          <w:sz w:val="24"/>
          <w:szCs w:val="24"/>
          <w:highlight w:val="none"/>
        </w:rPr>
        <w:t>采购人名称：</w:t>
      </w:r>
      <w:r>
        <w:rPr>
          <w:rFonts w:hint="eastAsia" w:hAnsi="宋体"/>
          <w:bCs/>
          <w:color w:val="auto"/>
          <w:sz w:val="24"/>
          <w:szCs w:val="24"/>
          <w:highlight w:val="none"/>
          <w:u w:val="single"/>
        </w:rPr>
        <w:t xml:space="preserve"> </w:t>
      </w:r>
      <w:r>
        <w:rPr>
          <w:rFonts w:hint="eastAsia" w:hAnsi="宋体"/>
          <w:bCs/>
          <w:color w:val="auto"/>
          <w:sz w:val="24"/>
          <w:szCs w:val="24"/>
          <w:highlight w:val="none"/>
          <w:u w:val="single"/>
          <w:lang w:eastAsia="zh-CN"/>
        </w:rPr>
        <w:t>隆安县数据局</w:t>
      </w:r>
      <w:r>
        <w:rPr>
          <w:rFonts w:hint="eastAsia" w:hAnsi="宋体"/>
          <w:bCs/>
          <w:color w:val="auto"/>
          <w:sz w:val="24"/>
          <w:szCs w:val="24"/>
          <w:highlight w:val="none"/>
          <w:u w:val="single"/>
        </w:rPr>
        <w:t xml:space="preserve">                </w:t>
      </w:r>
    </w:p>
    <w:p w14:paraId="066F0C0A">
      <w:pPr>
        <w:pStyle w:val="18"/>
        <w:spacing w:line="360" w:lineRule="auto"/>
        <w:ind w:left="25" w:leftChars="12" w:firstLine="472" w:firstLineChars="197"/>
        <w:rPr>
          <w:rFonts w:hint="eastAsia" w:hAnsi="宋体"/>
          <w:bCs/>
          <w:color w:val="auto"/>
          <w:sz w:val="24"/>
          <w:szCs w:val="24"/>
          <w:highlight w:val="none"/>
          <w:u w:val="single"/>
        </w:rPr>
      </w:pPr>
      <w:r>
        <w:rPr>
          <w:rFonts w:hint="eastAsia" w:hAnsi="宋体"/>
          <w:color w:val="auto"/>
          <w:sz w:val="24"/>
          <w:szCs w:val="24"/>
          <w:highlight w:val="none"/>
        </w:rPr>
        <w:t>代理机构名称：</w:t>
      </w:r>
      <w:r>
        <w:rPr>
          <w:rFonts w:hint="eastAsia" w:hAnsi="宋体"/>
          <w:bCs/>
          <w:color w:val="auto"/>
          <w:sz w:val="24"/>
          <w:szCs w:val="24"/>
          <w:highlight w:val="none"/>
          <w:u w:val="single"/>
        </w:rPr>
        <w:t xml:space="preserve"> </w:t>
      </w:r>
      <w:r>
        <w:rPr>
          <w:rFonts w:hint="eastAsia" w:hAnsi="宋体"/>
          <w:bCs/>
          <w:color w:val="auto"/>
          <w:sz w:val="24"/>
          <w:szCs w:val="24"/>
          <w:highlight w:val="none"/>
          <w:u w:val="single"/>
          <w:lang w:eastAsia="zh-CN"/>
        </w:rPr>
        <w:t>隆安县政府集中采购中心</w:t>
      </w:r>
      <w:r>
        <w:rPr>
          <w:rFonts w:hint="eastAsia" w:hAnsi="宋体"/>
          <w:bCs/>
          <w:color w:val="auto"/>
          <w:sz w:val="24"/>
          <w:szCs w:val="24"/>
          <w:highlight w:val="none"/>
          <w:u w:val="single"/>
        </w:rPr>
        <w:t xml:space="preserve">               </w:t>
      </w:r>
    </w:p>
    <w:p w14:paraId="61409CED">
      <w:pPr>
        <w:pStyle w:val="18"/>
        <w:spacing w:line="360" w:lineRule="auto"/>
        <w:ind w:left="25" w:leftChars="12" w:firstLine="472" w:firstLineChars="197"/>
        <w:rPr>
          <w:rFonts w:hint="eastAsia" w:hAnsi="宋体"/>
          <w:bCs/>
          <w:color w:val="auto"/>
          <w:sz w:val="24"/>
          <w:szCs w:val="24"/>
          <w:highlight w:val="none"/>
          <w:u w:val="single"/>
        </w:rPr>
      </w:pPr>
      <w:r>
        <w:rPr>
          <w:rFonts w:hint="eastAsia" w:hAnsi="宋体"/>
          <w:bCs/>
          <w:color w:val="auto"/>
          <w:sz w:val="24"/>
          <w:szCs w:val="24"/>
          <w:highlight w:val="none"/>
        </w:rPr>
        <w:t>招标文件公告：</w:t>
      </w:r>
      <w:r>
        <w:rPr>
          <w:rFonts w:hint="eastAsia" w:hAnsi="宋体"/>
          <w:bCs/>
          <w:color w:val="auto"/>
          <w:sz w:val="24"/>
          <w:szCs w:val="24"/>
          <w:highlight w:val="none"/>
          <w:u w:val="single"/>
        </w:rPr>
        <w:t>是/否</w:t>
      </w:r>
      <w:r>
        <w:rPr>
          <w:rFonts w:hint="eastAsia" w:hAnsi="宋体"/>
          <w:bCs/>
          <w:color w:val="auto"/>
          <w:sz w:val="24"/>
          <w:szCs w:val="24"/>
          <w:highlight w:val="none"/>
        </w:rPr>
        <w:t>公告期限：</w:t>
      </w:r>
      <w:r>
        <w:rPr>
          <w:rFonts w:hint="eastAsia" w:hAnsi="宋体"/>
          <w:bCs/>
          <w:color w:val="auto"/>
          <w:sz w:val="24"/>
          <w:szCs w:val="24"/>
          <w:highlight w:val="none"/>
          <w:u w:val="single"/>
        </w:rPr>
        <w:t xml:space="preserve">                                                       </w:t>
      </w:r>
    </w:p>
    <w:p w14:paraId="0E66CDF6">
      <w:pPr>
        <w:pStyle w:val="18"/>
        <w:spacing w:line="360" w:lineRule="auto"/>
        <w:ind w:left="25" w:leftChars="12" w:firstLine="472" w:firstLineChars="197"/>
        <w:rPr>
          <w:rFonts w:hint="eastAsia" w:hAnsi="宋体"/>
          <w:b/>
          <w:color w:val="auto"/>
          <w:sz w:val="24"/>
          <w:szCs w:val="24"/>
          <w:highlight w:val="none"/>
        </w:rPr>
      </w:pPr>
      <w:r>
        <w:rPr>
          <w:rFonts w:hint="eastAsia" w:hAnsi="宋体"/>
          <w:bCs/>
          <w:color w:val="auto"/>
          <w:sz w:val="24"/>
          <w:szCs w:val="24"/>
          <w:highlight w:val="none"/>
        </w:rPr>
        <w:t>采购结果公告：</w:t>
      </w:r>
      <w:r>
        <w:rPr>
          <w:rFonts w:hint="eastAsia" w:hAnsi="宋体"/>
          <w:bCs/>
          <w:color w:val="auto"/>
          <w:sz w:val="24"/>
          <w:szCs w:val="24"/>
          <w:highlight w:val="none"/>
          <w:u w:val="single"/>
        </w:rPr>
        <w:t>是/否</w:t>
      </w:r>
      <w:r>
        <w:rPr>
          <w:rFonts w:hint="eastAsia" w:hAnsi="宋体"/>
          <w:bCs/>
          <w:color w:val="auto"/>
          <w:sz w:val="24"/>
          <w:szCs w:val="24"/>
          <w:highlight w:val="none"/>
        </w:rPr>
        <w:t>公告期限：</w:t>
      </w:r>
      <w:r>
        <w:rPr>
          <w:rFonts w:hint="eastAsia" w:hAnsi="宋体"/>
          <w:bCs/>
          <w:color w:val="auto"/>
          <w:sz w:val="24"/>
          <w:szCs w:val="24"/>
          <w:highlight w:val="none"/>
          <w:u w:val="single"/>
        </w:rPr>
        <w:t xml:space="preserve">                                                       </w:t>
      </w:r>
    </w:p>
    <w:p w14:paraId="2B49F801">
      <w:pPr>
        <w:pStyle w:val="18"/>
        <w:spacing w:line="360" w:lineRule="auto"/>
        <w:ind w:left="25" w:leftChars="12" w:firstLine="472" w:firstLineChars="196"/>
        <w:rPr>
          <w:rFonts w:hint="eastAsia" w:hAnsi="宋体"/>
          <w:b/>
          <w:color w:val="auto"/>
          <w:sz w:val="24"/>
          <w:szCs w:val="24"/>
          <w:highlight w:val="none"/>
        </w:rPr>
      </w:pPr>
      <w:r>
        <w:rPr>
          <w:rFonts w:hint="eastAsia" w:hAnsi="宋体"/>
          <w:b/>
          <w:color w:val="auto"/>
          <w:sz w:val="24"/>
          <w:szCs w:val="24"/>
          <w:highlight w:val="none"/>
        </w:rPr>
        <w:t>三、质疑基本情况</w:t>
      </w:r>
    </w:p>
    <w:p w14:paraId="1C379CB2">
      <w:pPr>
        <w:pStyle w:val="18"/>
        <w:spacing w:line="360" w:lineRule="auto"/>
        <w:ind w:firstLine="480" w:firstLineChars="200"/>
        <w:rPr>
          <w:rFonts w:hint="eastAsia" w:hAnsi="宋体"/>
          <w:color w:val="auto"/>
          <w:sz w:val="24"/>
          <w:szCs w:val="24"/>
          <w:highlight w:val="none"/>
        </w:rPr>
      </w:pPr>
      <w:r>
        <w:rPr>
          <w:rFonts w:hint="eastAsia" w:hAnsi="宋体"/>
          <w:color w:val="auto"/>
          <w:sz w:val="24"/>
          <w:szCs w:val="24"/>
          <w:highlight w:val="none"/>
        </w:rPr>
        <w:t>投诉人于</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日，向</w:t>
      </w:r>
      <w:r>
        <w:rPr>
          <w:rFonts w:hint="eastAsia" w:hAnsi="宋体"/>
          <w:color w:val="auto"/>
          <w:sz w:val="24"/>
          <w:szCs w:val="24"/>
          <w:highlight w:val="none"/>
          <w:u w:val="single"/>
        </w:rPr>
        <w:t xml:space="preserve">                                </w:t>
      </w:r>
      <w:r>
        <w:rPr>
          <w:rFonts w:hint="eastAsia" w:hAnsi="宋体"/>
          <w:color w:val="auto"/>
          <w:sz w:val="24"/>
          <w:szCs w:val="24"/>
          <w:highlight w:val="none"/>
        </w:rPr>
        <w:t>提出质疑，质疑事项为：</w:t>
      </w:r>
    </w:p>
    <w:p w14:paraId="7374DD23">
      <w:pPr>
        <w:pStyle w:val="18"/>
        <w:spacing w:line="360" w:lineRule="auto"/>
        <w:ind w:firstLine="241"/>
        <w:rPr>
          <w:rFonts w:hint="eastAsia" w:hAnsi="宋体"/>
          <w:bCs/>
          <w:color w:val="auto"/>
          <w:sz w:val="24"/>
          <w:szCs w:val="24"/>
          <w:highlight w:val="none"/>
          <w:u w:val="single"/>
        </w:rPr>
      </w:pP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3BB786DD">
      <w:pPr>
        <w:pStyle w:val="18"/>
        <w:spacing w:line="360" w:lineRule="auto"/>
        <w:ind w:firstLine="241"/>
        <w:rPr>
          <w:rFonts w:hint="eastAsia" w:hAnsi="宋体"/>
          <w:bCs/>
          <w:color w:val="auto"/>
          <w:sz w:val="24"/>
          <w:szCs w:val="24"/>
          <w:highlight w:val="none"/>
          <w:u w:val="single"/>
        </w:rPr>
      </w:pPr>
      <w:r>
        <w:rPr>
          <w:rFonts w:hint="eastAsia" w:hAnsi="宋体"/>
          <w:bCs/>
          <w:color w:val="auto"/>
          <w:sz w:val="24"/>
          <w:szCs w:val="24"/>
          <w:highlight w:val="none"/>
        </w:rPr>
        <w:t xml:space="preserve">    </w:t>
      </w:r>
      <w:r>
        <w:rPr>
          <w:rFonts w:hint="eastAsia" w:hAnsi="宋体"/>
          <w:bCs/>
          <w:color w:val="auto"/>
          <w:sz w:val="24"/>
          <w:szCs w:val="24"/>
          <w:highlight w:val="none"/>
          <w:u w:val="single"/>
        </w:rPr>
        <w:t xml:space="preserve">                                                                                      </w:t>
      </w:r>
    </w:p>
    <w:p w14:paraId="3162F068">
      <w:pPr>
        <w:pStyle w:val="18"/>
        <w:spacing w:line="360" w:lineRule="auto"/>
        <w:ind w:firstLine="480" w:firstLineChars="200"/>
        <w:rPr>
          <w:rFonts w:hint="eastAsia" w:hAnsi="宋体"/>
          <w:color w:val="auto"/>
          <w:sz w:val="24"/>
          <w:szCs w:val="24"/>
          <w:highlight w:val="none"/>
        </w:rPr>
      </w:pPr>
      <w:r>
        <w:rPr>
          <w:rFonts w:hint="eastAsia" w:hAnsi="宋体"/>
          <w:bCs/>
          <w:color w:val="auto"/>
          <w:sz w:val="24"/>
          <w:szCs w:val="24"/>
          <w:highlight w:val="none"/>
          <w:u w:val="single"/>
        </w:rPr>
        <w:t>采购人/代理机构</w:t>
      </w:r>
      <w:r>
        <w:rPr>
          <w:rFonts w:hint="eastAsia" w:hAnsi="宋体"/>
          <w:bCs/>
          <w:color w:val="auto"/>
          <w:sz w:val="24"/>
          <w:szCs w:val="24"/>
          <w:highlight w:val="none"/>
        </w:rPr>
        <w:t>于</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w:t>
      </w:r>
      <w:r>
        <w:rPr>
          <w:rFonts w:hint="eastAsia" w:hAnsi="宋体"/>
          <w:bCs/>
          <w:color w:val="auto"/>
          <w:sz w:val="24"/>
          <w:szCs w:val="24"/>
          <w:highlight w:val="none"/>
        </w:rPr>
        <w:t xml:space="preserve">就质疑事项作出了答复/没有在法定期限内作出答复。                                                                                             </w:t>
      </w:r>
    </w:p>
    <w:p w14:paraId="4DFB82B1">
      <w:pPr>
        <w:pStyle w:val="18"/>
        <w:spacing w:line="360" w:lineRule="auto"/>
        <w:ind w:left="25" w:leftChars="12" w:firstLine="472" w:firstLineChars="196"/>
        <w:rPr>
          <w:rFonts w:hint="eastAsia" w:hAnsi="宋体"/>
          <w:b/>
          <w:color w:val="auto"/>
          <w:sz w:val="24"/>
          <w:szCs w:val="24"/>
          <w:highlight w:val="none"/>
        </w:rPr>
      </w:pPr>
      <w:r>
        <w:rPr>
          <w:rFonts w:hint="eastAsia" w:hAnsi="宋体"/>
          <w:b/>
          <w:color w:val="auto"/>
          <w:sz w:val="24"/>
          <w:szCs w:val="24"/>
          <w:highlight w:val="none"/>
        </w:rPr>
        <w:t>四、投诉事项具体内容</w:t>
      </w:r>
    </w:p>
    <w:p w14:paraId="30286F67">
      <w:pPr>
        <w:pStyle w:val="18"/>
        <w:spacing w:line="360" w:lineRule="auto"/>
        <w:ind w:left="25" w:leftChars="12" w:firstLine="472" w:firstLineChars="197"/>
        <w:rPr>
          <w:rFonts w:hint="eastAsia" w:hAnsi="宋体"/>
          <w:bCs/>
          <w:color w:val="auto"/>
          <w:sz w:val="24"/>
          <w:szCs w:val="24"/>
          <w:highlight w:val="none"/>
          <w:u w:val="single"/>
        </w:rPr>
      </w:pPr>
      <w:r>
        <w:rPr>
          <w:rFonts w:hint="eastAsia" w:hAnsi="宋体"/>
          <w:color w:val="auto"/>
          <w:sz w:val="24"/>
          <w:szCs w:val="24"/>
          <w:highlight w:val="none"/>
        </w:rPr>
        <w:t>投诉事项1：</w:t>
      </w:r>
      <w:r>
        <w:rPr>
          <w:rFonts w:hint="eastAsia" w:hAnsi="宋体"/>
          <w:bCs/>
          <w:color w:val="auto"/>
          <w:sz w:val="24"/>
          <w:szCs w:val="24"/>
          <w:highlight w:val="none"/>
          <w:u w:val="single"/>
        </w:rPr>
        <w:t xml:space="preserve">                                                                           </w:t>
      </w:r>
    </w:p>
    <w:p w14:paraId="44CE2847">
      <w:pPr>
        <w:pStyle w:val="18"/>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事实依据：</w:t>
      </w: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15A825C5">
      <w:pPr>
        <w:pStyle w:val="18"/>
        <w:spacing w:line="360" w:lineRule="auto"/>
        <w:ind w:left="25" w:leftChars="12" w:firstLine="472" w:firstLineChars="197"/>
        <w:rPr>
          <w:rFonts w:hint="eastAsia" w:hAnsi="宋体"/>
          <w:color w:val="auto"/>
          <w:sz w:val="24"/>
          <w:szCs w:val="24"/>
          <w:highlight w:val="none"/>
        </w:rPr>
      </w:pPr>
      <w:r>
        <w:rPr>
          <w:rFonts w:hint="eastAsia" w:hAnsi="宋体"/>
          <w:bCs/>
          <w:color w:val="auto"/>
          <w:sz w:val="24"/>
          <w:szCs w:val="24"/>
          <w:highlight w:val="none"/>
          <w:u w:val="single"/>
        </w:rPr>
        <w:t xml:space="preserve">                                                                                        </w:t>
      </w:r>
    </w:p>
    <w:p w14:paraId="4CFCFFA7">
      <w:pPr>
        <w:pStyle w:val="18"/>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法律依据：</w:t>
      </w: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0BE16FD7">
      <w:pPr>
        <w:pStyle w:val="18"/>
        <w:spacing w:line="360" w:lineRule="auto"/>
        <w:ind w:left="25" w:leftChars="12" w:firstLine="352" w:firstLineChars="147"/>
        <w:rPr>
          <w:rFonts w:hint="eastAsia" w:hAnsi="宋体"/>
          <w:bCs/>
          <w:color w:val="auto"/>
          <w:sz w:val="24"/>
          <w:szCs w:val="24"/>
          <w:highlight w:val="none"/>
          <w:u w:val="single"/>
        </w:rPr>
      </w:pPr>
      <w:r>
        <w:rPr>
          <w:rFonts w:hint="eastAsia" w:hAnsi="宋体"/>
          <w:bCs/>
          <w:color w:val="auto"/>
          <w:sz w:val="24"/>
          <w:szCs w:val="24"/>
          <w:highlight w:val="none"/>
        </w:rPr>
        <w:t xml:space="preserve"> </w:t>
      </w:r>
      <w:r>
        <w:rPr>
          <w:rFonts w:hint="eastAsia" w:hAnsi="宋体"/>
          <w:bCs/>
          <w:color w:val="auto"/>
          <w:sz w:val="24"/>
          <w:szCs w:val="24"/>
          <w:highlight w:val="none"/>
          <w:u w:val="single"/>
        </w:rPr>
        <w:t xml:space="preserve">                                                                                        </w:t>
      </w:r>
    </w:p>
    <w:p w14:paraId="64EE6A82">
      <w:pPr>
        <w:pStyle w:val="18"/>
        <w:spacing w:line="360" w:lineRule="auto"/>
        <w:ind w:left="25" w:leftChars="12" w:firstLine="472" w:firstLineChars="197"/>
        <w:rPr>
          <w:rFonts w:hint="eastAsia" w:hAnsi="宋体"/>
          <w:bCs/>
          <w:color w:val="auto"/>
          <w:sz w:val="24"/>
          <w:szCs w:val="24"/>
          <w:highlight w:val="none"/>
        </w:rPr>
      </w:pPr>
      <w:r>
        <w:rPr>
          <w:rFonts w:hint="eastAsia" w:hAnsi="宋体"/>
          <w:color w:val="auto"/>
          <w:sz w:val="24"/>
          <w:szCs w:val="24"/>
          <w:highlight w:val="none"/>
        </w:rPr>
        <w:t xml:space="preserve">投诉事项2  </w:t>
      </w:r>
      <w:r>
        <w:rPr>
          <w:rFonts w:hint="eastAsia" w:hAnsi="宋体"/>
          <w:bCs/>
          <w:color w:val="auto"/>
          <w:sz w:val="24"/>
          <w:szCs w:val="24"/>
          <w:highlight w:val="none"/>
        </w:rPr>
        <w:t xml:space="preserve">   </w:t>
      </w:r>
    </w:p>
    <w:p w14:paraId="6B4ACF36">
      <w:pPr>
        <w:pStyle w:val="18"/>
        <w:spacing w:line="360" w:lineRule="auto"/>
        <w:ind w:left="25" w:leftChars="12" w:firstLine="472" w:firstLineChars="197"/>
        <w:rPr>
          <w:rFonts w:hint="eastAsia" w:hAnsi="宋体"/>
          <w:bCs/>
          <w:color w:val="auto"/>
          <w:sz w:val="24"/>
          <w:szCs w:val="24"/>
          <w:highlight w:val="none"/>
        </w:rPr>
      </w:pPr>
      <w:r>
        <w:rPr>
          <w:rFonts w:hAnsi="宋体"/>
          <w:bCs/>
          <w:color w:val="auto"/>
          <w:sz w:val="24"/>
          <w:szCs w:val="24"/>
          <w:highlight w:val="none"/>
        </w:rPr>
        <w:t>……</w:t>
      </w:r>
    </w:p>
    <w:p w14:paraId="2DC6369F">
      <w:pPr>
        <w:pStyle w:val="18"/>
        <w:spacing w:line="360" w:lineRule="auto"/>
        <w:ind w:left="25" w:leftChars="12" w:firstLine="472" w:firstLineChars="196"/>
        <w:rPr>
          <w:rFonts w:hint="eastAsia" w:hAnsi="宋体"/>
          <w:b/>
          <w:color w:val="auto"/>
          <w:sz w:val="24"/>
          <w:szCs w:val="24"/>
          <w:highlight w:val="none"/>
        </w:rPr>
      </w:pPr>
      <w:r>
        <w:rPr>
          <w:rFonts w:hint="eastAsia" w:hAnsi="宋体"/>
          <w:b/>
          <w:color w:val="auto"/>
          <w:sz w:val="24"/>
          <w:szCs w:val="24"/>
          <w:highlight w:val="none"/>
        </w:rPr>
        <w:t>五、与投诉事项相关的投诉请求：</w:t>
      </w:r>
    </w:p>
    <w:p w14:paraId="480F29FE">
      <w:pPr>
        <w:pStyle w:val="18"/>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请求：</w:t>
      </w:r>
      <w:r>
        <w:rPr>
          <w:rFonts w:hint="eastAsia" w:hAnsi="宋体"/>
          <w:bCs/>
          <w:color w:val="auto"/>
          <w:sz w:val="24"/>
          <w:szCs w:val="24"/>
          <w:highlight w:val="none"/>
          <w:u w:val="single"/>
        </w:rPr>
        <w:t xml:space="preserve">                                                                                 </w:t>
      </w:r>
    </w:p>
    <w:p w14:paraId="546D19FE">
      <w:pPr>
        <w:pStyle w:val="18"/>
        <w:spacing w:line="360" w:lineRule="auto"/>
        <w:ind w:left="25" w:leftChars="12" w:firstLine="352" w:firstLineChars="147"/>
        <w:rPr>
          <w:rFonts w:hint="eastAsia" w:hAnsi="宋体"/>
          <w:color w:val="auto"/>
          <w:sz w:val="24"/>
          <w:szCs w:val="24"/>
          <w:highlight w:val="none"/>
        </w:rPr>
      </w:pPr>
    </w:p>
    <w:p w14:paraId="63C44E71">
      <w:pPr>
        <w:pStyle w:val="18"/>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签字（签章）：                                       公章：</w:t>
      </w:r>
    </w:p>
    <w:p w14:paraId="3E3B35CC">
      <w:pPr>
        <w:pStyle w:val="18"/>
        <w:spacing w:line="360" w:lineRule="auto"/>
        <w:ind w:left="25" w:leftChars="12" w:firstLine="352" w:firstLineChars="147"/>
        <w:rPr>
          <w:rFonts w:hint="eastAsia" w:hAnsi="宋体"/>
          <w:color w:val="auto"/>
          <w:sz w:val="24"/>
          <w:szCs w:val="24"/>
          <w:highlight w:val="none"/>
        </w:rPr>
      </w:pPr>
    </w:p>
    <w:p w14:paraId="67EB42F1">
      <w:pPr>
        <w:pStyle w:val="18"/>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日期：</w:t>
      </w:r>
    </w:p>
    <w:p w14:paraId="0F159FA5">
      <w:pPr>
        <w:pStyle w:val="18"/>
        <w:spacing w:line="360" w:lineRule="auto"/>
        <w:ind w:left="25" w:leftChars="12" w:firstLine="472" w:firstLineChars="197"/>
        <w:rPr>
          <w:rFonts w:hint="eastAsia" w:hAnsi="宋体"/>
          <w:color w:val="auto"/>
          <w:sz w:val="24"/>
          <w:szCs w:val="24"/>
          <w:highlight w:val="none"/>
        </w:rPr>
      </w:pPr>
      <w:r>
        <w:rPr>
          <w:rFonts w:hint="eastAsia" w:hAnsi="宋体"/>
          <w:bCs/>
          <w:color w:val="auto"/>
          <w:sz w:val="24"/>
          <w:szCs w:val="24"/>
          <w:highlight w:val="none"/>
        </w:rPr>
        <w:t xml:space="preserve">                                                                                 </w:t>
      </w:r>
    </w:p>
    <w:p w14:paraId="53486360">
      <w:pPr>
        <w:pStyle w:val="18"/>
        <w:snapToGrid w:val="0"/>
        <w:spacing w:line="360" w:lineRule="auto"/>
        <w:rPr>
          <w:rFonts w:hint="eastAsia" w:hAnsi="宋体"/>
          <w:b/>
          <w:color w:val="auto"/>
          <w:sz w:val="24"/>
          <w:szCs w:val="24"/>
          <w:highlight w:val="none"/>
        </w:rPr>
      </w:pPr>
    </w:p>
    <w:p w14:paraId="0BD1F1B6">
      <w:pPr>
        <w:pStyle w:val="18"/>
        <w:snapToGrid w:val="0"/>
        <w:spacing w:line="360" w:lineRule="auto"/>
        <w:rPr>
          <w:rFonts w:hint="eastAsia" w:hAnsi="宋体"/>
          <w:b/>
          <w:color w:val="auto"/>
          <w:sz w:val="24"/>
          <w:szCs w:val="24"/>
          <w:highlight w:val="none"/>
        </w:rPr>
      </w:pPr>
      <w:r>
        <w:rPr>
          <w:rFonts w:hint="eastAsia" w:hAnsi="宋体"/>
          <w:b/>
          <w:color w:val="auto"/>
          <w:sz w:val="24"/>
          <w:szCs w:val="24"/>
          <w:highlight w:val="none"/>
        </w:rPr>
        <w:t>说明：</w:t>
      </w:r>
    </w:p>
    <w:p w14:paraId="58AA3553">
      <w:pPr>
        <w:pStyle w:val="18"/>
        <w:spacing w:line="360" w:lineRule="auto"/>
        <w:ind w:left="25" w:leftChars="12" w:firstLine="354" w:firstLineChars="147"/>
        <w:rPr>
          <w:rFonts w:hint="eastAsia" w:hAnsi="宋体"/>
          <w:b/>
          <w:bCs/>
          <w:color w:val="auto"/>
          <w:sz w:val="24"/>
          <w:szCs w:val="24"/>
          <w:highlight w:val="none"/>
        </w:rPr>
      </w:pPr>
      <w:r>
        <w:rPr>
          <w:rFonts w:hint="eastAsia" w:hAnsi="宋体"/>
          <w:b/>
          <w:color w:val="auto"/>
          <w:sz w:val="24"/>
          <w:szCs w:val="24"/>
          <w:highlight w:val="none"/>
        </w:rPr>
        <w:t>1.投诉人提起投诉时，应当提交投诉书和必要的证明材料，并按照被投诉人和与投诉事项有关的供应商数量提供投诉书副本</w:t>
      </w:r>
      <w:r>
        <w:rPr>
          <w:rFonts w:hint="eastAsia" w:hAnsi="宋体"/>
          <w:b/>
          <w:bCs/>
          <w:color w:val="auto"/>
          <w:sz w:val="24"/>
          <w:szCs w:val="24"/>
          <w:highlight w:val="none"/>
        </w:rPr>
        <w:t>。</w:t>
      </w:r>
    </w:p>
    <w:p w14:paraId="15694705">
      <w:pPr>
        <w:pStyle w:val="18"/>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7A6238B3">
      <w:pPr>
        <w:pStyle w:val="18"/>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3.投诉书应简要列明质疑事项，质疑函、质疑答复等作为附件材料提供。</w:t>
      </w:r>
    </w:p>
    <w:p w14:paraId="2886371D">
      <w:pPr>
        <w:pStyle w:val="18"/>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4.投诉书的投诉事项应具体、明确，并有必要的事实依据和法律依据。</w:t>
      </w:r>
    </w:p>
    <w:p w14:paraId="32BADA99">
      <w:pPr>
        <w:pStyle w:val="18"/>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5.投诉书的投诉请求应与投诉事项相关。</w:t>
      </w:r>
    </w:p>
    <w:p w14:paraId="06C25F68">
      <w:pPr>
        <w:pStyle w:val="18"/>
        <w:spacing w:line="360" w:lineRule="auto"/>
        <w:ind w:left="25" w:leftChars="12" w:firstLine="354" w:firstLineChars="147"/>
        <w:rPr>
          <w:rFonts w:hint="eastAsia" w:hAnsi="宋体"/>
          <w:b/>
          <w:color w:val="auto"/>
          <w:highlight w:val="none"/>
        </w:rPr>
      </w:pPr>
      <w:r>
        <w:rPr>
          <w:rFonts w:hint="eastAsia" w:hAnsi="宋体"/>
          <w:b/>
          <w:color w:val="auto"/>
          <w:sz w:val="24"/>
          <w:szCs w:val="24"/>
          <w:highlight w:val="none"/>
        </w:rPr>
        <w:t>6.投诉人为法人或者其他组织的，投诉书应由法定代表人、主要负责人，或者其授权代表签字或者盖章，并加盖公章。</w:t>
      </w:r>
    </w:p>
    <w:p w14:paraId="101F4FA6">
      <w:pPr>
        <w:spacing w:line="360" w:lineRule="auto"/>
        <w:jc w:val="center"/>
        <w:rPr>
          <w:rFonts w:hint="eastAsia" w:hAnsi="宋体"/>
          <w:b/>
          <w:color w:val="auto"/>
          <w:highlight w:val="none"/>
        </w:rPr>
      </w:pPr>
    </w:p>
    <w:p w14:paraId="7D61F465">
      <w:pPr>
        <w:rPr>
          <w:color w:val="auto"/>
          <w:highlight w:val="none"/>
        </w:rPr>
      </w:pPr>
    </w:p>
    <w:p w14:paraId="55703627">
      <w:pPr>
        <w:rPr>
          <w:rFonts w:hint="eastAsia"/>
          <w:color w:val="auto"/>
          <w:highlight w:val="none"/>
        </w:rPr>
      </w:pPr>
    </w:p>
    <w:p w14:paraId="0430BDA5">
      <w:pPr>
        <w:rPr>
          <w:rFonts w:hint="eastAsia"/>
          <w:color w:val="auto"/>
          <w:highlight w:val="none"/>
        </w:rPr>
      </w:pPr>
    </w:p>
    <w:sectPr>
      <w:footerReference r:id="rId14" w:type="first"/>
      <w:footerReference r:id="rId13" w:type="default"/>
      <w:pgSz w:w="11910" w:h="16840"/>
      <w:pgMar w:top="1340" w:right="1500" w:bottom="280" w:left="1680" w:header="720" w:footer="720" w:gutter="0"/>
      <w:pgBorders>
        <w:top w:val="none" w:sz="0" w:space="0"/>
        <w:left w:val="none" w:sz="0" w:space="0"/>
        <w:bottom w:val="none" w:sz="0" w:space="0"/>
        <w:right w:val="none" w:sz="0" w:space="0"/>
      </w:pgBorders>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8313D7BD-FD46-4825-8DF4-CF6AFBDB310D}"/>
  </w:font>
  <w:font w:name="黑体">
    <w:panose1 w:val="02010609060101010101"/>
    <w:charset w:val="86"/>
    <w:family w:val="auto"/>
    <w:pitch w:val="default"/>
    <w:sig w:usb0="800002BF" w:usb1="38CF7CFA" w:usb2="00000016" w:usb3="00000000" w:csb0="00040001" w:csb1="00000000"/>
    <w:embedRegular r:id="rId2" w:fontKey="{BE1E44A3-C3EF-46BB-A32A-5935074C414D}"/>
  </w:font>
  <w:font w:name="Courier New">
    <w:panose1 w:val="02070309020205020404"/>
    <w:charset w:val="01"/>
    <w:family w:val="modern"/>
    <w:pitch w:val="default"/>
    <w:sig w:usb0="E0002EFF" w:usb1="C0007843" w:usb2="00000009" w:usb3="00000000" w:csb0="400001FF" w:csb1="FFFF0000"/>
    <w:embedRegular r:id="rId3" w:fontKey="{78A83297-5F1C-4446-A59D-637E07BA9363}"/>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044D9D2C-AF00-4865-8CB0-A870BBB92CD2}"/>
  </w:font>
  <w:font w:name="Cambria">
    <w:panose1 w:val="02040503050406030204"/>
    <w:charset w:val="00"/>
    <w:family w:val="roman"/>
    <w:pitch w:val="default"/>
    <w:sig w:usb0="E00006FF" w:usb1="420024FF" w:usb2="02000000" w:usb3="00000000" w:csb0="2000019F" w:csb1="00000000"/>
    <w:embedRegular r:id="rId5" w:fontKey="{C1D40AF2-57B3-450F-B3FD-E9B75035288A}"/>
  </w:font>
  <w:font w:name="仿宋_GB2312">
    <w:panose1 w:val="02010609030101010101"/>
    <w:charset w:val="86"/>
    <w:family w:val="modern"/>
    <w:pitch w:val="default"/>
    <w:sig w:usb0="00000001" w:usb1="080E0000" w:usb2="00000000" w:usb3="00000000" w:csb0="00040000" w:csb1="00000000"/>
    <w:embedRegular r:id="rId6" w:fontKey="{62F8E73C-4B50-475E-8432-C86D22ABAAEF}"/>
  </w:font>
  <w:font w:name="等线 Light">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京东朗正体 玲珑">
    <w:altName w:val="Microsoft YaHei UI Light"/>
    <w:panose1 w:val="02000400000000000000"/>
    <w:charset w:val="00"/>
    <w:family w:val="auto"/>
    <w:pitch w:val="default"/>
    <w:sig w:usb0="00000000" w:usb1="00000000" w:usb2="00000016" w:usb3="00000000" w:csb0="00040001" w:csb1="00000000"/>
  </w:font>
  <w:font w:name="仿宋">
    <w:panose1 w:val="02010609060101010101"/>
    <w:charset w:val="86"/>
    <w:family w:val="auto"/>
    <w:pitch w:val="default"/>
    <w:sig w:usb0="800002BF" w:usb1="38CF7CFA" w:usb2="00000016" w:usb3="00000000" w:csb0="00040001" w:csb1="00000000"/>
    <w:embedRegular r:id="rId7" w:fontKey="{04DF598D-8CC1-42D1-B88E-DB3C8402C1C3}"/>
  </w:font>
  <w:font w:name="方正小标宋简体">
    <w:panose1 w:val="03000509000000000000"/>
    <w:charset w:val="86"/>
    <w:family w:val="script"/>
    <w:pitch w:val="default"/>
    <w:sig w:usb0="00000001" w:usb1="080E0000" w:usb2="00000000" w:usb3="00000000" w:csb0="00040000" w:csb1="00000000"/>
    <w:embedRegular r:id="rId8" w:fontKey="{213010C6-8545-48D5-AF63-BF3097737967}"/>
  </w:font>
  <w:font w:name="华文新魏">
    <w:panose1 w:val="02010800040101010101"/>
    <w:charset w:val="86"/>
    <w:family w:val="auto"/>
    <w:pitch w:val="default"/>
    <w:sig w:usb0="00000001" w:usb1="080F0000" w:usb2="00000000" w:usb3="00000000" w:csb0="00040000" w:csb1="00000000"/>
    <w:embedRegular r:id="rId9" w:fontKey="{FCD3DE1A-6DAE-468E-AD13-726A414B945D}"/>
  </w:font>
  <w:font w:name="楷体">
    <w:panose1 w:val="02010609060101010101"/>
    <w:charset w:val="86"/>
    <w:family w:val="modern"/>
    <w:pitch w:val="default"/>
    <w:sig w:usb0="800002BF" w:usb1="38CF7CFA" w:usb2="00000016" w:usb3="00000000" w:csb0="00040001" w:csb1="00000000"/>
    <w:embedRegular r:id="rId10" w:fontKey="{0B9E2016-31B8-4BF7-B971-1FF596414051}"/>
  </w:font>
  <w:font w:name="MS Mincho">
    <w:altName w:val="Yu Gothic UI"/>
    <w:panose1 w:val="02020609040205080304"/>
    <w:charset w:val="80"/>
    <w:family w:val="modern"/>
    <w:pitch w:val="default"/>
    <w:sig w:usb0="00000000" w:usb1="00000000" w:usb2="00000012" w:usb3="00000000" w:csb0="4002009F" w:csb1="DFD70000"/>
    <w:embedRegular r:id="rId11" w:fontKey="{C78E8374-9C6A-458F-98B4-BABC3D2D7182}"/>
  </w:font>
  <w:font w:name="Arial Unicode MS">
    <w:altName w:val="Times New Roman"/>
    <w:panose1 w:val="020B0604020202020204"/>
    <w:charset w:val="00"/>
    <w:family w:val="swiss"/>
    <w:pitch w:val="default"/>
    <w:sig w:usb0="00000000" w:usb1="00000000" w:usb2="0000003F" w:usb3="00000000" w:csb0="603F01FF" w:csb1="FFFF0000"/>
    <w:embedRegular r:id="rId12" w:fontKey="{1DDFCF1E-A218-4191-A587-C835128F317A}"/>
  </w:font>
  <w:font w:name="Helvetica">
    <w:altName w:val="Arial"/>
    <w:panose1 w:val="020B0504020202030204"/>
    <w:charset w:val="00"/>
    <w:family w:val="swiss"/>
    <w:pitch w:val="default"/>
    <w:sig w:usb0="00000000" w:usb1="00000000" w:usb2="00000000" w:usb3="00000000" w:csb0="00000093" w:csb1="00000000"/>
    <w:embedRegular r:id="rId13" w:fontKey="{D028BA58-96D4-4BFA-93E0-B3E70AD73D86}"/>
  </w:font>
  <w:font w:name="Wingdings 2">
    <w:panose1 w:val="05020102010507070707"/>
    <w:charset w:val="00"/>
    <w:family w:val="auto"/>
    <w:pitch w:val="default"/>
    <w:sig w:usb0="00000000" w:usb1="00000000" w:usb2="00000000" w:usb3="00000000" w:csb0="80000000" w:csb1="00000000"/>
    <w:embedRegular r:id="rId14" w:fontKey="{C595FF3F-5C8C-4859-90FA-1F71D3A69FD2}"/>
  </w:font>
  <w:font w:name="WenQuanYi Micro Hei">
    <w:altName w:val="宋体"/>
    <w:panose1 w:val="020B0606030804020204"/>
    <w:charset w:val="86"/>
    <w:family w:val="auto"/>
    <w:pitch w:val="default"/>
    <w:sig w:usb0="00000000" w:usb1="00000000" w:usb2="00800036" w:usb3="00000000" w:csb0="603E019F" w:csb1="DFD70000"/>
    <w:embedRegular r:id="rId15" w:fontKey="{B457A971-DF43-4C07-AC5F-B73EAACBD14D}"/>
  </w:font>
  <w:font w:name="TimesNewRomanPSMT">
    <w:altName w:val="Times New Roman"/>
    <w:panose1 w:val="00000000000000000000"/>
    <w:charset w:val="00"/>
    <w:family w:val="roman"/>
    <w:pitch w:val="default"/>
    <w:sig w:usb0="00000000" w:usb1="00000000" w:usb2="00000010" w:usb3="00000000" w:csb0="00040001" w:csb1="00000000"/>
    <w:embedRegular r:id="rId16" w:fontKey="{E07200F5-9AA7-4800-A6D0-6DB76364E023}"/>
  </w:font>
  <w:font w:name="隶书">
    <w:panose1 w:val="02010509060101010101"/>
    <w:charset w:val="86"/>
    <w:family w:val="modern"/>
    <w:pitch w:val="default"/>
    <w:sig w:usb0="00000001" w:usb1="080E0000" w:usb2="00000000" w:usb3="00000000" w:csb0="00040000" w:csb1="00000000"/>
    <w:embedRegular r:id="rId17" w:fontKey="{E2DDD3AE-A950-4D2A-9DF4-41555DEFAF8E}"/>
  </w:font>
  <w:font w:name="Yu Gothic UI">
    <w:panose1 w:val="020B0500000000000000"/>
    <w:charset w:val="80"/>
    <w:family w:val="auto"/>
    <w:pitch w:val="default"/>
    <w:sig w:usb0="E00002FF" w:usb1="2AC7FDFF" w:usb2="00000016" w:usb3="00000000" w:csb0="2002009F" w:csb1="00000000"/>
  </w:font>
  <w:font w:name="Microsoft YaHei UI Light">
    <w:panose1 w:val="020B0502040204020203"/>
    <w:charset w:val="86"/>
    <w:family w:val="auto"/>
    <w:pitch w:val="default"/>
    <w:sig w:usb0="80000287" w:usb1="2ACF001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AA022D">
    <w:pPr>
      <w:pStyle w:val="21"/>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E2DAD0">
    <w:pPr>
      <w:pStyle w:val="21"/>
      <w:framePr w:wrap="around" w:vAnchor="text" w:hAnchor="margin" w:xAlign="center" w:y="1"/>
      <w:rPr>
        <w:rStyle w:val="34"/>
      </w:rPr>
    </w:pPr>
    <w:r>
      <w:rPr>
        <w:sz w:val="21"/>
      </w:rPr>
      <w:fldChar w:fldCharType="begin"/>
    </w:r>
    <w:r>
      <w:rPr>
        <w:rStyle w:val="34"/>
      </w:rPr>
      <w:instrText xml:space="preserve">PAGE  </w:instrText>
    </w:r>
    <w:r>
      <w:rPr>
        <w:sz w:val="21"/>
      </w:rPr>
      <w:fldChar w:fldCharType="separate"/>
    </w:r>
    <w:r>
      <w:rPr>
        <w:rStyle w:val="34"/>
      </w:rPr>
      <w:t>0</w:t>
    </w:r>
    <w:r>
      <w:rPr>
        <w:sz w:val="21"/>
      </w:rPr>
      <w:fldChar w:fldCharType="end"/>
    </w:r>
  </w:p>
  <w:p w14:paraId="7AF25C4C">
    <w:pPr>
      <w:pStyle w:val="21"/>
      <w:rPr>
        <w:sz w:val="21"/>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517EF6">
    <w:pPr>
      <w:pStyle w:val="21"/>
      <w:tabs>
        <w:tab w:val="center" w:pos="4439"/>
        <w:tab w:val="clear" w:pos="4153"/>
      </w:tabs>
      <w:jc w:val="both"/>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D49497">
    <w:pPr>
      <w:pStyle w:val="21"/>
      <w:tabs>
        <w:tab w:val="center" w:pos="4439"/>
        <w:tab w:val="clear" w:pos="4153"/>
      </w:tabs>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51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195C14FB"/>
                      </w:txbxContent>
                    </wps:txbx>
                    <wps:bodyPr wrap="none" lIns="0" tIns="0" rIns="0" bIns="0" upright="1">
                      <a:spAutoFit/>
                    </wps:bodyPr>
                  </wps:wsp>
                </a:graphicData>
              </a:graphic>
            </wp:anchor>
          </w:drawing>
        </mc:Choice>
        <mc:Fallback>
          <w:pict>
            <v:shape id="文本框 5124"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zql5uc8AAAAFAQAADwAAAAAAAAABACAAAAAi&#10;AAAAZHJzL2Rvd25yZXYueG1sUEsBAhQAFAAAAAgAh07iQJMl3praAQAAswMAAA4AAAAAAAAAAQAg&#10;AAAAHgEAAGRycy9lMm9Eb2MueG1sUEsFBgAAAAAGAAYAWQEAAGoFAAAAAA==&#10;">
              <v:fill on="f" focussize="0,0"/>
              <v:stroke on="f"/>
              <v:imagedata o:title=""/>
              <o:lock v:ext="edit" aspectratio="f"/>
              <v:textbox inset="0mm,0mm,0mm,0mm" style="mso-fit-shape-to-text:t;">
                <w:txbxContent>
                  <w:p w14:paraId="195C14FB"/>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300064">
    <w:pPr>
      <w:pStyle w:val="21"/>
      <w:tabs>
        <w:tab w:val="center" w:pos="4439"/>
        <w:tab w:val="clear" w:pos="4153"/>
      </w:tabs>
      <w:jc w:val="both"/>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9D17852">
                          <w:pPr>
                            <w:pStyle w:val="21"/>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7"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Mhc+VPdAQAAvgMAAA4AAAAAAAAA&#10;AQAgAAAAHgEAAGRycy9lMm9Eb2MueG1sUEsFBgAAAAAGAAYAWQEAAG0FAAAAAA==&#10;">
              <v:fill on="f" focussize="0,0"/>
              <v:stroke on="f"/>
              <v:imagedata o:title=""/>
              <o:lock v:ext="edit" aspectratio="f"/>
              <v:textbox inset="0mm,0mm,0mm,0mm" style="mso-fit-shape-to-text:t;">
                <w:txbxContent>
                  <w:p w14:paraId="69D17852">
                    <w:pPr>
                      <w:pStyle w:val="2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F596AC">
    <w:pPr>
      <w:pStyle w:val="21"/>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424B9DF">
                          <w:pPr>
                            <w:pStyle w:val="21"/>
                          </w:pPr>
                          <w:r>
                            <w:fldChar w:fldCharType="begin"/>
                          </w:r>
                          <w:r>
                            <w:instrText xml:space="preserve"> PAGE  \* MERGEFORMAT </w:instrText>
                          </w:r>
                          <w:r>
                            <w:fldChar w:fldCharType="separate"/>
                          </w:r>
                          <w:r>
                            <w:t>13</w:t>
                          </w:r>
                          <w:r>
                            <w:fldChar w:fldCharType="end"/>
                          </w:r>
                        </w:p>
                      </w:txbxContent>
                    </wps:txbx>
                    <wps:bodyPr vert="horz" wrap="none" lIns="0" tIns="0" rIns="0" bIns="0" anchor="t" anchorCtr="0" upright="0">
                      <a:spAutoFit/>
                    </wps:bodyPr>
                  </wps:wsp>
                </a:graphicData>
              </a:graphic>
            </wp:anchor>
          </w:drawing>
        </mc:Choice>
        <mc:Fallback>
          <w:pict>
            <v:shape id="文本框 8"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CpWSil3gEAAL4DAAAOAAAAAAAA&#10;AAEAIAAAAB4BAABkcnMvZTJvRG9jLnhtbFBLBQYAAAAABgAGAFkBAABuBQAAAAA=&#10;">
              <v:fill on="f" focussize="0,0"/>
              <v:stroke on="f"/>
              <v:imagedata o:title=""/>
              <o:lock v:ext="edit" aspectratio="f"/>
              <v:textbox inset="0mm,0mm,0mm,0mm" style="mso-fit-shape-to-text:t;">
                <w:txbxContent>
                  <w:p w14:paraId="5424B9DF">
                    <w:pPr>
                      <w:pStyle w:val="21"/>
                    </w:pPr>
                    <w:r>
                      <w:fldChar w:fldCharType="begin"/>
                    </w:r>
                    <w:r>
                      <w:instrText xml:space="preserve"> PAGE  \* MERGEFORMAT </w:instrText>
                    </w:r>
                    <w:r>
                      <w:fldChar w:fldCharType="separate"/>
                    </w:r>
                    <w:r>
                      <w:t>13</w:t>
                    </w:r>
                    <w:r>
                      <w:fldChar w:fldCharType="end"/>
                    </w:r>
                  </w:p>
                </w:txbxContent>
              </v:textbox>
            </v:shape>
          </w:pict>
        </mc:Fallback>
      </mc:AlternateContent>
    </w:r>
    <w:r>
      <w:rPr>
        <w:rFonts w:hint="eastAsia"/>
      </w:rPr>
      <w:t xml:space="preserve">  </w:t>
    </w:r>
  </w:p>
  <w:p w14:paraId="05088E5F">
    <w:pPr>
      <w:pStyle w:val="21"/>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E26A33">
    <w:pPr>
      <w:pStyle w:val="2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51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48967787">
                          <w:pPr>
                            <w:pStyle w:val="21"/>
                          </w:pPr>
                          <w:r>
                            <w:fldChar w:fldCharType="begin"/>
                          </w:r>
                          <w:r>
                            <w:instrText xml:space="preserve"> PAGE  \* MERGEFORMAT </w:instrText>
                          </w:r>
                          <w:r>
                            <w:fldChar w:fldCharType="separate"/>
                          </w:r>
                          <w:r>
                            <w:t>63</w:t>
                          </w:r>
                          <w:r>
                            <w:fldChar w:fldCharType="end"/>
                          </w:r>
                        </w:p>
                      </w:txbxContent>
                    </wps:txbx>
                    <wps:bodyPr wrap="none" lIns="0" tIns="0" rIns="0" bIns="0" upright="1">
                      <a:spAutoFit/>
                    </wps:bodyPr>
                  </wps:wsp>
                </a:graphicData>
              </a:graphic>
            </wp:anchor>
          </w:drawing>
        </mc:Choice>
        <mc:Fallback>
          <w:pict>
            <v:shape id="文本框 512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zql5uc8AAAAFAQAADwAAAAAAAAABACAAAAAi&#10;AAAAZHJzL2Rvd25yZXYueG1sUEsBAhQAFAAAAAgAh07iQC5LQvbaAQAAswMAAA4AAAAAAAAAAQAg&#10;AAAAHgEAAGRycy9lMm9Eb2MueG1sUEsFBgAAAAAGAAYAWQEAAGoFAAAAAA==&#10;">
              <v:fill on="f" focussize="0,0"/>
              <v:stroke on="f"/>
              <v:imagedata o:title=""/>
              <o:lock v:ext="edit" aspectratio="f"/>
              <v:textbox inset="0mm,0mm,0mm,0mm" style="mso-fit-shape-to-text:t;">
                <w:txbxContent>
                  <w:p w14:paraId="48967787">
                    <w:pPr>
                      <w:pStyle w:val="21"/>
                    </w:pPr>
                    <w:r>
                      <w:fldChar w:fldCharType="begin"/>
                    </w:r>
                    <w:r>
                      <w:instrText xml:space="preserve"> PAGE  \* MERGEFORMAT </w:instrText>
                    </w:r>
                    <w:r>
                      <w:fldChar w:fldCharType="separate"/>
                    </w:r>
                    <w:r>
                      <w:t>63</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FA3DA2">
    <w:pPr>
      <w:pStyle w:val="21"/>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F3A172D">
                          <w:pPr>
                            <w:pStyle w:val="21"/>
                          </w:pPr>
                          <w:r>
                            <w:fldChar w:fldCharType="begin"/>
                          </w:r>
                          <w:r>
                            <w:instrText xml:space="preserve"> PAGE  \* MERGEFORMAT </w:instrText>
                          </w:r>
                          <w:r>
                            <w:fldChar w:fldCharType="separate"/>
                          </w:r>
                          <w:r>
                            <w:t>86</w:t>
                          </w:r>
                          <w:r>
                            <w:fldChar w:fldCharType="end"/>
                          </w:r>
                        </w:p>
                      </w:txbxContent>
                    </wps:txbx>
                    <wps:bodyPr vert="horz" wrap="none" lIns="0" tIns="0" rIns="0" bIns="0" anchor="t" anchorCtr="0" upright="0">
                      <a:spAutoFit/>
                    </wps:bodyPr>
                  </wps:wsp>
                </a:graphicData>
              </a:graphic>
            </wp:anchor>
          </w:drawing>
        </mc:Choice>
        <mc:Fallback>
          <w:pict>
            <v:shape id="文本框 9"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De9vqE3gEAAL4DAAAOAAAAAAAA&#10;AAEAIAAAAB4BAABkcnMvZTJvRG9jLnhtbFBLBQYAAAAABgAGAFkBAABuBQAAAAA=&#10;">
              <v:fill on="f" focussize="0,0"/>
              <v:stroke on="f"/>
              <v:imagedata o:title=""/>
              <o:lock v:ext="edit" aspectratio="f"/>
              <v:textbox inset="0mm,0mm,0mm,0mm" style="mso-fit-shape-to-text:t;">
                <w:txbxContent>
                  <w:p w14:paraId="3F3A172D">
                    <w:pPr>
                      <w:pStyle w:val="21"/>
                    </w:pPr>
                    <w:r>
                      <w:fldChar w:fldCharType="begin"/>
                    </w:r>
                    <w:r>
                      <w:instrText xml:space="preserve"> PAGE  \* MERGEFORMAT </w:instrText>
                    </w:r>
                    <w:r>
                      <w:fldChar w:fldCharType="separate"/>
                    </w:r>
                    <w:r>
                      <w:t>86</w:t>
                    </w:r>
                    <w:r>
                      <w:fldChar w:fldCharType="end"/>
                    </w:r>
                  </w:p>
                </w:txbxContent>
              </v:textbox>
            </v:shape>
          </w:pict>
        </mc:Fallback>
      </mc:AlternateContent>
    </w:r>
  </w:p>
  <w:p w14:paraId="0EE1B519">
    <w:pPr>
      <w:pStyle w:val="21"/>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B4B157">
    <w:pPr>
      <w:pStyle w:val="21"/>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0E71D66">
                          <w:pPr>
                            <w:pStyle w:val="21"/>
                            <w:rPr>
                              <w:rFonts w:hint="eastAsia"/>
                            </w:rPr>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00E71D66">
                    <w:pPr>
                      <w:pStyle w:val="21"/>
                      <w:rPr>
                        <w:rFonts w:hint="eastAsia"/>
                      </w:rPr>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9264AE">
    <w:pPr>
      <w:pStyle w:val="22"/>
      <w:tabs>
        <w:tab w:val="center" w:pos="0"/>
        <w:tab w:val="clear" w:pos="4153"/>
      </w:tabs>
      <w:rPr>
        <w:color w:val="auto"/>
        <w:highlight w:val="none"/>
      </w:rPr>
    </w:pPr>
    <w:r>
      <w:rPr>
        <w:rFonts w:hint="eastAsia"/>
        <w:color w:val="auto"/>
        <w:highlight w:val="none"/>
      </w:rPr>
      <w:t>南宁市政府采购竞争性磋商采购文件</w:t>
    </w:r>
    <w:r>
      <w:rPr>
        <w:rFonts w:hint="eastAsia"/>
        <w:color w:val="FF0000"/>
        <w:highlight w:val="none"/>
      </w:rPr>
      <w:t>（</w:t>
    </w:r>
    <w:r>
      <w:rPr>
        <w:rFonts w:hint="eastAsia"/>
        <w:color w:val="FF0000"/>
        <w:highlight w:val="none"/>
        <w:lang w:eastAsia="zh-CN"/>
      </w:rPr>
      <w:t>项目编号：NNZC2026-C3-230061-NNSL</w:t>
    </w:r>
    <w:r>
      <w:rPr>
        <w:rFonts w:hint="eastAsia"/>
        <w:color w:val="FF0000"/>
        <w:highlight w:val="none"/>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17B420">
    <w:pPr>
      <w:pStyle w:val="22"/>
      <w:tabs>
        <w:tab w:val="center" w:pos="0"/>
        <w:tab w:val="clear" w:pos="4153"/>
      </w:tabs>
      <w:rPr>
        <w:color w:val="auto"/>
        <w:highlight w:val="none"/>
      </w:rPr>
    </w:pPr>
    <w:r>
      <w:rPr>
        <w:rFonts w:hint="eastAsia"/>
        <w:color w:val="auto"/>
        <w:highlight w:val="none"/>
      </w:rPr>
      <w:t>南宁市政府采购竞争性磋商采购文件（项目编号：</w:t>
    </w:r>
    <w:r>
      <w:rPr>
        <w:rFonts w:hint="eastAsia"/>
        <w:color w:val="auto"/>
        <w:highlight w:val="none"/>
        <w:lang w:val="en-US" w:eastAsia="zh-CN"/>
      </w:rPr>
      <w:t xml:space="preserve">NNZC2026-C3-230061-NNSL </w:t>
    </w:r>
    <w:r>
      <w:rPr>
        <w:rFonts w:hint="eastAsia"/>
        <w:color w:val="auto"/>
        <w:highlight w:val="none"/>
      </w:rPr>
      <w:t>）</w:t>
    </w:r>
  </w:p>
  <w:p w14:paraId="7388E61A">
    <w:pPr>
      <w:pStyle w:val="22"/>
      <w:pBdr>
        <w:bottom w:val="none" w:color="auto" w:sz="0" w:space="0"/>
      </w:pBdr>
      <w:rPr>
        <w:color w:val="auto"/>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75B5CB">
    <w:pPr>
      <w:pStyle w:val="22"/>
      <w:tabs>
        <w:tab w:val="center" w:pos="0"/>
        <w:tab w:val="clear" w:pos="4153"/>
      </w:tabs>
    </w:pPr>
    <w:r>
      <w:rPr>
        <w:rFonts w:hint="eastAsia"/>
      </w:rPr>
      <w:t>南宁市政府采购竞争性磋商采购文件（项目编号：</w:t>
    </w:r>
    <w:r>
      <w:rPr>
        <w:rFonts w:hint="eastAsia"/>
        <w:lang w:eastAsia="zh-CN"/>
      </w:rPr>
      <w:t>NNZC2026-C3-230061-NNSL</w:t>
    </w:r>
    <w:r>
      <w:rPr>
        <w:rFonts w:hint="eastAsia"/>
      </w:rPr>
      <w:t>）</w:t>
    </w:r>
  </w:p>
  <w:p w14:paraId="2D2CA0EB">
    <w:pPr>
      <w:pStyle w:val="2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636864"/>
    <w:multiLevelType w:val="singleLevel"/>
    <w:tmpl w:val="8F636864"/>
    <w:lvl w:ilvl="0" w:tentative="0">
      <w:start w:val="1"/>
      <w:numFmt w:val="decimal"/>
      <w:lvlText w:val="%1."/>
      <w:lvlJc w:val="left"/>
      <w:pPr>
        <w:tabs>
          <w:tab w:val="left" w:pos="312"/>
        </w:tabs>
      </w:pPr>
    </w:lvl>
  </w:abstractNum>
  <w:abstractNum w:abstractNumId="1">
    <w:nsid w:val="C408C05A"/>
    <w:multiLevelType w:val="singleLevel"/>
    <w:tmpl w:val="C408C05A"/>
    <w:lvl w:ilvl="0" w:tentative="0">
      <w:start w:val="1"/>
      <w:numFmt w:val="decimal"/>
      <w:suff w:val="space"/>
      <w:lvlText w:val="%1."/>
      <w:lvlJc w:val="left"/>
    </w:lvl>
  </w:abstractNum>
  <w:abstractNum w:abstractNumId="2">
    <w:nsid w:val="DF117B50"/>
    <w:multiLevelType w:val="singleLevel"/>
    <w:tmpl w:val="DF117B50"/>
    <w:lvl w:ilvl="0" w:tentative="0">
      <w:start w:val="7"/>
      <w:numFmt w:val="chineseCounting"/>
      <w:suff w:val="nothing"/>
      <w:lvlText w:val="%1、"/>
      <w:lvlJc w:val="left"/>
      <w:rPr>
        <w:rFonts w:hint="eastAsia"/>
      </w:rPr>
    </w:lvl>
  </w:abstractNum>
  <w:abstractNum w:abstractNumId="3">
    <w:nsid w:val="0000000A"/>
    <w:multiLevelType w:val="multilevel"/>
    <w:tmpl w:val="0000000A"/>
    <w:lvl w:ilvl="0" w:tentative="0">
      <w:start w:val="1"/>
      <w:numFmt w:val="chineseCountingThousand"/>
      <w:suff w:val="nothing"/>
      <w:lvlText w:val="第%1章"/>
      <w:lvlJc w:val="left"/>
      <w:pPr>
        <w:ind w:left="540" w:firstLine="0"/>
      </w:pPr>
      <w:rPr>
        <w:rFonts w:hint="eastAsia" w:ascii="仿宋_GB2312" w:eastAsia="仿宋_GB2312"/>
        <w:sz w:val="44"/>
      </w:rPr>
    </w:lvl>
    <w:lvl w:ilvl="1" w:tentative="0">
      <w:start w:val="1"/>
      <w:numFmt w:val="none"/>
      <w:suff w:val="nothing"/>
      <w:lvlText w:val=""/>
      <w:lvlJc w:val="left"/>
      <w:pPr>
        <w:ind w:left="540" w:firstLine="0"/>
      </w:pPr>
      <w:rPr>
        <w:rFonts w:hint="eastAsia"/>
      </w:rPr>
    </w:lvl>
    <w:lvl w:ilvl="2" w:tentative="0">
      <w:start w:val="1"/>
      <w:numFmt w:val="none"/>
      <w:suff w:val="nothing"/>
      <w:lvlText w:val=""/>
      <w:lvlJc w:val="left"/>
      <w:pPr>
        <w:ind w:left="540" w:firstLine="0"/>
      </w:pPr>
      <w:rPr>
        <w:rFonts w:hint="eastAsia"/>
      </w:rPr>
    </w:lvl>
    <w:lvl w:ilvl="3" w:tentative="0">
      <w:start w:val="1"/>
      <w:numFmt w:val="none"/>
      <w:suff w:val="nothing"/>
      <w:lvlText w:val=""/>
      <w:lvlJc w:val="left"/>
      <w:pPr>
        <w:ind w:left="540" w:firstLine="0"/>
      </w:pPr>
      <w:rPr>
        <w:rFonts w:hint="eastAsia"/>
      </w:rPr>
    </w:lvl>
    <w:lvl w:ilvl="4" w:tentative="0">
      <w:start w:val="1"/>
      <w:numFmt w:val="none"/>
      <w:suff w:val="nothing"/>
      <w:lvlText w:val=""/>
      <w:lvlJc w:val="left"/>
      <w:pPr>
        <w:ind w:left="540" w:firstLine="0"/>
      </w:pPr>
      <w:rPr>
        <w:rFonts w:hint="eastAsia"/>
      </w:rPr>
    </w:lvl>
    <w:lvl w:ilvl="5" w:tentative="0">
      <w:start w:val="1"/>
      <w:numFmt w:val="none"/>
      <w:pStyle w:val="8"/>
      <w:suff w:val="nothing"/>
      <w:lvlText w:val=""/>
      <w:lvlJc w:val="left"/>
      <w:pPr>
        <w:ind w:left="540" w:firstLine="0"/>
      </w:pPr>
      <w:rPr>
        <w:rFonts w:hint="eastAsia"/>
      </w:rPr>
    </w:lvl>
    <w:lvl w:ilvl="6" w:tentative="0">
      <w:start w:val="1"/>
      <w:numFmt w:val="none"/>
      <w:suff w:val="nothing"/>
      <w:lvlText w:val=""/>
      <w:lvlJc w:val="left"/>
      <w:pPr>
        <w:ind w:left="540" w:firstLine="0"/>
      </w:pPr>
      <w:rPr>
        <w:rFonts w:hint="eastAsia"/>
      </w:rPr>
    </w:lvl>
    <w:lvl w:ilvl="7" w:tentative="0">
      <w:start w:val="1"/>
      <w:numFmt w:val="none"/>
      <w:suff w:val="nothing"/>
      <w:lvlText w:val=""/>
      <w:lvlJc w:val="left"/>
      <w:pPr>
        <w:ind w:left="540" w:firstLine="0"/>
      </w:pPr>
      <w:rPr>
        <w:rFonts w:hint="eastAsia"/>
      </w:rPr>
    </w:lvl>
    <w:lvl w:ilvl="8" w:tentative="0">
      <w:start w:val="1"/>
      <w:numFmt w:val="none"/>
      <w:suff w:val="nothing"/>
      <w:lvlText w:val=""/>
      <w:lvlJc w:val="left"/>
      <w:pPr>
        <w:ind w:left="540" w:firstLine="0"/>
      </w:pPr>
      <w:rPr>
        <w:rFonts w:hint="eastAsia"/>
      </w:rPr>
    </w:lvl>
  </w:abstractNum>
  <w:abstractNum w:abstractNumId="4">
    <w:nsid w:val="0000000B"/>
    <w:multiLevelType w:val="multilevel"/>
    <w:tmpl w:val="0000000B"/>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num w:numId="1">
    <w:abstractNumId w:val="3"/>
  </w:num>
  <w:num w:numId="2">
    <w:abstractNumId w:val="1"/>
  </w:num>
  <w:num w:numId="3">
    <w:abstractNumId w:val="2"/>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M2MGY4YzQ1YWQwNTcwNTQyZGVlNDk4NjE2Mjc0MjgifQ=="/>
  </w:docVars>
  <w:rsids>
    <w:rsidRoot w:val="00F34B14"/>
    <w:rsid w:val="00000672"/>
    <w:rsid w:val="00001013"/>
    <w:rsid w:val="00001799"/>
    <w:rsid w:val="00001AF2"/>
    <w:rsid w:val="00001ECA"/>
    <w:rsid w:val="00002D29"/>
    <w:rsid w:val="00003B93"/>
    <w:rsid w:val="0000474D"/>
    <w:rsid w:val="00005FDF"/>
    <w:rsid w:val="000070B3"/>
    <w:rsid w:val="000076B8"/>
    <w:rsid w:val="0001047A"/>
    <w:rsid w:val="000109DC"/>
    <w:rsid w:val="00010D39"/>
    <w:rsid w:val="0001172C"/>
    <w:rsid w:val="00011A4D"/>
    <w:rsid w:val="00011BC9"/>
    <w:rsid w:val="00012854"/>
    <w:rsid w:val="00012EA6"/>
    <w:rsid w:val="00013359"/>
    <w:rsid w:val="000139CF"/>
    <w:rsid w:val="00013AA4"/>
    <w:rsid w:val="00013DFE"/>
    <w:rsid w:val="000141EA"/>
    <w:rsid w:val="00015094"/>
    <w:rsid w:val="00016ABC"/>
    <w:rsid w:val="000177DB"/>
    <w:rsid w:val="000179C9"/>
    <w:rsid w:val="00017CCC"/>
    <w:rsid w:val="00020227"/>
    <w:rsid w:val="00020263"/>
    <w:rsid w:val="00020455"/>
    <w:rsid w:val="00020527"/>
    <w:rsid w:val="00020813"/>
    <w:rsid w:val="000220B2"/>
    <w:rsid w:val="0002264C"/>
    <w:rsid w:val="00022731"/>
    <w:rsid w:val="00022792"/>
    <w:rsid w:val="00024463"/>
    <w:rsid w:val="00025461"/>
    <w:rsid w:val="00025636"/>
    <w:rsid w:val="00025E36"/>
    <w:rsid w:val="00026855"/>
    <w:rsid w:val="00026886"/>
    <w:rsid w:val="0002785D"/>
    <w:rsid w:val="000329E0"/>
    <w:rsid w:val="000352E9"/>
    <w:rsid w:val="00035494"/>
    <w:rsid w:val="00036125"/>
    <w:rsid w:val="00036A07"/>
    <w:rsid w:val="0003780B"/>
    <w:rsid w:val="00040571"/>
    <w:rsid w:val="00040973"/>
    <w:rsid w:val="0004156E"/>
    <w:rsid w:val="00041713"/>
    <w:rsid w:val="0004440C"/>
    <w:rsid w:val="00046B5E"/>
    <w:rsid w:val="000470CB"/>
    <w:rsid w:val="000509D9"/>
    <w:rsid w:val="00051ACB"/>
    <w:rsid w:val="000533E7"/>
    <w:rsid w:val="00055D41"/>
    <w:rsid w:val="00057CD6"/>
    <w:rsid w:val="00060DCE"/>
    <w:rsid w:val="000610E3"/>
    <w:rsid w:val="000614F3"/>
    <w:rsid w:val="000623B4"/>
    <w:rsid w:val="00062405"/>
    <w:rsid w:val="000634A7"/>
    <w:rsid w:val="00063B0B"/>
    <w:rsid w:val="00063F81"/>
    <w:rsid w:val="00064847"/>
    <w:rsid w:val="00065E08"/>
    <w:rsid w:val="000673E2"/>
    <w:rsid w:val="0007063F"/>
    <w:rsid w:val="000707FD"/>
    <w:rsid w:val="00070949"/>
    <w:rsid w:val="000711E4"/>
    <w:rsid w:val="000724D9"/>
    <w:rsid w:val="00072AED"/>
    <w:rsid w:val="00073F47"/>
    <w:rsid w:val="0007492F"/>
    <w:rsid w:val="00074ED8"/>
    <w:rsid w:val="00075B7E"/>
    <w:rsid w:val="00077ACA"/>
    <w:rsid w:val="00077C70"/>
    <w:rsid w:val="000813B5"/>
    <w:rsid w:val="00081BA3"/>
    <w:rsid w:val="00081D2E"/>
    <w:rsid w:val="00081F89"/>
    <w:rsid w:val="00082619"/>
    <w:rsid w:val="00082D02"/>
    <w:rsid w:val="00083871"/>
    <w:rsid w:val="00083B91"/>
    <w:rsid w:val="0008473C"/>
    <w:rsid w:val="0008520B"/>
    <w:rsid w:val="000860BD"/>
    <w:rsid w:val="000871B8"/>
    <w:rsid w:val="000916DA"/>
    <w:rsid w:val="00092442"/>
    <w:rsid w:val="000929EF"/>
    <w:rsid w:val="000933BE"/>
    <w:rsid w:val="00093CD4"/>
    <w:rsid w:val="0009560F"/>
    <w:rsid w:val="0009588E"/>
    <w:rsid w:val="000959EE"/>
    <w:rsid w:val="00097183"/>
    <w:rsid w:val="000972CB"/>
    <w:rsid w:val="00097608"/>
    <w:rsid w:val="000A13F3"/>
    <w:rsid w:val="000A23B1"/>
    <w:rsid w:val="000A2B0E"/>
    <w:rsid w:val="000A398F"/>
    <w:rsid w:val="000A3BB7"/>
    <w:rsid w:val="000A448C"/>
    <w:rsid w:val="000A509C"/>
    <w:rsid w:val="000A54A7"/>
    <w:rsid w:val="000A6007"/>
    <w:rsid w:val="000A65A6"/>
    <w:rsid w:val="000A70E3"/>
    <w:rsid w:val="000A7275"/>
    <w:rsid w:val="000A7A12"/>
    <w:rsid w:val="000A7A72"/>
    <w:rsid w:val="000B1202"/>
    <w:rsid w:val="000B1801"/>
    <w:rsid w:val="000B1D0C"/>
    <w:rsid w:val="000B2273"/>
    <w:rsid w:val="000B2585"/>
    <w:rsid w:val="000B2BC6"/>
    <w:rsid w:val="000B2D03"/>
    <w:rsid w:val="000B3815"/>
    <w:rsid w:val="000B3C7B"/>
    <w:rsid w:val="000B4321"/>
    <w:rsid w:val="000B6A6B"/>
    <w:rsid w:val="000B6C95"/>
    <w:rsid w:val="000B79FC"/>
    <w:rsid w:val="000B7BD1"/>
    <w:rsid w:val="000C02B1"/>
    <w:rsid w:val="000C1679"/>
    <w:rsid w:val="000C1EE3"/>
    <w:rsid w:val="000C3AE7"/>
    <w:rsid w:val="000C3CC9"/>
    <w:rsid w:val="000C6DE4"/>
    <w:rsid w:val="000C7202"/>
    <w:rsid w:val="000D0A89"/>
    <w:rsid w:val="000D1389"/>
    <w:rsid w:val="000D1798"/>
    <w:rsid w:val="000D2626"/>
    <w:rsid w:val="000D291C"/>
    <w:rsid w:val="000D3FB6"/>
    <w:rsid w:val="000D411D"/>
    <w:rsid w:val="000D4589"/>
    <w:rsid w:val="000D4809"/>
    <w:rsid w:val="000D73DD"/>
    <w:rsid w:val="000E1C51"/>
    <w:rsid w:val="000E28AB"/>
    <w:rsid w:val="000E2E3E"/>
    <w:rsid w:val="000E3583"/>
    <w:rsid w:val="000E3AF0"/>
    <w:rsid w:val="000E4E04"/>
    <w:rsid w:val="000E693B"/>
    <w:rsid w:val="000E6EC9"/>
    <w:rsid w:val="000E70B4"/>
    <w:rsid w:val="000E7B62"/>
    <w:rsid w:val="000F0E1E"/>
    <w:rsid w:val="000F1A1B"/>
    <w:rsid w:val="000F2A95"/>
    <w:rsid w:val="000F3281"/>
    <w:rsid w:val="000F32FD"/>
    <w:rsid w:val="000F3733"/>
    <w:rsid w:val="000F5F8B"/>
    <w:rsid w:val="000F6153"/>
    <w:rsid w:val="000F63C8"/>
    <w:rsid w:val="000F64AA"/>
    <w:rsid w:val="000F7AF4"/>
    <w:rsid w:val="000F7C33"/>
    <w:rsid w:val="000F7F0C"/>
    <w:rsid w:val="001004D6"/>
    <w:rsid w:val="00102676"/>
    <w:rsid w:val="00103646"/>
    <w:rsid w:val="00103918"/>
    <w:rsid w:val="00104897"/>
    <w:rsid w:val="00104EDE"/>
    <w:rsid w:val="00105CDA"/>
    <w:rsid w:val="00106BEE"/>
    <w:rsid w:val="00107C74"/>
    <w:rsid w:val="0011091C"/>
    <w:rsid w:val="00111266"/>
    <w:rsid w:val="001112EB"/>
    <w:rsid w:val="00112768"/>
    <w:rsid w:val="00113678"/>
    <w:rsid w:val="00113C3E"/>
    <w:rsid w:val="00115E11"/>
    <w:rsid w:val="00115EEE"/>
    <w:rsid w:val="00115F56"/>
    <w:rsid w:val="00116CA9"/>
    <w:rsid w:val="00116F38"/>
    <w:rsid w:val="001170A4"/>
    <w:rsid w:val="00117AE7"/>
    <w:rsid w:val="00117CBD"/>
    <w:rsid w:val="0012006A"/>
    <w:rsid w:val="00121979"/>
    <w:rsid w:val="00122064"/>
    <w:rsid w:val="00124341"/>
    <w:rsid w:val="00124492"/>
    <w:rsid w:val="00124B12"/>
    <w:rsid w:val="001250A0"/>
    <w:rsid w:val="001263B8"/>
    <w:rsid w:val="0012763E"/>
    <w:rsid w:val="00130217"/>
    <w:rsid w:val="00130783"/>
    <w:rsid w:val="00130A47"/>
    <w:rsid w:val="00130D7C"/>
    <w:rsid w:val="00132B47"/>
    <w:rsid w:val="001337F8"/>
    <w:rsid w:val="001348B4"/>
    <w:rsid w:val="001351CB"/>
    <w:rsid w:val="00135530"/>
    <w:rsid w:val="00135947"/>
    <w:rsid w:val="001359A2"/>
    <w:rsid w:val="00135F92"/>
    <w:rsid w:val="00136020"/>
    <w:rsid w:val="00136445"/>
    <w:rsid w:val="00140132"/>
    <w:rsid w:val="00141C9C"/>
    <w:rsid w:val="0014277F"/>
    <w:rsid w:val="001434BE"/>
    <w:rsid w:val="00144050"/>
    <w:rsid w:val="0014479F"/>
    <w:rsid w:val="001452B4"/>
    <w:rsid w:val="00145320"/>
    <w:rsid w:val="001476D3"/>
    <w:rsid w:val="001509CF"/>
    <w:rsid w:val="00150D1D"/>
    <w:rsid w:val="001525AA"/>
    <w:rsid w:val="00152A87"/>
    <w:rsid w:val="00153BB5"/>
    <w:rsid w:val="00154518"/>
    <w:rsid w:val="00156359"/>
    <w:rsid w:val="001568F3"/>
    <w:rsid w:val="00156DD6"/>
    <w:rsid w:val="0016086E"/>
    <w:rsid w:val="00160D0C"/>
    <w:rsid w:val="00161172"/>
    <w:rsid w:val="00161998"/>
    <w:rsid w:val="00161E65"/>
    <w:rsid w:val="00162597"/>
    <w:rsid w:val="001629AF"/>
    <w:rsid w:val="001629FD"/>
    <w:rsid w:val="0016428A"/>
    <w:rsid w:val="001647C9"/>
    <w:rsid w:val="00165627"/>
    <w:rsid w:val="00165929"/>
    <w:rsid w:val="001661A3"/>
    <w:rsid w:val="00167226"/>
    <w:rsid w:val="0016782B"/>
    <w:rsid w:val="0016784D"/>
    <w:rsid w:val="00172CA8"/>
    <w:rsid w:val="00173256"/>
    <w:rsid w:val="00173B0E"/>
    <w:rsid w:val="00173E03"/>
    <w:rsid w:val="00174182"/>
    <w:rsid w:val="0017512C"/>
    <w:rsid w:val="0017586A"/>
    <w:rsid w:val="00175BA6"/>
    <w:rsid w:val="00176CA7"/>
    <w:rsid w:val="00176F8E"/>
    <w:rsid w:val="001778C5"/>
    <w:rsid w:val="00177E56"/>
    <w:rsid w:val="00177F0A"/>
    <w:rsid w:val="00180DA0"/>
    <w:rsid w:val="00181EAD"/>
    <w:rsid w:val="00181F43"/>
    <w:rsid w:val="00182862"/>
    <w:rsid w:val="00184F57"/>
    <w:rsid w:val="00185544"/>
    <w:rsid w:val="00185617"/>
    <w:rsid w:val="00186823"/>
    <w:rsid w:val="00186FE1"/>
    <w:rsid w:val="00187A14"/>
    <w:rsid w:val="0019171E"/>
    <w:rsid w:val="00192368"/>
    <w:rsid w:val="001923A0"/>
    <w:rsid w:val="001928B1"/>
    <w:rsid w:val="00193537"/>
    <w:rsid w:val="00193846"/>
    <w:rsid w:val="00195424"/>
    <w:rsid w:val="001955FF"/>
    <w:rsid w:val="00196D6E"/>
    <w:rsid w:val="00197EDD"/>
    <w:rsid w:val="001A02B3"/>
    <w:rsid w:val="001A04BB"/>
    <w:rsid w:val="001A08D0"/>
    <w:rsid w:val="001A1B39"/>
    <w:rsid w:val="001A2120"/>
    <w:rsid w:val="001A28C6"/>
    <w:rsid w:val="001A2E69"/>
    <w:rsid w:val="001A3C34"/>
    <w:rsid w:val="001A3EDE"/>
    <w:rsid w:val="001A4222"/>
    <w:rsid w:val="001A50EA"/>
    <w:rsid w:val="001A5BA2"/>
    <w:rsid w:val="001A5E24"/>
    <w:rsid w:val="001A6B27"/>
    <w:rsid w:val="001A6D8B"/>
    <w:rsid w:val="001A6DAA"/>
    <w:rsid w:val="001A7717"/>
    <w:rsid w:val="001A793A"/>
    <w:rsid w:val="001B125A"/>
    <w:rsid w:val="001B1EBA"/>
    <w:rsid w:val="001B2142"/>
    <w:rsid w:val="001B2F2B"/>
    <w:rsid w:val="001B327A"/>
    <w:rsid w:val="001B35DE"/>
    <w:rsid w:val="001B3A13"/>
    <w:rsid w:val="001B3F5C"/>
    <w:rsid w:val="001B59FF"/>
    <w:rsid w:val="001B6512"/>
    <w:rsid w:val="001B65D7"/>
    <w:rsid w:val="001B6752"/>
    <w:rsid w:val="001B6768"/>
    <w:rsid w:val="001B6F1F"/>
    <w:rsid w:val="001B7CD7"/>
    <w:rsid w:val="001B7ECC"/>
    <w:rsid w:val="001C025B"/>
    <w:rsid w:val="001C115F"/>
    <w:rsid w:val="001C1EAB"/>
    <w:rsid w:val="001C25A7"/>
    <w:rsid w:val="001C318C"/>
    <w:rsid w:val="001C35C4"/>
    <w:rsid w:val="001C4287"/>
    <w:rsid w:val="001C4479"/>
    <w:rsid w:val="001C5190"/>
    <w:rsid w:val="001C6081"/>
    <w:rsid w:val="001C7B48"/>
    <w:rsid w:val="001D0CFB"/>
    <w:rsid w:val="001D1A0D"/>
    <w:rsid w:val="001D343C"/>
    <w:rsid w:val="001D34F5"/>
    <w:rsid w:val="001D56FC"/>
    <w:rsid w:val="001D58A1"/>
    <w:rsid w:val="001D58C2"/>
    <w:rsid w:val="001D5A8A"/>
    <w:rsid w:val="001D61CA"/>
    <w:rsid w:val="001D6E87"/>
    <w:rsid w:val="001D735E"/>
    <w:rsid w:val="001D73C8"/>
    <w:rsid w:val="001D7BC6"/>
    <w:rsid w:val="001E129E"/>
    <w:rsid w:val="001E175C"/>
    <w:rsid w:val="001E1B0E"/>
    <w:rsid w:val="001E3B63"/>
    <w:rsid w:val="001E522E"/>
    <w:rsid w:val="001E5A94"/>
    <w:rsid w:val="001E5F6F"/>
    <w:rsid w:val="001F0373"/>
    <w:rsid w:val="001F2A2E"/>
    <w:rsid w:val="001F3356"/>
    <w:rsid w:val="001F3C63"/>
    <w:rsid w:val="001F4460"/>
    <w:rsid w:val="001F711A"/>
    <w:rsid w:val="001F75B0"/>
    <w:rsid w:val="00200CE5"/>
    <w:rsid w:val="00200F7C"/>
    <w:rsid w:val="002014DB"/>
    <w:rsid w:val="0020150B"/>
    <w:rsid w:val="00201E12"/>
    <w:rsid w:val="002033B5"/>
    <w:rsid w:val="0020382C"/>
    <w:rsid w:val="0020437A"/>
    <w:rsid w:val="0020454C"/>
    <w:rsid w:val="00204740"/>
    <w:rsid w:val="00205129"/>
    <w:rsid w:val="0020521F"/>
    <w:rsid w:val="0020532C"/>
    <w:rsid w:val="002114C7"/>
    <w:rsid w:val="0021302C"/>
    <w:rsid w:val="00213B1C"/>
    <w:rsid w:val="00214202"/>
    <w:rsid w:val="002148E3"/>
    <w:rsid w:val="0021552D"/>
    <w:rsid w:val="002156AE"/>
    <w:rsid w:val="00215E99"/>
    <w:rsid w:val="0022054D"/>
    <w:rsid w:val="00223DDB"/>
    <w:rsid w:val="00223FA4"/>
    <w:rsid w:val="00223FB0"/>
    <w:rsid w:val="00224067"/>
    <w:rsid w:val="0022421C"/>
    <w:rsid w:val="00224E83"/>
    <w:rsid w:val="00225664"/>
    <w:rsid w:val="0022663D"/>
    <w:rsid w:val="00227F2D"/>
    <w:rsid w:val="00230179"/>
    <w:rsid w:val="00231851"/>
    <w:rsid w:val="002319FB"/>
    <w:rsid w:val="00231B89"/>
    <w:rsid w:val="00231F11"/>
    <w:rsid w:val="00231F5E"/>
    <w:rsid w:val="002346B4"/>
    <w:rsid w:val="00234F6E"/>
    <w:rsid w:val="002355BE"/>
    <w:rsid w:val="002358EA"/>
    <w:rsid w:val="00236578"/>
    <w:rsid w:val="00236DE9"/>
    <w:rsid w:val="00237342"/>
    <w:rsid w:val="00237D5A"/>
    <w:rsid w:val="002415AE"/>
    <w:rsid w:val="00241D3C"/>
    <w:rsid w:val="00242109"/>
    <w:rsid w:val="00243189"/>
    <w:rsid w:val="002439AB"/>
    <w:rsid w:val="00243C19"/>
    <w:rsid w:val="00244AE8"/>
    <w:rsid w:val="00244DC9"/>
    <w:rsid w:val="00245587"/>
    <w:rsid w:val="00245F2B"/>
    <w:rsid w:val="00247F3A"/>
    <w:rsid w:val="00250122"/>
    <w:rsid w:val="00250755"/>
    <w:rsid w:val="00251043"/>
    <w:rsid w:val="00251C4A"/>
    <w:rsid w:val="0025271C"/>
    <w:rsid w:val="002529E4"/>
    <w:rsid w:val="002533CD"/>
    <w:rsid w:val="002535EA"/>
    <w:rsid w:val="00254EAB"/>
    <w:rsid w:val="002557AF"/>
    <w:rsid w:val="0025589C"/>
    <w:rsid w:val="00255B62"/>
    <w:rsid w:val="002566B1"/>
    <w:rsid w:val="002575E3"/>
    <w:rsid w:val="00257A74"/>
    <w:rsid w:val="002603C1"/>
    <w:rsid w:val="002609A1"/>
    <w:rsid w:val="002612B1"/>
    <w:rsid w:val="00266165"/>
    <w:rsid w:val="002662FE"/>
    <w:rsid w:val="00266F2C"/>
    <w:rsid w:val="0027125E"/>
    <w:rsid w:val="00271767"/>
    <w:rsid w:val="00272293"/>
    <w:rsid w:val="002723C8"/>
    <w:rsid w:val="00273C2A"/>
    <w:rsid w:val="00273CBE"/>
    <w:rsid w:val="002746B1"/>
    <w:rsid w:val="00274BAD"/>
    <w:rsid w:val="00282D56"/>
    <w:rsid w:val="002835B0"/>
    <w:rsid w:val="00283C74"/>
    <w:rsid w:val="0028407E"/>
    <w:rsid w:val="0028410F"/>
    <w:rsid w:val="00284572"/>
    <w:rsid w:val="00285221"/>
    <w:rsid w:val="00286FB5"/>
    <w:rsid w:val="00287763"/>
    <w:rsid w:val="00287FCB"/>
    <w:rsid w:val="00290606"/>
    <w:rsid w:val="002909B2"/>
    <w:rsid w:val="00291D6D"/>
    <w:rsid w:val="00291FF1"/>
    <w:rsid w:val="00292AA2"/>
    <w:rsid w:val="00293361"/>
    <w:rsid w:val="002952B1"/>
    <w:rsid w:val="00295D11"/>
    <w:rsid w:val="00296FB6"/>
    <w:rsid w:val="002A0001"/>
    <w:rsid w:val="002A0BD9"/>
    <w:rsid w:val="002A0C3A"/>
    <w:rsid w:val="002A1130"/>
    <w:rsid w:val="002A1880"/>
    <w:rsid w:val="002A23B7"/>
    <w:rsid w:val="002A3A57"/>
    <w:rsid w:val="002A4B4F"/>
    <w:rsid w:val="002A57A8"/>
    <w:rsid w:val="002A6DEF"/>
    <w:rsid w:val="002A6E42"/>
    <w:rsid w:val="002A770B"/>
    <w:rsid w:val="002B013E"/>
    <w:rsid w:val="002B058D"/>
    <w:rsid w:val="002B0C16"/>
    <w:rsid w:val="002B2AC5"/>
    <w:rsid w:val="002B3528"/>
    <w:rsid w:val="002B3539"/>
    <w:rsid w:val="002B4532"/>
    <w:rsid w:val="002B5042"/>
    <w:rsid w:val="002B69CC"/>
    <w:rsid w:val="002B6D71"/>
    <w:rsid w:val="002C0C1C"/>
    <w:rsid w:val="002C54C2"/>
    <w:rsid w:val="002C5D34"/>
    <w:rsid w:val="002C5D7F"/>
    <w:rsid w:val="002C60BB"/>
    <w:rsid w:val="002C661A"/>
    <w:rsid w:val="002D0D6F"/>
    <w:rsid w:val="002D25FC"/>
    <w:rsid w:val="002D4AC6"/>
    <w:rsid w:val="002D5BF5"/>
    <w:rsid w:val="002D5E95"/>
    <w:rsid w:val="002D5EE8"/>
    <w:rsid w:val="002D7360"/>
    <w:rsid w:val="002D7648"/>
    <w:rsid w:val="002D780A"/>
    <w:rsid w:val="002E109C"/>
    <w:rsid w:val="002E193E"/>
    <w:rsid w:val="002E1A94"/>
    <w:rsid w:val="002E1D55"/>
    <w:rsid w:val="002E26C4"/>
    <w:rsid w:val="002E30A5"/>
    <w:rsid w:val="002E47E4"/>
    <w:rsid w:val="002E4BF9"/>
    <w:rsid w:val="002E4D61"/>
    <w:rsid w:val="002E5FED"/>
    <w:rsid w:val="002E68A7"/>
    <w:rsid w:val="002E6E6C"/>
    <w:rsid w:val="002F0522"/>
    <w:rsid w:val="002F0B85"/>
    <w:rsid w:val="002F16DD"/>
    <w:rsid w:val="002F199D"/>
    <w:rsid w:val="002F213C"/>
    <w:rsid w:val="002F2453"/>
    <w:rsid w:val="002F352D"/>
    <w:rsid w:val="002F381E"/>
    <w:rsid w:val="002F4084"/>
    <w:rsid w:val="002F4A08"/>
    <w:rsid w:val="002F4ADB"/>
    <w:rsid w:val="002F531E"/>
    <w:rsid w:val="002F548D"/>
    <w:rsid w:val="002F5ACC"/>
    <w:rsid w:val="002F704B"/>
    <w:rsid w:val="002F72C3"/>
    <w:rsid w:val="002F768C"/>
    <w:rsid w:val="002F7D1E"/>
    <w:rsid w:val="00300201"/>
    <w:rsid w:val="0030025A"/>
    <w:rsid w:val="00301ADC"/>
    <w:rsid w:val="00302EFC"/>
    <w:rsid w:val="00303243"/>
    <w:rsid w:val="00303BCC"/>
    <w:rsid w:val="00303F2B"/>
    <w:rsid w:val="00303F8D"/>
    <w:rsid w:val="0030572D"/>
    <w:rsid w:val="0030586A"/>
    <w:rsid w:val="0030622D"/>
    <w:rsid w:val="00306811"/>
    <w:rsid w:val="00306F32"/>
    <w:rsid w:val="003074C5"/>
    <w:rsid w:val="00307A3C"/>
    <w:rsid w:val="00307FA4"/>
    <w:rsid w:val="00310290"/>
    <w:rsid w:val="0031083D"/>
    <w:rsid w:val="00310CC1"/>
    <w:rsid w:val="00311B60"/>
    <w:rsid w:val="00312504"/>
    <w:rsid w:val="00313026"/>
    <w:rsid w:val="00313913"/>
    <w:rsid w:val="0031421F"/>
    <w:rsid w:val="00314B31"/>
    <w:rsid w:val="00315A65"/>
    <w:rsid w:val="003165D7"/>
    <w:rsid w:val="00317BA7"/>
    <w:rsid w:val="00320BE2"/>
    <w:rsid w:val="00321886"/>
    <w:rsid w:val="00323694"/>
    <w:rsid w:val="00323BE7"/>
    <w:rsid w:val="00324C3A"/>
    <w:rsid w:val="00324D63"/>
    <w:rsid w:val="003255AF"/>
    <w:rsid w:val="003256EB"/>
    <w:rsid w:val="003259DB"/>
    <w:rsid w:val="003314D9"/>
    <w:rsid w:val="00331653"/>
    <w:rsid w:val="00331A48"/>
    <w:rsid w:val="00331BCC"/>
    <w:rsid w:val="003330C9"/>
    <w:rsid w:val="0033364C"/>
    <w:rsid w:val="00334415"/>
    <w:rsid w:val="00335EA1"/>
    <w:rsid w:val="0033691E"/>
    <w:rsid w:val="00336A6A"/>
    <w:rsid w:val="00336CCB"/>
    <w:rsid w:val="003411D1"/>
    <w:rsid w:val="003416BA"/>
    <w:rsid w:val="00342148"/>
    <w:rsid w:val="00342F99"/>
    <w:rsid w:val="0034575A"/>
    <w:rsid w:val="00345F57"/>
    <w:rsid w:val="00350458"/>
    <w:rsid w:val="00350E6C"/>
    <w:rsid w:val="003518A6"/>
    <w:rsid w:val="00351E7F"/>
    <w:rsid w:val="00352953"/>
    <w:rsid w:val="00354062"/>
    <w:rsid w:val="0035459E"/>
    <w:rsid w:val="00355C0D"/>
    <w:rsid w:val="003566A9"/>
    <w:rsid w:val="00356988"/>
    <w:rsid w:val="003569D3"/>
    <w:rsid w:val="00356CE9"/>
    <w:rsid w:val="003570BB"/>
    <w:rsid w:val="00357128"/>
    <w:rsid w:val="0035755E"/>
    <w:rsid w:val="00357A80"/>
    <w:rsid w:val="00361441"/>
    <w:rsid w:val="00361B8B"/>
    <w:rsid w:val="00363F39"/>
    <w:rsid w:val="0036445C"/>
    <w:rsid w:val="00364627"/>
    <w:rsid w:val="00364AB0"/>
    <w:rsid w:val="00364D71"/>
    <w:rsid w:val="003667B0"/>
    <w:rsid w:val="003667DD"/>
    <w:rsid w:val="00366B48"/>
    <w:rsid w:val="00367764"/>
    <w:rsid w:val="00370316"/>
    <w:rsid w:val="00370DC7"/>
    <w:rsid w:val="00371CBD"/>
    <w:rsid w:val="00371F20"/>
    <w:rsid w:val="003721E3"/>
    <w:rsid w:val="00372B98"/>
    <w:rsid w:val="003737B7"/>
    <w:rsid w:val="003740CC"/>
    <w:rsid w:val="003745F4"/>
    <w:rsid w:val="00374E79"/>
    <w:rsid w:val="0037529A"/>
    <w:rsid w:val="00375388"/>
    <w:rsid w:val="00375FB9"/>
    <w:rsid w:val="00376170"/>
    <w:rsid w:val="00376851"/>
    <w:rsid w:val="00376FA2"/>
    <w:rsid w:val="00377A3B"/>
    <w:rsid w:val="00377E3C"/>
    <w:rsid w:val="00380BBE"/>
    <w:rsid w:val="00381D70"/>
    <w:rsid w:val="0038235E"/>
    <w:rsid w:val="003829D0"/>
    <w:rsid w:val="0038326A"/>
    <w:rsid w:val="0038444F"/>
    <w:rsid w:val="003861F0"/>
    <w:rsid w:val="00387051"/>
    <w:rsid w:val="00387ECF"/>
    <w:rsid w:val="0039021B"/>
    <w:rsid w:val="00390429"/>
    <w:rsid w:val="003906A0"/>
    <w:rsid w:val="0039366C"/>
    <w:rsid w:val="00393EC8"/>
    <w:rsid w:val="003950F5"/>
    <w:rsid w:val="0039538F"/>
    <w:rsid w:val="00395E42"/>
    <w:rsid w:val="00396409"/>
    <w:rsid w:val="00396A2D"/>
    <w:rsid w:val="00396FC3"/>
    <w:rsid w:val="003A1A94"/>
    <w:rsid w:val="003A204E"/>
    <w:rsid w:val="003A2D25"/>
    <w:rsid w:val="003A5728"/>
    <w:rsid w:val="003A60E7"/>
    <w:rsid w:val="003A7092"/>
    <w:rsid w:val="003A72A1"/>
    <w:rsid w:val="003A7611"/>
    <w:rsid w:val="003A7D1F"/>
    <w:rsid w:val="003B0B6A"/>
    <w:rsid w:val="003B22F7"/>
    <w:rsid w:val="003B29CF"/>
    <w:rsid w:val="003B3A90"/>
    <w:rsid w:val="003B534F"/>
    <w:rsid w:val="003B5E4F"/>
    <w:rsid w:val="003B7A79"/>
    <w:rsid w:val="003C0FE1"/>
    <w:rsid w:val="003C151A"/>
    <w:rsid w:val="003C350C"/>
    <w:rsid w:val="003C3903"/>
    <w:rsid w:val="003C3BA0"/>
    <w:rsid w:val="003C4580"/>
    <w:rsid w:val="003C5C5E"/>
    <w:rsid w:val="003C6746"/>
    <w:rsid w:val="003C7555"/>
    <w:rsid w:val="003C7898"/>
    <w:rsid w:val="003D0FF5"/>
    <w:rsid w:val="003D11A3"/>
    <w:rsid w:val="003D1537"/>
    <w:rsid w:val="003D183C"/>
    <w:rsid w:val="003D2D1B"/>
    <w:rsid w:val="003D48C7"/>
    <w:rsid w:val="003D4C27"/>
    <w:rsid w:val="003D7109"/>
    <w:rsid w:val="003D7CE8"/>
    <w:rsid w:val="003E0514"/>
    <w:rsid w:val="003E1032"/>
    <w:rsid w:val="003E1904"/>
    <w:rsid w:val="003E285E"/>
    <w:rsid w:val="003E3124"/>
    <w:rsid w:val="003E3300"/>
    <w:rsid w:val="003E43D3"/>
    <w:rsid w:val="003E48E1"/>
    <w:rsid w:val="003E59BB"/>
    <w:rsid w:val="003E6225"/>
    <w:rsid w:val="003E65AC"/>
    <w:rsid w:val="003E66AE"/>
    <w:rsid w:val="003E72B9"/>
    <w:rsid w:val="003E7ED4"/>
    <w:rsid w:val="003F0E52"/>
    <w:rsid w:val="003F0F6B"/>
    <w:rsid w:val="003F1FC6"/>
    <w:rsid w:val="003F1FE3"/>
    <w:rsid w:val="003F2359"/>
    <w:rsid w:val="003F3865"/>
    <w:rsid w:val="003F3D55"/>
    <w:rsid w:val="003F44E2"/>
    <w:rsid w:val="003F4632"/>
    <w:rsid w:val="003F47BA"/>
    <w:rsid w:val="003F4A9B"/>
    <w:rsid w:val="003F4FE6"/>
    <w:rsid w:val="003F5638"/>
    <w:rsid w:val="003F6617"/>
    <w:rsid w:val="00402332"/>
    <w:rsid w:val="004025C2"/>
    <w:rsid w:val="00403195"/>
    <w:rsid w:val="004033A9"/>
    <w:rsid w:val="00403E55"/>
    <w:rsid w:val="0040407C"/>
    <w:rsid w:val="0040416C"/>
    <w:rsid w:val="00404681"/>
    <w:rsid w:val="00405AC1"/>
    <w:rsid w:val="00406923"/>
    <w:rsid w:val="0040763D"/>
    <w:rsid w:val="00410D17"/>
    <w:rsid w:val="00413442"/>
    <w:rsid w:val="00413821"/>
    <w:rsid w:val="00413BA5"/>
    <w:rsid w:val="004141A3"/>
    <w:rsid w:val="00414909"/>
    <w:rsid w:val="0041582F"/>
    <w:rsid w:val="00416112"/>
    <w:rsid w:val="00416AC8"/>
    <w:rsid w:val="00417AE0"/>
    <w:rsid w:val="00417BAA"/>
    <w:rsid w:val="0042042B"/>
    <w:rsid w:val="00420B45"/>
    <w:rsid w:val="00420D7A"/>
    <w:rsid w:val="00421257"/>
    <w:rsid w:val="00422193"/>
    <w:rsid w:val="004223DE"/>
    <w:rsid w:val="00422A10"/>
    <w:rsid w:val="00424D17"/>
    <w:rsid w:val="00425DFD"/>
    <w:rsid w:val="004263A3"/>
    <w:rsid w:val="00427713"/>
    <w:rsid w:val="00427CCC"/>
    <w:rsid w:val="0043013A"/>
    <w:rsid w:val="00430421"/>
    <w:rsid w:val="00430A36"/>
    <w:rsid w:val="00430B4F"/>
    <w:rsid w:val="00431084"/>
    <w:rsid w:val="004310D7"/>
    <w:rsid w:val="004322D6"/>
    <w:rsid w:val="00432589"/>
    <w:rsid w:val="00432A94"/>
    <w:rsid w:val="00432C95"/>
    <w:rsid w:val="00433827"/>
    <w:rsid w:val="00433A40"/>
    <w:rsid w:val="00434B70"/>
    <w:rsid w:val="004360C8"/>
    <w:rsid w:val="004371D5"/>
    <w:rsid w:val="0044006B"/>
    <w:rsid w:val="0044033F"/>
    <w:rsid w:val="00440630"/>
    <w:rsid w:val="00441F0F"/>
    <w:rsid w:val="00442965"/>
    <w:rsid w:val="00444157"/>
    <w:rsid w:val="0044417C"/>
    <w:rsid w:val="00444DB3"/>
    <w:rsid w:val="00445617"/>
    <w:rsid w:val="00445A2F"/>
    <w:rsid w:val="0044684E"/>
    <w:rsid w:val="00446F22"/>
    <w:rsid w:val="0045019F"/>
    <w:rsid w:val="004503A4"/>
    <w:rsid w:val="00450555"/>
    <w:rsid w:val="004506FA"/>
    <w:rsid w:val="00450DC6"/>
    <w:rsid w:val="004516A5"/>
    <w:rsid w:val="00451E9C"/>
    <w:rsid w:val="0045280F"/>
    <w:rsid w:val="004535AE"/>
    <w:rsid w:val="0045444D"/>
    <w:rsid w:val="0045463A"/>
    <w:rsid w:val="00454AC9"/>
    <w:rsid w:val="00455050"/>
    <w:rsid w:val="004554A3"/>
    <w:rsid w:val="00455A6E"/>
    <w:rsid w:val="00455EAD"/>
    <w:rsid w:val="004578EB"/>
    <w:rsid w:val="004604D5"/>
    <w:rsid w:val="00460697"/>
    <w:rsid w:val="0046117B"/>
    <w:rsid w:val="00464AB7"/>
    <w:rsid w:val="00465DE5"/>
    <w:rsid w:val="00467EF8"/>
    <w:rsid w:val="00472429"/>
    <w:rsid w:val="004725E5"/>
    <w:rsid w:val="00472751"/>
    <w:rsid w:val="00473128"/>
    <w:rsid w:val="00473263"/>
    <w:rsid w:val="00475078"/>
    <w:rsid w:val="00475767"/>
    <w:rsid w:val="004779A0"/>
    <w:rsid w:val="004808E3"/>
    <w:rsid w:val="00481016"/>
    <w:rsid w:val="0048204C"/>
    <w:rsid w:val="004821BB"/>
    <w:rsid w:val="004826FE"/>
    <w:rsid w:val="004827D5"/>
    <w:rsid w:val="00482AF2"/>
    <w:rsid w:val="004830C9"/>
    <w:rsid w:val="00483347"/>
    <w:rsid w:val="00483E2E"/>
    <w:rsid w:val="00484B69"/>
    <w:rsid w:val="00485406"/>
    <w:rsid w:val="0048590F"/>
    <w:rsid w:val="004865D9"/>
    <w:rsid w:val="00486D60"/>
    <w:rsid w:val="00491FA1"/>
    <w:rsid w:val="00492A25"/>
    <w:rsid w:val="004938A3"/>
    <w:rsid w:val="0049558B"/>
    <w:rsid w:val="00496350"/>
    <w:rsid w:val="0049797C"/>
    <w:rsid w:val="004A00E1"/>
    <w:rsid w:val="004A0943"/>
    <w:rsid w:val="004A1405"/>
    <w:rsid w:val="004A1FC6"/>
    <w:rsid w:val="004A2E5F"/>
    <w:rsid w:val="004A38C2"/>
    <w:rsid w:val="004A3C03"/>
    <w:rsid w:val="004A3DB7"/>
    <w:rsid w:val="004A5088"/>
    <w:rsid w:val="004A5255"/>
    <w:rsid w:val="004A6CB0"/>
    <w:rsid w:val="004A70FF"/>
    <w:rsid w:val="004A7EDE"/>
    <w:rsid w:val="004B0D93"/>
    <w:rsid w:val="004B1FA4"/>
    <w:rsid w:val="004B29AC"/>
    <w:rsid w:val="004B35DF"/>
    <w:rsid w:val="004B3627"/>
    <w:rsid w:val="004B4922"/>
    <w:rsid w:val="004B57DF"/>
    <w:rsid w:val="004B5976"/>
    <w:rsid w:val="004B7137"/>
    <w:rsid w:val="004B722E"/>
    <w:rsid w:val="004B72E8"/>
    <w:rsid w:val="004C01A5"/>
    <w:rsid w:val="004C0412"/>
    <w:rsid w:val="004C0DBA"/>
    <w:rsid w:val="004C1142"/>
    <w:rsid w:val="004C1739"/>
    <w:rsid w:val="004C2138"/>
    <w:rsid w:val="004C3940"/>
    <w:rsid w:val="004C51FD"/>
    <w:rsid w:val="004C65A8"/>
    <w:rsid w:val="004C6689"/>
    <w:rsid w:val="004D139A"/>
    <w:rsid w:val="004D14DC"/>
    <w:rsid w:val="004D17C6"/>
    <w:rsid w:val="004D2858"/>
    <w:rsid w:val="004D2E49"/>
    <w:rsid w:val="004D35BA"/>
    <w:rsid w:val="004D38E5"/>
    <w:rsid w:val="004D3C5A"/>
    <w:rsid w:val="004D449A"/>
    <w:rsid w:val="004D4701"/>
    <w:rsid w:val="004D47C7"/>
    <w:rsid w:val="004D4F35"/>
    <w:rsid w:val="004D5D45"/>
    <w:rsid w:val="004D618D"/>
    <w:rsid w:val="004D62A9"/>
    <w:rsid w:val="004D6FC3"/>
    <w:rsid w:val="004D7476"/>
    <w:rsid w:val="004D7716"/>
    <w:rsid w:val="004E0306"/>
    <w:rsid w:val="004E0572"/>
    <w:rsid w:val="004E06D5"/>
    <w:rsid w:val="004E1641"/>
    <w:rsid w:val="004E1818"/>
    <w:rsid w:val="004E1990"/>
    <w:rsid w:val="004E25A8"/>
    <w:rsid w:val="004E3930"/>
    <w:rsid w:val="004E3ED9"/>
    <w:rsid w:val="004E5866"/>
    <w:rsid w:val="004E6097"/>
    <w:rsid w:val="004E61EF"/>
    <w:rsid w:val="004E63C6"/>
    <w:rsid w:val="004E76A7"/>
    <w:rsid w:val="004E7B03"/>
    <w:rsid w:val="004F0064"/>
    <w:rsid w:val="004F06AC"/>
    <w:rsid w:val="004F1D2A"/>
    <w:rsid w:val="004F243F"/>
    <w:rsid w:val="004F252C"/>
    <w:rsid w:val="004F36A3"/>
    <w:rsid w:val="004F3E0C"/>
    <w:rsid w:val="004F4308"/>
    <w:rsid w:val="004F7160"/>
    <w:rsid w:val="00500258"/>
    <w:rsid w:val="00500B2D"/>
    <w:rsid w:val="00501A99"/>
    <w:rsid w:val="00503180"/>
    <w:rsid w:val="005038A4"/>
    <w:rsid w:val="00505450"/>
    <w:rsid w:val="005100B7"/>
    <w:rsid w:val="005113C9"/>
    <w:rsid w:val="00512050"/>
    <w:rsid w:val="00512055"/>
    <w:rsid w:val="0051280C"/>
    <w:rsid w:val="00512842"/>
    <w:rsid w:val="005128BE"/>
    <w:rsid w:val="0051356F"/>
    <w:rsid w:val="00513E7C"/>
    <w:rsid w:val="005140BB"/>
    <w:rsid w:val="00514FBE"/>
    <w:rsid w:val="00514FD9"/>
    <w:rsid w:val="0051550A"/>
    <w:rsid w:val="0051608F"/>
    <w:rsid w:val="00520EF8"/>
    <w:rsid w:val="005210F7"/>
    <w:rsid w:val="00521753"/>
    <w:rsid w:val="0052239D"/>
    <w:rsid w:val="005224EE"/>
    <w:rsid w:val="00522879"/>
    <w:rsid w:val="00523BB1"/>
    <w:rsid w:val="0052570E"/>
    <w:rsid w:val="005260CD"/>
    <w:rsid w:val="00526265"/>
    <w:rsid w:val="0052655D"/>
    <w:rsid w:val="005265E0"/>
    <w:rsid w:val="00526BC3"/>
    <w:rsid w:val="00531761"/>
    <w:rsid w:val="0053248F"/>
    <w:rsid w:val="0053332A"/>
    <w:rsid w:val="0053358A"/>
    <w:rsid w:val="00534668"/>
    <w:rsid w:val="00534DDD"/>
    <w:rsid w:val="00535291"/>
    <w:rsid w:val="00535A94"/>
    <w:rsid w:val="00537874"/>
    <w:rsid w:val="0053795F"/>
    <w:rsid w:val="00537D3D"/>
    <w:rsid w:val="00540511"/>
    <w:rsid w:val="00540578"/>
    <w:rsid w:val="00540808"/>
    <w:rsid w:val="0054080E"/>
    <w:rsid w:val="00540EA1"/>
    <w:rsid w:val="0054358E"/>
    <w:rsid w:val="00543AF4"/>
    <w:rsid w:val="00544191"/>
    <w:rsid w:val="0054440C"/>
    <w:rsid w:val="005448EC"/>
    <w:rsid w:val="00544C0A"/>
    <w:rsid w:val="00544F39"/>
    <w:rsid w:val="00546F90"/>
    <w:rsid w:val="00547EFB"/>
    <w:rsid w:val="005522F2"/>
    <w:rsid w:val="005531DF"/>
    <w:rsid w:val="00553874"/>
    <w:rsid w:val="00554577"/>
    <w:rsid w:val="00554AD8"/>
    <w:rsid w:val="00554F78"/>
    <w:rsid w:val="00555DA1"/>
    <w:rsid w:val="00556BF7"/>
    <w:rsid w:val="00557F60"/>
    <w:rsid w:val="00561730"/>
    <w:rsid w:val="00561B97"/>
    <w:rsid w:val="00562149"/>
    <w:rsid w:val="00567B5D"/>
    <w:rsid w:val="005706D5"/>
    <w:rsid w:val="00570757"/>
    <w:rsid w:val="00573733"/>
    <w:rsid w:val="00573F8B"/>
    <w:rsid w:val="00574554"/>
    <w:rsid w:val="00574E06"/>
    <w:rsid w:val="005751BB"/>
    <w:rsid w:val="00576089"/>
    <w:rsid w:val="005764B1"/>
    <w:rsid w:val="00576852"/>
    <w:rsid w:val="00576D06"/>
    <w:rsid w:val="00577287"/>
    <w:rsid w:val="005779E4"/>
    <w:rsid w:val="00577F9F"/>
    <w:rsid w:val="00580EC7"/>
    <w:rsid w:val="00581132"/>
    <w:rsid w:val="0058289C"/>
    <w:rsid w:val="005836C7"/>
    <w:rsid w:val="0058408E"/>
    <w:rsid w:val="00585374"/>
    <w:rsid w:val="005854CA"/>
    <w:rsid w:val="00585FAB"/>
    <w:rsid w:val="00590B77"/>
    <w:rsid w:val="00590D9A"/>
    <w:rsid w:val="005913A3"/>
    <w:rsid w:val="005940D4"/>
    <w:rsid w:val="00594A7B"/>
    <w:rsid w:val="0059580E"/>
    <w:rsid w:val="00595D90"/>
    <w:rsid w:val="00596A6F"/>
    <w:rsid w:val="00596FCE"/>
    <w:rsid w:val="005A11BC"/>
    <w:rsid w:val="005A1525"/>
    <w:rsid w:val="005A1E17"/>
    <w:rsid w:val="005A252B"/>
    <w:rsid w:val="005A2A8F"/>
    <w:rsid w:val="005A3204"/>
    <w:rsid w:val="005A3341"/>
    <w:rsid w:val="005A3C3D"/>
    <w:rsid w:val="005A46EC"/>
    <w:rsid w:val="005A5EAE"/>
    <w:rsid w:val="005A6407"/>
    <w:rsid w:val="005A726C"/>
    <w:rsid w:val="005B07EC"/>
    <w:rsid w:val="005B2B11"/>
    <w:rsid w:val="005B32A4"/>
    <w:rsid w:val="005B3371"/>
    <w:rsid w:val="005B338D"/>
    <w:rsid w:val="005B36D7"/>
    <w:rsid w:val="005B3BAF"/>
    <w:rsid w:val="005B4DA3"/>
    <w:rsid w:val="005B5BEE"/>
    <w:rsid w:val="005B77D2"/>
    <w:rsid w:val="005C019B"/>
    <w:rsid w:val="005C08D0"/>
    <w:rsid w:val="005C1AED"/>
    <w:rsid w:val="005C30F5"/>
    <w:rsid w:val="005C51A5"/>
    <w:rsid w:val="005C557A"/>
    <w:rsid w:val="005C566F"/>
    <w:rsid w:val="005C5C47"/>
    <w:rsid w:val="005C61DD"/>
    <w:rsid w:val="005C6438"/>
    <w:rsid w:val="005C6B8B"/>
    <w:rsid w:val="005C727F"/>
    <w:rsid w:val="005D02E3"/>
    <w:rsid w:val="005D1F34"/>
    <w:rsid w:val="005D2C1F"/>
    <w:rsid w:val="005D2DE8"/>
    <w:rsid w:val="005D34B2"/>
    <w:rsid w:val="005D3B54"/>
    <w:rsid w:val="005D40CD"/>
    <w:rsid w:val="005D41B0"/>
    <w:rsid w:val="005D6B59"/>
    <w:rsid w:val="005D784B"/>
    <w:rsid w:val="005E03E4"/>
    <w:rsid w:val="005E0454"/>
    <w:rsid w:val="005E05F6"/>
    <w:rsid w:val="005E2442"/>
    <w:rsid w:val="005E3111"/>
    <w:rsid w:val="005E3F85"/>
    <w:rsid w:val="005E4A5F"/>
    <w:rsid w:val="005E57B0"/>
    <w:rsid w:val="005E5B01"/>
    <w:rsid w:val="005E6D3B"/>
    <w:rsid w:val="005F009E"/>
    <w:rsid w:val="005F0DF1"/>
    <w:rsid w:val="005F1516"/>
    <w:rsid w:val="005F229E"/>
    <w:rsid w:val="005F2564"/>
    <w:rsid w:val="005F3822"/>
    <w:rsid w:val="005F4635"/>
    <w:rsid w:val="005F4900"/>
    <w:rsid w:val="005F4E52"/>
    <w:rsid w:val="005F6D58"/>
    <w:rsid w:val="005F7383"/>
    <w:rsid w:val="0060058E"/>
    <w:rsid w:val="00601F77"/>
    <w:rsid w:val="0060291F"/>
    <w:rsid w:val="00602A3C"/>
    <w:rsid w:val="00603EFD"/>
    <w:rsid w:val="0060475B"/>
    <w:rsid w:val="00604BED"/>
    <w:rsid w:val="00604FB6"/>
    <w:rsid w:val="00605387"/>
    <w:rsid w:val="00606302"/>
    <w:rsid w:val="006076FD"/>
    <w:rsid w:val="0061143F"/>
    <w:rsid w:val="006114D8"/>
    <w:rsid w:val="00613553"/>
    <w:rsid w:val="00613601"/>
    <w:rsid w:val="00613791"/>
    <w:rsid w:val="006150D6"/>
    <w:rsid w:val="00615245"/>
    <w:rsid w:val="0061590D"/>
    <w:rsid w:val="0061641E"/>
    <w:rsid w:val="00617EEE"/>
    <w:rsid w:val="00620A1F"/>
    <w:rsid w:val="006214DE"/>
    <w:rsid w:val="0062169D"/>
    <w:rsid w:val="0062181E"/>
    <w:rsid w:val="0062211B"/>
    <w:rsid w:val="00622BB7"/>
    <w:rsid w:val="00622C1E"/>
    <w:rsid w:val="00623389"/>
    <w:rsid w:val="00623DAA"/>
    <w:rsid w:val="00623FAF"/>
    <w:rsid w:val="006265C4"/>
    <w:rsid w:val="0062678A"/>
    <w:rsid w:val="006270AF"/>
    <w:rsid w:val="00634367"/>
    <w:rsid w:val="00640082"/>
    <w:rsid w:val="00640291"/>
    <w:rsid w:val="00640EFE"/>
    <w:rsid w:val="00641D6D"/>
    <w:rsid w:val="00641FAC"/>
    <w:rsid w:val="00643664"/>
    <w:rsid w:val="00643CAA"/>
    <w:rsid w:val="00644F16"/>
    <w:rsid w:val="006455EB"/>
    <w:rsid w:val="006456C2"/>
    <w:rsid w:val="00645A65"/>
    <w:rsid w:val="006477F0"/>
    <w:rsid w:val="006478E4"/>
    <w:rsid w:val="0065171A"/>
    <w:rsid w:val="00652680"/>
    <w:rsid w:val="00653CDE"/>
    <w:rsid w:val="00654585"/>
    <w:rsid w:val="00655AB6"/>
    <w:rsid w:val="00656281"/>
    <w:rsid w:val="0065636A"/>
    <w:rsid w:val="00657003"/>
    <w:rsid w:val="00660238"/>
    <w:rsid w:val="006602EF"/>
    <w:rsid w:val="00661277"/>
    <w:rsid w:val="006619E0"/>
    <w:rsid w:val="00663FEA"/>
    <w:rsid w:val="00664803"/>
    <w:rsid w:val="006657C5"/>
    <w:rsid w:val="006661A4"/>
    <w:rsid w:val="00666AC0"/>
    <w:rsid w:val="006670E0"/>
    <w:rsid w:val="006671B8"/>
    <w:rsid w:val="00667275"/>
    <w:rsid w:val="00667532"/>
    <w:rsid w:val="0066783E"/>
    <w:rsid w:val="00667E53"/>
    <w:rsid w:val="006711C4"/>
    <w:rsid w:val="006713AB"/>
    <w:rsid w:val="00672CA5"/>
    <w:rsid w:val="00673711"/>
    <w:rsid w:val="00673F82"/>
    <w:rsid w:val="00674F74"/>
    <w:rsid w:val="0067508F"/>
    <w:rsid w:val="00677576"/>
    <w:rsid w:val="0068051E"/>
    <w:rsid w:val="00680B9D"/>
    <w:rsid w:val="00681F13"/>
    <w:rsid w:val="0068231C"/>
    <w:rsid w:val="00682344"/>
    <w:rsid w:val="00682F28"/>
    <w:rsid w:val="00683515"/>
    <w:rsid w:val="00684842"/>
    <w:rsid w:val="006859AA"/>
    <w:rsid w:val="00685BD6"/>
    <w:rsid w:val="00687116"/>
    <w:rsid w:val="006878A6"/>
    <w:rsid w:val="00687D5F"/>
    <w:rsid w:val="00690437"/>
    <w:rsid w:val="00690DC3"/>
    <w:rsid w:val="00690E65"/>
    <w:rsid w:val="006911B7"/>
    <w:rsid w:val="00691387"/>
    <w:rsid w:val="0069188E"/>
    <w:rsid w:val="00691974"/>
    <w:rsid w:val="00692BF6"/>
    <w:rsid w:val="00692CE6"/>
    <w:rsid w:val="00693186"/>
    <w:rsid w:val="00693381"/>
    <w:rsid w:val="00693B6C"/>
    <w:rsid w:val="006942AE"/>
    <w:rsid w:val="00695421"/>
    <w:rsid w:val="00697BD3"/>
    <w:rsid w:val="00697DFA"/>
    <w:rsid w:val="006A16D5"/>
    <w:rsid w:val="006A1772"/>
    <w:rsid w:val="006A1780"/>
    <w:rsid w:val="006A21DD"/>
    <w:rsid w:val="006A26C6"/>
    <w:rsid w:val="006A3302"/>
    <w:rsid w:val="006A3B28"/>
    <w:rsid w:val="006A4FEE"/>
    <w:rsid w:val="006A703E"/>
    <w:rsid w:val="006A7BE3"/>
    <w:rsid w:val="006A7D32"/>
    <w:rsid w:val="006B01D1"/>
    <w:rsid w:val="006B0DF4"/>
    <w:rsid w:val="006B0E2B"/>
    <w:rsid w:val="006B16EA"/>
    <w:rsid w:val="006B1780"/>
    <w:rsid w:val="006B224E"/>
    <w:rsid w:val="006B376E"/>
    <w:rsid w:val="006B4589"/>
    <w:rsid w:val="006B610E"/>
    <w:rsid w:val="006B643B"/>
    <w:rsid w:val="006B6805"/>
    <w:rsid w:val="006B6DE0"/>
    <w:rsid w:val="006C16C3"/>
    <w:rsid w:val="006C2187"/>
    <w:rsid w:val="006C32F4"/>
    <w:rsid w:val="006C3C54"/>
    <w:rsid w:val="006C4B6B"/>
    <w:rsid w:val="006C4F9F"/>
    <w:rsid w:val="006C71A2"/>
    <w:rsid w:val="006C73EC"/>
    <w:rsid w:val="006D0C1D"/>
    <w:rsid w:val="006D2E9D"/>
    <w:rsid w:val="006D4A4E"/>
    <w:rsid w:val="006D4C42"/>
    <w:rsid w:val="006D5389"/>
    <w:rsid w:val="006D5809"/>
    <w:rsid w:val="006D607E"/>
    <w:rsid w:val="006D6781"/>
    <w:rsid w:val="006D6E12"/>
    <w:rsid w:val="006D70CB"/>
    <w:rsid w:val="006D715C"/>
    <w:rsid w:val="006D7363"/>
    <w:rsid w:val="006D774E"/>
    <w:rsid w:val="006D7EA2"/>
    <w:rsid w:val="006E0754"/>
    <w:rsid w:val="006E2668"/>
    <w:rsid w:val="006E2D39"/>
    <w:rsid w:val="006E32B0"/>
    <w:rsid w:val="006E348E"/>
    <w:rsid w:val="006E396A"/>
    <w:rsid w:val="006E3D63"/>
    <w:rsid w:val="006E58BF"/>
    <w:rsid w:val="006E5DD8"/>
    <w:rsid w:val="006E5EA1"/>
    <w:rsid w:val="006E6DEE"/>
    <w:rsid w:val="006E7D4B"/>
    <w:rsid w:val="006F0760"/>
    <w:rsid w:val="006F11E2"/>
    <w:rsid w:val="006F2574"/>
    <w:rsid w:val="006F3221"/>
    <w:rsid w:val="006F3231"/>
    <w:rsid w:val="006F3DE3"/>
    <w:rsid w:val="006F4787"/>
    <w:rsid w:val="006F5C43"/>
    <w:rsid w:val="006F61D8"/>
    <w:rsid w:val="006F62B7"/>
    <w:rsid w:val="006F70BC"/>
    <w:rsid w:val="006F734B"/>
    <w:rsid w:val="006F7E7C"/>
    <w:rsid w:val="0070174E"/>
    <w:rsid w:val="007018DB"/>
    <w:rsid w:val="00701DE6"/>
    <w:rsid w:val="00702740"/>
    <w:rsid w:val="0070381B"/>
    <w:rsid w:val="007076DD"/>
    <w:rsid w:val="0070796C"/>
    <w:rsid w:val="007109BB"/>
    <w:rsid w:val="00710EBF"/>
    <w:rsid w:val="007110B8"/>
    <w:rsid w:val="0071209F"/>
    <w:rsid w:val="007125A2"/>
    <w:rsid w:val="00713DD9"/>
    <w:rsid w:val="00713F79"/>
    <w:rsid w:val="007148A8"/>
    <w:rsid w:val="00716AC8"/>
    <w:rsid w:val="00716E54"/>
    <w:rsid w:val="00717421"/>
    <w:rsid w:val="0072033C"/>
    <w:rsid w:val="00720B1B"/>
    <w:rsid w:val="00721062"/>
    <w:rsid w:val="00721E5D"/>
    <w:rsid w:val="007229D4"/>
    <w:rsid w:val="007230F8"/>
    <w:rsid w:val="007233F4"/>
    <w:rsid w:val="00724044"/>
    <w:rsid w:val="007248D3"/>
    <w:rsid w:val="00724DF8"/>
    <w:rsid w:val="00725137"/>
    <w:rsid w:val="00725378"/>
    <w:rsid w:val="00727A43"/>
    <w:rsid w:val="00727FF2"/>
    <w:rsid w:val="00730550"/>
    <w:rsid w:val="00730C2A"/>
    <w:rsid w:val="00731434"/>
    <w:rsid w:val="00731E59"/>
    <w:rsid w:val="007323E0"/>
    <w:rsid w:val="00732911"/>
    <w:rsid w:val="00733721"/>
    <w:rsid w:val="00733DE2"/>
    <w:rsid w:val="007352EA"/>
    <w:rsid w:val="0073625F"/>
    <w:rsid w:val="0073792F"/>
    <w:rsid w:val="00740C81"/>
    <w:rsid w:val="00740DA6"/>
    <w:rsid w:val="00741B4B"/>
    <w:rsid w:val="00741D1E"/>
    <w:rsid w:val="00741DD6"/>
    <w:rsid w:val="00741EE2"/>
    <w:rsid w:val="0074207F"/>
    <w:rsid w:val="00742367"/>
    <w:rsid w:val="00742EAA"/>
    <w:rsid w:val="00743360"/>
    <w:rsid w:val="00743818"/>
    <w:rsid w:val="00743857"/>
    <w:rsid w:val="007441FB"/>
    <w:rsid w:val="00744517"/>
    <w:rsid w:val="0074522A"/>
    <w:rsid w:val="00747295"/>
    <w:rsid w:val="00747829"/>
    <w:rsid w:val="00747DE2"/>
    <w:rsid w:val="007504BF"/>
    <w:rsid w:val="007506CD"/>
    <w:rsid w:val="0075267F"/>
    <w:rsid w:val="007526EC"/>
    <w:rsid w:val="007527F7"/>
    <w:rsid w:val="00753C48"/>
    <w:rsid w:val="00754250"/>
    <w:rsid w:val="00754FE4"/>
    <w:rsid w:val="00755216"/>
    <w:rsid w:val="00756236"/>
    <w:rsid w:val="00756271"/>
    <w:rsid w:val="00756348"/>
    <w:rsid w:val="00756521"/>
    <w:rsid w:val="00756AB7"/>
    <w:rsid w:val="0076106D"/>
    <w:rsid w:val="007623FB"/>
    <w:rsid w:val="00762517"/>
    <w:rsid w:val="00763240"/>
    <w:rsid w:val="0076376A"/>
    <w:rsid w:val="007648AD"/>
    <w:rsid w:val="0076504E"/>
    <w:rsid w:val="00767BFD"/>
    <w:rsid w:val="00767EA0"/>
    <w:rsid w:val="0077068F"/>
    <w:rsid w:val="00771EDF"/>
    <w:rsid w:val="00772986"/>
    <w:rsid w:val="00772A90"/>
    <w:rsid w:val="00772F8D"/>
    <w:rsid w:val="0077408D"/>
    <w:rsid w:val="00774270"/>
    <w:rsid w:val="007743F6"/>
    <w:rsid w:val="00775679"/>
    <w:rsid w:val="0077574F"/>
    <w:rsid w:val="00775823"/>
    <w:rsid w:val="007777CC"/>
    <w:rsid w:val="00777B32"/>
    <w:rsid w:val="0078051E"/>
    <w:rsid w:val="00781089"/>
    <w:rsid w:val="007838F3"/>
    <w:rsid w:val="007856FE"/>
    <w:rsid w:val="00785F46"/>
    <w:rsid w:val="007865F4"/>
    <w:rsid w:val="00786D5C"/>
    <w:rsid w:val="00786E96"/>
    <w:rsid w:val="00787DFF"/>
    <w:rsid w:val="00787F93"/>
    <w:rsid w:val="00791E6D"/>
    <w:rsid w:val="00791EB5"/>
    <w:rsid w:val="00791FF2"/>
    <w:rsid w:val="00793696"/>
    <w:rsid w:val="007955DA"/>
    <w:rsid w:val="00796F65"/>
    <w:rsid w:val="007A11C2"/>
    <w:rsid w:val="007A18BB"/>
    <w:rsid w:val="007A27DD"/>
    <w:rsid w:val="007A41BF"/>
    <w:rsid w:val="007A490A"/>
    <w:rsid w:val="007A7B95"/>
    <w:rsid w:val="007B0297"/>
    <w:rsid w:val="007B02FA"/>
    <w:rsid w:val="007B0F53"/>
    <w:rsid w:val="007B21AE"/>
    <w:rsid w:val="007B2570"/>
    <w:rsid w:val="007B3113"/>
    <w:rsid w:val="007B3304"/>
    <w:rsid w:val="007B7490"/>
    <w:rsid w:val="007C0525"/>
    <w:rsid w:val="007C13F7"/>
    <w:rsid w:val="007C218D"/>
    <w:rsid w:val="007C2D28"/>
    <w:rsid w:val="007C3E22"/>
    <w:rsid w:val="007C5B90"/>
    <w:rsid w:val="007C6218"/>
    <w:rsid w:val="007C6484"/>
    <w:rsid w:val="007C67C6"/>
    <w:rsid w:val="007C78BE"/>
    <w:rsid w:val="007C7E59"/>
    <w:rsid w:val="007D0476"/>
    <w:rsid w:val="007D0B91"/>
    <w:rsid w:val="007D1386"/>
    <w:rsid w:val="007D1452"/>
    <w:rsid w:val="007D3DCB"/>
    <w:rsid w:val="007D460C"/>
    <w:rsid w:val="007D4996"/>
    <w:rsid w:val="007D4AD3"/>
    <w:rsid w:val="007D5D19"/>
    <w:rsid w:val="007D5FDC"/>
    <w:rsid w:val="007D6176"/>
    <w:rsid w:val="007D6D68"/>
    <w:rsid w:val="007E32DA"/>
    <w:rsid w:val="007E4998"/>
    <w:rsid w:val="007E4A9C"/>
    <w:rsid w:val="007E6914"/>
    <w:rsid w:val="007E7F78"/>
    <w:rsid w:val="007F0179"/>
    <w:rsid w:val="007F2C13"/>
    <w:rsid w:val="007F2CEC"/>
    <w:rsid w:val="007F3435"/>
    <w:rsid w:val="007F55DE"/>
    <w:rsid w:val="007F762D"/>
    <w:rsid w:val="007F78F0"/>
    <w:rsid w:val="007F78FF"/>
    <w:rsid w:val="008001C5"/>
    <w:rsid w:val="00800F6C"/>
    <w:rsid w:val="00801065"/>
    <w:rsid w:val="00802C0B"/>
    <w:rsid w:val="008051FC"/>
    <w:rsid w:val="008055A9"/>
    <w:rsid w:val="008056C4"/>
    <w:rsid w:val="008057FD"/>
    <w:rsid w:val="00805D8B"/>
    <w:rsid w:val="00810BB6"/>
    <w:rsid w:val="00810E8E"/>
    <w:rsid w:val="00812C44"/>
    <w:rsid w:val="008135E1"/>
    <w:rsid w:val="00813779"/>
    <w:rsid w:val="00813E26"/>
    <w:rsid w:val="0081481D"/>
    <w:rsid w:val="00814BE8"/>
    <w:rsid w:val="00814F6E"/>
    <w:rsid w:val="00815363"/>
    <w:rsid w:val="00815B84"/>
    <w:rsid w:val="00816BE9"/>
    <w:rsid w:val="0082027C"/>
    <w:rsid w:val="00822518"/>
    <w:rsid w:val="008226F5"/>
    <w:rsid w:val="00823FC6"/>
    <w:rsid w:val="00824306"/>
    <w:rsid w:val="00825C74"/>
    <w:rsid w:val="00825CFA"/>
    <w:rsid w:val="00826AB9"/>
    <w:rsid w:val="00826E0E"/>
    <w:rsid w:val="00827D11"/>
    <w:rsid w:val="00827E0F"/>
    <w:rsid w:val="00827F6E"/>
    <w:rsid w:val="00831758"/>
    <w:rsid w:val="008317D9"/>
    <w:rsid w:val="0083279F"/>
    <w:rsid w:val="008334DB"/>
    <w:rsid w:val="00833B7F"/>
    <w:rsid w:val="00833E8E"/>
    <w:rsid w:val="00834906"/>
    <w:rsid w:val="00836075"/>
    <w:rsid w:val="00836417"/>
    <w:rsid w:val="00836A3E"/>
    <w:rsid w:val="00837526"/>
    <w:rsid w:val="00837F20"/>
    <w:rsid w:val="008407A7"/>
    <w:rsid w:val="0084322B"/>
    <w:rsid w:val="00843F81"/>
    <w:rsid w:val="00844087"/>
    <w:rsid w:val="00844526"/>
    <w:rsid w:val="008448F1"/>
    <w:rsid w:val="0084519E"/>
    <w:rsid w:val="00845CAE"/>
    <w:rsid w:val="00846370"/>
    <w:rsid w:val="008477E7"/>
    <w:rsid w:val="00847C2B"/>
    <w:rsid w:val="00850272"/>
    <w:rsid w:val="008506B9"/>
    <w:rsid w:val="00851822"/>
    <w:rsid w:val="008532BF"/>
    <w:rsid w:val="008539B2"/>
    <w:rsid w:val="00853BF4"/>
    <w:rsid w:val="00854294"/>
    <w:rsid w:val="0085572E"/>
    <w:rsid w:val="0085788B"/>
    <w:rsid w:val="00857A9E"/>
    <w:rsid w:val="00857DE2"/>
    <w:rsid w:val="00863A8E"/>
    <w:rsid w:val="0086407F"/>
    <w:rsid w:val="008645E3"/>
    <w:rsid w:val="00864E79"/>
    <w:rsid w:val="0086661F"/>
    <w:rsid w:val="00866A0D"/>
    <w:rsid w:val="00866DB5"/>
    <w:rsid w:val="0086701D"/>
    <w:rsid w:val="0086702B"/>
    <w:rsid w:val="008672E2"/>
    <w:rsid w:val="0086784E"/>
    <w:rsid w:val="0087121C"/>
    <w:rsid w:val="00871FD2"/>
    <w:rsid w:val="00872084"/>
    <w:rsid w:val="00872827"/>
    <w:rsid w:val="00872A32"/>
    <w:rsid w:val="00874911"/>
    <w:rsid w:val="008754E4"/>
    <w:rsid w:val="00876EAE"/>
    <w:rsid w:val="00880106"/>
    <w:rsid w:val="00880F95"/>
    <w:rsid w:val="00882B44"/>
    <w:rsid w:val="008838AD"/>
    <w:rsid w:val="00885E49"/>
    <w:rsid w:val="008864B3"/>
    <w:rsid w:val="008865E5"/>
    <w:rsid w:val="008871B0"/>
    <w:rsid w:val="00890B57"/>
    <w:rsid w:val="008916BA"/>
    <w:rsid w:val="0089217C"/>
    <w:rsid w:val="00892790"/>
    <w:rsid w:val="008931DA"/>
    <w:rsid w:val="00893671"/>
    <w:rsid w:val="008946DC"/>
    <w:rsid w:val="00895838"/>
    <w:rsid w:val="00895A1E"/>
    <w:rsid w:val="00895A72"/>
    <w:rsid w:val="00895CDF"/>
    <w:rsid w:val="00896679"/>
    <w:rsid w:val="00896D8C"/>
    <w:rsid w:val="008A0FC9"/>
    <w:rsid w:val="008A1956"/>
    <w:rsid w:val="008A1A7C"/>
    <w:rsid w:val="008A2CE2"/>
    <w:rsid w:val="008A40D3"/>
    <w:rsid w:val="008A469C"/>
    <w:rsid w:val="008A51D1"/>
    <w:rsid w:val="008A5DCE"/>
    <w:rsid w:val="008A75D3"/>
    <w:rsid w:val="008B05DD"/>
    <w:rsid w:val="008B07B8"/>
    <w:rsid w:val="008B17E8"/>
    <w:rsid w:val="008B2E7C"/>
    <w:rsid w:val="008B321A"/>
    <w:rsid w:val="008B399A"/>
    <w:rsid w:val="008B45F0"/>
    <w:rsid w:val="008B4A70"/>
    <w:rsid w:val="008B502F"/>
    <w:rsid w:val="008B6DFC"/>
    <w:rsid w:val="008B7227"/>
    <w:rsid w:val="008C02FB"/>
    <w:rsid w:val="008C04E0"/>
    <w:rsid w:val="008C191C"/>
    <w:rsid w:val="008C1DA4"/>
    <w:rsid w:val="008C29B0"/>
    <w:rsid w:val="008C2CD5"/>
    <w:rsid w:val="008C3618"/>
    <w:rsid w:val="008C39E7"/>
    <w:rsid w:val="008C43AD"/>
    <w:rsid w:val="008C6118"/>
    <w:rsid w:val="008C6341"/>
    <w:rsid w:val="008C731F"/>
    <w:rsid w:val="008C74D9"/>
    <w:rsid w:val="008D03C2"/>
    <w:rsid w:val="008D12FB"/>
    <w:rsid w:val="008D3B2D"/>
    <w:rsid w:val="008D58D9"/>
    <w:rsid w:val="008D5AD4"/>
    <w:rsid w:val="008D695E"/>
    <w:rsid w:val="008D6DD5"/>
    <w:rsid w:val="008D6E59"/>
    <w:rsid w:val="008D7155"/>
    <w:rsid w:val="008D76E0"/>
    <w:rsid w:val="008E0B29"/>
    <w:rsid w:val="008E141A"/>
    <w:rsid w:val="008E1A44"/>
    <w:rsid w:val="008E1E55"/>
    <w:rsid w:val="008E28E6"/>
    <w:rsid w:val="008E3232"/>
    <w:rsid w:val="008E3674"/>
    <w:rsid w:val="008E3B6C"/>
    <w:rsid w:val="008E3DE7"/>
    <w:rsid w:val="008E562C"/>
    <w:rsid w:val="008E6540"/>
    <w:rsid w:val="008E77D4"/>
    <w:rsid w:val="008E7ADD"/>
    <w:rsid w:val="008F091F"/>
    <w:rsid w:val="008F17B2"/>
    <w:rsid w:val="008F22B3"/>
    <w:rsid w:val="008F357B"/>
    <w:rsid w:val="008F44CA"/>
    <w:rsid w:val="008F49D3"/>
    <w:rsid w:val="008F62C1"/>
    <w:rsid w:val="008F6519"/>
    <w:rsid w:val="008F7012"/>
    <w:rsid w:val="008F7ADA"/>
    <w:rsid w:val="008F7B17"/>
    <w:rsid w:val="00900042"/>
    <w:rsid w:val="0090034B"/>
    <w:rsid w:val="00901121"/>
    <w:rsid w:val="00902623"/>
    <w:rsid w:val="00902A67"/>
    <w:rsid w:val="00902C5E"/>
    <w:rsid w:val="00904BE4"/>
    <w:rsid w:val="0090504A"/>
    <w:rsid w:val="009051F5"/>
    <w:rsid w:val="00905221"/>
    <w:rsid w:val="00905A7C"/>
    <w:rsid w:val="00905D7E"/>
    <w:rsid w:val="00907037"/>
    <w:rsid w:val="0091112C"/>
    <w:rsid w:val="0091160A"/>
    <w:rsid w:val="00912E04"/>
    <w:rsid w:val="00913258"/>
    <w:rsid w:val="00913851"/>
    <w:rsid w:val="00913BB0"/>
    <w:rsid w:val="0091456C"/>
    <w:rsid w:val="00914C58"/>
    <w:rsid w:val="0091564D"/>
    <w:rsid w:val="009156DA"/>
    <w:rsid w:val="00915774"/>
    <w:rsid w:val="00916BC5"/>
    <w:rsid w:val="0091726A"/>
    <w:rsid w:val="00917C01"/>
    <w:rsid w:val="00920184"/>
    <w:rsid w:val="00920EA4"/>
    <w:rsid w:val="00921792"/>
    <w:rsid w:val="00921BEA"/>
    <w:rsid w:val="009227BE"/>
    <w:rsid w:val="009238FD"/>
    <w:rsid w:val="00923998"/>
    <w:rsid w:val="00923DB4"/>
    <w:rsid w:val="0092420B"/>
    <w:rsid w:val="0092430E"/>
    <w:rsid w:val="00924570"/>
    <w:rsid w:val="00924A46"/>
    <w:rsid w:val="00926112"/>
    <w:rsid w:val="0092625F"/>
    <w:rsid w:val="00926B28"/>
    <w:rsid w:val="00926D9C"/>
    <w:rsid w:val="00927028"/>
    <w:rsid w:val="00927763"/>
    <w:rsid w:val="00927A2D"/>
    <w:rsid w:val="00927B37"/>
    <w:rsid w:val="00931917"/>
    <w:rsid w:val="009321B1"/>
    <w:rsid w:val="00932ED7"/>
    <w:rsid w:val="009333CF"/>
    <w:rsid w:val="0093422D"/>
    <w:rsid w:val="0093483B"/>
    <w:rsid w:val="00934CF9"/>
    <w:rsid w:val="00934DD7"/>
    <w:rsid w:val="009369A9"/>
    <w:rsid w:val="00936CF7"/>
    <w:rsid w:val="00937783"/>
    <w:rsid w:val="00937EAD"/>
    <w:rsid w:val="00937F28"/>
    <w:rsid w:val="00940FE1"/>
    <w:rsid w:val="00942306"/>
    <w:rsid w:val="00942384"/>
    <w:rsid w:val="009424B8"/>
    <w:rsid w:val="00944668"/>
    <w:rsid w:val="00944DC6"/>
    <w:rsid w:val="009458B0"/>
    <w:rsid w:val="00945B52"/>
    <w:rsid w:val="00945B7A"/>
    <w:rsid w:val="00945F05"/>
    <w:rsid w:val="00946348"/>
    <w:rsid w:val="00947797"/>
    <w:rsid w:val="009478A2"/>
    <w:rsid w:val="00953808"/>
    <w:rsid w:val="009539A6"/>
    <w:rsid w:val="00954032"/>
    <w:rsid w:val="00954537"/>
    <w:rsid w:val="0095472D"/>
    <w:rsid w:val="00955FBB"/>
    <w:rsid w:val="0095694B"/>
    <w:rsid w:val="00956BD5"/>
    <w:rsid w:val="00956D84"/>
    <w:rsid w:val="009577B5"/>
    <w:rsid w:val="009608E6"/>
    <w:rsid w:val="00960F57"/>
    <w:rsid w:val="00961C90"/>
    <w:rsid w:val="00965443"/>
    <w:rsid w:val="00965954"/>
    <w:rsid w:val="00965A21"/>
    <w:rsid w:val="00965E55"/>
    <w:rsid w:val="0096608E"/>
    <w:rsid w:val="00966522"/>
    <w:rsid w:val="00966C33"/>
    <w:rsid w:val="00966FCB"/>
    <w:rsid w:val="00970F18"/>
    <w:rsid w:val="00971CF1"/>
    <w:rsid w:val="00971F5D"/>
    <w:rsid w:val="009721E9"/>
    <w:rsid w:val="00973772"/>
    <w:rsid w:val="0097471B"/>
    <w:rsid w:val="0097560A"/>
    <w:rsid w:val="00975E1E"/>
    <w:rsid w:val="00975E70"/>
    <w:rsid w:val="009761DE"/>
    <w:rsid w:val="009766FA"/>
    <w:rsid w:val="00977CD6"/>
    <w:rsid w:val="0098048B"/>
    <w:rsid w:val="00980DF9"/>
    <w:rsid w:val="00981150"/>
    <w:rsid w:val="0098243D"/>
    <w:rsid w:val="00982D26"/>
    <w:rsid w:val="00983B6E"/>
    <w:rsid w:val="00983FE5"/>
    <w:rsid w:val="009849E9"/>
    <w:rsid w:val="009859E4"/>
    <w:rsid w:val="00987812"/>
    <w:rsid w:val="00990225"/>
    <w:rsid w:val="00992A13"/>
    <w:rsid w:val="00994AAD"/>
    <w:rsid w:val="00994DE1"/>
    <w:rsid w:val="00995150"/>
    <w:rsid w:val="00995D67"/>
    <w:rsid w:val="009A013B"/>
    <w:rsid w:val="009A01A8"/>
    <w:rsid w:val="009A02F4"/>
    <w:rsid w:val="009A06BF"/>
    <w:rsid w:val="009A0D17"/>
    <w:rsid w:val="009A2494"/>
    <w:rsid w:val="009A295D"/>
    <w:rsid w:val="009A32B1"/>
    <w:rsid w:val="009A33A3"/>
    <w:rsid w:val="009A36F2"/>
    <w:rsid w:val="009A40C3"/>
    <w:rsid w:val="009A40D5"/>
    <w:rsid w:val="009A57D0"/>
    <w:rsid w:val="009A6559"/>
    <w:rsid w:val="009A68FC"/>
    <w:rsid w:val="009A6CE4"/>
    <w:rsid w:val="009A7514"/>
    <w:rsid w:val="009A7E7A"/>
    <w:rsid w:val="009B1584"/>
    <w:rsid w:val="009B18F0"/>
    <w:rsid w:val="009B1F4C"/>
    <w:rsid w:val="009B2471"/>
    <w:rsid w:val="009B314F"/>
    <w:rsid w:val="009B439C"/>
    <w:rsid w:val="009B46BC"/>
    <w:rsid w:val="009B49A1"/>
    <w:rsid w:val="009B4A6C"/>
    <w:rsid w:val="009B4DA8"/>
    <w:rsid w:val="009B519A"/>
    <w:rsid w:val="009B620C"/>
    <w:rsid w:val="009B6753"/>
    <w:rsid w:val="009B676C"/>
    <w:rsid w:val="009B6A26"/>
    <w:rsid w:val="009C079D"/>
    <w:rsid w:val="009C0D70"/>
    <w:rsid w:val="009C13D1"/>
    <w:rsid w:val="009C1AF6"/>
    <w:rsid w:val="009C2913"/>
    <w:rsid w:val="009C2BD4"/>
    <w:rsid w:val="009C5AFE"/>
    <w:rsid w:val="009C6606"/>
    <w:rsid w:val="009C6CE5"/>
    <w:rsid w:val="009C6D50"/>
    <w:rsid w:val="009C7547"/>
    <w:rsid w:val="009D05EC"/>
    <w:rsid w:val="009D18D4"/>
    <w:rsid w:val="009D2F60"/>
    <w:rsid w:val="009D3A2E"/>
    <w:rsid w:val="009D5ADE"/>
    <w:rsid w:val="009D5BAC"/>
    <w:rsid w:val="009D5C56"/>
    <w:rsid w:val="009D6265"/>
    <w:rsid w:val="009D64BD"/>
    <w:rsid w:val="009D6CB1"/>
    <w:rsid w:val="009E0286"/>
    <w:rsid w:val="009E153F"/>
    <w:rsid w:val="009E322A"/>
    <w:rsid w:val="009E393E"/>
    <w:rsid w:val="009E444E"/>
    <w:rsid w:val="009E4968"/>
    <w:rsid w:val="009E663C"/>
    <w:rsid w:val="009E684A"/>
    <w:rsid w:val="009E6BB1"/>
    <w:rsid w:val="009E6E14"/>
    <w:rsid w:val="009E794A"/>
    <w:rsid w:val="009E7C14"/>
    <w:rsid w:val="009F0494"/>
    <w:rsid w:val="009F0CD9"/>
    <w:rsid w:val="009F1A79"/>
    <w:rsid w:val="009F1F57"/>
    <w:rsid w:val="009F2DDD"/>
    <w:rsid w:val="009F3447"/>
    <w:rsid w:val="009F65F4"/>
    <w:rsid w:val="009F676B"/>
    <w:rsid w:val="009F6D2D"/>
    <w:rsid w:val="009F6D54"/>
    <w:rsid w:val="00A0010C"/>
    <w:rsid w:val="00A004DF"/>
    <w:rsid w:val="00A00FD5"/>
    <w:rsid w:val="00A012C0"/>
    <w:rsid w:val="00A019A8"/>
    <w:rsid w:val="00A01B03"/>
    <w:rsid w:val="00A01B89"/>
    <w:rsid w:val="00A02C66"/>
    <w:rsid w:val="00A02C84"/>
    <w:rsid w:val="00A0464C"/>
    <w:rsid w:val="00A050BB"/>
    <w:rsid w:val="00A054E0"/>
    <w:rsid w:val="00A05D91"/>
    <w:rsid w:val="00A0740B"/>
    <w:rsid w:val="00A07ED3"/>
    <w:rsid w:val="00A10CA8"/>
    <w:rsid w:val="00A11042"/>
    <w:rsid w:val="00A12579"/>
    <w:rsid w:val="00A133D8"/>
    <w:rsid w:val="00A13812"/>
    <w:rsid w:val="00A15655"/>
    <w:rsid w:val="00A160B0"/>
    <w:rsid w:val="00A1740C"/>
    <w:rsid w:val="00A20069"/>
    <w:rsid w:val="00A2244D"/>
    <w:rsid w:val="00A2253D"/>
    <w:rsid w:val="00A2267F"/>
    <w:rsid w:val="00A22CDB"/>
    <w:rsid w:val="00A247B8"/>
    <w:rsid w:val="00A2495A"/>
    <w:rsid w:val="00A24C7A"/>
    <w:rsid w:val="00A24D8F"/>
    <w:rsid w:val="00A25B8B"/>
    <w:rsid w:val="00A25C5D"/>
    <w:rsid w:val="00A2689F"/>
    <w:rsid w:val="00A26ECA"/>
    <w:rsid w:val="00A27461"/>
    <w:rsid w:val="00A27D67"/>
    <w:rsid w:val="00A30ABC"/>
    <w:rsid w:val="00A33B74"/>
    <w:rsid w:val="00A3467F"/>
    <w:rsid w:val="00A34B4C"/>
    <w:rsid w:val="00A35030"/>
    <w:rsid w:val="00A3551A"/>
    <w:rsid w:val="00A366A0"/>
    <w:rsid w:val="00A37209"/>
    <w:rsid w:val="00A37584"/>
    <w:rsid w:val="00A376E8"/>
    <w:rsid w:val="00A37F8E"/>
    <w:rsid w:val="00A41537"/>
    <w:rsid w:val="00A41737"/>
    <w:rsid w:val="00A42B8F"/>
    <w:rsid w:val="00A42D8E"/>
    <w:rsid w:val="00A43254"/>
    <w:rsid w:val="00A43896"/>
    <w:rsid w:val="00A43A26"/>
    <w:rsid w:val="00A447A0"/>
    <w:rsid w:val="00A459F5"/>
    <w:rsid w:val="00A45FC0"/>
    <w:rsid w:val="00A46B74"/>
    <w:rsid w:val="00A47ECC"/>
    <w:rsid w:val="00A50171"/>
    <w:rsid w:val="00A504FA"/>
    <w:rsid w:val="00A5102E"/>
    <w:rsid w:val="00A5132E"/>
    <w:rsid w:val="00A51375"/>
    <w:rsid w:val="00A51533"/>
    <w:rsid w:val="00A531D4"/>
    <w:rsid w:val="00A54572"/>
    <w:rsid w:val="00A575B8"/>
    <w:rsid w:val="00A61C60"/>
    <w:rsid w:val="00A61ECB"/>
    <w:rsid w:val="00A6410C"/>
    <w:rsid w:val="00A647B1"/>
    <w:rsid w:val="00A64DEF"/>
    <w:rsid w:val="00A654D2"/>
    <w:rsid w:val="00A665DF"/>
    <w:rsid w:val="00A67928"/>
    <w:rsid w:val="00A67FCC"/>
    <w:rsid w:val="00A70AA5"/>
    <w:rsid w:val="00A70C03"/>
    <w:rsid w:val="00A71256"/>
    <w:rsid w:val="00A7217B"/>
    <w:rsid w:val="00A73861"/>
    <w:rsid w:val="00A739A6"/>
    <w:rsid w:val="00A740ED"/>
    <w:rsid w:val="00A74C29"/>
    <w:rsid w:val="00A74C62"/>
    <w:rsid w:val="00A75DF5"/>
    <w:rsid w:val="00A75EF9"/>
    <w:rsid w:val="00A8311C"/>
    <w:rsid w:val="00A835D0"/>
    <w:rsid w:val="00A84C5F"/>
    <w:rsid w:val="00A85930"/>
    <w:rsid w:val="00A863F7"/>
    <w:rsid w:val="00A86604"/>
    <w:rsid w:val="00A87519"/>
    <w:rsid w:val="00A9246D"/>
    <w:rsid w:val="00A92CCA"/>
    <w:rsid w:val="00A93BD0"/>
    <w:rsid w:val="00A93CC2"/>
    <w:rsid w:val="00A974CC"/>
    <w:rsid w:val="00AA1067"/>
    <w:rsid w:val="00AA2001"/>
    <w:rsid w:val="00AA2B5C"/>
    <w:rsid w:val="00AA32D2"/>
    <w:rsid w:val="00AA4016"/>
    <w:rsid w:val="00AA4C1F"/>
    <w:rsid w:val="00AA5328"/>
    <w:rsid w:val="00AA5393"/>
    <w:rsid w:val="00AA63D4"/>
    <w:rsid w:val="00AB03FD"/>
    <w:rsid w:val="00AB2000"/>
    <w:rsid w:val="00AB2E94"/>
    <w:rsid w:val="00AB38CB"/>
    <w:rsid w:val="00AB3BEC"/>
    <w:rsid w:val="00AB44E4"/>
    <w:rsid w:val="00AB4AEB"/>
    <w:rsid w:val="00AB4E5F"/>
    <w:rsid w:val="00AB5352"/>
    <w:rsid w:val="00AB56AE"/>
    <w:rsid w:val="00AB62D5"/>
    <w:rsid w:val="00AB65B5"/>
    <w:rsid w:val="00AB6DCD"/>
    <w:rsid w:val="00AB6EE0"/>
    <w:rsid w:val="00AC17A2"/>
    <w:rsid w:val="00AC40B7"/>
    <w:rsid w:val="00AC531F"/>
    <w:rsid w:val="00AC5B36"/>
    <w:rsid w:val="00AC6377"/>
    <w:rsid w:val="00AC66A4"/>
    <w:rsid w:val="00AC6CB1"/>
    <w:rsid w:val="00AC7D6D"/>
    <w:rsid w:val="00AD0091"/>
    <w:rsid w:val="00AD23EF"/>
    <w:rsid w:val="00AD2662"/>
    <w:rsid w:val="00AD307B"/>
    <w:rsid w:val="00AD4014"/>
    <w:rsid w:val="00AD41B3"/>
    <w:rsid w:val="00AD5721"/>
    <w:rsid w:val="00AD5C4D"/>
    <w:rsid w:val="00AD69F0"/>
    <w:rsid w:val="00AD7127"/>
    <w:rsid w:val="00AD730C"/>
    <w:rsid w:val="00AE123A"/>
    <w:rsid w:val="00AE1539"/>
    <w:rsid w:val="00AE28A7"/>
    <w:rsid w:val="00AE2A98"/>
    <w:rsid w:val="00AE2CF2"/>
    <w:rsid w:val="00AE3012"/>
    <w:rsid w:val="00AE33A6"/>
    <w:rsid w:val="00AE3729"/>
    <w:rsid w:val="00AE4138"/>
    <w:rsid w:val="00AE4CCE"/>
    <w:rsid w:val="00AE5C6A"/>
    <w:rsid w:val="00AE6317"/>
    <w:rsid w:val="00AE6B62"/>
    <w:rsid w:val="00AE7280"/>
    <w:rsid w:val="00AF033A"/>
    <w:rsid w:val="00AF1699"/>
    <w:rsid w:val="00AF1FD3"/>
    <w:rsid w:val="00AF2910"/>
    <w:rsid w:val="00AF34B8"/>
    <w:rsid w:val="00AF3896"/>
    <w:rsid w:val="00AF3FC2"/>
    <w:rsid w:val="00B0098A"/>
    <w:rsid w:val="00B00A5F"/>
    <w:rsid w:val="00B00F89"/>
    <w:rsid w:val="00B029B8"/>
    <w:rsid w:val="00B02F60"/>
    <w:rsid w:val="00B032B8"/>
    <w:rsid w:val="00B04721"/>
    <w:rsid w:val="00B04B15"/>
    <w:rsid w:val="00B04B46"/>
    <w:rsid w:val="00B0534D"/>
    <w:rsid w:val="00B05685"/>
    <w:rsid w:val="00B05F9F"/>
    <w:rsid w:val="00B06368"/>
    <w:rsid w:val="00B068DA"/>
    <w:rsid w:val="00B06A00"/>
    <w:rsid w:val="00B06FC6"/>
    <w:rsid w:val="00B074C9"/>
    <w:rsid w:val="00B07D9D"/>
    <w:rsid w:val="00B11AE5"/>
    <w:rsid w:val="00B12FE6"/>
    <w:rsid w:val="00B1303F"/>
    <w:rsid w:val="00B1364A"/>
    <w:rsid w:val="00B13859"/>
    <w:rsid w:val="00B13EC9"/>
    <w:rsid w:val="00B14319"/>
    <w:rsid w:val="00B14A06"/>
    <w:rsid w:val="00B158E1"/>
    <w:rsid w:val="00B16715"/>
    <w:rsid w:val="00B1768E"/>
    <w:rsid w:val="00B17910"/>
    <w:rsid w:val="00B20F18"/>
    <w:rsid w:val="00B21516"/>
    <w:rsid w:val="00B21A37"/>
    <w:rsid w:val="00B21D23"/>
    <w:rsid w:val="00B21F62"/>
    <w:rsid w:val="00B22CE0"/>
    <w:rsid w:val="00B23738"/>
    <w:rsid w:val="00B23BEF"/>
    <w:rsid w:val="00B247BB"/>
    <w:rsid w:val="00B2504A"/>
    <w:rsid w:val="00B25EE6"/>
    <w:rsid w:val="00B3115A"/>
    <w:rsid w:val="00B31825"/>
    <w:rsid w:val="00B31A5C"/>
    <w:rsid w:val="00B33B06"/>
    <w:rsid w:val="00B33C19"/>
    <w:rsid w:val="00B35128"/>
    <w:rsid w:val="00B35A15"/>
    <w:rsid w:val="00B35B45"/>
    <w:rsid w:val="00B36A99"/>
    <w:rsid w:val="00B42264"/>
    <w:rsid w:val="00B434B2"/>
    <w:rsid w:val="00B43D45"/>
    <w:rsid w:val="00B468F2"/>
    <w:rsid w:val="00B469DE"/>
    <w:rsid w:val="00B47286"/>
    <w:rsid w:val="00B50234"/>
    <w:rsid w:val="00B51BF4"/>
    <w:rsid w:val="00B52C68"/>
    <w:rsid w:val="00B5372B"/>
    <w:rsid w:val="00B542FE"/>
    <w:rsid w:val="00B55A1B"/>
    <w:rsid w:val="00B561DB"/>
    <w:rsid w:val="00B56DF9"/>
    <w:rsid w:val="00B600BD"/>
    <w:rsid w:val="00B61274"/>
    <w:rsid w:val="00B61DCE"/>
    <w:rsid w:val="00B62188"/>
    <w:rsid w:val="00B62F79"/>
    <w:rsid w:val="00B62F82"/>
    <w:rsid w:val="00B6306A"/>
    <w:rsid w:val="00B635E3"/>
    <w:rsid w:val="00B653D7"/>
    <w:rsid w:val="00B662FF"/>
    <w:rsid w:val="00B66679"/>
    <w:rsid w:val="00B70145"/>
    <w:rsid w:val="00B71A92"/>
    <w:rsid w:val="00B721D8"/>
    <w:rsid w:val="00B730CA"/>
    <w:rsid w:val="00B747C5"/>
    <w:rsid w:val="00B74F2F"/>
    <w:rsid w:val="00B753ED"/>
    <w:rsid w:val="00B769BC"/>
    <w:rsid w:val="00B77349"/>
    <w:rsid w:val="00B7761E"/>
    <w:rsid w:val="00B80A3D"/>
    <w:rsid w:val="00B80B04"/>
    <w:rsid w:val="00B8127B"/>
    <w:rsid w:val="00B819E5"/>
    <w:rsid w:val="00B821E4"/>
    <w:rsid w:val="00B823E0"/>
    <w:rsid w:val="00B8260D"/>
    <w:rsid w:val="00B82B78"/>
    <w:rsid w:val="00B845B4"/>
    <w:rsid w:val="00B84662"/>
    <w:rsid w:val="00B84C74"/>
    <w:rsid w:val="00B85191"/>
    <w:rsid w:val="00B858A1"/>
    <w:rsid w:val="00B85FEC"/>
    <w:rsid w:val="00B864A3"/>
    <w:rsid w:val="00B86C2A"/>
    <w:rsid w:val="00B878BE"/>
    <w:rsid w:val="00B902A5"/>
    <w:rsid w:val="00B90420"/>
    <w:rsid w:val="00B90848"/>
    <w:rsid w:val="00B91146"/>
    <w:rsid w:val="00B913E4"/>
    <w:rsid w:val="00B91DB9"/>
    <w:rsid w:val="00B91FF3"/>
    <w:rsid w:val="00B93EFE"/>
    <w:rsid w:val="00B944B9"/>
    <w:rsid w:val="00B94956"/>
    <w:rsid w:val="00B94C7F"/>
    <w:rsid w:val="00B94E93"/>
    <w:rsid w:val="00B956B5"/>
    <w:rsid w:val="00B96DF2"/>
    <w:rsid w:val="00B96E18"/>
    <w:rsid w:val="00B96F5A"/>
    <w:rsid w:val="00BA0B39"/>
    <w:rsid w:val="00BA0CB2"/>
    <w:rsid w:val="00BA0E26"/>
    <w:rsid w:val="00BA138B"/>
    <w:rsid w:val="00BA305B"/>
    <w:rsid w:val="00BA31BF"/>
    <w:rsid w:val="00BA3FC7"/>
    <w:rsid w:val="00BA478B"/>
    <w:rsid w:val="00BA5224"/>
    <w:rsid w:val="00BA575E"/>
    <w:rsid w:val="00BA76B7"/>
    <w:rsid w:val="00BA7E3B"/>
    <w:rsid w:val="00BB078D"/>
    <w:rsid w:val="00BB079C"/>
    <w:rsid w:val="00BB0D7A"/>
    <w:rsid w:val="00BB10E1"/>
    <w:rsid w:val="00BB2471"/>
    <w:rsid w:val="00BB25B8"/>
    <w:rsid w:val="00BB3035"/>
    <w:rsid w:val="00BB39C1"/>
    <w:rsid w:val="00BB3DF5"/>
    <w:rsid w:val="00BB5D16"/>
    <w:rsid w:val="00BB6180"/>
    <w:rsid w:val="00BB69E6"/>
    <w:rsid w:val="00BB7BE5"/>
    <w:rsid w:val="00BC08BD"/>
    <w:rsid w:val="00BC11E8"/>
    <w:rsid w:val="00BC1B7A"/>
    <w:rsid w:val="00BC2C17"/>
    <w:rsid w:val="00BC3ACD"/>
    <w:rsid w:val="00BC3B20"/>
    <w:rsid w:val="00BC3EE4"/>
    <w:rsid w:val="00BC588C"/>
    <w:rsid w:val="00BC62F4"/>
    <w:rsid w:val="00BC6E73"/>
    <w:rsid w:val="00BC74D3"/>
    <w:rsid w:val="00BD0014"/>
    <w:rsid w:val="00BD01D8"/>
    <w:rsid w:val="00BD255F"/>
    <w:rsid w:val="00BD2895"/>
    <w:rsid w:val="00BD4236"/>
    <w:rsid w:val="00BD483B"/>
    <w:rsid w:val="00BD5CD4"/>
    <w:rsid w:val="00BD65D9"/>
    <w:rsid w:val="00BD6DF3"/>
    <w:rsid w:val="00BD6E09"/>
    <w:rsid w:val="00BD6EF9"/>
    <w:rsid w:val="00BE0ACB"/>
    <w:rsid w:val="00BE2260"/>
    <w:rsid w:val="00BE3917"/>
    <w:rsid w:val="00BE50FD"/>
    <w:rsid w:val="00BE51CA"/>
    <w:rsid w:val="00BE537F"/>
    <w:rsid w:val="00BE5D77"/>
    <w:rsid w:val="00BE6D47"/>
    <w:rsid w:val="00BE7032"/>
    <w:rsid w:val="00BE7330"/>
    <w:rsid w:val="00BF01C5"/>
    <w:rsid w:val="00BF061A"/>
    <w:rsid w:val="00BF066A"/>
    <w:rsid w:val="00BF14CC"/>
    <w:rsid w:val="00BF1821"/>
    <w:rsid w:val="00BF4342"/>
    <w:rsid w:val="00BF4704"/>
    <w:rsid w:val="00BF4FFC"/>
    <w:rsid w:val="00BF5050"/>
    <w:rsid w:val="00BF50D1"/>
    <w:rsid w:val="00BF5422"/>
    <w:rsid w:val="00BF59B1"/>
    <w:rsid w:val="00BF6A78"/>
    <w:rsid w:val="00BF7695"/>
    <w:rsid w:val="00BF79B4"/>
    <w:rsid w:val="00BF7C61"/>
    <w:rsid w:val="00C00037"/>
    <w:rsid w:val="00C01427"/>
    <w:rsid w:val="00C014C7"/>
    <w:rsid w:val="00C047AB"/>
    <w:rsid w:val="00C058AF"/>
    <w:rsid w:val="00C075B6"/>
    <w:rsid w:val="00C124C1"/>
    <w:rsid w:val="00C128AE"/>
    <w:rsid w:val="00C12BA8"/>
    <w:rsid w:val="00C136D6"/>
    <w:rsid w:val="00C13902"/>
    <w:rsid w:val="00C13D5B"/>
    <w:rsid w:val="00C141D7"/>
    <w:rsid w:val="00C1711B"/>
    <w:rsid w:val="00C17AE2"/>
    <w:rsid w:val="00C17E00"/>
    <w:rsid w:val="00C20140"/>
    <w:rsid w:val="00C20F27"/>
    <w:rsid w:val="00C215CF"/>
    <w:rsid w:val="00C2244B"/>
    <w:rsid w:val="00C22711"/>
    <w:rsid w:val="00C2280A"/>
    <w:rsid w:val="00C22B0D"/>
    <w:rsid w:val="00C22BFF"/>
    <w:rsid w:val="00C23522"/>
    <w:rsid w:val="00C240C1"/>
    <w:rsid w:val="00C24AED"/>
    <w:rsid w:val="00C250D0"/>
    <w:rsid w:val="00C252AC"/>
    <w:rsid w:val="00C25C0F"/>
    <w:rsid w:val="00C26567"/>
    <w:rsid w:val="00C26923"/>
    <w:rsid w:val="00C27214"/>
    <w:rsid w:val="00C27597"/>
    <w:rsid w:val="00C27E5E"/>
    <w:rsid w:val="00C30382"/>
    <w:rsid w:val="00C30772"/>
    <w:rsid w:val="00C30D6F"/>
    <w:rsid w:val="00C31063"/>
    <w:rsid w:val="00C31B7E"/>
    <w:rsid w:val="00C322D1"/>
    <w:rsid w:val="00C3242A"/>
    <w:rsid w:val="00C33201"/>
    <w:rsid w:val="00C33A39"/>
    <w:rsid w:val="00C33B57"/>
    <w:rsid w:val="00C34619"/>
    <w:rsid w:val="00C35D01"/>
    <w:rsid w:val="00C360B3"/>
    <w:rsid w:val="00C37027"/>
    <w:rsid w:val="00C37B19"/>
    <w:rsid w:val="00C413CB"/>
    <w:rsid w:val="00C42752"/>
    <w:rsid w:val="00C42973"/>
    <w:rsid w:val="00C44C69"/>
    <w:rsid w:val="00C4712A"/>
    <w:rsid w:val="00C5034F"/>
    <w:rsid w:val="00C50830"/>
    <w:rsid w:val="00C52479"/>
    <w:rsid w:val="00C5266E"/>
    <w:rsid w:val="00C52C59"/>
    <w:rsid w:val="00C5349E"/>
    <w:rsid w:val="00C539FF"/>
    <w:rsid w:val="00C544BD"/>
    <w:rsid w:val="00C54D3D"/>
    <w:rsid w:val="00C55A30"/>
    <w:rsid w:val="00C56384"/>
    <w:rsid w:val="00C60F8C"/>
    <w:rsid w:val="00C61794"/>
    <w:rsid w:val="00C62A48"/>
    <w:rsid w:val="00C62AC4"/>
    <w:rsid w:val="00C62B59"/>
    <w:rsid w:val="00C62F96"/>
    <w:rsid w:val="00C631E1"/>
    <w:rsid w:val="00C638D8"/>
    <w:rsid w:val="00C63AE7"/>
    <w:rsid w:val="00C63D26"/>
    <w:rsid w:val="00C6540A"/>
    <w:rsid w:val="00C668A1"/>
    <w:rsid w:val="00C67223"/>
    <w:rsid w:val="00C707B8"/>
    <w:rsid w:val="00C712AC"/>
    <w:rsid w:val="00C71C15"/>
    <w:rsid w:val="00C71F3D"/>
    <w:rsid w:val="00C72F53"/>
    <w:rsid w:val="00C74035"/>
    <w:rsid w:val="00C748EA"/>
    <w:rsid w:val="00C77818"/>
    <w:rsid w:val="00C8063F"/>
    <w:rsid w:val="00C81282"/>
    <w:rsid w:val="00C827B4"/>
    <w:rsid w:val="00C83214"/>
    <w:rsid w:val="00C8329F"/>
    <w:rsid w:val="00C84F8A"/>
    <w:rsid w:val="00C85BA4"/>
    <w:rsid w:val="00C8618F"/>
    <w:rsid w:val="00C8625D"/>
    <w:rsid w:val="00C90372"/>
    <w:rsid w:val="00C9041F"/>
    <w:rsid w:val="00C9166B"/>
    <w:rsid w:val="00C91A45"/>
    <w:rsid w:val="00C91FB4"/>
    <w:rsid w:val="00C92150"/>
    <w:rsid w:val="00C92328"/>
    <w:rsid w:val="00C92D42"/>
    <w:rsid w:val="00C938C2"/>
    <w:rsid w:val="00C93F8A"/>
    <w:rsid w:val="00C94EA1"/>
    <w:rsid w:val="00C9511B"/>
    <w:rsid w:val="00C95745"/>
    <w:rsid w:val="00C95902"/>
    <w:rsid w:val="00C962E3"/>
    <w:rsid w:val="00C978E2"/>
    <w:rsid w:val="00C97997"/>
    <w:rsid w:val="00CA10A2"/>
    <w:rsid w:val="00CA1D83"/>
    <w:rsid w:val="00CA25C0"/>
    <w:rsid w:val="00CA3451"/>
    <w:rsid w:val="00CA35C6"/>
    <w:rsid w:val="00CA4948"/>
    <w:rsid w:val="00CA52F9"/>
    <w:rsid w:val="00CA5368"/>
    <w:rsid w:val="00CA568B"/>
    <w:rsid w:val="00CA573A"/>
    <w:rsid w:val="00CA5C58"/>
    <w:rsid w:val="00CB19D7"/>
    <w:rsid w:val="00CB19FE"/>
    <w:rsid w:val="00CB1C3F"/>
    <w:rsid w:val="00CB2364"/>
    <w:rsid w:val="00CB304C"/>
    <w:rsid w:val="00CB3933"/>
    <w:rsid w:val="00CB53E8"/>
    <w:rsid w:val="00CB594A"/>
    <w:rsid w:val="00CB5CB2"/>
    <w:rsid w:val="00CB6979"/>
    <w:rsid w:val="00CB7DDE"/>
    <w:rsid w:val="00CC0A3D"/>
    <w:rsid w:val="00CC1585"/>
    <w:rsid w:val="00CC3C53"/>
    <w:rsid w:val="00CC3D24"/>
    <w:rsid w:val="00CC3F91"/>
    <w:rsid w:val="00CC4ACD"/>
    <w:rsid w:val="00CC4B0A"/>
    <w:rsid w:val="00CC544A"/>
    <w:rsid w:val="00CC57EA"/>
    <w:rsid w:val="00CC5954"/>
    <w:rsid w:val="00CC629B"/>
    <w:rsid w:val="00CC6C4E"/>
    <w:rsid w:val="00CD009D"/>
    <w:rsid w:val="00CD05A2"/>
    <w:rsid w:val="00CD29D4"/>
    <w:rsid w:val="00CD2B5C"/>
    <w:rsid w:val="00CD2FF3"/>
    <w:rsid w:val="00CD3323"/>
    <w:rsid w:val="00CD38F5"/>
    <w:rsid w:val="00CD437E"/>
    <w:rsid w:val="00CD5DAD"/>
    <w:rsid w:val="00CD72C5"/>
    <w:rsid w:val="00CD79A7"/>
    <w:rsid w:val="00CE0789"/>
    <w:rsid w:val="00CE0E8D"/>
    <w:rsid w:val="00CE1A03"/>
    <w:rsid w:val="00CE2346"/>
    <w:rsid w:val="00CE25B2"/>
    <w:rsid w:val="00CE2687"/>
    <w:rsid w:val="00CE3529"/>
    <w:rsid w:val="00CE35C8"/>
    <w:rsid w:val="00CE3962"/>
    <w:rsid w:val="00CE4D1A"/>
    <w:rsid w:val="00CE4E8A"/>
    <w:rsid w:val="00CE5105"/>
    <w:rsid w:val="00CE56BD"/>
    <w:rsid w:val="00CE5EC0"/>
    <w:rsid w:val="00CE6A0B"/>
    <w:rsid w:val="00CE6F9F"/>
    <w:rsid w:val="00CE781A"/>
    <w:rsid w:val="00CE7B08"/>
    <w:rsid w:val="00CE7D52"/>
    <w:rsid w:val="00CF1D74"/>
    <w:rsid w:val="00CF2BE2"/>
    <w:rsid w:val="00CF3DEB"/>
    <w:rsid w:val="00CF55F9"/>
    <w:rsid w:val="00CF7074"/>
    <w:rsid w:val="00CF7390"/>
    <w:rsid w:val="00CF7495"/>
    <w:rsid w:val="00D01CF9"/>
    <w:rsid w:val="00D0334D"/>
    <w:rsid w:val="00D0374D"/>
    <w:rsid w:val="00D06D7B"/>
    <w:rsid w:val="00D06DA5"/>
    <w:rsid w:val="00D07191"/>
    <w:rsid w:val="00D07F1D"/>
    <w:rsid w:val="00D10558"/>
    <w:rsid w:val="00D11D4D"/>
    <w:rsid w:val="00D126DC"/>
    <w:rsid w:val="00D12B03"/>
    <w:rsid w:val="00D13E70"/>
    <w:rsid w:val="00D15FCD"/>
    <w:rsid w:val="00D16C58"/>
    <w:rsid w:val="00D17019"/>
    <w:rsid w:val="00D17FC8"/>
    <w:rsid w:val="00D20B44"/>
    <w:rsid w:val="00D21168"/>
    <w:rsid w:val="00D2438C"/>
    <w:rsid w:val="00D2585A"/>
    <w:rsid w:val="00D259B0"/>
    <w:rsid w:val="00D26C3F"/>
    <w:rsid w:val="00D27026"/>
    <w:rsid w:val="00D27185"/>
    <w:rsid w:val="00D30EF8"/>
    <w:rsid w:val="00D32518"/>
    <w:rsid w:val="00D33488"/>
    <w:rsid w:val="00D33AB3"/>
    <w:rsid w:val="00D33F24"/>
    <w:rsid w:val="00D34160"/>
    <w:rsid w:val="00D346B8"/>
    <w:rsid w:val="00D34DCA"/>
    <w:rsid w:val="00D35AC8"/>
    <w:rsid w:val="00D36F87"/>
    <w:rsid w:val="00D37E4E"/>
    <w:rsid w:val="00D400A4"/>
    <w:rsid w:val="00D40DEF"/>
    <w:rsid w:val="00D417D8"/>
    <w:rsid w:val="00D41F78"/>
    <w:rsid w:val="00D42E6C"/>
    <w:rsid w:val="00D4351C"/>
    <w:rsid w:val="00D43B80"/>
    <w:rsid w:val="00D44988"/>
    <w:rsid w:val="00D45B4C"/>
    <w:rsid w:val="00D45BA4"/>
    <w:rsid w:val="00D471AF"/>
    <w:rsid w:val="00D4724F"/>
    <w:rsid w:val="00D50519"/>
    <w:rsid w:val="00D512C8"/>
    <w:rsid w:val="00D51601"/>
    <w:rsid w:val="00D51ECB"/>
    <w:rsid w:val="00D5264C"/>
    <w:rsid w:val="00D52BBC"/>
    <w:rsid w:val="00D537FE"/>
    <w:rsid w:val="00D53CC9"/>
    <w:rsid w:val="00D54A6A"/>
    <w:rsid w:val="00D54B8F"/>
    <w:rsid w:val="00D55951"/>
    <w:rsid w:val="00D559F0"/>
    <w:rsid w:val="00D57EB6"/>
    <w:rsid w:val="00D608C0"/>
    <w:rsid w:val="00D60D6D"/>
    <w:rsid w:val="00D6128C"/>
    <w:rsid w:val="00D66D8B"/>
    <w:rsid w:val="00D70849"/>
    <w:rsid w:val="00D72297"/>
    <w:rsid w:val="00D72A1C"/>
    <w:rsid w:val="00D7308F"/>
    <w:rsid w:val="00D7313E"/>
    <w:rsid w:val="00D73580"/>
    <w:rsid w:val="00D73802"/>
    <w:rsid w:val="00D73C2C"/>
    <w:rsid w:val="00D73D52"/>
    <w:rsid w:val="00D745E7"/>
    <w:rsid w:val="00D774ED"/>
    <w:rsid w:val="00D777C3"/>
    <w:rsid w:val="00D7797C"/>
    <w:rsid w:val="00D77C44"/>
    <w:rsid w:val="00D77F88"/>
    <w:rsid w:val="00D81AFA"/>
    <w:rsid w:val="00D81EAA"/>
    <w:rsid w:val="00D81FE2"/>
    <w:rsid w:val="00D8259F"/>
    <w:rsid w:val="00D825F2"/>
    <w:rsid w:val="00D8285C"/>
    <w:rsid w:val="00D828B1"/>
    <w:rsid w:val="00D82A55"/>
    <w:rsid w:val="00D83D49"/>
    <w:rsid w:val="00D84181"/>
    <w:rsid w:val="00D846AD"/>
    <w:rsid w:val="00D84754"/>
    <w:rsid w:val="00D84F27"/>
    <w:rsid w:val="00D853F0"/>
    <w:rsid w:val="00D85862"/>
    <w:rsid w:val="00D86D47"/>
    <w:rsid w:val="00D8710C"/>
    <w:rsid w:val="00D873C6"/>
    <w:rsid w:val="00D9074A"/>
    <w:rsid w:val="00D9099E"/>
    <w:rsid w:val="00D9193A"/>
    <w:rsid w:val="00D923B2"/>
    <w:rsid w:val="00D92463"/>
    <w:rsid w:val="00D93E64"/>
    <w:rsid w:val="00D93F64"/>
    <w:rsid w:val="00D94CA4"/>
    <w:rsid w:val="00D95E99"/>
    <w:rsid w:val="00D965D5"/>
    <w:rsid w:val="00D97DA2"/>
    <w:rsid w:val="00DA1A3A"/>
    <w:rsid w:val="00DA2351"/>
    <w:rsid w:val="00DA249E"/>
    <w:rsid w:val="00DA2D3D"/>
    <w:rsid w:val="00DA4C30"/>
    <w:rsid w:val="00DA7722"/>
    <w:rsid w:val="00DB145E"/>
    <w:rsid w:val="00DB1A94"/>
    <w:rsid w:val="00DB1D52"/>
    <w:rsid w:val="00DB1E2B"/>
    <w:rsid w:val="00DB1F62"/>
    <w:rsid w:val="00DB21E7"/>
    <w:rsid w:val="00DB2E03"/>
    <w:rsid w:val="00DB3742"/>
    <w:rsid w:val="00DB3E9B"/>
    <w:rsid w:val="00DB3F4B"/>
    <w:rsid w:val="00DB5375"/>
    <w:rsid w:val="00DB67C1"/>
    <w:rsid w:val="00DB6C0B"/>
    <w:rsid w:val="00DB70F4"/>
    <w:rsid w:val="00DB748A"/>
    <w:rsid w:val="00DC009D"/>
    <w:rsid w:val="00DC1056"/>
    <w:rsid w:val="00DC1442"/>
    <w:rsid w:val="00DC21D8"/>
    <w:rsid w:val="00DC282A"/>
    <w:rsid w:val="00DC34DC"/>
    <w:rsid w:val="00DC3780"/>
    <w:rsid w:val="00DC3ADA"/>
    <w:rsid w:val="00DC3CC6"/>
    <w:rsid w:val="00DC3F55"/>
    <w:rsid w:val="00DC4782"/>
    <w:rsid w:val="00DC514A"/>
    <w:rsid w:val="00DC67B1"/>
    <w:rsid w:val="00DC7FBC"/>
    <w:rsid w:val="00DD0019"/>
    <w:rsid w:val="00DD132B"/>
    <w:rsid w:val="00DD1725"/>
    <w:rsid w:val="00DD2159"/>
    <w:rsid w:val="00DD218B"/>
    <w:rsid w:val="00DD2A18"/>
    <w:rsid w:val="00DD3044"/>
    <w:rsid w:val="00DD3985"/>
    <w:rsid w:val="00DD61E8"/>
    <w:rsid w:val="00DD62C0"/>
    <w:rsid w:val="00DD64DE"/>
    <w:rsid w:val="00DD7859"/>
    <w:rsid w:val="00DD7B41"/>
    <w:rsid w:val="00DE0784"/>
    <w:rsid w:val="00DE0A1D"/>
    <w:rsid w:val="00DE15B2"/>
    <w:rsid w:val="00DE1A9A"/>
    <w:rsid w:val="00DE3D2C"/>
    <w:rsid w:val="00DE5E82"/>
    <w:rsid w:val="00DE5FA6"/>
    <w:rsid w:val="00DE6792"/>
    <w:rsid w:val="00DE6AA1"/>
    <w:rsid w:val="00DE7AAB"/>
    <w:rsid w:val="00DE7EF7"/>
    <w:rsid w:val="00DF015B"/>
    <w:rsid w:val="00DF02EC"/>
    <w:rsid w:val="00DF10FC"/>
    <w:rsid w:val="00DF1185"/>
    <w:rsid w:val="00DF1299"/>
    <w:rsid w:val="00DF1A70"/>
    <w:rsid w:val="00DF1E5F"/>
    <w:rsid w:val="00DF23A8"/>
    <w:rsid w:val="00DF2F27"/>
    <w:rsid w:val="00DF36B6"/>
    <w:rsid w:val="00DF4296"/>
    <w:rsid w:val="00DF53F0"/>
    <w:rsid w:val="00DF5F38"/>
    <w:rsid w:val="00DF6608"/>
    <w:rsid w:val="00DF6CCC"/>
    <w:rsid w:val="00DF6D0C"/>
    <w:rsid w:val="00DF6F64"/>
    <w:rsid w:val="00DF721E"/>
    <w:rsid w:val="00DF7B8A"/>
    <w:rsid w:val="00DF7C87"/>
    <w:rsid w:val="00E009B0"/>
    <w:rsid w:val="00E00A12"/>
    <w:rsid w:val="00E00C49"/>
    <w:rsid w:val="00E01C9C"/>
    <w:rsid w:val="00E0219D"/>
    <w:rsid w:val="00E04C0F"/>
    <w:rsid w:val="00E0570B"/>
    <w:rsid w:val="00E10343"/>
    <w:rsid w:val="00E10913"/>
    <w:rsid w:val="00E10B87"/>
    <w:rsid w:val="00E121CE"/>
    <w:rsid w:val="00E1478B"/>
    <w:rsid w:val="00E14FAC"/>
    <w:rsid w:val="00E15007"/>
    <w:rsid w:val="00E16277"/>
    <w:rsid w:val="00E16EC7"/>
    <w:rsid w:val="00E219CE"/>
    <w:rsid w:val="00E24071"/>
    <w:rsid w:val="00E24EBC"/>
    <w:rsid w:val="00E2522C"/>
    <w:rsid w:val="00E2552F"/>
    <w:rsid w:val="00E2599B"/>
    <w:rsid w:val="00E2710C"/>
    <w:rsid w:val="00E27428"/>
    <w:rsid w:val="00E305B4"/>
    <w:rsid w:val="00E31AFA"/>
    <w:rsid w:val="00E31CB7"/>
    <w:rsid w:val="00E324EE"/>
    <w:rsid w:val="00E32990"/>
    <w:rsid w:val="00E34DB1"/>
    <w:rsid w:val="00E35931"/>
    <w:rsid w:val="00E359FF"/>
    <w:rsid w:val="00E36BD1"/>
    <w:rsid w:val="00E402C5"/>
    <w:rsid w:val="00E402F4"/>
    <w:rsid w:val="00E405F1"/>
    <w:rsid w:val="00E4178B"/>
    <w:rsid w:val="00E417DB"/>
    <w:rsid w:val="00E43054"/>
    <w:rsid w:val="00E43655"/>
    <w:rsid w:val="00E44440"/>
    <w:rsid w:val="00E46013"/>
    <w:rsid w:val="00E47099"/>
    <w:rsid w:val="00E47284"/>
    <w:rsid w:val="00E4730A"/>
    <w:rsid w:val="00E474D3"/>
    <w:rsid w:val="00E477C3"/>
    <w:rsid w:val="00E517A5"/>
    <w:rsid w:val="00E51E16"/>
    <w:rsid w:val="00E53730"/>
    <w:rsid w:val="00E5438D"/>
    <w:rsid w:val="00E54511"/>
    <w:rsid w:val="00E54E50"/>
    <w:rsid w:val="00E55288"/>
    <w:rsid w:val="00E57577"/>
    <w:rsid w:val="00E62043"/>
    <w:rsid w:val="00E626B9"/>
    <w:rsid w:val="00E627C9"/>
    <w:rsid w:val="00E630F3"/>
    <w:rsid w:val="00E6332F"/>
    <w:rsid w:val="00E637C9"/>
    <w:rsid w:val="00E6402D"/>
    <w:rsid w:val="00E6680A"/>
    <w:rsid w:val="00E66F0D"/>
    <w:rsid w:val="00E70615"/>
    <w:rsid w:val="00E7161E"/>
    <w:rsid w:val="00E7207B"/>
    <w:rsid w:val="00E7347A"/>
    <w:rsid w:val="00E75A47"/>
    <w:rsid w:val="00E75BB6"/>
    <w:rsid w:val="00E75D8C"/>
    <w:rsid w:val="00E777F2"/>
    <w:rsid w:val="00E802C9"/>
    <w:rsid w:val="00E80BFB"/>
    <w:rsid w:val="00E80F0A"/>
    <w:rsid w:val="00E815D4"/>
    <w:rsid w:val="00E8291B"/>
    <w:rsid w:val="00E82E70"/>
    <w:rsid w:val="00E82F92"/>
    <w:rsid w:val="00E8395F"/>
    <w:rsid w:val="00E8410F"/>
    <w:rsid w:val="00E849D7"/>
    <w:rsid w:val="00E85E41"/>
    <w:rsid w:val="00E85EA1"/>
    <w:rsid w:val="00E86703"/>
    <w:rsid w:val="00E91044"/>
    <w:rsid w:val="00E910D3"/>
    <w:rsid w:val="00E91257"/>
    <w:rsid w:val="00E92154"/>
    <w:rsid w:val="00E923CF"/>
    <w:rsid w:val="00E93685"/>
    <w:rsid w:val="00E93B65"/>
    <w:rsid w:val="00E93C8C"/>
    <w:rsid w:val="00E95111"/>
    <w:rsid w:val="00E95FDF"/>
    <w:rsid w:val="00EA14C8"/>
    <w:rsid w:val="00EA2110"/>
    <w:rsid w:val="00EA283A"/>
    <w:rsid w:val="00EA2C90"/>
    <w:rsid w:val="00EA2E07"/>
    <w:rsid w:val="00EA383B"/>
    <w:rsid w:val="00EA48F3"/>
    <w:rsid w:val="00EA60BF"/>
    <w:rsid w:val="00EA7365"/>
    <w:rsid w:val="00EA763F"/>
    <w:rsid w:val="00EA77E9"/>
    <w:rsid w:val="00EB05D0"/>
    <w:rsid w:val="00EB1151"/>
    <w:rsid w:val="00EB1D49"/>
    <w:rsid w:val="00EB23D9"/>
    <w:rsid w:val="00EB39A0"/>
    <w:rsid w:val="00EB559F"/>
    <w:rsid w:val="00EB566C"/>
    <w:rsid w:val="00EB5F3D"/>
    <w:rsid w:val="00EC1CEB"/>
    <w:rsid w:val="00EC1DC0"/>
    <w:rsid w:val="00EC1DC2"/>
    <w:rsid w:val="00EC21EC"/>
    <w:rsid w:val="00EC24B8"/>
    <w:rsid w:val="00EC268C"/>
    <w:rsid w:val="00EC3753"/>
    <w:rsid w:val="00EC4E71"/>
    <w:rsid w:val="00EC5F1C"/>
    <w:rsid w:val="00ED0365"/>
    <w:rsid w:val="00ED0865"/>
    <w:rsid w:val="00ED1C60"/>
    <w:rsid w:val="00ED2EB9"/>
    <w:rsid w:val="00ED32D5"/>
    <w:rsid w:val="00ED3722"/>
    <w:rsid w:val="00ED3A31"/>
    <w:rsid w:val="00ED4469"/>
    <w:rsid w:val="00ED5424"/>
    <w:rsid w:val="00ED5F23"/>
    <w:rsid w:val="00ED6DC0"/>
    <w:rsid w:val="00ED7A7A"/>
    <w:rsid w:val="00EE0327"/>
    <w:rsid w:val="00EE038C"/>
    <w:rsid w:val="00EE28C5"/>
    <w:rsid w:val="00EE2F09"/>
    <w:rsid w:val="00EE47C5"/>
    <w:rsid w:val="00EE490C"/>
    <w:rsid w:val="00EE4E57"/>
    <w:rsid w:val="00EE5738"/>
    <w:rsid w:val="00EE58BD"/>
    <w:rsid w:val="00EE5E59"/>
    <w:rsid w:val="00EE6549"/>
    <w:rsid w:val="00EE73D0"/>
    <w:rsid w:val="00EE7CB0"/>
    <w:rsid w:val="00EF08A8"/>
    <w:rsid w:val="00EF167B"/>
    <w:rsid w:val="00EF30BF"/>
    <w:rsid w:val="00EF41A8"/>
    <w:rsid w:val="00EF44FB"/>
    <w:rsid w:val="00EF5122"/>
    <w:rsid w:val="00EF5554"/>
    <w:rsid w:val="00EF5AD8"/>
    <w:rsid w:val="00EF6B90"/>
    <w:rsid w:val="00EF7807"/>
    <w:rsid w:val="00EF79F7"/>
    <w:rsid w:val="00F006C0"/>
    <w:rsid w:val="00F0125F"/>
    <w:rsid w:val="00F019AA"/>
    <w:rsid w:val="00F0267E"/>
    <w:rsid w:val="00F02686"/>
    <w:rsid w:val="00F030C0"/>
    <w:rsid w:val="00F03291"/>
    <w:rsid w:val="00F0459B"/>
    <w:rsid w:val="00F04E15"/>
    <w:rsid w:val="00F05DF3"/>
    <w:rsid w:val="00F0692C"/>
    <w:rsid w:val="00F069EA"/>
    <w:rsid w:val="00F070E5"/>
    <w:rsid w:val="00F07DDE"/>
    <w:rsid w:val="00F11675"/>
    <w:rsid w:val="00F12557"/>
    <w:rsid w:val="00F13599"/>
    <w:rsid w:val="00F13B28"/>
    <w:rsid w:val="00F14E01"/>
    <w:rsid w:val="00F156A0"/>
    <w:rsid w:val="00F15730"/>
    <w:rsid w:val="00F176A6"/>
    <w:rsid w:val="00F202C2"/>
    <w:rsid w:val="00F212F6"/>
    <w:rsid w:val="00F22756"/>
    <w:rsid w:val="00F23248"/>
    <w:rsid w:val="00F23890"/>
    <w:rsid w:val="00F2504D"/>
    <w:rsid w:val="00F2637F"/>
    <w:rsid w:val="00F268F7"/>
    <w:rsid w:val="00F30B83"/>
    <w:rsid w:val="00F30BDB"/>
    <w:rsid w:val="00F30CF8"/>
    <w:rsid w:val="00F31EDF"/>
    <w:rsid w:val="00F32CDE"/>
    <w:rsid w:val="00F32D4C"/>
    <w:rsid w:val="00F3327E"/>
    <w:rsid w:val="00F338C3"/>
    <w:rsid w:val="00F34B14"/>
    <w:rsid w:val="00F34F58"/>
    <w:rsid w:val="00F35DA7"/>
    <w:rsid w:val="00F36A6A"/>
    <w:rsid w:val="00F40101"/>
    <w:rsid w:val="00F404F7"/>
    <w:rsid w:val="00F40CCA"/>
    <w:rsid w:val="00F42D97"/>
    <w:rsid w:val="00F436B2"/>
    <w:rsid w:val="00F43813"/>
    <w:rsid w:val="00F43FEE"/>
    <w:rsid w:val="00F45A72"/>
    <w:rsid w:val="00F46723"/>
    <w:rsid w:val="00F4706D"/>
    <w:rsid w:val="00F476E1"/>
    <w:rsid w:val="00F47D1D"/>
    <w:rsid w:val="00F47F29"/>
    <w:rsid w:val="00F50016"/>
    <w:rsid w:val="00F50058"/>
    <w:rsid w:val="00F5118A"/>
    <w:rsid w:val="00F51A21"/>
    <w:rsid w:val="00F52614"/>
    <w:rsid w:val="00F5276E"/>
    <w:rsid w:val="00F52E9F"/>
    <w:rsid w:val="00F53304"/>
    <w:rsid w:val="00F53B81"/>
    <w:rsid w:val="00F540FE"/>
    <w:rsid w:val="00F556FF"/>
    <w:rsid w:val="00F55D12"/>
    <w:rsid w:val="00F5687F"/>
    <w:rsid w:val="00F56D3F"/>
    <w:rsid w:val="00F575C7"/>
    <w:rsid w:val="00F57FD0"/>
    <w:rsid w:val="00F60305"/>
    <w:rsid w:val="00F61B12"/>
    <w:rsid w:val="00F63264"/>
    <w:rsid w:val="00F634E4"/>
    <w:rsid w:val="00F6379E"/>
    <w:rsid w:val="00F64047"/>
    <w:rsid w:val="00F65171"/>
    <w:rsid w:val="00F6560D"/>
    <w:rsid w:val="00F65C23"/>
    <w:rsid w:val="00F67844"/>
    <w:rsid w:val="00F70799"/>
    <w:rsid w:val="00F70A8B"/>
    <w:rsid w:val="00F70B8D"/>
    <w:rsid w:val="00F71936"/>
    <w:rsid w:val="00F724FB"/>
    <w:rsid w:val="00F726B8"/>
    <w:rsid w:val="00F72A26"/>
    <w:rsid w:val="00F733C3"/>
    <w:rsid w:val="00F746A1"/>
    <w:rsid w:val="00F74820"/>
    <w:rsid w:val="00F756DD"/>
    <w:rsid w:val="00F77F4E"/>
    <w:rsid w:val="00F80047"/>
    <w:rsid w:val="00F800C7"/>
    <w:rsid w:val="00F8104D"/>
    <w:rsid w:val="00F81587"/>
    <w:rsid w:val="00F8288F"/>
    <w:rsid w:val="00F84033"/>
    <w:rsid w:val="00F84802"/>
    <w:rsid w:val="00F85B72"/>
    <w:rsid w:val="00F86540"/>
    <w:rsid w:val="00F865CE"/>
    <w:rsid w:val="00F8766F"/>
    <w:rsid w:val="00F91082"/>
    <w:rsid w:val="00F9116D"/>
    <w:rsid w:val="00F91A9A"/>
    <w:rsid w:val="00F9203B"/>
    <w:rsid w:val="00F93ABB"/>
    <w:rsid w:val="00F94D79"/>
    <w:rsid w:val="00F9658C"/>
    <w:rsid w:val="00F97A7F"/>
    <w:rsid w:val="00FA0889"/>
    <w:rsid w:val="00FA16E7"/>
    <w:rsid w:val="00FA31C7"/>
    <w:rsid w:val="00FA472D"/>
    <w:rsid w:val="00FB0CBF"/>
    <w:rsid w:val="00FB18F6"/>
    <w:rsid w:val="00FB2A52"/>
    <w:rsid w:val="00FB3F92"/>
    <w:rsid w:val="00FB52C7"/>
    <w:rsid w:val="00FB57DC"/>
    <w:rsid w:val="00FB6E19"/>
    <w:rsid w:val="00FB71F6"/>
    <w:rsid w:val="00FC0AF8"/>
    <w:rsid w:val="00FC1483"/>
    <w:rsid w:val="00FC1C47"/>
    <w:rsid w:val="00FC3102"/>
    <w:rsid w:val="00FC39ED"/>
    <w:rsid w:val="00FC4419"/>
    <w:rsid w:val="00FC47E2"/>
    <w:rsid w:val="00FC4AA5"/>
    <w:rsid w:val="00FC4B88"/>
    <w:rsid w:val="00FC4BB8"/>
    <w:rsid w:val="00FC5148"/>
    <w:rsid w:val="00FC623A"/>
    <w:rsid w:val="00FC6524"/>
    <w:rsid w:val="00FC75AC"/>
    <w:rsid w:val="00FD01BF"/>
    <w:rsid w:val="00FD0525"/>
    <w:rsid w:val="00FD0AB7"/>
    <w:rsid w:val="00FD297D"/>
    <w:rsid w:val="00FD2D13"/>
    <w:rsid w:val="00FD374D"/>
    <w:rsid w:val="00FD6071"/>
    <w:rsid w:val="00FD633B"/>
    <w:rsid w:val="00FE0794"/>
    <w:rsid w:val="00FE1041"/>
    <w:rsid w:val="00FE24CB"/>
    <w:rsid w:val="00FE323F"/>
    <w:rsid w:val="00FE3473"/>
    <w:rsid w:val="00FE4049"/>
    <w:rsid w:val="00FE4794"/>
    <w:rsid w:val="00FE480F"/>
    <w:rsid w:val="00FE4998"/>
    <w:rsid w:val="00FE57DE"/>
    <w:rsid w:val="00FE7A68"/>
    <w:rsid w:val="00FF0231"/>
    <w:rsid w:val="00FF1C9B"/>
    <w:rsid w:val="00FF1D49"/>
    <w:rsid w:val="00FF203B"/>
    <w:rsid w:val="00FF2562"/>
    <w:rsid w:val="00FF3A41"/>
    <w:rsid w:val="00FF3E5B"/>
    <w:rsid w:val="00FF57E4"/>
    <w:rsid w:val="00FF78E5"/>
    <w:rsid w:val="0137433D"/>
    <w:rsid w:val="0167685B"/>
    <w:rsid w:val="01AF3D99"/>
    <w:rsid w:val="01E0373D"/>
    <w:rsid w:val="01E07299"/>
    <w:rsid w:val="02511F9D"/>
    <w:rsid w:val="02C24588"/>
    <w:rsid w:val="03053E1E"/>
    <w:rsid w:val="034A7986"/>
    <w:rsid w:val="03A314B8"/>
    <w:rsid w:val="03D82B98"/>
    <w:rsid w:val="03F83E8B"/>
    <w:rsid w:val="043139AB"/>
    <w:rsid w:val="04A948C6"/>
    <w:rsid w:val="04E4707A"/>
    <w:rsid w:val="052F3684"/>
    <w:rsid w:val="056931DE"/>
    <w:rsid w:val="05C56868"/>
    <w:rsid w:val="06662020"/>
    <w:rsid w:val="06910E1E"/>
    <w:rsid w:val="07156071"/>
    <w:rsid w:val="079133D7"/>
    <w:rsid w:val="07B72767"/>
    <w:rsid w:val="07EE21BF"/>
    <w:rsid w:val="08077E72"/>
    <w:rsid w:val="08180766"/>
    <w:rsid w:val="084762C4"/>
    <w:rsid w:val="08882DD0"/>
    <w:rsid w:val="08925C1C"/>
    <w:rsid w:val="08C117B5"/>
    <w:rsid w:val="08F655F4"/>
    <w:rsid w:val="08FF1C4F"/>
    <w:rsid w:val="09125DF7"/>
    <w:rsid w:val="09181A0E"/>
    <w:rsid w:val="091C48B6"/>
    <w:rsid w:val="09451961"/>
    <w:rsid w:val="096A6FCA"/>
    <w:rsid w:val="0992356F"/>
    <w:rsid w:val="09CC2AAC"/>
    <w:rsid w:val="09D26E76"/>
    <w:rsid w:val="0A652D3E"/>
    <w:rsid w:val="0A6E534A"/>
    <w:rsid w:val="0A967536"/>
    <w:rsid w:val="0AA50079"/>
    <w:rsid w:val="0AC307ED"/>
    <w:rsid w:val="0B077F8D"/>
    <w:rsid w:val="0B31710B"/>
    <w:rsid w:val="0B326F2A"/>
    <w:rsid w:val="0B5FFF09"/>
    <w:rsid w:val="0C1E2888"/>
    <w:rsid w:val="0C442450"/>
    <w:rsid w:val="0C92213C"/>
    <w:rsid w:val="0CA112E1"/>
    <w:rsid w:val="0CAF58D1"/>
    <w:rsid w:val="0CBE09BF"/>
    <w:rsid w:val="0D217FE7"/>
    <w:rsid w:val="0D461907"/>
    <w:rsid w:val="0D5116CB"/>
    <w:rsid w:val="0D8140FC"/>
    <w:rsid w:val="0D84032B"/>
    <w:rsid w:val="0DCF69D3"/>
    <w:rsid w:val="0DE92F49"/>
    <w:rsid w:val="0E1A639F"/>
    <w:rsid w:val="0F2A74C4"/>
    <w:rsid w:val="0FB6EA78"/>
    <w:rsid w:val="10640514"/>
    <w:rsid w:val="10A27F31"/>
    <w:rsid w:val="114371F8"/>
    <w:rsid w:val="11751F83"/>
    <w:rsid w:val="11927058"/>
    <w:rsid w:val="11DD6DFD"/>
    <w:rsid w:val="120D0DB1"/>
    <w:rsid w:val="124A7941"/>
    <w:rsid w:val="12D40754"/>
    <w:rsid w:val="12EFEEA2"/>
    <w:rsid w:val="13A23971"/>
    <w:rsid w:val="13AF4F03"/>
    <w:rsid w:val="13B98E81"/>
    <w:rsid w:val="13DA3763"/>
    <w:rsid w:val="14736E66"/>
    <w:rsid w:val="147F458F"/>
    <w:rsid w:val="14B64560"/>
    <w:rsid w:val="14BA59D8"/>
    <w:rsid w:val="14D958EC"/>
    <w:rsid w:val="1534169A"/>
    <w:rsid w:val="153B2D0D"/>
    <w:rsid w:val="15551BBC"/>
    <w:rsid w:val="1573F8A8"/>
    <w:rsid w:val="158741A4"/>
    <w:rsid w:val="158B051F"/>
    <w:rsid w:val="159E5049"/>
    <w:rsid w:val="15C03E03"/>
    <w:rsid w:val="162A25EB"/>
    <w:rsid w:val="16597416"/>
    <w:rsid w:val="16FD2A55"/>
    <w:rsid w:val="17067C1A"/>
    <w:rsid w:val="17103D25"/>
    <w:rsid w:val="171E4694"/>
    <w:rsid w:val="17366761"/>
    <w:rsid w:val="17660B09"/>
    <w:rsid w:val="1767414B"/>
    <w:rsid w:val="17771B63"/>
    <w:rsid w:val="177C01F0"/>
    <w:rsid w:val="179D70B4"/>
    <w:rsid w:val="17B46DA6"/>
    <w:rsid w:val="17C93012"/>
    <w:rsid w:val="17CE6630"/>
    <w:rsid w:val="17DBB9D9"/>
    <w:rsid w:val="17E50026"/>
    <w:rsid w:val="181D0ABE"/>
    <w:rsid w:val="18952734"/>
    <w:rsid w:val="193B43CA"/>
    <w:rsid w:val="197E2FF0"/>
    <w:rsid w:val="19AA66B3"/>
    <w:rsid w:val="19C06FCC"/>
    <w:rsid w:val="1A5C0CA2"/>
    <w:rsid w:val="1A8CC919"/>
    <w:rsid w:val="1AFBCB7A"/>
    <w:rsid w:val="1AFC2FE9"/>
    <w:rsid w:val="1AFF0AFE"/>
    <w:rsid w:val="1B035836"/>
    <w:rsid w:val="1B4F19F8"/>
    <w:rsid w:val="1B8C36AF"/>
    <w:rsid w:val="1BD243B5"/>
    <w:rsid w:val="1C226F03"/>
    <w:rsid w:val="1C2616C1"/>
    <w:rsid w:val="1C3A47C4"/>
    <w:rsid w:val="1D966056"/>
    <w:rsid w:val="1DDE51E8"/>
    <w:rsid w:val="1DE065F9"/>
    <w:rsid w:val="1DF40373"/>
    <w:rsid w:val="1EC420CF"/>
    <w:rsid w:val="1ECC44FA"/>
    <w:rsid w:val="1F063325"/>
    <w:rsid w:val="1F767332"/>
    <w:rsid w:val="1F7D3D68"/>
    <w:rsid w:val="1F8D4A25"/>
    <w:rsid w:val="1FBC5DF5"/>
    <w:rsid w:val="1FEB3C57"/>
    <w:rsid w:val="1FF805FE"/>
    <w:rsid w:val="1FF90588"/>
    <w:rsid w:val="203664E5"/>
    <w:rsid w:val="205633C9"/>
    <w:rsid w:val="20C3623F"/>
    <w:rsid w:val="215238B8"/>
    <w:rsid w:val="21781212"/>
    <w:rsid w:val="21982916"/>
    <w:rsid w:val="21B83F86"/>
    <w:rsid w:val="221178A8"/>
    <w:rsid w:val="221213CF"/>
    <w:rsid w:val="22327A92"/>
    <w:rsid w:val="224575DE"/>
    <w:rsid w:val="22AD2F61"/>
    <w:rsid w:val="22C73E32"/>
    <w:rsid w:val="231D53A2"/>
    <w:rsid w:val="236D5383"/>
    <w:rsid w:val="23B7504C"/>
    <w:rsid w:val="23D9206E"/>
    <w:rsid w:val="23E5288C"/>
    <w:rsid w:val="24571307"/>
    <w:rsid w:val="25110A2A"/>
    <w:rsid w:val="256C0944"/>
    <w:rsid w:val="25B634B8"/>
    <w:rsid w:val="26114279"/>
    <w:rsid w:val="26446DE3"/>
    <w:rsid w:val="26647BB1"/>
    <w:rsid w:val="269669E7"/>
    <w:rsid w:val="26D7699F"/>
    <w:rsid w:val="26FE75A9"/>
    <w:rsid w:val="27313533"/>
    <w:rsid w:val="27337B38"/>
    <w:rsid w:val="27406B1D"/>
    <w:rsid w:val="275E2399"/>
    <w:rsid w:val="27AFC174"/>
    <w:rsid w:val="29A41FEA"/>
    <w:rsid w:val="29A669B2"/>
    <w:rsid w:val="29A97C63"/>
    <w:rsid w:val="29EE37F9"/>
    <w:rsid w:val="2A64471D"/>
    <w:rsid w:val="2AF6134A"/>
    <w:rsid w:val="2B5F6F53"/>
    <w:rsid w:val="2B774624"/>
    <w:rsid w:val="2B85488A"/>
    <w:rsid w:val="2BCCC2FF"/>
    <w:rsid w:val="2C353D2E"/>
    <w:rsid w:val="2C424635"/>
    <w:rsid w:val="2C7A72BE"/>
    <w:rsid w:val="2C8563D4"/>
    <w:rsid w:val="2C9A7D75"/>
    <w:rsid w:val="2CC17412"/>
    <w:rsid w:val="2CDE0083"/>
    <w:rsid w:val="2D607416"/>
    <w:rsid w:val="2D769FD9"/>
    <w:rsid w:val="2DA311A1"/>
    <w:rsid w:val="2E5A3184"/>
    <w:rsid w:val="2E9976CE"/>
    <w:rsid w:val="2EF771CF"/>
    <w:rsid w:val="2F401D3C"/>
    <w:rsid w:val="2F5B24E1"/>
    <w:rsid w:val="2F6F329C"/>
    <w:rsid w:val="2F7D8BB9"/>
    <w:rsid w:val="2FA95C88"/>
    <w:rsid w:val="2FCA15E4"/>
    <w:rsid w:val="2FD41A10"/>
    <w:rsid w:val="30002B31"/>
    <w:rsid w:val="3041370F"/>
    <w:rsid w:val="30BB604A"/>
    <w:rsid w:val="312B50A3"/>
    <w:rsid w:val="31F34C9E"/>
    <w:rsid w:val="32453A27"/>
    <w:rsid w:val="3263064A"/>
    <w:rsid w:val="32833F68"/>
    <w:rsid w:val="32A43132"/>
    <w:rsid w:val="32AC0C06"/>
    <w:rsid w:val="331E2310"/>
    <w:rsid w:val="33344EF5"/>
    <w:rsid w:val="33442768"/>
    <w:rsid w:val="336254B1"/>
    <w:rsid w:val="340B78F6"/>
    <w:rsid w:val="340E05F8"/>
    <w:rsid w:val="345749D0"/>
    <w:rsid w:val="345E63C1"/>
    <w:rsid w:val="34C7605D"/>
    <w:rsid w:val="34E46AC5"/>
    <w:rsid w:val="34EE2463"/>
    <w:rsid w:val="3537750C"/>
    <w:rsid w:val="3537798C"/>
    <w:rsid w:val="359A4856"/>
    <w:rsid w:val="35A779C9"/>
    <w:rsid w:val="35C13FC9"/>
    <w:rsid w:val="35C921A3"/>
    <w:rsid w:val="35DA12A2"/>
    <w:rsid w:val="362F07AD"/>
    <w:rsid w:val="364257B6"/>
    <w:rsid w:val="367117D5"/>
    <w:rsid w:val="36A10FF3"/>
    <w:rsid w:val="37EA5922"/>
    <w:rsid w:val="38276B93"/>
    <w:rsid w:val="38561F8B"/>
    <w:rsid w:val="389F396A"/>
    <w:rsid w:val="38AC3431"/>
    <w:rsid w:val="38BE13DB"/>
    <w:rsid w:val="38E01351"/>
    <w:rsid w:val="38FBD4A6"/>
    <w:rsid w:val="392F2E16"/>
    <w:rsid w:val="39A51B16"/>
    <w:rsid w:val="39BD2EB9"/>
    <w:rsid w:val="39C42A21"/>
    <w:rsid w:val="39E00529"/>
    <w:rsid w:val="3A0B64A7"/>
    <w:rsid w:val="3A3005F1"/>
    <w:rsid w:val="3A43603C"/>
    <w:rsid w:val="3A4E459F"/>
    <w:rsid w:val="3A574DDA"/>
    <w:rsid w:val="3AA93815"/>
    <w:rsid w:val="3AD3075A"/>
    <w:rsid w:val="3AF74C02"/>
    <w:rsid w:val="3B5F3486"/>
    <w:rsid w:val="3BBD6161"/>
    <w:rsid w:val="3BC13765"/>
    <w:rsid w:val="3BDF1984"/>
    <w:rsid w:val="3BF44B92"/>
    <w:rsid w:val="3C0059A5"/>
    <w:rsid w:val="3C134E78"/>
    <w:rsid w:val="3C410474"/>
    <w:rsid w:val="3C586690"/>
    <w:rsid w:val="3CBA010B"/>
    <w:rsid w:val="3D322079"/>
    <w:rsid w:val="3D6A56D3"/>
    <w:rsid w:val="3D9320CA"/>
    <w:rsid w:val="3DBF37A9"/>
    <w:rsid w:val="3DEC7285"/>
    <w:rsid w:val="3DF6345D"/>
    <w:rsid w:val="3DFE7DB6"/>
    <w:rsid w:val="3E2A0162"/>
    <w:rsid w:val="3E2B5515"/>
    <w:rsid w:val="3E4D4F28"/>
    <w:rsid w:val="3E619C70"/>
    <w:rsid w:val="3E6F3209"/>
    <w:rsid w:val="3E8F2F71"/>
    <w:rsid w:val="3EE13701"/>
    <w:rsid w:val="3F1A4BB3"/>
    <w:rsid w:val="3F8810CB"/>
    <w:rsid w:val="3F9F74AC"/>
    <w:rsid w:val="3FA13014"/>
    <w:rsid w:val="3FAF1734"/>
    <w:rsid w:val="3FBF5024"/>
    <w:rsid w:val="3FEA223F"/>
    <w:rsid w:val="3FF027C2"/>
    <w:rsid w:val="3FF79A29"/>
    <w:rsid w:val="3FFE6B0C"/>
    <w:rsid w:val="3FFF7835"/>
    <w:rsid w:val="40192BA6"/>
    <w:rsid w:val="40956723"/>
    <w:rsid w:val="40B5529D"/>
    <w:rsid w:val="41766EA9"/>
    <w:rsid w:val="420D79AC"/>
    <w:rsid w:val="42140291"/>
    <w:rsid w:val="421F1379"/>
    <w:rsid w:val="42550A18"/>
    <w:rsid w:val="429D496A"/>
    <w:rsid w:val="42E17C02"/>
    <w:rsid w:val="42F473A1"/>
    <w:rsid w:val="42F73FB0"/>
    <w:rsid w:val="42FA5A0C"/>
    <w:rsid w:val="43980F93"/>
    <w:rsid w:val="43CA157C"/>
    <w:rsid w:val="43DA67B6"/>
    <w:rsid w:val="43E51555"/>
    <w:rsid w:val="441E62C0"/>
    <w:rsid w:val="4444669C"/>
    <w:rsid w:val="447E1D91"/>
    <w:rsid w:val="450A27A5"/>
    <w:rsid w:val="451C71C5"/>
    <w:rsid w:val="451F5FB3"/>
    <w:rsid w:val="4527406A"/>
    <w:rsid w:val="45325D14"/>
    <w:rsid w:val="457D2B04"/>
    <w:rsid w:val="457F1EF2"/>
    <w:rsid w:val="45811C7C"/>
    <w:rsid w:val="45906116"/>
    <w:rsid w:val="468B3EFB"/>
    <w:rsid w:val="468B5D54"/>
    <w:rsid w:val="46B33BF3"/>
    <w:rsid w:val="46F64F63"/>
    <w:rsid w:val="470A6193"/>
    <w:rsid w:val="472D7ADB"/>
    <w:rsid w:val="47385210"/>
    <w:rsid w:val="47D76735"/>
    <w:rsid w:val="47DC4F5C"/>
    <w:rsid w:val="47FFDF42"/>
    <w:rsid w:val="485F334D"/>
    <w:rsid w:val="486709D4"/>
    <w:rsid w:val="4882219B"/>
    <w:rsid w:val="48B40671"/>
    <w:rsid w:val="48FF3DE9"/>
    <w:rsid w:val="498E7F31"/>
    <w:rsid w:val="499B5738"/>
    <w:rsid w:val="499F244D"/>
    <w:rsid w:val="49CB506F"/>
    <w:rsid w:val="4A9369B5"/>
    <w:rsid w:val="4A973F3F"/>
    <w:rsid w:val="4ADA5572"/>
    <w:rsid w:val="4AE42BEA"/>
    <w:rsid w:val="4AF96BC7"/>
    <w:rsid w:val="4B3B0D17"/>
    <w:rsid w:val="4B5A416B"/>
    <w:rsid w:val="4B862A85"/>
    <w:rsid w:val="4B8B1BB8"/>
    <w:rsid w:val="4BD10909"/>
    <w:rsid w:val="4C7D53DD"/>
    <w:rsid w:val="4CA14654"/>
    <w:rsid w:val="4CB827BB"/>
    <w:rsid w:val="4CEF36E2"/>
    <w:rsid w:val="4CEF4DC5"/>
    <w:rsid w:val="4D367C88"/>
    <w:rsid w:val="4D37541D"/>
    <w:rsid w:val="4D4D26C7"/>
    <w:rsid w:val="4DE65204"/>
    <w:rsid w:val="4DF23BA9"/>
    <w:rsid w:val="4DFA5A36"/>
    <w:rsid w:val="4E257655"/>
    <w:rsid w:val="4E5DB4E2"/>
    <w:rsid w:val="4E5E1A48"/>
    <w:rsid w:val="4E8E7871"/>
    <w:rsid w:val="4EBF4C1D"/>
    <w:rsid w:val="4ECE5ABD"/>
    <w:rsid w:val="4EFF7B30"/>
    <w:rsid w:val="4F372380"/>
    <w:rsid w:val="4F372FFB"/>
    <w:rsid w:val="4F844CD5"/>
    <w:rsid w:val="4F9A7E88"/>
    <w:rsid w:val="4FD207D0"/>
    <w:rsid w:val="501F72C6"/>
    <w:rsid w:val="5025116D"/>
    <w:rsid w:val="50286F83"/>
    <w:rsid w:val="508D6F87"/>
    <w:rsid w:val="512F1E25"/>
    <w:rsid w:val="51A925A1"/>
    <w:rsid w:val="5212305A"/>
    <w:rsid w:val="52395ECD"/>
    <w:rsid w:val="52990053"/>
    <w:rsid w:val="52A1478F"/>
    <w:rsid w:val="52C10D75"/>
    <w:rsid w:val="534A6A0C"/>
    <w:rsid w:val="53656BCB"/>
    <w:rsid w:val="53A9545A"/>
    <w:rsid w:val="53C27FF8"/>
    <w:rsid w:val="549E1A80"/>
    <w:rsid w:val="54C658F4"/>
    <w:rsid w:val="550B2478"/>
    <w:rsid w:val="550C4BD7"/>
    <w:rsid w:val="554C1D56"/>
    <w:rsid w:val="554C1DF1"/>
    <w:rsid w:val="55572986"/>
    <w:rsid w:val="556115E0"/>
    <w:rsid w:val="55C062DD"/>
    <w:rsid w:val="55DB6448"/>
    <w:rsid w:val="55DBEC22"/>
    <w:rsid w:val="55F5085F"/>
    <w:rsid w:val="56113FA8"/>
    <w:rsid w:val="565340FA"/>
    <w:rsid w:val="5723343E"/>
    <w:rsid w:val="573D7EAB"/>
    <w:rsid w:val="57E12A68"/>
    <w:rsid w:val="57FEDB1C"/>
    <w:rsid w:val="587C0C3F"/>
    <w:rsid w:val="587C6756"/>
    <w:rsid w:val="58AF3821"/>
    <w:rsid w:val="59474BFF"/>
    <w:rsid w:val="5965071F"/>
    <w:rsid w:val="596769E1"/>
    <w:rsid w:val="59845D6C"/>
    <w:rsid w:val="59927F0F"/>
    <w:rsid w:val="59961D22"/>
    <w:rsid w:val="59D66FC4"/>
    <w:rsid w:val="5A084540"/>
    <w:rsid w:val="5A2F2CC8"/>
    <w:rsid w:val="5A5BBDA2"/>
    <w:rsid w:val="5A8F33B0"/>
    <w:rsid w:val="5A964B51"/>
    <w:rsid w:val="5A9B1124"/>
    <w:rsid w:val="5AD5DAA9"/>
    <w:rsid w:val="5BA26962"/>
    <w:rsid w:val="5BB9CAF2"/>
    <w:rsid w:val="5BC700CA"/>
    <w:rsid w:val="5BD05314"/>
    <w:rsid w:val="5C10702D"/>
    <w:rsid w:val="5C152601"/>
    <w:rsid w:val="5C211774"/>
    <w:rsid w:val="5C591F03"/>
    <w:rsid w:val="5C8A1B2F"/>
    <w:rsid w:val="5CDD1726"/>
    <w:rsid w:val="5CFD0899"/>
    <w:rsid w:val="5D914004"/>
    <w:rsid w:val="5DAD42A5"/>
    <w:rsid w:val="5DB86103"/>
    <w:rsid w:val="5DF31C2C"/>
    <w:rsid w:val="5E4B3C23"/>
    <w:rsid w:val="5E6A6A04"/>
    <w:rsid w:val="5E773285"/>
    <w:rsid w:val="5EB55AE8"/>
    <w:rsid w:val="5EC7698C"/>
    <w:rsid w:val="5ECD1333"/>
    <w:rsid w:val="5EE06268"/>
    <w:rsid w:val="5EFF0315"/>
    <w:rsid w:val="5F003172"/>
    <w:rsid w:val="5F4D398E"/>
    <w:rsid w:val="5F561B72"/>
    <w:rsid w:val="5F7AB3AA"/>
    <w:rsid w:val="5F9803C7"/>
    <w:rsid w:val="5FCF196A"/>
    <w:rsid w:val="5FDFB2D4"/>
    <w:rsid w:val="5FE227D6"/>
    <w:rsid w:val="5FF2BDBD"/>
    <w:rsid w:val="5FFFCFB5"/>
    <w:rsid w:val="60515259"/>
    <w:rsid w:val="606007BB"/>
    <w:rsid w:val="609D6B1E"/>
    <w:rsid w:val="60A24FBB"/>
    <w:rsid w:val="60AC7F66"/>
    <w:rsid w:val="60D9297A"/>
    <w:rsid w:val="60FF359A"/>
    <w:rsid w:val="610E1A67"/>
    <w:rsid w:val="61BE1E72"/>
    <w:rsid w:val="61BF10D9"/>
    <w:rsid w:val="61DA3D4C"/>
    <w:rsid w:val="625720AE"/>
    <w:rsid w:val="62AC22DC"/>
    <w:rsid w:val="62B105AF"/>
    <w:rsid w:val="63240EE2"/>
    <w:rsid w:val="633D0FCB"/>
    <w:rsid w:val="63502B36"/>
    <w:rsid w:val="637833E8"/>
    <w:rsid w:val="639B1595"/>
    <w:rsid w:val="64E45EF7"/>
    <w:rsid w:val="64FB5B12"/>
    <w:rsid w:val="656F1E98"/>
    <w:rsid w:val="65DA7E90"/>
    <w:rsid w:val="65F641CD"/>
    <w:rsid w:val="6691014E"/>
    <w:rsid w:val="66A217C3"/>
    <w:rsid w:val="66C87CCE"/>
    <w:rsid w:val="67094621"/>
    <w:rsid w:val="67185FD7"/>
    <w:rsid w:val="677435B2"/>
    <w:rsid w:val="67CC879A"/>
    <w:rsid w:val="67EF75F1"/>
    <w:rsid w:val="67EFBFFE"/>
    <w:rsid w:val="67FD51CC"/>
    <w:rsid w:val="682E08CF"/>
    <w:rsid w:val="68950B95"/>
    <w:rsid w:val="68E57AC2"/>
    <w:rsid w:val="69124F16"/>
    <w:rsid w:val="693048D3"/>
    <w:rsid w:val="694A5205"/>
    <w:rsid w:val="69700F9C"/>
    <w:rsid w:val="69CD5C14"/>
    <w:rsid w:val="69CF0D33"/>
    <w:rsid w:val="69DFBCD0"/>
    <w:rsid w:val="6A063510"/>
    <w:rsid w:val="6A121B42"/>
    <w:rsid w:val="6A3D361C"/>
    <w:rsid w:val="6A3F75F7"/>
    <w:rsid w:val="6AD322D0"/>
    <w:rsid w:val="6ADA0C61"/>
    <w:rsid w:val="6B2946C7"/>
    <w:rsid w:val="6B714699"/>
    <w:rsid w:val="6B8005EE"/>
    <w:rsid w:val="6B9946B3"/>
    <w:rsid w:val="6BAF6C83"/>
    <w:rsid w:val="6BD142EE"/>
    <w:rsid w:val="6BFBF85A"/>
    <w:rsid w:val="6BFDE486"/>
    <w:rsid w:val="6C296356"/>
    <w:rsid w:val="6C662189"/>
    <w:rsid w:val="6C7007C7"/>
    <w:rsid w:val="6C9E7FF4"/>
    <w:rsid w:val="6CA53DFB"/>
    <w:rsid w:val="6CAAB5F4"/>
    <w:rsid w:val="6D215F00"/>
    <w:rsid w:val="6D3349B8"/>
    <w:rsid w:val="6D5F0E1B"/>
    <w:rsid w:val="6DCB3874"/>
    <w:rsid w:val="6DE76850"/>
    <w:rsid w:val="6DEEE903"/>
    <w:rsid w:val="6E074D4F"/>
    <w:rsid w:val="6E1C2556"/>
    <w:rsid w:val="6E3EAC0B"/>
    <w:rsid w:val="6E72EAC1"/>
    <w:rsid w:val="6EFBF1DF"/>
    <w:rsid w:val="6F05200D"/>
    <w:rsid w:val="6F6974B2"/>
    <w:rsid w:val="6F7F6C60"/>
    <w:rsid w:val="6F8841F5"/>
    <w:rsid w:val="6FA51D5F"/>
    <w:rsid w:val="6FB20BD4"/>
    <w:rsid w:val="6FB25D5E"/>
    <w:rsid w:val="6FB650F7"/>
    <w:rsid w:val="6FBA59BE"/>
    <w:rsid w:val="6FBF5258"/>
    <w:rsid w:val="6FD171F0"/>
    <w:rsid w:val="6FDFC0DD"/>
    <w:rsid w:val="6FEC16D9"/>
    <w:rsid w:val="70180DF5"/>
    <w:rsid w:val="70296B3E"/>
    <w:rsid w:val="70611204"/>
    <w:rsid w:val="71291DC3"/>
    <w:rsid w:val="712C2B86"/>
    <w:rsid w:val="71451664"/>
    <w:rsid w:val="714B775E"/>
    <w:rsid w:val="71C5B43D"/>
    <w:rsid w:val="71F05A45"/>
    <w:rsid w:val="71FFE565"/>
    <w:rsid w:val="7256709E"/>
    <w:rsid w:val="72830F87"/>
    <w:rsid w:val="728C7AD6"/>
    <w:rsid w:val="72AE5A41"/>
    <w:rsid w:val="73445350"/>
    <w:rsid w:val="73FFBFBA"/>
    <w:rsid w:val="74D558F8"/>
    <w:rsid w:val="74F735EF"/>
    <w:rsid w:val="74F84F59"/>
    <w:rsid w:val="74FA2C30"/>
    <w:rsid w:val="754D5C4B"/>
    <w:rsid w:val="7580301E"/>
    <w:rsid w:val="75DD40A1"/>
    <w:rsid w:val="7670743F"/>
    <w:rsid w:val="767D601D"/>
    <w:rsid w:val="76C240A7"/>
    <w:rsid w:val="76F7B9B5"/>
    <w:rsid w:val="76FFEF23"/>
    <w:rsid w:val="773ECD4A"/>
    <w:rsid w:val="773F808A"/>
    <w:rsid w:val="775246B7"/>
    <w:rsid w:val="77E39DF6"/>
    <w:rsid w:val="77FEF611"/>
    <w:rsid w:val="781E69D1"/>
    <w:rsid w:val="78294F21"/>
    <w:rsid w:val="78597EF2"/>
    <w:rsid w:val="79744C1B"/>
    <w:rsid w:val="79A72213"/>
    <w:rsid w:val="79C259CB"/>
    <w:rsid w:val="79FAA0DF"/>
    <w:rsid w:val="79FD9DEC"/>
    <w:rsid w:val="7A230AC3"/>
    <w:rsid w:val="7A263B6B"/>
    <w:rsid w:val="7A7FB3A6"/>
    <w:rsid w:val="7A8534F0"/>
    <w:rsid w:val="7A9A75D9"/>
    <w:rsid w:val="7AF46346"/>
    <w:rsid w:val="7AFD8893"/>
    <w:rsid w:val="7B0F5EBF"/>
    <w:rsid w:val="7B130FB9"/>
    <w:rsid w:val="7B5D39AF"/>
    <w:rsid w:val="7B6FF07B"/>
    <w:rsid w:val="7BC76B30"/>
    <w:rsid w:val="7BF64EDE"/>
    <w:rsid w:val="7C1646D9"/>
    <w:rsid w:val="7C307351"/>
    <w:rsid w:val="7C400C1E"/>
    <w:rsid w:val="7C586481"/>
    <w:rsid w:val="7C8C462E"/>
    <w:rsid w:val="7C97CCD3"/>
    <w:rsid w:val="7CCD25AB"/>
    <w:rsid w:val="7CEF514B"/>
    <w:rsid w:val="7CFAA55F"/>
    <w:rsid w:val="7D3A47B6"/>
    <w:rsid w:val="7DCE4727"/>
    <w:rsid w:val="7DD11708"/>
    <w:rsid w:val="7DDBD6D7"/>
    <w:rsid w:val="7DF75816"/>
    <w:rsid w:val="7DFD627C"/>
    <w:rsid w:val="7DFF0777"/>
    <w:rsid w:val="7E7E6E11"/>
    <w:rsid w:val="7E7F4C8D"/>
    <w:rsid w:val="7E995333"/>
    <w:rsid w:val="7EBD579E"/>
    <w:rsid w:val="7EC167BD"/>
    <w:rsid w:val="7EDB1479"/>
    <w:rsid w:val="7EEFEB95"/>
    <w:rsid w:val="7EFF2384"/>
    <w:rsid w:val="7EFF2416"/>
    <w:rsid w:val="7F052E77"/>
    <w:rsid w:val="7F0B5755"/>
    <w:rsid w:val="7F272D9E"/>
    <w:rsid w:val="7F3F0202"/>
    <w:rsid w:val="7F51379F"/>
    <w:rsid w:val="7F777080"/>
    <w:rsid w:val="7F7F8C69"/>
    <w:rsid w:val="7F9BC0FF"/>
    <w:rsid w:val="7FA95179"/>
    <w:rsid w:val="7FB03369"/>
    <w:rsid w:val="7FB53D06"/>
    <w:rsid w:val="7FB5D45D"/>
    <w:rsid w:val="7FB72880"/>
    <w:rsid w:val="7FBDEC74"/>
    <w:rsid w:val="7FBE35DC"/>
    <w:rsid w:val="7FBF0275"/>
    <w:rsid w:val="7FBF7104"/>
    <w:rsid w:val="7FCFE044"/>
    <w:rsid w:val="7FE99108"/>
    <w:rsid w:val="7FEE4196"/>
    <w:rsid w:val="7FEF40C1"/>
    <w:rsid w:val="7FFC62E3"/>
    <w:rsid w:val="7FFD2886"/>
    <w:rsid w:val="7FFF8809"/>
    <w:rsid w:val="7FFFBC60"/>
    <w:rsid w:val="7FFFD5DB"/>
    <w:rsid w:val="83B009A9"/>
    <w:rsid w:val="8EFF9FC8"/>
    <w:rsid w:val="8FB50667"/>
    <w:rsid w:val="8FFE62FE"/>
    <w:rsid w:val="93E7C972"/>
    <w:rsid w:val="9B9C632B"/>
    <w:rsid w:val="9BA2552D"/>
    <w:rsid w:val="9CD98605"/>
    <w:rsid w:val="9EE3A547"/>
    <w:rsid w:val="9FCC765C"/>
    <w:rsid w:val="A3FC6919"/>
    <w:rsid w:val="ABFDCD59"/>
    <w:rsid w:val="ADEE8487"/>
    <w:rsid w:val="AF776D10"/>
    <w:rsid w:val="AFFB0A2F"/>
    <w:rsid w:val="B6EDB3B6"/>
    <w:rsid w:val="B76B6880"/>
    <w:rsid w:val="B776F760"/>
    <w:rsid w:val="B7FF9636"/>
    <w:rsid w:val="B86CBEF7"/>
    <w:rsid w:val="B9C50715"/>
    <w:rsid w:val="BAFE364A"/>
    <w:rsid w:val="BBE23A10"/>
    <w:rsid w:val="BBFD222B"/>
    <w:rsid w:val="BBFEF1BF"/>
    <w:rsid w:val="BD771534"/>
    <w:rsid w:val="BD775BDE"/>
    <w:rsid w:val="BEFFA548"/>
    <w:rsid w:val="BFAF1606"/>
    <w:rsid w:val="BFC8547B"/>
    <w:rsid w:val="BFDF44D5"/>
    <w:rsid w:val="BFFF56AA"/>
    <w:rsid w:val="BFFF7627"/>
    <w:rsid w:val="C73B507A"/>
    <w:rsid w:val="CD17136F"/>
    <w:rsid w:val="CD331F94"/>
    <w:rsid w:val="CFEB74F4"/>
    <w:rsid w:val="CFFF1272"/>
    <w:rsid w:val="D55F051D"/>
    <w:rsid w:val="D5DF42F0"/>
    <w:rsid w:val="D5FF0636"/>
    <w:rsid w:val="D6FF15C0"/>
    <w:rsid w:val="D74E9157"/>
    <w:rsid w:val="D776C7A0"/>
    <w:rsid w:val="D77F95D1"/>
    <w:rsid w:val="D7E7D8AC"/>
    <w:rsid w:val="DA6A2EC9"/>
    <w:rsid w:val="DADF4E5A"/>
    <w:rsid w:val="DBBF4FFB"/>
    <w:rsid w:val="DBD726E4"/>
    <w:rsid w:val="DC5F50C4"/>
    <w:rsid w:val="DDAE7473"/>
    <w:rsid w:val="DDBF0C9A"/>
    <w:rsid w:val="DDFFA90C"/>
    <w:rsid w:val="DEEB9C73"/>
    <w:rsid w:val="DF671B28"/>
    <w:rsid w:val="DFB749DC"/>
    <w:rsid w:val="DFEBCD91"/>
    <w:rsid w:val="DFF21999"/>
    <w:rsid w:val="DFF73851"/>
    <w:rsid w:val="DFFDE7D4"/>
    <w:rsid w:val="E3A78358"/>
    <w:rsid w:val="E7F59043"/>
    <w:rsid w:val="EBFF3070"/>
    <w:rsid w:val="EC7A4C01"/>
    <w:rsid w:val="ECDF2DF8"/>
    <w:rsid w:val="ED1F9C0F"/>
    <w:rsid w:val="EDFEB606"/>
    <w:rsid w:val="EEBDAA02"/>
    <w:rsid w:val="EF1F9E28"/>
    <w:rsid w:val="EF77D1EF"/>
    <w:rsid w:val="EFAFC6B2"/>
    <w:rsid w:val="EFBD1912"/>
    <w:rsid w:val="EFDD6221"/>
    <w:rsid w:val="EFFE130C"/>
    <w:rsid w:val="EFFF5EE8"/>
    <w:rsid w:val="EFFF92F6"/>
    <w:rsid w:val="F33F0347"/>
    <w:rsid w:val="F37B5D50"/>
    <w:rsid w:val="F602A633"/>
    <w:rsid w:val="F6EAC1D2"/>
    <w:rsid w:val="F77E5118"/>
    <w:rsid w:val="F7A4F178"/>
    <w:rsid w:val="F7FF8F74"/>
    <w:rsid w:val="F8BE0785"/>
    <w:rsid w:val="F8FF587F"/>
    <w:rsid w:val="F9F799AF"/>
    <w:rsid w:val="FA7DB8BE"/>
    <w:rsid w:val="FAFDDAA9"/>
    <w:rsid w:val="FB7DCC79"/>
    <w:rsid w:val="FBEDB7E0"/>
    <w:rsid w:val="FBF6F09D"/>
    <w:rsid w:val="FC7F298B"/>
    <w:rsid w:val="FCBF38D7"/>
    <w:rsid w:val="FCDFF4CB"/>
    <w:rsid w:val="FD3B370A"/>
    <w:rsid w:val="FD6DC391"/>
    <w:rsid w:val="FD7FDBFC"/>
    <w:rsid w:val="FDD346FF"/>
    <w:rsid w:val="FDFD2ECE"/>
    <w:rsid w:val="FDFFA864"/>
    <w:rsid w:val="FE577C4E"/>
    <w:rsid w:val="FEBFC687"/>
    <w:rsid w:val="FED7278F"/>
    <w:rsid w:val="FEF98D2C"/>
    <w:rsid w:val="FEFA14E1"/>
    <w:rsid w:val="FF3A97CE"/>
    <w:rsid w:val="FF5FF6EE"/>
    <w:rsid w:val="FF675CC8"/>
    <w:rsid w:val="FF6B3982"/>
    <w:rsid w:val="FF73585B"/>
    <w:rsid w:val="FF77C68A"/>
    <w:rsid w:val="FF7BC49D"/>
    <w:rsid w:val="FFBD2C88"/>
    <w:rsid w:val="FFDBFE47"/>
    <w:rsid w:val="FFDED0E7"/>
    <w:rsid w:val="FFDFA74D"/>
    <w:rsid w:val="FFEF4367"/>
    <w:rsid w:val="FFFD447F"/>
    <w:rsid w:val="FFFF388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0" w:semiHidden="0" w:name="heading 4"/>
    <w:lsdException w:qFormat="1" w:unhideWhenUsed="0" w:uiPriority="9" w:semiHidden="0" w:name="heading 5"/>
    <w:lsdException w:qFormat="1" w:unhideWhenUsed="0" w:uiPriority="0" w:semiHidden="0" w:name="heading 6"/>
    <w:lsdException w:qFormat="1" w:uiPriority="9" w:name="heading 7"/>
    <w:lsdException w:qFormat="1" w:unhideWhenUsed="0" w:uiPriority="9" w:semiHidden="0"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qFormat="1" w:uiPriority="99" w:semiHidden="0" w:name="endnote reference"/>
    <w:lsdException w:uiPriority="99" w:name="endnote text"/>
    <w:lsdException w:uiPriority="99" w:name="table of authorities"/>
    <w:lsdException w:uiPriority="99" w:name="macro"/>
    <w:lsdException w:uiPriority="99" w:name="toa heading"/>
    <w:lsdException w:qFormat="1" w:uiPriority="99" w:semiHidden="0" w:name="List"/>
    <w:lsdException w:uiPriority="99" w:name="List Bullet"/>
    <w:lsdException w:qFormat="1" w:unhideWhenUsed="0" w:uiPriority="0" w:semiHidden="0"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uiPriority="99" w:name="Body Text First Indent 2"/>
    <w:lsdException w:uiPriority="99" w:name="Note Heading"/>
    <w:lsdException w:uiPriority="99" w:name="Body Text 2"/>
    <w:lsdException w:qFormat="1" w:uiPriority="99" w:semiHidden="0"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9"/>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40"/>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41"/>
    <w:qFormat/>
    <w:uiPriority w:val="9"/>
    <w:pPr>
      <w:keepNext/>
      <w:keepLines/>
      <w:spacing w:before="260" w:after="260" w:line="416" w:lineRule="auto"/>
      <w:outlineLvl w:val="2"/>
    </w:pPr>
    <w:rPr>
      <w:b/>
      <w:bCs/>
      <w:sz w:val="32"/>
      <w:szCs w:val="32"/>
    </w:rPr>
  </w:style>
  <w:style w:type="paragraph" w:styleId="5">
    <w:name w:val="heading 4"/>
    <w:basedOn w:val="1"/>
    <w:next w:val="1"/>
    <w:qFormat/>
    <w:uiPriority w:val="0"/>
    <w:pPr>
      <w:tabs>
        <w:tab w:val="left" w:pos="2155"/>
      </w:tabs>
      <w:adjustRightInd w:val="0"/>
      <w:spacing w:before="120" w:beforeLines="0" w:line="360" w:lineRule="auto"/>
      <w:ind w:left="2155" w:hanging="1078"/>
      <w:textAlignment w:val="baseline"/>
      <w:outlineLvl w:val="3"/>
    </w:pPr>
    <w:rPr>
      <w:rFonts w:ascii="Arial" w:eastAsia="黑体"/>
      <w:kern w:val="0"/>
      <w:sz w:val="28"/>
      <w:szCs w:val="20"/>
    </w:rPr>
  </w:style>
  <w:style w:type="paragraph" w:styleId="6">
    <w:name w:val="heading 5"/>
    <w:basedOn w:val="1"/>
    <w:next w:val="7"/>
    <w:link w:val="42"/>
    <w:qFormat/>
    <w:uiPriority w:val="9"/>
    <w:pPr>
      <w:keepNext/>
      <w:keepLines/>
      <w:spacing w:before="280" w:after="290" w:line="376" w:lineRule="auto"/>
      <w:outlineLvl w:val="4"/>
    </w:pPr>
    <w:rPr>
      <w:b/>
      <w:bCs/>
      <w:sz w:val="28"/>
      <w:szCs w:val="28"/>
    </w:rPr>
  </w:style>
  <w:style w:type="paragraph" w:styleId="8">
    <w:name w:val="heading 6"/>
    <w:basedOn w:val="1"/>
    <w:next w:val="1"/>
    <w:qFormat/>
    <w:uiPriority w:val="0"/>
    <w:pPr>
      <w:keepNext/>
      <w:keepLines/>
      <w:numPr>
        <w:ilvl w:val="5"/>
        <w:numId w:val="1"/>
      </w:numPr>
      <w:spacing w:before="240" w:after="64" w:line="320" w:lineRule="auto"/>
      <w:ind w:left="0"/>
      <w:outlineLvl w:val="5"/>
    </w:pPr>
    <w:rPr>
      <w:rFonts w:ascii="Arial" w:hAnsi="Arial" w:eastAsia="黑体"/>
      <w:b/>
      <w:sz w:val="24"/>
      <w:szCs w:val="24"/>
    </w:rPr>
  </w:style>
  <w:style w:type="paragraph" w:styleId="9">
    <w:name w:val="heading 8"/>
    <w:basedOn w:val="1"/>
    <w:next w:val="1"/>
    <w:link w:val="43"/>
    <w:qFormat/>
    <w:uiPriority w:val="9"/>
    <w:pPr>
      <w:keepNext/>
      <w:keepLines/>
      <w:spacing w:before="240" w:after="64" w:line="320" w:lineRule="auto"/>
      <w:outlineLvl w:val="7"/>
    </w:pPr>
    <w:rPr>
      <w:rFonts w:ascii="等线 Light" w:hAnsi="等线 Light" w:eastAsia="等线 Light"/>
      <w:sz w:val="24"/>
    </w:rPr>
  </w:style>
  <w:style w:type="character" w:default="1" w:styleId="32">
    <w:name w:val="Default Paragraph Font"/>
    <w:unhideWhenUsed/>
    <w:qFormat/>
    <w:uiPriority w:val="1"/>
  </w:style>
  <w:style w:type="table" w:default="1" w:styleId="30">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7">
    <w:name w:val="Normal Indent"/>
    <w:basedOn w:val="1"/>
    <w:qFormat/>
    <w:uiPriority w:val="0"/>
    <w:pPr>
      <w:ind w:firstLine="420"/>
    </w:pPr>
    <w:rPr>
      <w:szCs w:val="20"/>
    </w:rPr>
  </w:style>
  <w:style w:type="paragraph" w:styleId="10">
    <w:name w:val="List Number"/>
    <w:basedOn w:val="1"/>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11">
    <w:name w:val="Document Map"/>
    <w:basedOn w:val="1"/>
    <w:link w:val="44"/>
    <w:unhideWhenUsed/>
    <w:qFormat/>
    <w:uiPriority w:val="99"/>
    <w:rPr>
      <w:rFonts w:ascii="宋体"/>
      <w:sz w:val="18"/>
      <w:szCs w:val="18"/>
    </w:rPr>
  </w:style>
  <w:style w:type="paragraph" w:styleId="12">
    <w:name w:val="annotation text"/>
    <w:basedOn w:val="1"/>
    <w:link w:val="45"/>
    <w:qFormat/>
    <w:uiPriority w:val="0"/>
    <w:pPr>
      <w:jc w:val="left"/>
    </w:pPr>
  </w:style>
  <w:style w:type="paragraph" w:styleId="13">
    <w:name w:val="Body Text 3"/>
    <w:basedOn w:val="1"/>
    <w:link w:val="46"/>
    <w:unhideWhenUsed/>
    <w:qFormat/>
    <w:uiPriority w:val="99"/>
    <w:pPr>
      <w:spacing w:after="120"/>
    </w:pPr>
    <w:rPr>
      <w:sz w:val="16"/>
      <w:szCs w:val="16"/>
    </w:rPr>
  </w:style>
  <w:style w:type="paragraph" w:styleId="14">
    <w:name w:val="Body Text"/>
    <w:basedOn w:val="1"/>
    <w:next w:val="1"/>
    <w:link w:val="47"/>
    <w:unhideWhenUsed/>
    <w:qFormat/>
    <w:uiPriority w:val="0"/>
    <w:pPr>
      <w:spacing w:after="120"/>
    </w:pPr>
  </w:style>
  <w:style w:type="paragraph" w:styleId="15">
    <w:name w:val="Body Text Indent"/>
    <w:basedOn w:val="1"/>
    <w:link w:val="48"/>
    <w:qFormat/>
    <w:uiPriority w:val="0"/>
    <w:pPr>
      <w:ind w:firstLine="830" w:firstLineChars="352"/>
    </w:pPr>
    <w:rPr>
      <w:rFonts w:ascii="仿宋_GB2312" w:eastAsia="仿宋_GB2312"/>
      <w:kern w:val="0"/>
      <w:sz w:val="32"/>
      <w:szCs w:val="20"/>
    </w:rPr>
  </w:style>
  <w:style w:type="paragraph" w:styleId="16">
    <w:name w:val="List 2"/>
    <w:basedOn w:val="1"/>
    <w:unhideWhenUsed/>
    <w:qFormat/>
    <w:uiPriority w:val="99"/>
    <w:pPr>
      <w:ind w:left="100" w:leftChars="200" w:hanging="200" w:hangingChars="200"/>
      <w:contextualSpacing/>
    </w:pPr>
  </w:style>
  <w:style w:type="paragraph" w:styleId="17">
    <w:name w:val="toc 3"/>
    <w:basedOn w:val="1"/>
    <w:next w:val="1"/>
    <w:unhideWhenUsed/>
    <w:qFormat/>
    <w:uiPriority w:val="39"/>
    <w:pPr>
      <w:ind w:left="840" w:leftChars="400"/>
    </w:pPr>
  </w:style>
  <w:style w:type="paragraph" w:styleId="18">
    <w:name w:val="Plain Text"/>
    <w:basedOn w:val="1"/>
    <w:next w:val="5"/>
    <w:link w:val="49"/>
    <w:qFormat/>
    <w:uiPriority w:val="0"/>
    <w:rPr>
      <w:rFonts w:ascii="宋体" w:hAnsi="Courier New"/>
      <w:kern w:val="0"/>
      <w:sz w:val="20"/>
      <w:szCs w:val="21"/>
    </w:rPr>
  </w:style>
  <w:style w:type="paragraph" w:styleId="19">
    <w:name w:val="Date"/>
    <w:basedOn w:val="1"/>
    <w:next w:val="1"/>
    <w:link w:val="50"/>
    <w:unhideWhenUsed/>
    <w:qFormat/>
    <w:uiPriority w:val="99"/>
    <w:pPr>
      <w:ind w:left="100" w:leftChars="2500"/>
    </w:pPr>
  </w:style>
  <w:style w:type="paragraph" w:styleId="20">
    <w:name w:val="Balloon Text"/>
    <w:basedOn w:val="1"/>
    <w:link w:val="51"/>
    <w:semiHidden/>
    <w:qFormat/>
    <w:uiPriority w:val="0"/>
    <w:rPr>
      <w:sz w:val="18"/>
      <w:szCs w:val="18"/>
    </w:rPr>
  </w:style>
  <w:style w:type="paragraph" w:styleId="21">
    <w:name w:val="footer"/>
    <w:basedOn w:val="1"/>
    <w:next w:val="1"/>
    <w:link w:val="52"/>
    <w:unhideWhenUsed/>
    <w:qFormat/>
    <w:uiPriority w:val="99"/>
    <w:pPr>
      <w:tabs>
        <w:tab w:val="center" w:pos="4153"/>
        <w:tab w:val="right" w:pos="8306"/>
      </w:tabs>
      <w:snapToGrid w:val="0"/>
      <w:jc w:val="left"/>
    </w:pPr>
    <w:rPr>
      <w:kern w:val="0"/>
      <w:sz w:val="18"/>
      <w:szCs w:val="18"/>
    </w:rPr>
  </w:style>
  <w:style w:type="paragraph" w:styleId="22">
    <w:name w:val="header"/>
    <w:basedOn w:val="1"/>
    <w:link w:val="53"/>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23">
    <w:name w:val="toc 1"/>
    <w:basedOn w:val="1"/>
    <w:next w:val="1"/>
    <w:unhideWhenUsed/>
    <w:qFormat/>
    <w:uiPriority w:val="39"/>
  </w:style>
  <w:style w:type="paragraph" w:styleId="24">
    <w:name w:val="List"/>
    <w:basedOn w:val="1"/>
    <w:unhideWhenUsed/>
    <w:qFormat/>
    <w:uiPriority w:val="99"/>
    <w:pPr>
      <w:ind w:left="200" w:hanging="200" w:hangingChars="200"/>
      <w:contextualSpacing/>
    </w:pPr>
  </w:style>
  <w:style w:type="paragraph" w:styleId="25">
    <w:name w:val="table of figures"/>
    <w:basedOn w:val="1"/>
    <w:next w:val="1"/>
    <w:qFormat/>
    <w:uiPriority w:val="0"/>
    <w:pPr>
      <w:ind w:leftChars="200" w:hanging="200" w:hangingChars="200"/>
    </w:pPr>
  </w:style>
  <w:style w:type="paragraph" w:styleId="26">
    <w:name w:val="toc 2"/>
    <w:basedOn w:val="1"/>
    <w:next w:val="1"/>
    <w:unhideWhenUsed/>
    <w:qFormat/>
    <w:uiPriority w:val="39"/>
    <w:pPr>
      <w:tabs>
        <w:tab w:val="right" w:leader="dot" w:pos="8296"/>
      </w:tabs>
      <w:ind w:left="420" w:leftChars="200"/>
    </w:pPr>
  </w:style>
  <w:style w:type="paragraph" w:styleId="27">
    <w:name w:val="Normal (Web)"/>
    <w:basedOn w:val="1"/>
    <w:unhideWhenUsed/>
    <w:qFormat/>
    <w:uiPriority w:val="99"/>
    <w:pPr>
      <w:spacing w:before="0" w:beforeAutospacing="0" w:after="0" w:afterAutospacing="0"/>
      <w:ind w:left="0" w:right="0"/>
      <w:jc w:val="both"/>
    </w:pPr>
    <w:rPr>
      <w:rFonts w:hint="default" w:ascii="Calibri" w:hAnsi="Calibri" w:cs="Calibri"/>
      <w:kern w:val="0"/>
      <w:sz w:val="24"/>
      <w:szCs w:val="24"/>
      <w:lang w:val="en-US" w:eastAsia="zh-CN" w:bidi="ar"/>
    </w:rPr>
  </w:style>
  <w:style w:type="paragraph" w:styleId="28">
    <w:name w:val="annotation subject"/>
    <w:basedOn w:val="12"/>
    <w:next w:val="12"/>
    <w:link w:val="54"/>
    <w:qFormat/>
    <w:uiPriority w:val="99"/>
    <w:rPr>
      <w:b/>
      <w:bCs/>
    </w:rPr>
  </w:style>
  <w:style w:type="paragraph" w:styleId="29">
    <w:name w:val="Body Text First Indent"/>
    <w:basedOn w:val="14"/>
    <w:qFormat/>
    <w:uiPriority w:val="0"/>
    <w:pPr>
      <w:spacing w:after="0" w:line="520" w:lineRule="exact"/>
      <w:ind w:firstLine="420" w:firstLineChars="100"/>
    </w:pPr>
    <w:rPr>
      <w:rFonts w:ascii="仿宋_GB2312" w:hAnsi="Times New Roman" w:eastAsia="仿宋_GB2312" w:cs="Times New Roman"/>
      <w:sz w:val="32"/>
      <w:szCs w:val="32"/>
    </w:rPr>
  </w:style>
  <w:style w:type="table" w:styleId="31">
    <w:name w:val="Table Grid"/>
    <w:basedOn w:val="30"/>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3">
    <w:name w:val="endnote reference"/>
    <w:unhideWhenUsed/>
    <w:qFormat/>
    <w:uiPriority w:val="99"/>
    <w:rPr>
      <w:vertAlign w:val="superscript"/>
    </w:rPr>
  </w:style>
  <w:style w:type="character" w:styleId="34">
    <w:name w:val="page number"/>
    <w:basedOn w:val="32"/>
    <w:qFormat/>
    <w:uiPriority w:val="0"/>
  </w:style>
  <w:style w:type="character" w:styleId="35">
    <w:name w:val="FollowedHyperlink"/>
    <w:unhideWhenUsed/>
    <w:qFormat/>
    <w:uiPriority w:val="99"/>
    <w:rPr>
      <w:color w:val="800080"/>
      <w:u w:val="single"/>
    </w:rPr>
  </w:style>
  <w:style w:type="character" w:styleId="36">
    <w:name w:val="Emphasis"/>
    <w:basedOn w:val="32"/>
    <w:qFormat/>
    <w:uiPriority w:val="20"/>
    <w:rPr>
      <w:i/>
    </w:rPr>
  </w:style>
  <w:style w:type="character" w:styleId="37">
    <w:name w:val="Hyperlink"/>
    <w:unhideWhenUsed/>
    <w:qFormat/>
    <w:uiPriority w:val="99"/>
    <w:rPr>
      <w:color w:val="0000FF"/>
      <w:u w:val="single"/>
    </w:rPr>
  </w:style>
  <w:style w:type="character" w:styleId="38">
    <w:name w:val="annotation reference"/>
    <w:qFormat/>
    <w:uiPriority w:val="99"/>
    <w:rPr>
      <w:sz w:val="21"/>
      <w:szCs w:val="21"/>
    </w:rPr>
  </w:style>
  <w:style w:type="character" w:customStyle="1" w:styleId="39">
    <w:name w:val="标题 1 Char"/>
    <w:link w:val="2"/>
    <w:qFormat/>
    <w:uiPriority w:val="9"/>
    <w:rPr>
      <w:b/>
      <w:bCs/>
      <w:kern w:val="44"/>
      <w:sz w:val="44"/>
      <w:szCs w:val="44"/>
    </w:rPr>
  </w:style>
  <w:style w:type="character" w:customStyle="1" w:styleId="40">
    <w:name w:val="标题 2 Char1"/>
    <w:link w:val="3"/>
    <w:qFormat/>
    <w:uiPriority w:val="9"/>
    <w:rPr>
      <w:rFonts w:ascii="Cambria" w:hAnsi="Cambria" w:eastAsia="宋体" w:cs="Times New Roman"/>
      <w:b/>
      <w:bCs/>
      <w:kern w:val="2"/>
      <w:sz w:val="32"/>
      <w:szCs w:val="32"/>
    </w:rPr>
  </w:style>
  <w:style w:type="character" w:customStyle="1" w:styleId="41">
    <w:name w:val="标题 3 Char"/>
    <w:link w:val="4"/>
    <w:qFormat/>
    <w:uiPriority w:val="9"/>
    <w:rPr>
      <w:b/>
      <w:bCs/>
      <w:kern w:val="2"/>
      <w:sz w:val="32"/>
      <w:szCs w:val="32"/>
    </w:rPr>
  </w:style>
  <w:style w:type="character" w:customStyle="1" w:styleId="42">
    <w:name w:val="标题 5 Char"/>
    <w:link w:val="6"/>
    <w:qFormat/>
    <w:uiPriority w:val="9"/>
    <w:rPr>
      <w:rFonts w:ascii="Times New Roman" w:hAnsi="Times New Roman"/>
      <w:b/>
      <w:bCs/>
      <w:kern w:val="2"/>
      <w:sz w:val="28"/>
      <w:szCs w:val="28"/>
    </w:rPr>
  </w:style>
  <w:style w:type="character" w:customStyle="1" w:styleId="43">
    <w:name w:val="标题 8 Char1"/>
    <w:link w:val="9"/>
    <w:qFormat/>
    <w:uiPriority w:val="9"/>
    <w:rPr>
      <w:rFonts w:ascii="等线 Light" w:hAnsi="等线 Light" w:eastAsia="等线 Light" w:cs="Times New Roman"/>
      <w:kern w:val="2"/>
      <w:sz w:val="24"/>
      <w:szCs w:val="24"/>
    </w:rPr>
  </w:style>
  <w:style w:type="character" w:customStyle="1" w:styleId="44">
    <w:name w:val="文档结构图 Char"/>
    <w:link w:val="11"/>
    <w:qFormat/>
    <w:uiPriority w:val="99"/>
    <w:rPr>
      <w:rFonts w:ascii="宋体"/>
      <w:kern w:val="2"/>
      <w:sz w:val="18"/>
      <w:szCs w:val="18"/>
    </w:rPr>
  </w:style>
  <w:style w:type="character" w:customStyle="1" w:styleId="45">
    <w:name w:val="批注文字 Char1"/>
    <w:link w:val="12"/>
    <w:qFormat/>
    <w:uiPriority w:val="0"/>
    <w:rPr>
      <w:rFonts w:ascii="Times New Roman" w:hAnsi="Times New Roman"/>
      <w:kern w:val="2"/>
      <w:sz w:val="21"/>
      <w:szCs w:val="24"/>
    </w:rPr>
  </w:style>
  <w:style w:type="character" w:customStyle="1" w:styleId="46">
    <w:name w:val="正文文本 3 Char"/>
    <w:link w:val="13"/>
    <w:qFormat/>
    <w:uiPriority w:val="99"/>
    <w:rPr>
      <w:kern w:val="2"/>
      <w:sz w:val="16"/>
      <w:szCs w:val="16"/>
    </w:rPr>
  </w:style>
  <w:style w:type="character" w:customStyle="1" w:styleId="47">
    <w:name w:val="正文文本 Char1"/>
    <w:link w:val="14"/>
    <w:qFormat/>
    <w:uiPriority w:val="0"/>
    <w:rPr>
      <w:rFonts w:ascii="Times New Roman" w:hAnsi="Times New Roman"/>
      <w:kern w:val="2"/>
      <w:sz w:val="21"/>
      <w:szCs w:val="24"/>
    </w:rPr>
  </w:style>
  <w:style w:type="character" w:customStyle="1" w:styleId="48">
    <w:name w:val="正文文本缩进 Char"/>
    <w:link w:val="15"/>
    <w:qFormat/>
    <w:uiPriority w:val="0"/>
    <w:rPr>
      <w:rFonts w:ascii="仿宋_GB2312" w:hAnsi="Times New Roman" w:eastAsia="仿宋_GB2312" w:cs="Times New Roman"/>
      <w:sz w:val="32"/>
      <w:szCs w:val="20"/>
    </w:rPr>
  </w:style>
  <w:style w:type="character" w:customStyle="1" w:styleId="49">
    <w:name w:val="纯文本 Char1"/>
    <w:link w:val="18"/>
    <w:qFormat/>
    <w:uiPriority w:val="0"/>
    <w:rPr>
      <w:rFonts w:ascii="宋体" w:hAnsi="Courier New" w:eastAsia="宋体" w:cs="Courier New"/>
      <w:szCs w:val="21"/>
    </w:rPr>
  </w:style>
  <w:style w:type="character" w:customStyle="1" w:styleId="50">
    <w:name w:val="日期 Char"/>
    <w:link w:val="19"/>
    <w:qFormat/>
    <w:uiPriority w:val="99"/>
    <w:rPr>
      <w:rFonts w:ascii="Times New Roman" w:hAnsi="Times New Roman"/>
      <w:kern w:val="2"/>
      <w:sz w:val="21"/>
      <w:szCs w:val="24"/>
    </w:rPr>
  </w:style>
  <w:style w:type="character" w:customStyle="1" w:styleId="51">
    <w:name w:val="批注框文本 字符"/>
    <w:link w:val="20"/>
    <w:semiHidden/>
    <w:qFormat/>
    <w:uiPriority w:val="0"/>
    <w:rPr>
      <w:kern w:val="2"/>
      <w:sz w:val="18"/>
      <w:szCs w:val="18"/>
    </w:rPr>
  </w:style>
  <w:style w:type="character" w:customStyle="1" w:styleId="52">
    <w:name w:val="页脚 Char"/>
    <w:link w:val="21"/>
    <w:qFormat/>
    <w:uiPriority w:val="99"/>
    <w:rPr>
      <w:sz w:val="18"/>
      <w:szCs w:val="18"/>
    </w:rPr>
  </w:style>
  <w:style w:type="character" w:customStyle="1" w:styleId="53">
    <w:name w:val="页眉 Char"/>
    <w:link w:val="22"/>
    <w:qFormat/>
    <w:uiPriority w:val="99"/>
    <w:rPr>
      <w:sz w:val="18"/>
      <w:szCs w:val="18"/>
    </w:rPr>
  </w:style>
  <w:style w:type="character" w:customStyle="1" w:styleId="54">
    <w:name w:val="批注主题 Char"/>
    <w:link w:val="28"/>
    <w:qFormat/>
    <w:uiPriority w:val="99"/>
    <w:rPr>
      <w:rFonts w:ascii="Times New Roman" w:hAnsi="Times New Roman"/>
      <w:b/>
      <w:bCs/>
      <w:kern w:val="2"/>
      <w:sz w:val="21"/>
      <w:szCs w:val="24"/>
    </w:rPr>
  </w:style>
  <w:style w:type="character" w:customStyle="1" w:styleId="55">
    <w:name w:val="标题 5 字符"/>
    <w:qFormat/>
    <w:uiPriority w:val="9"/>
    <w:rPr>
      <w:b/>
      <w:bCs/>
      <w:kern w:val="2"/>
      <w:sz w:val="28"/>
      <w:szCs w:val="28"/>
    </w:rPr>
  </w:style>
  <w:style w:type="character" w:customStyle="1" w:styleId="56">
    <w:name w:val="正文文本 3 字符"/>
    <w:qFormat/>
    <w:uiPriority w:val="99"/>
    <w:rPr>
      <w:kern w:val="2"/>
      <w:sz w:val="16"/>
      <w:szCs w:val="16"/>
    </w:rPr>
  </w:style>
  <w:style w:type="character" w:customStyle="1" w:styleId="57">
    <w:name w:val="标题 3 字符"/>
    <w:qFormat/>
    <w:uiPriority w:val="9"/>
    <w:rPr>
      <w:b/>
      <w:bCs/>
      <w:kern w:val="2"/>
      <w:sz w:val="32"/>
      <w:szCs w:val="32"/>
    </w:rPr>
  </w:style>
  <w:style w:type="character" w:customStyle="1" w:styleId="58">
    <w:name w:val="纯文本 字符1"/>
    <w:qFormat/>
    <w:uiPriority w:val="0"/>
    <w:rPr>
      <w:rFonts w:ascii="宋体" w:hAnsi="Courier New"/>
    </w:rPr>
  </w:style>
  <w:style w:type="character" w:customStyle="1" w:styleId="59">
    <w:name w:val="正文文本缩进 字符"/>
    <w:qFormat/>
    <w:uiPriority w:val="0"/>
    <w:rPr>
      <w:rFonts w:ascii="仿宋_GB2312" w:eastAsia="仿宋_GB2312"/>
      <w:sz w:val="32"/>
    </w:rPr>
  </w:style>
  <w:style w:type="character" w:customStyle="1" w:styleId="60">
    <w:name w:val="纯文本 字符2"/>
    <w:qFormat/>
    <w:uiPriority w:val="0"/>
    <w:rPr>
      <w:rFonts w:ascii="宋体" w:hAnsi="Courier New" w:eastAsia="宋体" w:cs="Courier New"/>
      <w:szCs w:val="21"/>
    </w:rPr>
  </w:style>
  <w:style w:type="character" w:customStyle="1" w:styleId="61">
    <w:name w:val="标题 1 字符1"/>
    <w:qFormat/>
    <w:uiPriority w:val="0"/>
    <w:rPr>
      <w:b/>
      <w:bCs/>
      <w:kern w:val="44"/>
      <w:sz w:val="44"/>
      <w:szCs w:val="44"/>
    </w:rPr>
  </w:style>
  <w:style w:type="character" w:customStyle="1" w:styleId="62">
    <w:name w:val="日期 字符"/>
    <w:qFormat/>
    <w:uiPriority w:val="99"/>
    <w:rPr>
      <w:kern w:val="2"/>
      <w:sz w:val="21"/>
      <w:szCs w:val="24"/>
    </w:rPr>
  </w:style>
  <w:style w:type="character" w:customStyle="1" w:styleId="63">
    <w:name w:val="正文文本 Char"/>
    <w:qFormat/>
    <w:uiPriority w:val="0"/>
    <w:rPr>
      <w:rFonts w:ascii="Times New Roman" w:hAnsi="Times New Roman"/>
      <w:kern w:val="2"/>
      <w:sz w:val="21"/>
      <w:szCs w:val="24"/>
    </w:rPr>
  </w:style>
  <w:style w:type="character" w:customStyle="1" w:styleId="64">
    <w:name w:val="标题 2 字符"/>
    <w:qFormat/>
    <w:uiPriority w:val="9"/>
    <w:rPr>
      <w:rFonts w:ascii="Cambria" w:hAnsi="Cambria"/>
      <w:b/>
      <w:bCs/>
      <w:kern w:val="2"/>
      <w:sz w:val="32"/>
      <w:szCs w:val="32"/>
    </w:rPr>
  </w:style>
  <w:style w:type="character" w:customStyle="1" w:styleId="65">
    <w:name w:val="textcontents"/>
    <w:qFormat/>
    <w:uiPriority w:val="0"/>
  </w:style>
  <w:style w:type="character" w:customStyle="1" w:styleId="66">
    <w:name w:val="批注文字 字符"/>
    <w:qFormat/>
    <w:uiPriority w:val="0"/>
    <w:rPr>
      <w:rFonts w:ascii="Times New Roman" w:hAnsi="Times New Roman"/>
      <w:kern w:val="2"/>
      <w:sz w:val="21"/>
      <w:szCs w:val="24"/>
    </w:rPr>
  </w:style>
  <w:style w:type="character" w:customStyle="1" w:styleId="67">
    <w:name w:val="批注文字 字符2"/>
    <w:qFormat/>
    <w:uiPriority w:val="0"/>
    <w:rPr>
      <w:kern w:val="2"/>
      <w:sz w:val="21"/>
      <w:szCs w:val="24"/>
    </w:rPr>
  </w:style>
  <w:style w:type="character" w:customStyle="1" w:styleId="68">
    <w:name w:val="批注文字 Char"/>
    <w:qFormat/>
    <w:uiPriority w:val="0"/>
    <w:rPr>
      <w:rFonts w:ascii="Times New Roman" w:hAnsi="Times New Roman"/>
      <w:kern w:val="2"/>
      <w:sz w:val="21"/>
      <w:szCs w:val="24"/>
    </w:rPr>
  </w:style>
  <w:style w:type="character" w:customStyle="1" w:styleId="69">
    <w:name w:val="正文文本 字符"/>
    <w:qFormat/>
    <w:uiPriority w:val="0"/>
    <w:rPr>
      <w:rFonts w:ascii="Times New Roman" w:hAnsi="Times New Roman"/>
      <w:kern w:val="2"/>
      <w:sz w:val="21"/>
      <w:szCs w:val="24"/>
    </w:rPr>
  </w:style>
  <w:style w:type="character" w:customStyle="1" w:styleId="70">
    <w:name w:val="未处理的提及"/>
    <w:unhideWhenUsed/>
    <w:qFormat/>
    <w:uiPriority w:val="99"/>
    <w:rPr>
      <w:color w:val="605E5C"/>
      <w:shd w:val="clear" w:color="auto" w:fill="E1DFDD"/>
    </w:rPr>
  </w:style>
  <w:style w:type="character" w:customStyle="1" w:styleId="71">
    <w:name w:val="font11"/>
    <w:basedOn w:val="32"/>
    <w:qFormat/>
    <w:uiPriority w:val="0"/>
    <w:rPr>
      <w:rFonts w:ascii="宋体" w:hAnsi="宋体" w:eastAsia="宋体" w:cs="宋体"/>
      <w:color w:val="000000"/>
      <w:sz w:val="22"/>
      <w:szCs w:val="22"/>
      <w:u w:val="none"/>
    </w:rPr>
  </w:style>
  <w:style w:type="character" w:customStyle="1" w:styleId="72">
    <w:name w:val="批注框文本 Char"/>
    <w:semiHidden/>
    <w:qFormat/>
    <w:uiPriority w:val="0"/>
    <w:rPr>
      <w:kern w:val="2"/>
      <w:sz w:val="18"/>
      <w:szCs w:val="18"/>
    </w:rPr>
  </w:style>
  <w:style w:type="character" w:customStyle="1" w:styleId="73">
    <w:name w:val="页脚 字符"/>
    <w:qFormat/>
    <w:uiPriority w:val="99"/>
    <w:rPr>
      <w:sz w:val="18"/>
      <w:szCs w:val="18"/>
    </w:rPr>
  </w:style>
  <w:style w:type="character" w:customStyle="1" w:styleId="74">
    <w:name w:val="标题 8 Char"/>
    <w:qFormat/>
    <w:uiPriority w:val="0"/>
    <w:rPr>
      <w:rFonts w:ascii="Arial" w:hAnsi="Arial" w:eastAsia="黑体"/>
      <w:kern w:val="2"/>
      <w:sz w:val="24"/>
      <w:szCs w:val="24"/>
    </w:rPr>
  </w:style>
  <w:style w:type="character" w:customStyle="1" w:styleId="75">
    <w:name w:val="正文2 Char Char"/>
    <w:link w:val="76"/>
    <w:qFormat/>
    <w:uiPriority w:val="0"/>
    <w:rPr>
      <w:sz w:val="24"/>
    </w:rPr>
  </w:style>
  <w:style w:type="paragraph" w:customStyle="1" w:styleId="76">
    <w:name w:val="正文2"/>
    <w:basedOn w:val="1"/>
    <w:link w:val="75"/>
    <w:qFormat/>
    <w:uiPriority w:val="0"/>
    <w:pPr>
      <w:adjustRightInd w:val="0"/>
      <w:spacing w:before="156" w:line="360" w:lineRule="auto"/>
      <w:ind w:firstLine="510" w:firstLineChars="200"/>
    </w:pPr>
    <w:rPr>
      <w:kern w:val="0"/>
      <w:sz w:val="24"/>
      <w:szCs w:val="20"/>
    </w:rPr>
  </w:style>
  <w:style w:type="character" w:customStyle="1" w:styleId="77">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78">
    <w:name w:val="纯文本 字符3"/>
    <w:qFormat/>
    <w:uiPriority w:val="0"/>
    <w:rPr>
      <w:rFonts w:ascii="宋体" w:hAnsi="Courier New"/>
      <w:szCs w:val="21"/>
    </w:rPr>
  </w:style>
  <w:style w:type="character" w:customStyle="1" w:styleId="79">
    <w:name w:val="标题 8 字符"/>
    <w:qFormat/>
    <w:uiPriority w:val="9"/>
    <w:rPr>
      <w:rFonts w:ascii="等线 Light" w:hAnsi="等线 Light" w:eastAsia="等线 Light"/>
      <w:kern w:val="2"/>
      <w:sz w:val="24"/>
      <w:szCs w:val="24"/>
    </w:rPr>
  </w:style>
  <w:style w:type="character" w:customStyle="1" w:styleId="80">
    <w:name w:val="标题 1 字符"/>
    <w:qFormat/>
    <w:uiPriority w:val="9"/>
    <w:rPr>
      <w:b/>
      <w:bCs/>
      <w:kern w:val="44"/>
      <w:sz w:val="44"/>
      <w:szCs w:val="44"/>
    </w:rPr>
  </w:style>
  <w:style w:type="character" w:customStyle="1" w:styleId="81">
    <w:name w:val="页眉 字符"/>
    <w:qFormat/>
    <w:uiPriority w:val="99"/>
    <w:rPr>
      <w:sz w:val="18"/>
      <w:szCs w:val="18"/>
    </w:rPr>
  </w:style>
  <w:style w:type="character" w:customStyle="1" w:styleId="82">
    <w:name w:val="正文文本 字符1"/>
    <w:qFormat/>
    <w:uiPriority w:val="0"/>
    <w:rPr>
      <w:kern w:val="2"/>
      <w:sz w:val="21"/>
      <w:szCs w:val="24"/>
    </w:rPr>
  </w:style>
  <w:style w:type="character" w:customStyle="1" w:styleId="83">
    <w:name w:val="批注文字 字符1"/>
    <w:qFormat/>
    <w:uiPriority w:val="0"/>
    <w:rPr>
      <w:rFonts w:ascii="Times New Roman" w:hAnsi="Times New Roman"/>
      <w:kern w:val="2"/>
      <w:sz w:val="21"/>
      <w:szCs w:val="24"/>
    </w:rPr>
  </w:style>
  <w:style w:type="character" w:customStyle="1" w:styleId="84">
    <w:name w:val="标题 2 Char"/>
    <w:qFormat/>
    <w:uiPriority w:val="9"/>
    <w:rPr>
      <w:rFonts w:ascii="Cambria" w:hAnsi="Cambria" w:eastAsia="宋体" w:cs="Times New Roman"/>
      <w:b/>
      <w:bCs/>
      <w:kern w:val="2"/>
      <w:sz w:val="32"/>
      <w:szCs w:val="32"/>
    </w:rPr>
  </w:style>
  <w:style w:type="character" w:customStyle="1" w:styleId="85">
    <w:name w:val="批注主题 字符"/>
    <w:qFormat/>
    <w:uiPriority w:val="99"/>
    <w:rPr>
      <w:rFonts w:ascii="Times New Roman" w:hAnsi="Times New Roman"/>
      <w:b/>
      <w:bCs/>
      <w:kern w:val="2"/>
      <w:sz w:val="21"/>
      <w:szCs w:val="24"/>
    </w:rPr>
  </w:style>
  <w:style w:type="character" w:customStyle="1" w:styleId="86">
    <w:name w:val="apple-style-span"/>
    <w:qFormat/>
    <w:uiPriority w:val="0"/>
  </w:style>
  <w:style w:type="character" w:customStyle="1" w:styleId="87">
    <w:name w:val="纯文本 Char"/>
    <w:qFormat/>
    <w:uiPriority w:val="0"/>
    <w:rPr>
      <w:rFonts w:ascii="宋体" w:hAnsi="Courier New" w:eastAsia="宋体" w:cs="Courier New"/>
      <w:szCs w:val="21"/>
    </w:rPr>
  </w:style>
  <w:style w:type="character" w:customStyle="1" w:styleId="88">
    <w:name w:val="纯文本 字符"/>
    <w:qFormat/>
    <w:uiPriority w:val="0"/>
    <w:rPr>
      <w:rFonts w:ascii="宋体" w:hAnsi="Courier New" w:eastAsia="宋体" w:cs="Courier New"/>
      <w:szCs w:val="21"/>
    </w:rPr>
  </w:style>
  <w:style w:type="character" w:customStyle="1" w:styleId="89">
    <w:name w:val="font21"/>
    <w:basedOn w:val="32"/>
    <w:qFormat/>
    <w:uiPriority w:val="0"/>
    <w:rPr>
      <w:rFonts w:ascii="Arial" w:hAnsi="Arial" w:cs="Arial"/>
      <w:color w:val="000000"/>
      <w:sz w:val="22"/>
      <w:szCs w:val="22"/>
      <w:u w:val="none"/>
    </w:rPr>
  </w:style>
  <w:style w:type="character" w:customStyle="1" w:styleId="90">
    <w:name w:val="font31"/>
    <w:basedOn w:val="32"/>
    <w:qFormat/>
    <w:uiPriority w:val="0"/>
    <w:rPr>
      <w:rFonts w:hint="default" w:ascii="Arial" w:hAnsi="Arial" w:cs="Arial"/>
      <w:color w:val="000000"/>
      <w:sz w:val="22"/>
      <w:szCs w:val="22"/>
      <w:u w:val="none"/>
    </w:rPr>
  </w:style>
  <w:style w:type="paragraph" w:customStyle="1" w:styleId="91">
    <w:name w:val="列出段落1"/>
    <w:basedOn w:val="1"/>
    <w:qFormat/>
    <w:uiPriority w:val="34"/>
    <w:pPr>
      <w:ind w:firstLine="420" w:firstLineChars="200"/>
    </w:pPr>
  </w:style>
  <w:style w:type="paragraph" w:styleId="92">
    <w:name w:val="List Paragraph"/>
    <w:basedOn w:val="1"/>
    <w:qFormat/>
    <w:uiPriority w:val="34"/>
    <w:pPr>
      <w:ind w:firstLine="420" w:firstLineChars="200"/>
    </w:pPr>
  </w:style>
  <w:style w:type="paragraph" w:customStyle="1" w:styleId="93">
    <w:name w:val="BodyText"/>
    <w:basedOn w:val="1"/>
    <w:qFormat/>
    <w:uiPriority w:val="99"/>
    <w:pPr>
      <w:spacing w:after="120"/>
    </w:pPr>
    <w:rPr>
      <w:kern w:val="0"/>
      <w:sz w:val="20"/>
    </w:rPr>
  </w:style>
  <w:style w:type="paragraph" w:customStyle="1" w:styleId="94">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95">
    <w:name w:val="_Style 94"/>
    <w:basedOn w:val="1"/>
    <w:unhideWhenUsed/>
    <w:qFormat/>
    <w:uiPriority w:val="99"/>
  </w:style>
  <w:style w:type="paragraph" w:customStyle="1" w:styleId="96">
    <w:name w:val="TOC 标题1"/>
    <w:basedOn w:val="2"/>
    <w:next w:val="1"/>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lang w:val="en-US" w:eastAsia="zh-CN"/>
    </w:rPr>
  </w:style>
  <w:style w:type="paragraph" w:customStyle="1" w:styleId="97">
    <w:name w:val="默认段落字体 Para Char Char Char Char Char Char Char Char Char1 Char Char Char Char"/>
    <w:basedOn w:val="1"/>
    <w:qFormat/>
    <w:uiPriority w:val="0"/>
    <w:rPr>
      <w:rFonts w:ascii="Tahoma" w:hAnsi="Tahoma"/>
      <w:sz w:val="24"/>
      <w:szCs w:val="20"/>
    </w:rPr>
  </w:style>
  <w:style w:type="paragraph" w:customStyle="1" w:styleId="98">
    <w:name w:val="_Style 95"/>
    <w:basedOn w:val="1"/>
    <w:unhideWhenUsed/>
    <w:qFormat/>
    <w:uiPriority w:val="99"/>
  </w:style>
  <w:style w:type="paragraph" w:customStyle="1" w:styleId="99">
    <w:name w:val="_Style 97"/>
    <w:basedOn w:val="2"/>
    <w:next w:val="1"/>
    <w:qFormat/>
    <w:uiPriority w:val="39"/>
    <w:pPr>
      <w:widowControl/>
      <w:spacing w:before="240" w:after="0" w:line="259" w:lineRule="auto"/>
      <w:jc w:val="left"/>
      <w:outlineLvl w:val="9"/>
    </w:pPr>
    <w:rPr>
      <w:rFonts w:ascii="等线 Light" w:hAnsi="等线 Light" w:eastAsia="等线 Light" w:cs="Times New Roman"/>
      <w:b w:val="0"/>
      <w:bCs w:val="0"/>
      <w:color w:val="2F5496"/>
      <w:kern w:val="0"/>
      <w:sz w:val="32"/>
      <w:szCs w:val="32"/>
      <w:lang w:val="en-US" w:eastAsia="zh-CN"/>
    </w:rPr>
  </w:style>
  <w:style w:type="paragraph" w:customStyle="1" w:styleId="100">
    <w:name w:val="Table Paragraph"/>
    <w:basedOn w:val="1"/>
    <w:qFormat/>
    <w:uiPriority w:val="1"/>
    <w:pPr>
      <w:jc w:val="left"/>
    </w:pPr>
    <w:rPr>
      <w:rFonts w:ascii="Calibri" w:hAnsi="Calibri"/>
      <w:kern w:val="0"/>
      <w:sz w:val="22"/>
      <w:szCs w:val="22"/>
      <w:lang w:eastAsia="en-US"/>
    </w:rPr>
  </w:style>
  <w:style w:type="paragraph" w:customStyle="1" w:styleId="101">
    <w:name w:val="Default"/>
    <w:qFormat/>
    <w:uiPriority w:val="0"/>
    <w:pPr>
      <w:widowControl w:val="0"/>
      <w:autoSpaceDE w:val="0"/>
      <w:autoSpaceDN w:val="0"/>
      <w:adjustRightInd w:val="0"/>
    </w:pPr>
    <w:rPr>
      <w:rFonts w:ascii="宋体" w:hAnsi="京东朗正体 玲珑" w:eastAsia="宋体" w:cs="宋体"/>
      <w:color w:val="000000"/>
      <w:kern w:val="0"/>
      <w:sz w:val="24"/>
      <w:szCs w:val="24"/>
      <w:lang w:val="en-US" w:eastAsia="zh-CN" w:bidi="ar-SA"/>
    </w:rPr>
  </w:style>
  <w:style w:type="paragraph" w:customStyle="1" w:styleId="102">
    <w:name w:val="样式5"/>
    <w:basedOn w:val="1"/>
    <w:qFormat/>
    <w:uiPriority w:val="0"/>
    <w:pPr>
      <w:adjustRightInd w:val="0"/>
      <w:spacing w:line="440" w:lineRule="exact"/>
      <w:ind w:left="2" w:firstLine="480" w:firstLineChars="200"/>
    </w:pPr>
    <w:rPr>
      <w:rFonts w:ascii="仿宋_GB2312" w:hAnsi="仿宋" w:eastAsia="仿宋_GB2312"/>
      <w:sz w:val="24"/>
    </w:rPr>
  </w:style>
  <w:style w:type="paragraph" w:customStyle="1" w:styleId="103">
    <w:name w:val="表格文字"/>
    <w:basedOn w:val="1"/>
    <w:qFormat/>
    <w:uiPriority w:val="99"/>
    <w:pPr>
      <w:spacing w:before="25" w:after="25"/>
      <w:jc w:val="left"/>
    </w:pPr>
    <w:rPr>
      <w:bCs/>
      <w:spacing w:val="10"/>
      <w:kern w:val="0"/>
      <w:sz w:val="24"/>
    </w:rPr>
  </w:style>
  <w:style w:type="paragraph" w:customStyle="1" w:styleId="104">
    <w:name w:val="正文缩进1"/>
    <w:basedOn w:val="1"/>
    <w:next w:val="15"/>
    <w:qFormat/>
    <w:uiPriority w:val="0"/>
    <w:pPr>
      <w:autoSpaceDE w:val="0"/>
      <w:autoSpaceDN w:val="0"/>
      <w:adjustRightInd w:val="0"/>
      <w:snapToGrid w:val="0"/>
      <w:spacing w:after="120" w:line="360" w:lineRule="auto"/>
      <w:ind w:left="420" w:leftChars="200" w:firstLine="480" w:firstLineChars="200"/>
    </w:pPr>
    <w:rPr>
      <w:sz w:val="24"/>
      <w:szCs w:val="21"/>
    </w:rPr>
  </w:style>
  <w:style w:type="paragraph" w:customStyle="1" w:styleId="105">
    <w:name w:val="Char Char Char Char"/>
    <w:basedOn w:val="1"/>
    <w:qFormat/>
    <w:uiPriority w:val="0"/>
    <w:pPr>
      <w:widowControl/>
      <w:spacing w:after="160" w:line="240" w:lineRule="exact"/>
      <w:jc w:val="left"/>
    </w:p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7" Type="http://schemas.openxmlformats.org/officeDocument/2006/relationships/font" Target="fonts/font17.odttf"/><Relationship Id="rId16" Type="http://schemas.openxmlformats.org/officeDocument/2006/relationships/font" Target="fonts/font16.odttf"/><Relationship Id="rId15" Type="http://schemas.openxmlformats.org/officeDocument/2006/relationships/font" Target="fonts/font15.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109</Pages>
  <Words>10344</Words>
  <Characters>11801</Characters>
  <Lines>2107</Lines>
  <Paragraphs>1919</Paragraphs>
  <TotalTime>18</TotalTime>
  <ScaleCrop>false</ScaleCrop>
  <LinksUpToDate>false</LinksUpToDate>
  <CharactersWithSpaces>12021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2021-08-19T12:20:00Z</dcterms:created>
  <dc:creator>Administrator</dc:creator>
  <cp:lastModifiedBy>LENOVO</cp:lastModifiedBy>
  <cp:lastPrinted>2026-07-04T00:46:00Z</cp:lastPrinted>
  <dcterms:modified xsi:type="dcterms:W3CDTF">2026-07-03T08:35:58Z</dcterms:modified>
  <cp:revision>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4BDDAFE45E1F4CD7A3CE68D660419C18_13</vt:lpwstr>
  </property>
  <property fmtid="{D5CDD505-2E9C-101B-9397-08002B2CF9AE}" pid="4" name="KSOTemplateDocerSaveRecord">
    <vt:lpwstr>eyJoZGlkIjoiNjMzOTVkODM1NjcyNzc5YzFlYmQyNGNiNzY2ZjUwNWMiLCJ1c2VySWQiOiIxMjI1NzQyNzcxIn0=</vt:lpwstr>
  </property>
</Properties>
</file>