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697E9C">
      <w:pPr>
        <w:spacing w:before="156" w:beforeLines="50" w:line="360" w:lineRule="auto"/>
        <w:jc w:val="center"/>
        <w:rPr>
          <w:rFonts w:hint="eastAsia" w:ascii="宋体" w:hAnsi="宋体" w:eastAsia="宋体" w:cs="宋体"/>
          <w:color w:val="auto"/>
          <w:sz w:val="52"/>
          <w:szCs w:val="52"/>
          <w:highlight w:val="none"/>
        </w:rPr>
      </w:pPr>
      <w:r>
        <w:rPr>
          <w:rFonts w:hint="eastAsia" w:ascii="宋体" w:hAnsi="宋体" w:eastAsia="宋体" w:cs="宋体"/>
          <w:color w:val="auto"/>
          <w:sz w:val="52"/>
          <w:szCs w:val="52"/>
          <w:highlight w:val="none"/>
        </w:rPr>
        <w:t>南宁市政府采购</w:t>
      </w:r>
    </w:p>
    <w:p w14:paraId="602B3F26">
      <w:pPr>
        <w:spacing w:beforeLines="50" w:line="360" w:lineRule="auto"/>
        <w:jc w:val="center"/>
        <w:rPr>
          <w:rFonts w:ascii="宋体"/>
          <w:color w:val="auto"/>
          <w:sz w:val="52"/>
          <w:szCs w:val="52"/>
          <w:highlight w:val="none"/>
        </w:rPr>
      </w:pPr>
      <w:r>
        <w:rPr>
          <w:rFonts w:hint="eastAsia" w:ascii="宋体" w:hAnsi="宋体"/>
          <w:color w:val="auto"/>
          <w:sz w:val="52"/>
          <w:szCs w:val="52"/>
          <w:highlight w:val="none"/>
        </w:rPr>
        <w:t>竞争性磋商文件（</w:t>
      </w:r>
      <w:r>
        <w:rPr>
          <w:rFonts w:hint="eastAsia" w:ascii="宋体" w:hAnsi="宋体"/>
          <w:color w:val="auto"/>
          <w:sz w:val="52"/>
          <w:szCs w:val="52"/>
          <w:highlight w:val="none"/>
          <w:lang w:val="en-US" w:eastAsia="zh-CN"/>
        </w:rPr>
        <w:t>工程</w:t>
      </w:r>
      <w:r>
        <w:rPr>
          <w:rFonts w:hint="eastAsia" w:ascii="宋体" w:hAnsi="宋体"/>
          <w:color w:val="auto"/>
          <w:sz w:val="52"/>
          <w:szCs w:val="52"/>
          <w:highlight w:val="none"/>
        </w:rPr>
        <w:t>类）</w:t>
      </w:r>
    </w:p>
    <w:p w14:paraId="41E1AB6D">
      <w:pPr>
        <w:spacing w:beforeLines="50" w:line="360" w:lineRule="auto"/>
        <w:jc w:val="center"/>
        <w:rPr>
          <w:rFonts w:ascii="宋体"/>
          <w:color w:val="auto"/>
          <w:sz w:val="36"/>
          <w:szCs w:val="36"/>
          <w:highlight w:val="none"/>
        </w:rPr>
      </w:pPr>
    </w:p>
    <w:p w14:paraId="1FA44DAF">
      <w:pPr>
        <w:snapToGrid w:val="0"/>
        <w:spacing w:beforeLines="50" w:line="360" w:lineRule="auto"/>
        <w:jc w:val="center"/>
        <w:rPr>
          <w:rFonts w:ascii="方正小标宋简体" w:hAnsi="方正小标宋简体" w:eastAsia="方正小标宋简体" w:cs="方正小标宋简体"/>
          <w:color w:val="auto"/>
          <w:sz w:val="44"/>
          <w:szCs w:val="44"/>
          <w:highlight w:val="none"/>
        </w:rPr>
      </w:pPr>
      <w:r>
        <w:rPr>
          <w:rFonts w:hint="eastAsia" w:ascii="华文新魏" w:hAnsi="宋体" w:eastAsia="华文新魏"/>
          <w:color w:val="auto"/>
          <w:sz w:val="72"/>
          <w:szCs w:val="72"/>
          <w:highlight w:val="none"/>
        </w:rPr>
        <w:t>竞争性磋商文件</w:t>
      </w:r>
    </w:p>
    <w:p w14:paraId="5349583D">
      <w:pPr>
        <w:spacing w:beforeLines="100" w:afterLines="50" w:line="360" w:lineRule="auto"/>
        <w:jc w:val="center"/>
        <w:rPr>
          <w:rFonts w:ascii="宋体"/>
          <w:color w:val="auto"/>
          <w:szCs w:val="21"/>
          <w:highlight w:val="none"/>
        </w:rPr>
      </w:pPr>
      <w:r>
        <w:rPr>
          <w:rFonts w:hint="eastAsia" w:ascii="宋体" w:hAnsi="宋体"/>
          <w:color w:val="auto"/>
          <w:szCs w:val="21"/>
          <w:highlight w:val="none"/>
        </w:rPr>
        <w:t>（全流程电子化评标）</w:t>
      </w:r>
    </w:p>
    <w:p w14:paraId="4AD8DC89">
      <w:pPr>
        <w:spacing w:before="156" w:beforeLines="50" w:line="360" w:lineRule="auto"/>
        <w:jc w:val="center"/>
        <w:rPr>
          <w:rFonts w:hint="eastAsia" w:ascii="宋体" w:hAnsi="宋体" w:eastAsia="宋体" w:cs="宋体"/>
          <w:color w:val="auto"/>
          <w:sz w:val="36"/>
          <w:szCs w:val="36"/>
          <w:highlight w:val="none"/>
        </w:rPr>
      </w:pPr>
    </w:p>
    <w:p w14:paraId="77CE5905">
      <w:pPr>
        <w:spacing w:line="360" w:lineRule="auto"/>
        <w:jc w:val="both"/>
        <w:rPr>
          <w:rFonts w:hint="eastAsia" w:ascii="宋体" w:hAnsi="宋体" w:eastAsia="宋体" w:cs="宋体"/>
          <w:b/>
          <w:color w:val="auto"/>
          <w:sz w:val="32"/>
          <w:szCs w:val="32"/>
          <w:highlight w:val="none"/>
        </w:rPr>
      </w:pPr>
    </w:p>
    <w:p w14:paraId="2DFC32F5">
      <w:pPr>
        <w:pStyle w:val="25"/>
        <w:rPr>
          <w:rFonts w:hint="eastAsia"/>
          <w:color w:val="auto"/>
          <w:highlight w:val="none"/>
        </w:rPr>
      </w:pPr>
    </w:p>
    <w:p w14:paraId="5F96EBB1">
      <w:pPr>
        <w:spacing w:line="360" w:lineRule="auto"/>
        <w:ind w:firstLine="1285" w:firstLineChars="40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项目名称：</w:t>
      </w:r>
      <w:r>
        <w:rPr>
          <w:rFonts w:hint="eastAsia" w:ascii="仿宋" w:hAnsi="仿宋" w:eastAsia="仿宋" w:cs="仿宋"/>
          <w:b/>
          <w:color w:val="auto"/>
          <w:sz w:val="32"/>
          <w:szCs w:val="32"/>
          <w:highlight w:val="none"/>
          <w:lang w:eastAsia="zh-CN"/>
        </w:rPr>
        <w:t>隆安县屏山乡刘家村刘家屯农田水利设施项目</w:t>
      </w:r>
    </w:p>
    <w:p w14:paraId="6CC22862">
      <w:pPr>
        <w:spacing w:line="360" w:lineRule="auto"/>
        <w:ind w:firstLine="1285" w:firstLineChars="400"/>
        <w:rPr>
          <w:rFonts w:hint="eastAsia" w:ascii="仿宋" w:hAnsi="仿宋" w:eastAsia="仿宋" w:cs="仿宋"/>
          <w:b/>
          <w:color w:val="auto"/>
          <w:sz w:val="32"/>
          <w:szCs w:val="32"/>
          <w:highlight w:val="none"/>
          <w:lang w:eastAsia="zh-CN"/>
        </w:rPr>
      </w:pPr>
      <w:r>
        <w:rPr>
          <w:rFonts w:hint="eastAsia" w:ascii="仿宋" w:hAnsi="仿宋" w:eastAsia="仿宋" w:cs="仿宋"/>
          <w:b/>
          <w:color w:val="auto"/>
          <w:sz w:val="32"/>
          <w:szCs w:val="32"/>
          <w:highlight w:val="none"/>
        </w:rPr>
        <w:t>项目编号：</w:t>
      </w:r>
      <w:r>
        <w:rPr>
          <w:rFonts w:hint="eastAsia" w:ascii="仿宋" w:hAnsi="仿宋" w:eastAsia="仿宋" w:cs="仿宋"/>
          <w:b/>
          <w:color w:val="auto"/>
          <w:sz w:val="32"/>
          <w:szCs w:val="32"/>
          <w:highlight w:val="none"/>
          <w:lang w:eastAsia="zh-CN"/>
        </w:rPr>
        <w:t xml:space="preserve">NNZC2026-C2-230022-JHGC      </w:t>
      </w:r>
    </w:p>
    <w:p w14:paraId="1C7C6B1B">
      <w:pPr>
        <w:spacing w:line="360" w:lineRule="auto"/>
        <w:ind w:firstLine="1285" w:firstLineChars="400"/>
        <w:rPr>
          <w:rFonts w:hint="eastAsia" w:ascii="仿宋" w:hAnsi="仿宋" w:eastAsia="仿宋" w:cs="仿宋"/>
          <w:b/>
          <w:color w:val="auto"/>
          <w:sz w:val="32"/>
          <w:szCs w:val="32"/>
          <w:highlight w:val="none"/>
          <w:u w:val="single"/>
          <w:lang w:val="en-US" w:eastAsia="zh-CN"/>
        </w:rPr>
      </w:pPr>
      <w:r>
        <w:rPr>
          <w:rFonts w:hint="eastAsia" w:ascii="仿宋" w:hAnsi="仿宋" w:eastAsia="仿宋" w:cs="仿宋"/>
          <w:b/>
          <w:color w:val="auto"/>
          <w:sz w:val="32"/>
          <w:szCs w:val="32"/>
          <w:highlight w:val="none"/>
        </w:rPr>
        <w:t>项目所属区划：</w:t>
      </w:r>
      <w:r>
        <w:rPr>
          <w:rFonts w:hint="eastAsia" w:ascii="仿宋" w:hAnsi="仿宋" w:eastAsia="仿宋" w:cs="仿宋"/>
          <w:b/>
          <w:color w:val="auto"/>
          <w:sz w:val="32"/>
          <w:szCs w:val="32"/>
          <w:highlight w:val="none"/>
          <w:u w:val="single"/>
        </w:rPr>
        <w:t>南宁市</w:t>
      </w:r>
      <w:r>
        <w:rPr>
          <w:rFonts w:hint="eastAsia" w:ascii="仿宋" w:hAnsi="仿宋" w:eastAsia="仿宋" w:cs="仿宋"/>
          <w:b/>
          <w:color w:val="auto"/>
          <w:sz w:val="32"/>
          <w:szCs w:val="32"/>
          <w:highlight w:val="none"/>
          <w:u w:val="single"/>
          <w:lang w:val="en-US" w:eastAsia="zh-CN"/>
        </w:rPr>
        <w:t>隆安县</w:t>
      </w:r>
    </w:p>
    <w:p w14:paraId="1CEFC482">
      <w:pPr>
        <w:spacing w:line="360" w:lineRule="auto"/>
        <w:ind w:firstLine="1285" w:firstLineChars="400"/>
        <w:rPr>
          <w:rFonts w:hint="eastAsia" w:ascii="仿宋" w:hAnsi="仿宋" w:eastAsia="仿宋" w:cs="仿宋"/>
          <w:b/>
          <w:color w:val="auto"/>
          <w:sz w:val="32"/>
          <w:szCs w:val="32"/>
          <w:highlight w:val="none"/>
          <w:lang w:eastAsia="zh-CN"/>
        </w:rPr>
      </w:pPr>
      <w:r>
        <w:rPr>
          <w:rFonts w:hint="eastAsia" w:ascii="仿宋" w:hAnsi="仿宋" w:eastAsia="仿宋" w:cs="仿宋"/>
          <w:b/>
          <w:color w:val="auto"/>
          <w:sz w:val="32"/>
          <w:szCs w:val="32"/>
          <w:highlight w:val="none"/>
        </w:rPr>
        <w:t xml:space="preserve">采 </w:t>
      </w:r>
      <w:r>
        <w:rPr>
          <w:rFonts w:hint="eastAsia" w:ascii="仿宋" w:hAnsi="仿宋" w:eastAsia="仿宋" w:cs="仿宋"/>
          <w:b/>
          <w:color w:val="auto"/>
          <w:sz w:val="32"/>
          <w:szCs w:val="32"/>
          <w:highlight w:val="none"/>
          <w:lang w:val="en-US" w:eastAsia="zh-CN"/>
        </w:rPr>
        <w:t xml:space="preserve">  </w:t>
      </w:r>
      <w:r>
        <w:rPr>
          <w:rFonts w:hint="eastAsia" w:ascii="仿宋" w:hAnsi="仿宋" w:eastAsia="仿宋" w:cs="仿宋"/>
          <w:b/>
          <w:color w:val="auto"/>
          <w:sz w:val="32"/>
          <w:szCs w:val="32"/>
          <w:highlight w:val="none"/>
        </w:rPr>
        <w:t xml:space="preserve">购 </w:t>
      </w:r>
      <w:r>
        <w:rPr>
          <w:rFonts w:hint="eastAsia" w:ascii="仿宋" w:hAnsi="仿宋" w:eastAsia="仿宋" w:cs="仿宋"/>
          <w:b/>
          <w:color w:val="auto"/>
          <w:sz w:val="32"/>
          <w:szCs w:val="32"/>
          <w:highlight w:val="none"/>
          <w:lang w:val="en-US" w:eastAsia="zh-CN"/>
        </w:rPr>
        <w:t xml:space="preserve">  </w:t>
      </w:r>
      <w:r>
        <w:rPr>
          <w:rFonts w:hint="eastAsia" w:ascii="仿宋" w:hAnsi="仿宋" w:eastAsia="仿宋" w:cs="仿宋"/>
          <w:b/>
          <w:color w:val="auto"/>
          <w:sz w:val="32"/>
          <w:szCs w:val="32"/>
          <w:highlight w:val="none"/>
        </w:rPr>
        <w:t>人</w:t>
      </w:r>
      <w:r>
        <w:rPr>
          <w:rFonts w:hint="eastAsia" w:ascii="仿宋" w:hAnsi="仿宋" w:eastAsia="仿宋" w:cs="仿宋"/>
          <w:b/>
          <w:color w:val="auto"/>
          <w:sz w:val="32"/>
          <w:szCs w:val="32"/>
          <w:highlight w:val="none"/>
          <w:lang w:eastAsia="zh-CN"/>
        </w:rPr>
        <w:t>：隆安县屏山乡人民政府</w:t>
      </w:r>
    </w:p>
    <w:p w14:paraId="0C4CEEDC">
      <w:pPr>
        <w:spacing w:line="360" w:lineRule="auto"/>
        <w:ind w:firstLine="1285" w:firstLineChars="40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采购代理机构：</w:t>
      </w:r>
      <w:r>
        <w:rPr>
          <w:rFonts w:hint="eastAsia" w:ascii="仿宋" w:hAnsi="仿宋" w:eastAsia="仿宋" w:cs="仿宋"/>
          <w:b/>
          <w:color w:val="auto"/>
          <w:sz w:val="32"/>
          <w:szCs w:val="32"/>
          <w:highlight w:val="none"/>
          <w:lang w:eastAsia="zh-CN"/>
        </w:rPr>
        <w:t>广西佳鸿工程技术有限公司</w:t>
      </w:r>
    </w:p>
    <w:p w14:paraId="4DBCA763">
      <w:pPr>
        <w:outlineLvl w:val="9"/>
        <w:rPr>
          <w:rFonts w:hint="eastAsia"/>
          <w:color w:val="auto"/>
          <w:highlight w:val="none"/>
          <w:lang w:val="en-US" w:eastAsia="zh-CN"/>
        </w:rPr>
      </w:pPr>
    </w:p>
    <w:p w14:paraId="6BEDC787">
      <w:pPr>
        <w:pStyle w:val="32"/>
        <w:rPr>
          <w:rFonts w:hint="eastAsia"/>
          <w:lang w:val="en-US" w:eastAsia="zh-CN"/>
        </w:rPr>
      </w:pPr>
    </w:p>
    <w:p w14:paraId="532DA9CD">
      <w:pPr>
        <w:spacing w:line="360" w:lineRule="auto"/>
        <w:jc w:val="center"/>
        <w:rPr>
          <w:rFonts w:hint="eastAsia"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lang w:eastAsia="zh-CN"/>
        </w:rPr>
        <w:t>202</w:t>
      </w:r>
      <w:r>
        <w:rPr>
          <w:rFonts w:hint="eastAsia" w:ascii="仿宋" w:hAnsi="仿宋" w:eastAsia="仿宋" w:cs="仿宋"/>
          <w:b/>
          <w:color w:val="auto"/>
          <w:sz w:val="32"/>
          <w:szCs w:val="32"/>
          <w:highlight w:val="none"/>
          <w:lang w:val="en-US" w:eastAsia="zh-CN"/>
        </w:rPr>
        <w:t>6</w:t>
      </w:r>
      <w:r>
        <w:rPr>
          <w:rFonts w:hint="eastAsia" w:ascii="仿宋" w:hAnsi="仿宋" w:eastAsia="仿宋" w:cs="仿宋"/>
          <w:b/>
          <w:color w:val="auto"/>
          <w:sz w:val="32"/>
          <w:szCs w:val="32"/>
          <w:highlight w:val="none"/>
          <w:lang w:eastAsia="zh-CN"/>
        </w:rPr>
        <w:t>年</w:t>
      </w:r>
      <w:r>
        <w:rPr>
          <w:rFonts w:hint="eastAsia" w:ascii="仿宋" w:hAnsi="仿宋" w:eastAsia="仿宋" w:cs="仿宋"/>
          <w:b/>
          <w:color w:val="auto"/>
          <w:sz w:val="32"/>
          <w:szCs w:val="32"/>
          <w:highlight w:val="none"/>
          <w:lang w:val="en-US" w:eastAsia="zh-CN"/>
        </w:rPr>
        <w:t>04</w:t>
      </w:r>
      <w:r>
        <w:rPr>
          <w:rFonts w:hint="eastAsia" w:ascii="仿宋" w:hAnsi="仿宋" w:eastAsia="仿宋" w:cs="仿宋"/>
          <w:b/>
          <w:color w:val="auto"/>
          <w:sz w:val="32"/>
          <w:szCs w:val="32"/>
          <w:highlight w:val="none"/>
          <w:lang w:eastAsia="zh-CN"/>
        </w:rPr>
        <w:t>月</w:t>
      </w:r>
      <w:r>
        <w:rPr>
          <w:rFonts w:hint="eastAsia" w:ascii="仿宋_GB2312" w:hAnsi="宋体" w:eastAsia="仿宋_GB2312"/>
          <w:b/>
          <w:color w:val="auto"/>
          <w:sz w:val="32"/>
          <w:szCs w:val="32"/>
          <w:highlight w:val="none"/>
          <w:lang w:val="en-US" w:eastAsia="zh-CN"/>
        </w:rPr>
        <w:t>29</w:t>
      </w:r>
      <w:r>
        <w:rPr>
          <w:rFonts w:hint="eastAsia" w:ascii="仿宋_GB2312" w:hAnsi="宋体" w:eastAsia="仿宋_GB2312"/>
          <w:b/>
          <w:color w:val="auto"/>
          <w:sz w:val="32"/>
          <w:szCs w:val="32"/>
          <w:highlight w:val="none"/>
        </w:rPr>
        <w:t>日</w:t>
      </w:r>
    </w:p>
    <w:p w14:paraId="737C1986">
      <w:pPr>
        <w:pStyle w:val="25"/>
        <w:rPr>
          <w:rFonts w:hint="eastAsia" w:ascii="仿宋" w:hAnsi="仿宋" w:eastAsia="仿宋" w:cs="仿宋"/>
          <w:b/>
          <w:color w:val="auto"/>
          <w:sz w:val="32"/>
          <w:szCs w:val="32"/>
          <w:highlight w:val="none"/>
          <w:lang w:val="en-US" w:eastAsia="zh-CN"/>
        </w:rPr>
      </w:pPr>
    </w:p>
    <w:p w14:paraId="48C14525">
      <w:pPr>
        <w:rPr>
          <w:rFonts w:hint="default"/>
          <w:color w:val="auto"/>
          <w:highlight w:val="none"/>
          <w:lang w:val="en-US" w:eastAsia="zh-CN"/>
        </w:rPr>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851" w:footer="992" w:gutter="0"/>
          <w:pgBorders w:offsetFrom="page">
            <w:top w:val="none" w:sz="0" w:space="0"/>
            <w:left w:val="none" w:sz="0" w:space="0"/>
            <w:bottom w:val="none" w:sz="0" w:space="0"/>
            <w:right w:val="none" w:sz="0" w:space="0"/>
          </w:pgBorders>
          <w:pgNumType w:start="0"/>
          <w:cols w:space="720" w:num="1"/>
          <w:titlePg/>
          <w:docGrid w:type="lines" w:linePitch="312" w:charSpace="0"/>
        </w:sectPr>
      </w:pPr>
    </w:p>
    <w:p w14:paraId="0E797E71">
      <w:pPr>
        <w:spacing w:line="360" w:lineRule="auto"/>
        <w:jc w:val="center"/>
        <w:outlineLvl w:val="9"/>
        <w:rPr>
          <w:rFonts w:hint="eastAsia" w:ascii="宋体" w:hAnsi="宋体" w:eastAsia="宋体" w:cs="宋体"/>
          <w:b w:val="0"/>
          <w:color w:val="auto"/>
          <w:sz w:val="48"/>
          <w:szCs w:val="48"/>
          <w:highlight w:val="none"/>
        </w:rPr>
      </w:pPr>
      <w:bookmarkStart w:id="0" w:name="_Toc21342"/>
      <w:bookmarkStart w:id="1" w:name="_Toc15289"/>
      <w:bookmarkStart w:id="2" w:name="_Toc22635"/>
      <w:r>
        <w:rPr>
          <w:rFonts w:hint="eastAsia" w:ascii="宋体" w:hAnsi="宋体" w:eastAsia="宋体" w:cs="宋体"/>
          <w:b/>
          <w:bCs/>
          <w:color w:val="auto"/>
          <w:sz w:val="48"/>
          <w:szCs w:val="48"/>
          <w:highlight w:val="none"/>
        </w:rPr>
        <w:t>目   录</w:t>
      </w:r>
      <w:bookmarkEnd w:id="0"/>
      <w:bookmarkEnd w:id="1"/>
      <w:bookmarkEnd w:id="2"/>
    </w:p>
    <w:p w14:paraId="535623F5">
      <w:pPr>
        <w:pStyle w:val="22"/>
        <w:tabs>
          <w:tab w:val="right" w:leader="dot" w:pos="9746"/>
        </w:tabs>
        <w:rPr>
          <w:color w:val="auto"/>
          <w:highlight w:val="none"/>
        </w:rPr>
      </w:pP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TOC \o "1-3" \h \u </w:instrText>
      </w:r>
      <w:r>
        <w:rPr>
          <w:rFonts w:hint="eastAsia" w:ascii="宋体" w:hAnsi="宋体" w:eastAsia="宋体" w:cs="宋体"/>
          <w:b/>
          <w:color w:val="auto"/>
          <w:sz w:val="24"/>
          <w:szCs w:val="24"/>
          <w:highlight w:val="none"/>
        </w:rPr>
        <w:fldChar w:fldCharType="separate"/>
      </w: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_Toc32342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rPr>
        <w:t>第一章 竞争性磋商公告</w:t>
      </w:r>
      <w:r>
        <w:rPr>
          <w:color w:val="auto"/>
          <w:highlight w:val="none"/>
        </w:rPr>
        <w:tab/>
      </w:r>
      <w:r>
        <w:rPr>
          <w:color w:val="auto"/>
          <w:highlight w:val="none"/>
        </w:rPr>
        <w:fldChar w:fldCharType="begin"/>
      </w:r>
      <w:r>
        <w:rPr>
          <w:color w:val="auto"/>
          <w:highlight w:val="none"/>
        </w:rPr>
        <w:instrText xml:space="preserve"> PAGEREF _Toc32342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eastAsia="宋体" w:cs="宋体"/>
          <w:color w:val="auto"/>
          <w:szCs w:val="24"/>
          <w:highlight w:val="none"/>
        </w:rPr>
        <w:fldChar w:fldCharType="end"/>
      </w:r>
    </w:p>
    <w:p w14:paraId="5F509596">
      <w:pPr>
        <w:pStyle w:val="22"/>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_Toc3078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highlight w:val="none"/>
        </w:rPr>
        <w:t xml:space="preserve">第二章 </w:t>
      </w:r>
      <w:r>
        <w:rPr>
          <w:rFonts w:hint="eastAsia" w:ascii="宋体" w:hAnsi="宋体" w:eastAsia="宋体" w:cs="宋体"/>
          <w:bCs/>
          <w:color w:val="auto"/>
          <w:highlight w:val="none"/>
          <w:lang w:val="en-US" w:eastAsia="zh-CN"/>
        </w:rPr>
        <w:t>采购需求</w:t>
      </w:r>
      <w:r>
        <w:rPr>
          <w:color w:val="auto"/>
          <w:highlight w:val="none"/>
        </w:rPr>
        <w:tab/>
      </w:r>
      <w:r>
        <w:rPr>
          <w:color w:val="auto"/>
          <w:highlight w:val="none"/>
        </w:rPr>
        <w:fldChar w:fldCharType="begin"/>
      </w:r>
      <w:r>
        <w:rPr>
          <w:color w:val="auto"/>
          <w:highlight w:val="none"/>
        </w:rPr>
        <w:instrText xml:space="preserve"> PAGEREF _Toc3078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eastAsia="宋体" w:cs="宋体"/>
          <w:color w:val="auto"/>
          <w:szCs w:val="24"/>
          <w:highlight w:val="none"/>
        </w:rPr>
        <w:fldChar w:fldCharType="end"/>
      </w:r>
    </w:p>
    <w:p w14:paraId="5EE7BCF9">
      <w:pPr>
        <w:pStyle w:val="22"/>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_Toc12766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highlight w:val="none"/>
        </w:rPr>
        <w:t>第三章 供应商须知</w:t>
      </w:r>
      <w:r>
        <w:rPr>
          <w:color w:val="auto"/>
          <w:highlight w:val="none"/>
        </w:rPr>
        <w:tab/>
      </w:r>
      <w:r>
        <w:rPr>
          <w:color w:val="auto"/>
          <w:highlight w:val="none"/>
        </w:rPr>
        <w:fldChar w:fldCharType="begin"/>
      </w:r>
      <w:r>
        <w:rPr>
          <w:color w:val="auto"/>
          <w:highlight w:val="none"/>
        </w:rPr>
        <w:instrText xml:space="preserve"> PAGEREF _Toc12766 \h </w:instrText>
      </w:r>
      <w:r>
        <w:rPr>
          <w:color w:val="auto"/>
          <w:highlight w:val="none"/>
        </w:rPr>
        <w:fldChar w:fldCharType="separate"/>
      </w:r>
      <w:r>
        <w:rPr>
          <w:color w:val="auto"/>
          <w:highlight w:val="none"/>
        </w:rPr>
        <w:t>13</w:t>
      </w:r>
      <w:r>
        <w:rPr>
          <w:color w:val="auto"/>
          <w:highlight w:val="none"/>
        </w:rPr>
        <w:fldChar w:fldCharType="end"/>
      </w:r>
      <w:r>
        <w:rPr>
          <w:rFonts w:hint="eastAsia" w:ascii="宋体" w:hAnsi="宋体" w:eastAsia="宋体" w:cs="宋体"/>
          <w:color w:val="auto"/>
          <w:szCs w:val="24"/>
          <w:highlight w:val="none"/>
        </w:rPr>
        <w:fldChar w:fldCharType="end"/>
      </w:r>
    </w:p>
    <w:p w14:paraId="030D725E">
      <w:pPr>
        <w:pStyle w:val="25"/>
        <w:tabs>
          <w:tab w:val="right" w:leader="dot" w:pos="9746"/>
          <w:tab w:val="clear" w:pos="829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_Toc3531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lang w:eastAsia="zh-CN"/>
        </w:rPr>
        <w:t xml:space="preserve">第一节 </w:t>
      </w:r>
      <w:r>
        <w:rPr>
          <w:rFonts w:hint="eastAsia" w:ascii="宋体" w:hAnsi="宋体" w:eastAsia="宋体" w:cs="宋体"/>
          <w:color w:val="auto"/>
          <w:highlight w:val="none"/>
        </w:rPr>
        <w:t>供应商须知前附表</w:t>
      </w:r>
      <w:r>
        <w:rPr>
          <w:color w:val="auto"/>
          <w:highlight w:val="none"/>
        </w:rPr>
        <w:tab/>
      </w:r>
      <w:r>
        <w:rPr>
          <w:color w:val="auto"/>
          <w:highlight w:val="none"/>
        </w:rPr>
        <w:fldChar w:fldCharType="begin"/>
      </w:r>
      <w:r>
        <w:rPr>
          <w:color w:val="auto"/>
          <w:highlight w:val="none"/>
        </w:rPr>
        <w:instrText xml:space="preserve"> PAGEREF _Toc3531 \h </w:instrText>
      </w:r>
      <w:r>
        <w:rPr>
          <w:color w:val="auto"/>
          <w:highlight w:val="none"/>
        </w:rPr>
        <w:fldChar w:fldCharType="separate"/>
      </w:r>
      <w:r>
        <w:rPr>
          <w:color w:val="auto"/>
          <w:highlight w:val="none"/>
        </w:rPr>
        <w:t>13</w:t>
      </w:r>
      <w:r>
        <w:rPr>
          <w:color w:val="auto"/>
          <w:highlight w:val="none"/>
        </w:rPr>
        <w:fldChar w:fldCharType="end"/>
      </w:r>
      <w:r>
        <w:rPr>
          <w:rFonts w:hint="eastAsia" w:ascii="宋体" w:hAnsi="宋体" w:eastAsia="宋体" w:cs="宋体"/>
          <w:color w:val="auto"/>
          <w:szCs w:val="24"/>
          <w:highlight w:val="none"/>
        </w:rPr>
        <w:fldChar w:fldCharType="end"/>
      </w:r>
    </w:p>
    <w:p w14:paraId="1DCA9483">
      <w:pPr>
        <w:pStyle w:val="25"/>
        <w:tabs>
          <w:tab w:val="right" w:leader="dot" w:pos="9746"/>
          <w:tab w:val="clear" w:pos="829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_Toc8980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rPr>
        <w:t>第二节 供应商须知正文</w:t>
      </w:r>
      <w:r>
        <w:rPr>
          <w:color w:val="auto"/>
          <w:highlight w:val="none"/>
        </w:rPr>
        <w:tab/>
      </w:r>
      <w:r>
        <w:rPr>
          <w:color w:val="auto"/>
          <w:highlight w:val="none"/>
        </w:rPr>
        <w:fldChar w:fldCharType="begin"/>
      </w:r>
      <w:r>
        <w:rPr>
          <w:color w:val="auto"/>
          <w:highlight w:val="none"/>
        </w:rPr>
        <w:instrText xml:space="preserve"> PAGEREF _Toc8980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eastAsia="宋体" w:cs="宋体"/>
          <w:color w:val="auto"/>
          <w:szCs w:val="24"/>
          <w:highlight w:val="none"/>
        </w:rPr>
        <w:fldChar w:fldCharType="end"/>
      </w:r>
    </w:p>
    <w:p w14:paraId="65D7E8D9">
      <w:pPr>
        <w:pStyle w:val="15"/>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_Toc29628 </w:instrText>
      </w:r>
      <w:r>
        <w:rPr>
          <w:rFonts w:hint="eastAsia" w:ascii="宋体" w:hAnsi="宋体" w:eastAsia="宋体" w:cs="宋体"/>
          <w:color w:val="auto"/>
          <w:szCs w:val="24"/>
          <w:highlight w:val="none"/>
        </w:rPr>
        <w:fldChar w:fldCharType="separate"/>
      </w:r>
      <w:r>
        <w:rPr>
          <w:rFonts w:hint="eastAsia" w:ascii="宋体" w:hAnsi="宋体" w:eastAsia="宋体" w:cs="宋体"/>
          <w:bCs w:val="0"/>
          <w:color w:val="auto"/>
          <w:highlight w:val="none"/>
        </w:rPr>
        <w:t>一、总则</w:t>
      </w:r>
      <w:r>
        <w:rPr>
          <w:color w:val="auto"/>
          <w:highlight w:val="none"/>
        </w:rPr>
        <w:tab/>
      </w:r>
      <w:r>
        <w:rPr>
          <w:color w:val="auto"/>
          <w:highlight w:val="none"/>
        </w:rPr>
        <w:fldChar w:fldCharType="begin"/>
      </w:r>
      <w:r>
        <w:rPr>
          <w:color w:val="auto"/>
          <w:highlight w:val="none"/>
        </w:rPr>
        <w:instrText xml:space="preserve"> PAGEREF _Toc29628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eastAsia="宋体" w:cs="宋体"/>
          <w:color w:val="auto"/>
          <w:szCs w:val="24"/>
          <w:highlight w:val="none"/>
        </w:rPr>
        <w:fldChar w:fldCharType="end"/>
      </w:r>
    </w:p>
    <w:p w14:paraId="2F15AC93">
      <w:pPr>
        <w:pStyle w:val="15"/>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_Toc27949 </w:instrText>
      </w:r>
      <w:r>
        <w:rPr>
          <w:rFonts w:hint="eastAsia" w:ascii="宋体" w:hAnsi="宋体" w:eastAsia="宋体" w:cs="宋体"/>
          <w:color w:val="auto"/>
          <w:szCs w:val="24"/>
          <w:highlight w:val="none"/>
        </w:rPr>
        <w:fldChar w:fldCharType="separate"/>
      </w:r>
      <w:r>
        <w:rPr>
          <w:rFonts w:hint="eastAsia" w:ascii="宋体" w:hAnsi="宋体" w:eastAsia="宋体" w:cs="宋体"/>
          <w:bCs w:val="0"/>
          <w:color w:val="auto"/>
          <w:highlight w:val="none"/>
        </w:rPr>
        <w:t>二、磋商文件</w:t>
      </w:r>
      <w:r>
        <w:rPr>
          <w:color w:val="auto"/>
          <w:highlight w:val="none"/>
        </w:rPr>
        <w:tab/>
      </w:r>
      <w:r>
        <w:rPr>
          <w:color w:val="auto"/>
          <w:highlight w:val="none"/>
        </w:rPr>
        <w:fldChar w:fldCharType="begin"/>
      </w:r>
      <w:r>
        <w:rPr>
          <w:color w:val="auto"/>
          <w:highlight w:val="none"/>
        </w:rPr>
        <w:instrText xml:space="preserve"> PAGEREF _Toc27949 \h </w:instrText>
      </w:r>
      <w:r>
        <w:rPr>
          <w:color w:val="auto"/>
          <w:highlight w:val="none"/>
        </w:rPr>
        <w:fldChar w:fldCharType="separate"/>
      </w:r>
      <w:r>
        <w:rPr>
          <w:color w:val="auto"/>
          <w:highlight w:val="none"/>
        </w:rPr>
        <w:t>21</w:t>
      </w:r>
      <w:r>
        <w:rPr>
          <w:color w:val="auto"/>
          <w:highlight w:val="none"/>
        </w:rPr>
        <w:fldChar w:fldCharType="end"/>
      </w:r>
      <w:r>
        <w:rPr>
          <w:rFonts w:hint="eastAsia" w:ascii="宋体" w:hAnsi="宋体" w:eastAsia="宋体" w:cs="宋体"/>
          <w:color w:val="auto"/>
          <w:szCs w:val="24"/>
          <w:highlight w:val="none"/>
        </w:rPr>
        <w:fldChar w:fldCharType="end"/>
      </w:r>
    </w:p>
    <w:p w14:paraId="596AA661">
      <w:pPr>
        <w:pStyle w:val="15"/>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_Toc10192 </w:instrText>
      </w:r>
      <w:r>
        <w:rPr>
          <w:rFonts w:hint="eastAsia" w:ascii="宋体" w:hAnsi="宋体" w:eastAsia="宋体" w:cs="宋体"/>
          <w:color w:val="auto"/>
          <w:szCs w:val="24"/>
          <w:highlight w:val="none"/>
        </w:rPr>
        <w:fldChar w:fldCharType="separate"/>
      </w:r>
      <w:r>
        <w:rPr>
          <w:rFonts w:hint="eastAsia" w:ascii="宋体" w:hAnsi="宋体" w:eastAsia="宋体" w:cs="宋体"/>
          <w:bCs w:val="0"/>
          <w:color w:val="auto"/>
          <w:highlight w:val="none"/>
        </w:rPr>
        <w:t>三、响应文件的编制</w:t>
      </w:r>
      <w:r>
        <w:rPr>
          <w:color w:val="auto"/>
          <w:highlight w:val="none"/>
        </w:rPr>
        <w:tab/>
      </w:r>
      <w:r>
        <w:rPr>
          <w:color w:val="auto"/>
          <w:highlight w:val="none"/>
        </w:rPr>
        <w:fldChar w:fldCharType="begin"/>
      </w:r>
      <w:r>
        <w:rPr>
          <w:color w:val="auto"/>
          <w:highlight w:val="none"/>
        </w:rPr>
        <w:instrText xml:space="preserve"> PAGEREF _Toc10192 \h </w:instrText>
      </w:r>
      <w:r>
        <w:rPr>
          <w:color w:val="auto"/>
          <w:highlight w:val="none"/>
        </w:rPr>
        <w:fldChar w:fldCharType="separate"/>
      </w:r>
      <w:r>
        <w:rPr>
          <w:color w:val="auto"/>
          <w:highlight w:val="none"/>
        </w:rPr>
        <w:t>22</w:t>
      </w:r>
      <w:r>
        <w:rPr>
          <w:color w:val="auto"/>
          <w:highlight w:val="none"/>
        </w:rPr>
        <w:fldChar w:fldCharType="end"/>
      </w:r>
      <w:r>
        <w:rPr>
          <w:rFonts w:hint="eastAsia" w:ascii="宋体" w:hAnsi="宋体" w:eastAsia="宋体" w:cs="宋体"/>
          <w:color w:val="auto"/>
          <w:szCs w:val="24"/>
          <w:highlight w:val="none"/>
        </w:rPr>
        <w:fldChar w:fldCharType="end"/>
      </w:r>
    </w:p>
    <w:p w14:paraId="4CF107FE">
      <w:pPr>
        <w:pStyle w:val="15"/>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_Toc1908 </w:instrText>
      </w:r>
      <w:r>
        <w:rPr>
          <w:rFonts w:hint="eastAsia" w:ascii="宋体" w:hAnsi="宋体" w:eastAsia="宋体" w:cs="宋体"/>
          <w:color w:val="auto"/>
          <w:szCs w:val="24"/>
          <w:highlight w:val="none"/>
        </w:rPr>
        <w:fldChar w:fldCharType="separate"/>
      </w:r>
      <w:r>
        <w:rPr>
          <w:rFonts w:hint="eastAsia" w:ascii="宋体" w:hAnsi="宋体" w:eastAsia="宋体" w:cs="宋体"/>
          <w:bCs w:val="0"/>
          <w:color w:val="auto"/>
          <w:highlight w:val="none"/>
        </w:rPr>
        <w:t>四、评审及磋商</w:t>
      </w:r>
      <w:r>
        <w:rPr>
          <w:color w:val="auto"/>
          <w:highlight w:val="none"/>
        </w:rPr>
        <w:tab/>
      </w:r>
      <w:r>
        <w:rPr>
          <w:color w:val="auto"/>
          <w:highlight w:val="none"/>
        </w:rPr>
        <w:fldChar w:fldCharType="begin"/>
      </w:r>
      <w:r>
        <w:rPr>
          <w:color w:val="auto"/>
          <w:highlight w:val="none"/>
        </w:rPr>
        <w:instrText xml:space="preserve"> PAGEREF _Toc1908 \h </w:instrText>
      </w:r>
      <w:r>
        <w:rPr>
          <w:color w:val="auto"/>
          <w:highlight w:val="none"/>
        </w:rPr>
        <w:fldChar w:fldCharType="separate"/>
      </w:r>
      <w:r>
        <w:rPr>
          <w:color w:val="auto"/>
          <w:highlight w:val="none"/>
        </w:rPr>
        <w:t>24</w:t>
      </w:r>
      <w:r>
        <w:rPr>
          <w:color w:val="auto"/>
          <w:highlight w:val="none"/>
        </w:rPr>
        <w:fldChar w:fldCharType="end"/>
      </w:r>
      <w:r>
        <w:rPr>
          <w:rFonts w:hint="eastAsia" w:ascii="宋体" w:hAnsi="宋体" w:eastAsia="宋体" w:cs="宋体"/>
          <w:color w:val="auto"/>
          <w:szCs w:val="24"/>
          <w:highlight w:val="none"/>
        </w:rPr>
        <w:fldChar w:fldCharType="end"/>
      </w:r>
    </w:p>
    <w:p w14:paraId="22BD1EF8">
      <w:pPr>
        <w:pStyle w:val="15"/>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_Toc27792 </w:instrText>
      </w:r>
      <w:r>
        <w:rPr>
          <w:rFonts w:hint="eastAsia" w:ascii="宋体" w:hAnsi="宋体" w:eastAsia="宋体" w:cs="宋体"/>
          <w:color w:val="auto"/>
          <w:szCs w:val="24"/>
          <w:highlight w:val="none"/>
        </w:rPr>
        <w:fldChar w:fldCharType="separate"/>
      </w:r>
      <w:r>
        <w:rPr>
          <w:rFonts w:hint="eastAsia" w:ascii="宋体" w:hAnsi="宋体" w:eastAsia="宋体" w:cs="宋体"/>
          <w:bCs w:val="0"/>
          <w:color w:val="auto"/>
          <w:highlight w:val="none"/>
        </w:rPr>
        <w:t>五、成交及合同</w:t>
      </w:r>
      <w:r>
        <w:rPr>
          <w:color w:val="auto"/>
          <w:highlight w:val="none"/>
        </w:rPr>
        <w:tab/>
      </w:r>
      <w:r>
        <w:rPr>
          <w:color w:val="auto"/>
          <w:highlight w:val="none"/>
        </w:rPr>
        <w:fldChar w:fldCharType="begin"/>
      </w:r>
      <w:r>
        <w:rPr>
          <w:color w:val="auto"/>
          <w:highlight w:val="none"/>
        </w:rPr>
        <w:instrText xml:space="preserve"> PAGEREF _Toc27792 \h </w:instrText>
      </w:r>
      <w:r>
        <w:rPr>
          <w:color w:val="auto"/>
          <w:highlight w:val="none"/>
        </w:rPr>
        <w:fldChar w:fldCharType="separate"/>
      </w:r>
      <w:r>
        <w:rPr>
          <w:color w:val="auto"/>
          <w:highlight w:val="none"/>
        </w:rPr>
        <w:t>25</w:t>
      </w:r>
      <w:r>
        <w:rPr>
          <w:color w:val="auto"/>
          <w:highlight w:val="none"/>
        </w:rPr>
        <w:fldChar w:fldCharType="end"/>
      </w:r>
      <w:r>
        <w:rPr>
          <w:rFonts w:hint="eastAsia" w:ascii="宋体" w:hAnsi="宋体" w:eastAsia="宋体" w:cs="宋体"/>
          <w:color w:val="auto"/>
          <w:szCs w:val="24"/>
          <w:highlight w:val="none"/>
        </w:rPr>
        <w:fldChar w:fldCharType="end"/>
      </w:r>
    </w:p>
    <w:p w14:paraId="00F5C7F4">
      <w:pPr>
        <w:pStyle w:val="15"/>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_Toc22802 </w:instrText>
      </w:r>
      <w:r>
        <w:rPr>
          <w:rFonts w:hint="eastAsia" w:ascii="宋体" w:hAnsi="宋体" w:eastAsia="宋体" w:cs="宋体"/>
          <w:color w:val="auto"/>
          <w:szCs w:val="24"/>
          <w:highlight w:val="none"/>
        </w:rPr>
        <w:fldChar w:fldCharType="separate"/>
      </w:r>
      <w:r>
        <w:rPr>
          <w:rFonts w:hint="eastAsia" w:ascii="宋体" w:hAnsi="宋体" w:eastAsia="宋体" w:cs="宋体"/>
          <w:bCs w:val="0"/>
          <w:color w:val="auto"/>
          <w:highlight w:val="none"/>
        </w:rPr>
        <w:t>六、验收</w:t>
      </w:r>
      <w:r>
        <w:rPr>
          <w:color w:val="auto"/>
          <w:highlight w:val="none"/>
        </w:rPr>
        <w:tab/>
      </w:r>
      <w:r>
        <w:rPr>
          <w:color w:val="auto"/>
          <w:highlight w:val="none"/>
        </w:rPr>
        <w:fldChar w:fldCharType="begin"/>
      </w:r>
      <w:r>
        <w:rPr>
          <w:color w:val="auto"/>
          <w:highlight w:val="none"/>
        </w:rPr>
        <w:instrText xml:space="preserve"> PAGEREF _Toc22802 \h </w:instrText>
      </w:r>
      <w:r>
        <w:rPr>
          <w:color w:val="auto"/>
          <w:highlight w:val="none"/>
        </w:rPr>
        <w:fldChar w:fldCharType="separate"/>
      </w:r>
      <w:r>
        <w:rPr>
          <w:color w:val="auto"/>
          <w:highlight w:val="none"/>
        </w:rPr>
        <w:t>28</w:t>
      </w:r>
      <w:r>
        <w:rPr>
          <w:color w:val="auto"/>
          <w:highlight w:val="none"/>
        </w:rPr>
        <w:fldChar w:fldCharType="end"/>
      </w:r>
      <w:r>
        <w:rPr>
          <w:rFonts w:hint="eastAsia" w:ascii="宋体" w:hAnsi="宋体" w:eastAsia="宋体" w:cs="宋体"/>
          <w:color w:val="auto"/>
          <w:szCs w:val="24"/>
          <w:highlight w:val="none"/>
        </w:rPr>
        <w:fldChar w:fldCharType="end"/>
      </w:r>
    </w:p>
    <w:p w14:paraId="5B47846E">
      <w:pPr>
        <w:pStyle w:val="15"/>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_Toc2111 </w:instrText>
      </w:r>
      <w:r>
        <w:rPr>
          <w:rFonts w:hint="eastAsia" w:ascii="宋体" w:hAnsi="宋体" w:eastAsia="宋体" w:cs="宋体"/>
          <w:color w:val="auto"/>
          <w:szCs w:val="24"/>
          <w:highlight w:val="none"/>
        </w:rPr>
        <w:fldChar w:fldCharType="separate"/>
      </w:r>
      <w:r>
        <w:rPr>
          <w:rFonts w:hint="eastAsia" w:ascii="宋体" w:hAnsi="宋体" w:eastAsia="宋体" w:cs="宋体"/>
          <w:bCs w:val="0"/>
          <w:color w:val="auto"/>
          <w:highlight w:val="none"/>
          <w:lang w:eastAsia="zh-CN"/>
        </w:rPr>
        <w:t>七</w:t>
      </w:r>
      <w:r>
        <w:rPr>
          <w:rFonts w:hint="eastAsia" w:ascii="宋体" w:hAnsi="宋体" w:eastAsia="宋体" w:cs="宋体"/>
          <w:bCs w:val="0"/>
          <w:color w:val="auto"/>
          <w:highlight w:val="none"/>
        </w:rPr>
        <w:t>、其他事项</w:t>
      </w:r>
      <w:r>
        <w:rPr>
          <w:color w:val="auto"/>
          <w:highlight w:val="none"/>
        </w:rPr>
        <w:tab/>
      </w:r>
      <w:r>
        <w:rPr>
          <w:color w:val="auto"/>
          <w:highlight w:val="none"/>
        </w:rPr>
        <w:fldChar w:fldCharType="begin"/>
      </w:r>
      <w:r>
        <w:rPr>
          <w:color w:val="auto"/>
          <w:highlight w:val="none"/>
        </w:rPr>
        <w:instrText xml:space="preserve"> PAGEREF _Toc2111 \h </w:instrText>
      </w:r>
      <w:r>
        <w:rPr>
          <w:color w:val="auto"/>
          <w:highlight w:val="none"/>
        </w:rPr>
        <w:fldChar w:fldCharType="separate"/>
      </w:r>
      <w:r>
        <w:rPr>
          <w:color w:val="auto"/>
          <w:highlight w:val="none"/>
        </w:rPr>
        <w:t>28</w:t>
      </w:r>
      <w:r>
        <w:rPr>
          <w:color w:val="auto"/>
          <w:highlight w:val="none"/>
        </w:rPr>
        <w:fldChar w:fldCharType="end"/>
      </w:r>
      <w:r>
        <w:rPr>
          <w:rFonts w:hint="eastAsia" w:ascii="宋体" w:hAnsi="宋体" w:eastAsia="宋体" w:cs="宋体"/>
          <w:color w:val="auto"/>
          <w:szCs w:val="24"/>
          <w:highlight w:val="none"/>
        </w:rPr>
        <w:fldChar w:fldCharType="end"/>
      </w:r>
    </w:p>
    <w:p w14:paraId="25FD167F">
      <w:pPr>
        <w:pStyle w:val="22"/>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_Toc1038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highlight w:val="none"/>
        </w:rPr>
        <w:t>第四章  评审程序、评审方法和评审标准</w:t>
      </w:r>
      <w:r>
        <w:rPr>
          <w:color w:val="auto"/>
          <w:highlight w:val="none"/>
        </w:rPr>
        <w:tab/>
      </w:r>
      <w:r>
        <w:rPr>
          <w:color w:val="auto"/>
          <w:highlight w:val="none"/>
        </w:rPr>
        <w:fldChar w:fldCharType="begin"/>
      </w:r>
      <w:r>
        <w:rPr>
          <w:color w:val="auto"/>
          <w:highlight w:val="none"/>
        </w:rPr>
        <w:instrText xml:space="preserve"> PAGEREF _Toc1038 \h </w:instrText>
      </w:r>
      <w:r>
        <w:rPr>
          <w:color w:val="auto"/>
          <w:highlight w:val="none"/>
        </w:rPr>
        <w:fldChar w:fldCharType="separate"/>
      </w:r>
      <w:r>
        <w:rPr>
          <w:color w:val="auto"/>
          <w:highlight w:val="none"/>
        </w:rPr>
        <w:t>30</w:t>
      </w:r>
      <w:r>
        <w:rPr>
          <w:color w:val="auto"/>
          <w:highlight w:val="none"/>
        </w:rPr>
        <w:fldChar w:fldCharType="end"/>
      </w:r>
      <w:r>
        <w:rPr>
          <w:rFonts w:hint="eastAsia" w:ascii="宋体" w:hAnsi="宋体" w:eastAsia="宋体" w:cs="宋体"/>
          <w:color w:val="auto"/>
          <w:szCs w:val="24"/>
          <w:highlight w:val="none"/>
        </w:rPr>
        <w:fldChar w:fldCharType="end"/>
      </w:r>
    </w:p>
    <w:p w14:paraId="354CBCB4">
      <w:pPr>
        <w:pStyle w:val="25"/>
        <w:tabs>
          <w:tab w:val="right" w:leader="dot" w:pos="9746"/>
          <w:tab w:val="clear" w:pos="829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_Toc32333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rPr>
        <w:t>第一节 评审程序和评审方法</w:t>
      </w:r>
      <w:r>
        <w:rPr>
          <w:color w:val="auto"/>
          <w:highlight w:val="none"/>
        </w:rPr>
        <w:tab/>
      </w:r>
      <w:r>
        <w:rPr>
          <w:color w:val="auto"/>
          <w:highlight w:val="none"/>
        </w:rPr>
        <w:fldChar w:fldCharType="begin"/>
      </w:r>
      <w:r>
        <w:rPr>
          <w:color w:val="auto"/>
          <w:highlight w:val="none"/>
        </w:rPr>
        <w:instrText xml:space="preserve"> PAGEREF _Toc32333 \h </w:instrText>
      </w:r>
      <w:r>
        <w:rPr>
          <w:color w:val="auto"/>
          <w:highlight w:val="none"/>
        </w:rPr>
        <w:fldChar w:fldCharType="separate"/>
      </w:r>
      <w:r>
        <w:rPr>
          <w:color w:val="auto"/>
          <w:highlight w:val="none"/>
        </w:rPr>
        <w:t>30</w:t>
      </w:r>
      <w:r>
        <w:rPr>
          <w:color w:val="auto"/>
          <w:highlight w:val="none"/>
        </w:rPr>
        <w:fldChar w:fldCharType="end"/>
      </w:r>
      <w:r>
        <w:rPr>
          <w:rFonts w:hint="eastAsia" w:ascii="宋体" w:hAnsi="宋体" w:eastAsia="宋体" w:cs="宋体"/>
          <w:color w:val="auto"/>
          <w:szCs w:val="24"/>
          <w:highlight w:val="none"/>
        </w:rPr>
        <w:fldChar w:fldCharType="end"/>
      </w:r>
    </w:p>
    <w:p w14:paraId="3A6DA9D9">
      <w:pPr>
        <w:pStyle w:val="25"/>
        <w:tabs>
          <w:tab w:val="right" w:leader="dot" w:pos="9746"/>
          <w:tab w:val="clear" w:pos="829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_Toc27005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eastAsia="zh-CN"/>
        </w:rPr>
        <w:t>二</w:t>
      </w:r>
      <w:r>
        <w:rPr>
          <w:rFonts w:hint="eastAsia" w:ascii="宋体" w:hAnsi="宋体" w:eastAsia="宋体" w:cs="宋体"/>
          <w:color w:val="auto"/>
          <w:highlight w:val="none"/>
        </w:rPr>
        <w:t xml:space="preserve">节 </w:t>
      </w:r>
      <w:r>
        <w:rPr>
          <w:rFonts w:hint="eastAsia" w:ascii="宋体" w:hAnsi="宋体" w:eastAsia="宋体" w:cs="宋体"/>
          <w:color w:val="auto"/>
          <w:highlight w:val="none"/>
          <w:lang w:eastAsia="zh-CN"/>
        </w:rPr>
        <w:t>评标报告</w:t>
      </w:r>
      <w:r>
        <w:rPr>
          <w:color w:val="auto"/>
          <w:highlight w:val="none"/>
        </w:rPr>
        <w:tab/>
      </w:r>
      <w:r>
        <w:rPr>
          <w:color w:val="auto"/>
          <w:highlight w:val="none"/>
        </w:rPr>
        <w:fldChar w:fldCharType="begin"/>
      </w:r>
      <w:r>
        <w:rPr>
          <w:color w:val="auto"/>
          <w:highlight w:val="none"/>
        </w:rPr>
        <w:instrText xml:space="preserve"> PAGEREF _Toc27005 \h </w:instrText>
      </w:r>
      <w:r>
        <w:rPr>
          <w:color w:val="auto"/>
          <w:highlight w:val="none"/>
        </w:rPr>
        <w:fldChar w:fldCharType="separate"/>
      </w:r>
      <w:r>
        <w:rPr>
          <w:color w:val="auto"/>
          <w:highlight w:val="none"/>
        </w:rPr>
        <w:t>39</w:t>
      </w:r>
      <w:r>
        <w:rPr>
          <w:color w:val="auto"/>
          <w:highlight w:val="none"/>
        </w:rPr>
        <w:fldChar w:fldCharType="end"/>
      </w:r>
      <w:r>
        <w:rPr>
          <w:rFonts w:hint="eastAsia" w:ascii="宋体" w:hAnsi="宋体" w:eastAsia="宋体" w:cs="宋体"/>
          <w:color w:val="auto"/>
          <w:szCs w:val="24"/>
          <w:highlight w:val="none"/>
        </w:rPr>
        <w:fldChar w:fldCharType="end"/>
      </w:r>
    </w:p>
    <w:p w14:paraId="04C18CCA">
      <w:pPr>
        <w:pStyle w:val="25"/>
        <w:tabs>
          <w:tab w:val="right" w:leader="dot" w:pos="9746"/>
          <w:tab w:val="clear" w:pos="829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_Toc29016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eastAsia="zh-CN"/>
        </w:rPr>
        <w:t>三</w:t>
      </w:r>
      <w:r>
        <w:rPr>
          <w:rFonts w:hint="eastAsia" w:ascii="宋体" w:hAnsi="宋体" w:eastAsia="宋体" w:cs="宋体"/>
          <w:color w:val="auto"/>
          <w:highlight w:val="none"/>
        </w:rPr>
        <w:t>节 评审过程的保密与录像</w:t>
      </w:r>
      <w:r>
        <w:rPr>
          <w:color w:val="auto"/>
          <w:highlight w:val="none"/>
        </w:rPr>
        <w:tab/>
      </w:r>
      <w:r>
        <w:rPr>
          <w:color w:val="auto"/>
          <w:highlight w:val="none"/>
        </w:rPr>
        <w:fldChar w:fldCharType="begin"/>
      </w:r>
      <w:r>
        <w:rPr>
          <w:color w:val="auto"/>
          <w:highlight w:val="none"/>
        </w:rPr>
        <w:instrText xml:space="preserve"> PAGEREF _Toc29016 \h </w:instrText>
      </w:r>
      <w:r>
        <w:rPr>
          <w:color w:val="auto"/>
          <w:highlight w:val="none"/>
        </w:rPr>
        <w:fldChar w:fldCharType="separate"/>
      </w:r>
      <w:r>
        <w:rPr>
          <w:color w:val="auto"/>
          <w:highlight w:val="none"/>
        </w:rPr>
        <w:t>39</w:t>
      </w:r>
      <w:r>
        <w:rPr>
          <w:color w:val="auto"/>
          <w:highlight w:val="none"/>
        </w:rPr>
        <w:fldChar w:fldCharType="end"/>
      </w:r>
      <w:r>
        <w:rPr>
          <w:rFonts w:hint="eastAsia" w:ascii="宋体" w:hAnsi="宋体" w:eastAsia="宋体" w:cs="宋体"/>
          <w:color w:val="auto"/>
          <w:szCs w:val="24"/>
          <w:highlight w:val="none"/>
        </w:rPr>
        <w:fldChar w:fldCharType="end"/>
      </w:r>
    </w:p>
    <w:p w14:paraId="684F2282">
      <w:pPr>
        <w:pStyle w:val="22"/>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_Toc14324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highlight w:val="none"/>
        </w:rPr>
        <w:t>第五章 响应文件格式</w:t>
      </w:r>
      <w:r>
        <w:rPr>
          <w:color w:val="auto"/>
          <w:highlight w:val="none"/>
        </w:rPr>
        <w:tab/>
      </w:r>
      <w:r>
        <w:rPr>
          <w:color w:val="auto"/>
          <w:highlight w:val="none"/>
        </w:rPr>
        <w:fldChar w:fldCharType="begin"/>
      </w:r>
      <w:r>
        <w:rPr>
          <w:color w:val="auto"/>
          <w:highlight w:val="none"/>
        </w:rPr>
        <w:instrText xml:space="preserve"> PAGEREF _Toc14324 \h </w:instrText>
      </w:r>
      <w:r>
        <w:rPr>
          <w:color w:val="auto"/>
          <w:highlight w:val="none"/>
        </w:rPr>
        <w:fldChar w:fldCharType="separate"/>
      </w:r>
      <w:r>
        <w:rPr>
          <w:color w:val="auto"/>
          <w:highlight w:val="none"/>
        </w:rPr>
        <w:t>40</w:t>
      </w:r>
      <w:r>
        <w:rPr>
          <w:color w:val="auto"/>
          <w:highlight w:val="none"/>
        </w:rPr>
        <w:fldChar w:fldCharType="end"/>
      </w:r>
      <w:r>
        <w:rPr>
          <w:rFonts w:hint="eastAsia" w:ascii="宋体" w:hAnsi="宋体" w:eastAsia="宋体" w:cs="宋体"/>
          <w:color w:val="auto"/>
          <w:szCs w:val="24"/>
          <w:highlight w:val="none"/>
        </w:rPr>
        <w:fldChar w:fldCharType="end"/>
      </w:r>
    </w:p>
    <w:p w14:paraId="4E877E8E">
      <w:pPr>
        <w:pStyle w:val="25"/>
        <w:tabs>
          <w:tab w:val="right" w:leader="dot" w:pos="9746"/>
          <w:tab w:val="clear" w:pos="829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_Toc23115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lang w:val="en-US" w:eastAsia="zh-CN"/>
        </w:rPr>
        <w:t>第一节 封面格式</w:t>
      </w:r>
      <w:r>
        <w:rPr>
          <w:color w:val="auto"/>
          <w:highlight w:val="none"/>
        </w:rPr>
        <w:tab/>
      </w:r>
      <w:r>
        <w:rPr>
          <w:color w:val="auto"/>
          <w:highlight w:val="none"/>
        </w:rPr>
        <w:fldChar w:fldCharType="begin"/>
      </w:r>
      <w:r>
        <w:rPr>
          <w:color w:val="auto"/>
          <w:highlight w:val="none"/>
        </w:rPr>
        <w:instrText xml:space="preserve"> PAGEREF _Toc23115 \h </w:instrText>
      </w:r>
      <w:r>
        <w:rPr>
          <w:color w:val="auto"/>
          <w:highlight w:val="none"/>
        </w:rPr>
        <w:fldChar w:fldCharType="separate"/>
      </w:r>
      <w:r>
        <w:rPr>
          <w:color w:val="auto"/>
          <w:highlight w:val="none"/>
        </w:rPr>
        <w:t>41</w:t>
      </w:r>
      <w:r>
        <w:rPr>
          <w:color w:val="auto"/>
          <w:highlight w:val="none"/>
        </w:rPr>
        <w:fldChar w:fldCharType="end"/>
      </w:r>
      <w:r>
        <w:rPr>
          <w:rFonts w:hint="eastAsia" w:ascii="宋体" w:hAnsi="宋体" w:eastAsia="宋体" w:cs="宋体"/>
          <w:color w:val="auto"/>
          <w:szCs w:val="24"/>
          <w:highlight w:val="none"/>
        </w:rPr>
        <w:fldChar w:fldCharType="end"/>
      </w:r>
    </w:p>
    <w:p w14:paraId="5B55EA92">
      <w:pPr>
        <w:pStyle w:val="25"/>
        <w:tabs>
          <w:tab w:val="right" w:leader="dot" w:pos="9746"/>
          <w:tab w:val="clear" w:pos="829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_Toc7860 </w:instrText>
      </w:r>
      <w:r>
        <w:rPr>
          <w:rFonts w:hint="eastAsia" w:ascii="宋体" w:hAnsi="宋体" w:eastAsia="宋体" w:cs="宋体"/>
          <w:color w:val="auto"/>
          <w:szCs w:val="24"/>
          <w:highlight w:val="none"/>
        </w:rPr>
        <w:fldChar w:fldCharType="separate"/>
      </w:r>
      <w:r>
        <w:rPr>
          <w:rFonts w:hint="eastAsia" w:ascii="宋体" w:hAnsi="宋体" w:eastAsia="宋体" w:cs="宋体"/>
          <w:bCs w:val="0"/>
          <w:color w:val="auto"/>
          <w:highlight w:val="none"/>
        </w:rPr>
        <w:t>第二节 资格证明文件格式</w:t>
      </w:r>
      <w:r>
        <w:rPr>
          <w:color w:val="auto"/>
          <w:highlight w:val="none"/>
        </w:rPr>
        <w:tab/>
      </w:r>
      <w:r>
        <w:rPr>
          <w:color w:val="auto"/>
          <w:highlight w:val="none"/>
        </w:rPr>
        <w:fldChar w:fldCharType="begin"/>
      </w:r>
      <w:r>
        <w:rPr>
          <w:color w:val="auto"/>
          <w:highlight w:val="none"/>
        </w:rPr>
        <w:instrText xml:space="preserve"> PAGEREF _Toc7860 \h </w:instrText>
      </w:r>
      <w:r>
        <w:rPr>
          <w:color w:val="auto"/>
          <w:highlight w:val="none"/>
        </w:rPr>
        <w:fldChar w:fldCharType="separate"/>
      </w:r>
      <w:r>
        <w:rPr>
          <w:color w:val="auto"/>
          <w:highlight w:val="none"/>
        </w:rPr>
        <w:t>42</w:t>
      </w:r>
      <w:r>
        <w:rPr>
          <w:color w:val="auto"/>
          <w:highlight w:val="none"/>
        </w:rPr>
        <w:fldChar w:fldCharType="end"/>
      </w:r>
      <w:r>
        <w:rPr>
          <w:rFonts w:hint="eastAsia" w:ascii="宋体" w:hAnsi="宋体" w:eastAsia="宋体" w:cs="宋体"/>
          <w:color w:val="auto"/>
          <w:szCs w:val="24"/>
          <w:highlight w:val="none"/>
        </w:rPr>
        <w:fldChar w:fldCharType="end"/>
      </w:r>
    </w:p>
    <w:p w14:paraId="4C2EEFBA">
      <w:pPr>
        <w:pStyle w:val="25"/>
        <w:tabs>
          <w:tab w:val="right" w:leader="dot" w:pos="9746"/>
          <w:tab w:val="clear" w:pos="829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_Toc25946 </w:instrText>
      </w:r>
      <w:r>
        <w:rPr>
          <w:rFonts w:hint="eastAsia" w:ascii="宋体" w:hAnsi="宋体" w:eastAsia="宋体" w:cs="宋体"/>
          <w:color w:val="auto"/>
          <w:szCs w:val="24"/>
          <w:highlight w:val="none"/>
        </w:rPr>
        <w:fldChar w:fldCharType="separate"/>
      </w:r>
      <w:r>
        <w:rPr>
          <w:rFonts w:hint="eastAsia" w:ascii="宋体" w:hAnsi="宋体" w:eastAsia="宋体" w:cs="宋体"/>
          <w:bCs w:val="0"/>
          <w:color w:val="auto"/>
          <w:highlight w:val="none"/>
        </w:rPr>
        <w:t>第</w:t>
      </w:r>
      <w:r>
        <w:rPr>
          <w:rFonts w:hint="eastAsia" w:ascii="宋体" w:hAnsi="宋体" w:eastAsia="宋体" w:cs="宋体"/>
          <w:bCs w:val="0"/>
          <w:color w:val="auto"/>
          <w:highlight w:val="none"/>
          <w:lang w:eastAsia="zh-CN"/>
        </w:rPr>
        <w:t>三</w:t>
      </w:r>
      <w:r>
        <w:rPr>
          <w:rFonts w:hint="eastAsia" w:ascii="宋体" w:hAnsi="宋体" w:eastAsia="宋体" w:cs="宋体"/>
          <w:bCs w:val="0"/>
          <w:color w:val="auto"/>
          <w:highlight w:val="none"/>
        </w:rPr>
        <w:t xml:space="preserve">节 </w:t>
      </w:r>
      <w:r>
        <w:rPr>
          <w:rFonts w:hint="eastAsia" w:ascii="宋体" w:hAnsi="宋体" w:eastAsia="宋体" w:cs="宋体"/>
          <w:color w:val="auto"/>
          <w:highlight w:val="none"/>
        </w:rPr>
        <w:t>商务技术文件格式</w:t>
      </w:r>
      <w:r>
        <w:rPr>
          <w:color w:val="auto"/>
          <w:highlight w:val="none"/>
        </w:rPr>
        <w:tab/>
      </w:r>
      <w:r>
        <w:rPr>
          <w:color w:val="auto"/>
          <w:highlight w:val="none"/>
        </w:rPr>
        <w:fldChar w:fldCharType="begin"/>
      </w:r>
      <w:r>
        <w:rPr>
          <w:color w:val="auto"/>
          <w:highlight w:val="none"/>
        </w:rPr>
        <w:instrText xml:space="preserve"> PAGEREF _Toc25946 \h </w:instrText>
      </w:r>
      <w:r>
        <w:rPr>
          <w:color w:val="auto"/>
          <w:highlight w:val="none"/>
        </w:rPr>
        <w:fldChar w:fldCharType="separate"/>
      </w:r>
      <w:r>
        <w:rPr>
          <w:color w:val="auto"/>
          <w:highlight w:val="none"/>
        </w:rPr>
        <w:t>53</w:t>
      </w:r>
      <w:r>
        <w:rPr>
          <w:color w:val="auto"/>
          <w:highlight w:val="none"/>
        </w:rPr>
        <w:fldChar w:fldCharType="end"/>
      </w:r>
      <w:r>
        <w:rPr>
          <w:rFonts w:hint="eastAsia" w:ascii="宋体" w:hAnsi="宋体" w:eastAsia="宋体" w:cs="宋体"/>
          <w:color w:val="auto"/>
          <w:szCs w:val="24"/>
          <w:highlight w:val="none"/>
        </w:rPr>
        <w:fldChar w:fldCharType="end"/>
      </w:r>
    </w:p>
    <w:p w14:paraId="22E1C8D2">
      <w:pPr>
        <w:pStyle w:val="25"/>
        <w:tabs>
          <w:tab w:val="right" w:leader="dot" w:pos="9746"/>
          <w:tab w:val="clear" w:pos="829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_Toc21302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lang w:val="en-US" w:eastAsia="zh-CN"/>
        </w:rPr>
        <w:t>第四节 报价文件格式</w:t>
      </w:r>
      <w:r>
        <w:rPr>
          <w:color w:val="auto"/>
          <w:highlight w:val="none"/>
        </w:rPr>
        <w:tab/>
      </w:r>
      <w:r>
        <w:rPr>
          <w:color w:val="auto"/>
          <w:highlight w:val="none"/>
        </w:rPr>
        <w:fldChar w:fldCharType="begin"/>
      </w:r>
      <w:r>
        <w:rPr>
          <w:color w:val="auto"/>
          <w:highlight w:val="none"/>
        </w:rPr>
        <w:instrText xml:space="preserve"> PAGEREF _Toc21302 \h </w:instrText>
      </w:r>
      <w:r>
        <w:rPr>
          <w:color w:val="auto"/>
          <w:highlight w:val="none"/>
        </w:rPr>
        <w:fldChar w:fldCharType="separate"/>
      </w:r>
      <w:r>
        <w:rPr>
          <w:color w:val="auto"/>
          <w:highlight w:val="none"/>
        </w:rPr>
        <w:t>69</w:t>
      </w:r>
      <w:r>
        <w:rPr>
          <w:color w:val="auto"/>
          <w:highlight w:val="none"/>
        </w:rPr>
        <w:fldChar w:fldCharType="end"/>
      </w:r>
      <w:r>
        <w:rPr>
          <w:rFonts w:hint="eastAsia" w:ascii="宋体" w:hAnsi="宋体" w:eastAsia="宋体" w:cs="宋体"/>
          <w:color w:val="auto"/>
          <w:szCs w:val="24"/>
          <w:highlight w:val="none"/>
        </w:rPr>
        <w:fldChar w:fldCharType="end"/>
      </w:r>
    </w:p>
    <w:p w14:paraId="6F339199">
      <w:pPr>
        <w:pStyle w:val="25"/>
        <w:tabs>
          <w:tab w:val="right" w:leader="dot" w:pos="9746"/>
          <w:tab w:val="clear" w:pos="829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_Toc3047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lang w:val="en-US" w:eastAsia="zh-CN"/>
        </w:rPr>
        <w:t>第五节 其他文书、文件格式</w:t>
      </w:r>
      <w:r>
        <w:rPr>
          <w:color w:val="auto"/>
          <w:highlight w:val="none"/>
        </w:rPr>
        <w:tab/>
      </w:r>
      <w:r>
        <w:rPr>
          <w:color w:val="auto"/>
          <w:highlight w:val="none"/>
        </w:rPr>
        <w:fldChar w:fldCharType="begin"/>
      </w:r>
      <w:r>
        <w:rPr>
          <w:color w:val="auto"/>
          <w:highlight w:val="none"/>
        </w:rPr>
        <w:instrText xml:space="preserve"> PAGEREF _Toc3047 \h </w:instrText>
      </w:r>
      <w:r>
        <w:rPr>
          <w:color w:val="auto"/>
          <w:highlight w:val="none"/>
        </w:rPr>
        <w:fldChar w:fldCharType="separate"/>
      </w:r>
      <w:r>
        <w:rPr>
          <w:color w:val="auto"/>
          <w:highlight w:val="none"/>
        </w:rPr>
        <w:t>76</w:t>
      </w:r>
      <w:r>
        <w:rPr>
          <w:color w:val="auto"/>
          <w:highlight w:val="none"/>
        </w:rPr>
        <w:fldChar w:fldCharType="end"/>
      </w:r>
      <w:r>
        <w:rPr>
          <w:rFonts w:hint="eastAsia" w:ascii="宋体" w:hAnsi="宋体" w:eastAsia="宋体" w:cs="宋体"/>
          <w:color w:val="auto"/>
          <w:szCs w:val="24"/>
          <w:highlight w:val="none"/>
        </w:rPr>
        <w:fldChar w:fldCharType="end"/>
      </w:r>
    </w:p>
    <w:p w14:paraId="391706E8">
      <w:pPr>
        <w:pStyle w:val="22"/>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_Toc17398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highlight w:val="none"/>
        </w:rPr>
        <w:t>第六章  合同文本</w:t>
      </w:r>
      <w:r>
        <w:rPr>
          <w:color w:val="auto"/>
          <w:highlight w:val="none"/>
        </w:rPr>
        <w:tab/>
      </w:r>
      <w:r>
        <w:rPr>
          <w:color w:val="auto"/>
          <w:highlight w:val="none"/>
        </w:rPr>
        <w:fldChar w:fldCharType="begin"/>
      </w:r>
      <w:r>
        <w:rPr>
          <w:color w:val="auto"/>
          <w:highlight w:val="none"/>
        </w:rPr>
        <w:instrText xml:space="preserve"> PAGEREF _Toc17398 \h </w:instrText>
      </w:r>
      <w:r>
        <w:rPr>
          <w:color w:val="auto"/>
          <w:highlight w:val="none"/>
        </w:rPr>
        <w:fldChar w:fldCharType="separate"/>
      </w:r>
      <w:r>
        <w:rPr>
          <w:color w:val="auto"/>
          <w:highlight w:val="none"/>
        </w:rPr>
        <w:t>77</w:t>
      </w:r>
      <w:r>
        <w:rPr>
          <w:color w:val="auto"/>
          <w:highlight w:val="none"/>
        </w:rPr>
        <w:fldChar w:fldCharType="end"/>
      </w:r>
      <w:r>
        <w:rPr>
          <w:rFonts w:hint="eastAsia" w:ascii="宋体" w:hAnsi="宋体" w:eastAsia="宋体" w:cs="宋体"/>
          <w:color w:val="auto"/>
          <w:szCs w:val="24"/>
          <w:highlight w:val="none"/>
        </w:rPr>
        <w:fldChar w:fldCharType="end"/>
      </w:r>
    </w:p>
    <w:p w14:paraId="23A9DD90">
      <w:pPr>
        <w:pStyle w:val="25"/>
        <w:tabs>
          <w:tab w:val="right" w:leader="dot" w:pos="9746"/>
          <w:tab w:val="clear" w:pos="829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_Toc31385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kern w:val="44"/>
          <w:szCs w:val="44"/>
          <w:highlight w:val="none"/>
          <w:lang w:val="en-US" w:eastAsia="zh-CN" w:bidi="ar-SA"/>
        </w:rPr>
        <w:t>第一节 合同协议书</w:t>
      </w:r>
      <w:r>
        <w:rPr>
          <w:color w:val="auto"/>
          <w:highlight w:val="none"/>
        </w:rPr>
        <w:tab/>
      </w:r>
      <w:r>
        <w:rPr>
          <w:color w:val="auto"/>
          <w:highlight w:val="none"/>
        </w:rPr>
        <w:fldChar w:fldCharType="begin"/>
      </w:r>
      <w:r>
        <w:rPr>
          <w:color w:val="auto"/>
          <w:highlight w:val="none"/>
        </w:rPr>
        <w:instrText xml:space="preserve"> PAGEREF _Toc31385 \h </w:instrText>
      </w:r>
      <w:r>
        <w:rPr>
          <w:color w:val="auto"/>
          <w:highlight w:val="none"/>
        </w:rPr>
        <w:fldChar w:fldCharType="separate"/>
      </w:r>
      <w:r>
        <w:rPr>
          <w:color w:val="auto"/>
          <w:highlight w:val="none"/>
        </w:rPr>
        <w:t>80</w:t>
      </w:r>
      <w:r>
        <w:rPr>
          <w:color w:val="auto"/>
          <w:highlight w:val="none"/>
        </w:rPr>
        <w:fldChar w:fldCharType="end"/>
      </w:r>
      <w:r>
        <w:rPr>
          <w:rFonts w:hint="eastAsia" w:ascii="宋体" w:hAnsi="宋体" w:eastAsia="宋体" w:cs="宋体"/>
          <w:color w:val="auto"/>
          <w:szCs w:val="24"/>
          <w:highlight w:val="none"/>
        </w:rPr>
        <w:fldChar w:fldCharType="end"/>
      </w:r>
    </w:p>
    <w:p w14:paraId="68B7B852">
      <w:pPr>
        <w:pStyle w:val="25"/>
        <w:tabs>
          <w:tab w:val="right" w:leader="dot" w:pos="9746"/>
          <w:tab w:val="clear" w:pos="829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_Toc27308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kern w:val="44"/>
          <w:szCs w:val="44"/>
          <w:highlight w:val="none"/>
          <w:lang w:val="en-US" w:eastAsia="zh-CN" w:bidi="ar-SA"/>
        </w:rPr>
        <w:t>第二节 中标通知书</w:t>
      </w:r>
      <w:r>
        <w:rPr>
          <w:color w:val="auto"/>
          <w:highlight w:val="none"/>
        </w:rPr>
        <w:tab/>
      </w:r>
      <w:r>
        <w:rPr>
          <w:color w:val="auto"/>
          <w:highlight w:val="none"/>
        </w:rPr>
        <w:fldChar w:fldCharType="begin"/>
      </w:r>
      <w:r>
        <w:rPr>
          <w:color w:val="auto"/>
          <w:highlight w:val="none"/>
        </w:rPr>
        <w:instrText xml:space="preserve"> PAGEREF _Toc27308 \h </w:instrText>
      </w:r>
      <w:r>
        <w:rPr>
          <w:color w:val="auto"/>
          <w:highlight w:val="none"/>
        </w:rPr>
        <w:fldChar w:fldCharType="separate"/>
      </w:r>
      <w:r>
        <w:rPr>
          <w:color w:val="auto"/>
          <w:highlight w:val="none"/>
        </w:rPr>
        <w:t>82</w:t>
      </w:r>
      <w:r>
        <w:rPr>
          <w:color w:val="auto"/>
          <w:highlight w:val="none"/>
        </w:rPr>
        <w:fldChar w:fldCharType="end"/>
      </w:r>
      <w:r>
        <w:rPr>
          <w:rFonts w:hint="eastAsia" w:ascii="宋体" w:hAnsi="宋体" w:eastAsia="宋体" w:cs="宋体"/>
          <w:color w:val="auto"/>
          <w:szCs w:val="24"/>
          <w:highlight w:val="none"/>
        </w:rPr>
        <w:fldChar w:fldCharType="end"/>
      </w:r>
    </w:p>
    <w:p w14:paraId="19CCA934">
      <w:pPr>
        <w:pStyle w:val="25"/>
        <w:tabs>
          <w:tab w:val="right" w:leader="dot" w:pos="9746"/>
          <w:tab w:val="clear" w:pos="829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_Toc3376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kern w:val="44"/>
          <w:szCs w:val="44"/>
          <w:highlight w:val="none"/>
          <w:lang w:val="en-US" w:eastAsia="zh-CN" w:bidi="ar-SA"/>
        </w:rPr>
        <w:t>第三节 通用合同条款</w:t>
      </w:r>
      <w:r>
        <w:rPr>
          <w:color w:val="auto"/>
          <w:highlight w:val="none"/>
        </w:rPr>
        <w:tab/>
      </w:r>
      <w:r>
        <w:rPr>
          <w:color w:val="auto"/>
          <w:highlight w:val="none"/>
        </w:rPr>
        <w:fldChar w:fldCharType="begin"/>
      </w:r>
      <w:r>
        <w:rPr>
          <w:color w:val="auto"/>
          <w:highlight w:val="none"/>
        </w:rPr>
        <w:instrText xml:space="preserve"> PAGEREF _Toc3376 \h </w:instrText>
      </w:r>
      <w:r>
        <w:rPr>
          <w:color w:val="auto"/>
          <w:highlight w:val="none"/>
        </w:rPr>
        <w:fldChar w:fldCharType="separate"/>
      </w:r>
      <w:r>
        <w:rPr>
          <w:color w:val="auto"/>
          <w:highlight w:val="none"/>
        </w:rPr>
        <w:t>83</w:t>
      </w:r>
      <w:r>
        <w:rPr>
          <w:color w:val="auto"/>
          <w:highlight w:val="none"/>
        </w:rPr>
        <w:fldChar w:fldCharType="end"/>
      </w:r>
      <w:r>
        <w:rPr>
          <w:rFonts w:hint="eastAsia" w:ascii="宋体" w:hAnsi="宋体" w:eastAsia="宋体" w:cs="宋体"/>
          <w:color w:val="auto"/>
          <w:szCs w:val="24"/>
          <w:highlight w:val="none"/>
        </w:rPr>
        <w:fldChar w:fldCharType="end"/>
      </w:r>
    </w:p>
    <w:p w14:paraId="7579FDCA">
      <w:pPr>
        <w:pStyle w:val="25"/>
        <w:tabs>
          <w:tab w:val="right" w:leader="dot" w:pos="9746"/>
          <w:tab w:val="clear" w:pos="829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_Toc26919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kern w:val="44"/>
          <w:szCs w:val="44"/>
          <w:highlight w:val="none"/>
          <w:lang w:val="en-US" w:eastAsia="zh-CN" w:bidi="ar-SA"/>
        </w:rPr>
        <w:t>第四节 专用合同条款</w:t>
      </w:r>
      <w:r>
        <w:rPr>
          <w:color w:val="auto"/>
          <w:highlight w:val="none"/>
        </w:rPr>
        <w:tab/>
      </w:r>
      <w:r>
        <w:rPr>
          <w:color w:val="auto"/>
          <w:highlight w:val="none"/>
        </w:rPr>
        <w:fldChar w:fldCharType="begin"/>
      </w:r>
      <w:r>
        <w:rPr>
          <w:color w:val="auto"/>
          <w:highlight w:val="none"/>
        </w:rPr>
        <w:instrText xml:space="preserve"> PAGEREF _Toc26919 \h </w:instrText>
      </w:r>
      <w:r>
        <w:rPr>
          <w:color w:val="auto"/>
          <w:highlight w:val="none"/>
        </w:rPr>
        <w:fldChar w:fldCharType="separate"/>
      </w:r>
      <w:r>
        <w:rPr>
          <w:color w:val="auto"/>
          <w:highlight w:val="none"/>
        </w:rPr>
        <w:t>133</w:t>
      </w:r>
      <w:r>
        <w:rPr>
          <w:color w:val="auto"/>
          <w:highlight w:val="none"/>
        </w:rPr>
        <w:fldChar w:fldCharType="end"/>
      </w:r>
      <w:r>
        <w:rPr>
          <w:rFonts w:hint="eastAsia" w:ascii="宋体" w:hAnsi="宋体" w:eastAsia="宋体" w:cs="宋体"/>
          <w:color w:val="auto"/>
          <w:szCs w:val="24"/>
          <w:highlight w:val="none"/>
        </w:rPr>
        <w:fldChar w:fldCharType="end"/>
      </w:r>
    </w:p>
    <w:p w14:paraId="5434CB20">
      <w:pPr>
        <w:pStyle w:val="25"/>
        <w:tabs>
          <w:tab w:val="right" w:leader="dot" w:pos="9746"/>
          <w:tab w:val="clear" w:pos="829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_Toc6814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kern w:val="44"/>
          <w:szCs w:val="44"/>
          <w:highlight w:val="none"/>
          <w:lang w:val="en-US" w:eastAsia="zh-CN" w:bidi="ar-SA"/>
        </w:rPr>
        <w:t>第五节 合同附件格式</w:t>
      </w:r>
      <w:r>
        <w:rPr>
          <w:color w:val="auto"/>
          <w:highlight w:val="none"/>
        </w:rPr>
        <w:tab/>
      </w:r>
      <w:r>
        <w:rPr>
          <w:color w:val="auto"/>
          <w:highlight w:val="none"/>
        </w:rPr>
        <w:fldChar w:fldCharType="begin"/>
      </w:r>
      <w:r>
        <w:rPr>
          <w:color w:val="auto"/>
          <w:highlight w:val="none"/>
        </w:rPr>
        <w:instrText xml:space="preserve"> PAGEREF _Toc6814 \h </w:instrText>
      </w:r>
      <w:r>
        <w:rPr>
          <w:color w:val="auto"/>
          <w:highlight w:val="none"/>
        </w:rPr>
        <w:fldChar w:fldCharType="separate"/>
      </w:r>
      <w:r>
        <w:rPr>
          <w:color w:val="auto"/>
          <w:highlight w:val="none"/>
        </w:rPr>
        <w:t>149</w:t>
      </w:r>
      <w:r>
        <w:rPr>
          <w:color w:val="auto"/>
          <w:highlight w:val="none"/>
        </w:rPr>
        <w:fldChar w:fldCharType="end"/>
      </w:r>
      <w:r>
        <w:rPr>
          <w:rFonts w:hint="eastAsia" w:ascii="宋体" w:hAnsi="宋体" w:eastAsia="宋体" w:cs="宋体"/>
          <w:color w:val="auto"/>
          <w:szCs w:val="24"/>
          <w:highlight w:val="none"/>
        </w:rPr>
        <w:fldChar w:fldCharType="end"/>
      </w:r>
    </w:p>
    <w:p w14:paraId="494F16FF">
      <w:pPr>
        <w:pStyle w:val="22"/>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_Toc32429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rPr>
        <w:t xml:space="preserve">第七章 </w:t>
      </w:r>
      <w:r>
        <w:rPr>
          <w:rFonts w:hint="eastAsia" w:ascii="宋体" w:hAnsi="宋体" w:eastAsia="宋体" w:cs="宋体"/>
          <w:color w:val="auto"/>
          <w:highlight w:val="none"/>
          <w:lang w:val="en-US" w:eastAsia="zh-CN"/>
        </w:rPr>
        <w:t>工程量清单（另册）</w:t>
      </w:r>
      <w:r>
        <w:rPr>
          <w:color w:val="auto"/>
          <w:highlight w:val="none"/>
        </w:rPr>
        <w:tab/>
      </w:r>
      <w:r>
        <w:rPr>
          <w:color w:val="auto"/>
          <w:highlight w:val="none"/>
        </w:rPr>
        <w:fldChar w:fldCharType="begin"/>
      </w:r>
      <w:r>
        <w:rPr>
          <w:color w:val="auto"/>
          <w:highlight w:val="none"/>
        </w:rPr>
        <w:instrText xml:space="preserve"> PAGEREF _Toc32429 \h </w:instrText>
      </w:r>
      <w:r>
        <w:rPr>
          <w:color w:val="auto"/>
          <w:highlight w:val="none"/>
        </w:rPr>
        <w:fldChar w:fldCharType="separate"/>
      </w:r>
      <w:r>
        <w:rPr>
          <w:color w:val="auto"/>
          <w:highlight w:val="none"/>
        </w:rPr>
        <w:t>152</w:t>
      </w:r>
      <w:r>
        <w:rPr>
          <w:color w:val="auto"/>
          <w:highlight w:val="none"/>
        </w:rPr>
        <w:fldChar w:fldCharType="end"/>
      </w:r>
      <w:r>
        <w:rPr>
          <w:rFonts w:hint="eastAsia" w:ascii="宋体" w:hAnsi="宋体" w:eastAsia="宋体" w:cs="宋体"/>
          <w:color w:val="auto"/>
          <w:szCs w:val="24"/>
          <w:highlight w:val="none"/>
        </w:rPr>
        <w:fldChar w:fldCharType="end"/>
      </w:r>
    </w:p>
    <w:p w14:paraId="05F36ED1">
      <w:pPr>
        <w:pStyle w:val="22"/>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_Toc11576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八</w:t>
      </w:r>
      <w:r>
        <w:rPr>
          <w:rFonts w:hint="eastAsia" w:ascii="宋体" w:hAnsi="宋体" w:eastAsia="宋体" w:cs="宋体"/>
          <w:color w:val="auto"/>
          <w:highlight w:val="none"/>
        </w:rPr>
        <w:t xml:space="preserve">章 </w:t>
      </w:r>
      <w:r>
        <w:rPr>
          <w:rFonts w:hint="eastAsia" w:ascii="宋体" w:hAnsi="宋体" w:eastAsia="宋体" w:cs="宋体"/>
          <w:color w:val="auto"/>
          <w:highlight w:val="none"/>
          <w:lang w:val="en-US" w:eastAsia="zh-CN"/>
        </w:rPr>
        <w:t>图纸（另册）</w:t>
      </w:r>
      <w:r>
        <w:rPr>
          <w:color w:val="auto"/>
          <w:highlight w:val="none"/>
        </w:rPr>
        <w:tab/>
      </w:r>
      <w:r>
        <w:rPr>
          <w:color w:val="auto"/>
          <w:highlight w:val="none"/>
        </w:rPr>
        <w:fldChar w:fldCharType="begin"/>
      </w:r>
      <w:r>
        <w:rPr>
          <w:color w:val="auto"/>
          <w:highlight w:val="none"/>
        </w:rPr>
        <w:instrText xml:space="preserve"> PAGEREF _Toc11576 \h </w:instrText>
      </w:r>
      <w:r>
        <w:rPr>
          <w:color w:val="auto"/>
          <w:highlight w:val="none"/>
        </w:rPr>
        <w:fldChar w:fldCharType="separate"/>
      </w:r>
      <w:r>
        <w:rPr>
          <w:color w:val="auto"/>
          <w:highlight w:val="none"/>
        </w:rPr>
        <w:t>153</w:t>
      </w:r>
      <w:r>
        <w:rPr>
          <w:color w:val="auto"/>
          <w:highlight w:val="none"/>
        </w:rPr>
        <w:fldChar w:fldCharType="end"/>
      </w:r>
      <w:r>
        <w:rPr>
          <w:rFonts w:hint="eastAsia" w:ascii="宋体" w:hAnsi="宋体" w:eastAsia="宋体" w:cs="宋体"/>
          <w:color w:val="auto"/>
          <w:szCs w:val="24"/>
          <w:highlight w:val="none"/>
        </w:rPr>
        <w:fldChar w:fldCharType="end"/>
      </w:r>
    </w:p>
    <w:p w14:paraId="66DF9BAE">
      <w:pPr>
        <w:pStyle w:val="22"/>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_Toc25695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highlight w:val="none"/>
        </w:rPr>
        <w:t>第</w:t>
      </w:r>
      <w:r>
        <w:rPr>
          <w:rFonts w:hint="eastAsia" w:ascii="宋体" w:hAnsi="宋体" w:eastAsia="宋体" w:cs="宋体"/>
          <w:bCs/>
          <w:color w:val="auto"/>
          <w:highlight w:val="none"/>
          <w:lang w:val="en-US" w:eastAsia="zh-CN"/>
        </w:rPr>
        <w:t>九</w:t>
      </w:r>
      <w:r>
        <w:rPr>
          <w:rFonts w:hint="eastAsia" w:ascii="宋体" w:hAnsi="宋体" w:eastAsia="宋体" w:cs="宋体"/>
          <w:bCs/>
          <w:color w:val="auto"/>
          <w:highlight w:val="none"/>
        </w:rPr>
        <w:t>章 质疑、投诉材料格式</w:t>
      </w:r>
      <w:r>
        <w:rPr>
          <w:color w:val="auto"/>
          <w:highlight w:val="none"/>
        </w:rPr>
        <w:tab/>
      </w:r>
      <w:r>
        <w:rPr>
          <w:color w:val="auto"/>
          <w:highlight w:val="none"/>
        </w:rPr>
        <w:fldChar w:fldCharType="begin"/>
      </w:r>
      <w:r>
        <w:rPr>
          <w:color w:val="auto"/>
          <w:highlight w:val="none"/>
        </w:rPr>
        <w:instrText xml:space="preserve"> PAGEREF _Toc25695 \h </w:instrText>
      </w:r>
      <w:r>
        <w:rPr>
          <w:color w:val="auto"/>
          <w:highlight w:val="none"/>
        </w:rPr>
        <w:fldChar w:fldCharType="separate"/>
      </w:r>
      <w:r>
        <w:rPr>
          <w:color w:val="auto"/>
          <w:highlight w:val="none"/>
        </w:rPr>
        <w:t>154</w:t>
      </w:r>
      <w:r>
        <w:rPr>
          <w:color w:val="auto"/>
          <w:highlight w:val="none"/>
        </w:rPr>
        <w:fldChar w:fldCharType="end"/>
      </w:r>
      <w:r>
        <w:rPr>
          <w:rFonts w:hint="eastAsia" w:ascii="宋体" w:hAnsi="宋体" w:eastAsia="宋体" w:cs="宋体"/>
          <w:color w:val="auto"/>
          <w:szCs w:val="24"/>
          <w:highlight w:val="none"/>
        </w:rPr>
        <w:fldChar w:fldCharType="end"/>
      </w:r>
    </w:p>
    <w:p w14:paraId="5622212F">
      <w:pPr>
        <w:pStyle w:val="22"/>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rFonts w:hint="eastAsia" w:ascii="宋体" w:hAnsi="宋体" w:eastAsia="宋体" w:cs="宋体"/>
          <w:b/>
          <w:color w:val="auto"/>
          <w:sz w:val="24"/>
          <w:szCs w:val="24"/>
          <w:highlight w:val="none"/>
        </w:rPr>
      </w:pPr>
      <w:r>
        <w:rPr>
          <w:rFonts w:hint="eastAsia" w:ascii="宋体" w:hAnsi="宋体" w:eastAsia="宋体" w:cs="宋体"/>
          <w:color w:val="auto"/>
          <w:szCs w:val="24"/>
          <w:highlight w:val="none"/>
        </w:rPr>
        <w:fldChar w:fldCharType="end"/>
      </w:r>
    </w:p>
    <w:p w14:paraId="3105C2D4">
      <w:pPr>
        <w:spacing w:line="360" w:lineRule="auto"/>
        <w:rPr>
          <w:rFonts w:hint="eastAsia" w:ascii="宋体" w:hAnsi="宋体" w:eastAsia="宋体" w:cs="宋体"/>
          <w:b/>
          <w:color w:val="auto"/>
          <w:sz w:val="32"/>
          <w:szCs w:val="32"/>
          <w:highlight w:val="none"/>
        </w:rPr>
        <w:sectPr>
          <w:pgSz w:w="11906" w:h="16838"/>
          <w:pgMar w:top="1440" w:right="1080" w:bottom="1440" w:left="1080" w:header="851" w:footer="992" w:gutter="0"/>
          <w:pgBorders w:offsetFrom="page">
            <w:top w:val="none" w:sz="0" w:space="0"/>
            <w:left w:val="none" w:sz="0" w:space="0"/>
            <w:bottom w:val="none" w:sz="0" w:space="0"/>
            <w:right w:val="none" w:sz="0" w:space="0"/>
          </w:pgBorders>
          <w:pgNumType w:start="0"/>
          <w:cols w:space="720" w:num="1"/>
          <w:titlePg/>
          <w:docGrid w:type="lines" w:linePitch="312" w:charSpace="0"/>
        </w:sectPr>
      </w:pPr>
    </w:p>
    <w:p w14:paraId="63CC745C">
      <w:pPr>
        <w:pStyle w:val="2"/>
        <w:spacing w:line="360" w:lineRule="auto"/>
        <w:jc w:val="center"/>
        <w:rPr>
          <w:rFonts w:hint="eastAsia" w:ascii="宋体" w:hAnsi="宋体" w:eastAsia="宋体" w:cs="宋体"/>
          <w:color w:val="auto"/>
          <w:highlight w:val="none"/>
          <w:lang w:eastAsia="zh-CN"/>
        </w:rPr>
      </w:pPr>
      <w:bookmarkStart w:id="3" w:name="_Toc1000"/>
      <w:bookmarkStart w:id="4" w:name="_Toc32342"/>
      <w:bookmarkStart w:id="5" w:name="_Toc21181"/>
      <w:bookmarkStart w:id="6" w:name="_Toc16535"/>
      <w:bookmarkStart w:id="7" w:name="_Toc11033"/>
      <w:bookmarkStart w:id="8" w:name="_Toc23020"/>
      <w:bookmarkStart w:id="9" w:name="_Toc2884"/>
      <w:r>
        <w:rPr>
          <w:rFonts w:hint="eastAsia" w:ascii="宋体" w:hAnsi="宋体" w:eastAsia="宋体" w:cs="宋体"/>
          <w:color w:val="auto"/>
          <w:highlight w:val="none"/>
        </w:rPr>
        <w:t>第一章 竞争性磋商公告</w:t>
      </w:r>
      <w:bookmarkEnd w:id="3"/>
      <w:bookmarkEnd w:id="4"/>
      <w:bookmarkEnd w:id="5"/>
      <w:bookmarkEnd w:id="6"/>
      <w:bookmarkEnd w:id="7"/>
      <w:bookmarkEnd w:id="8"/>
      <w:bookmarkEnd w:id="9"/>
      <w:bookmarkStart w:id="10" w:name="_Toc28359012"/>
      <w:bookmarkStart w:id="11" w:name="_Toc44229878"/>
      <w:bookmarkStart w:id="12" w:name="_Toc28359089"/>
      <w:bookmarkStart w:id="13" w:name="_Toc35393629"/>
      <w:bookmarkStart w:id="14" w:name="_Toc35393798"/>
      <w:bookmarkStart w:id="15" w:name="_Toc35393623"/>
      <w:bookmarkStart w:id="16" w:name="_Toc28359004"/>
      <w:bookmarkStart w:id="17" w:name="_Toc35393792"/>
      <w:bookmarkStart w:id="18" w:name="_Toc28359081"/>
    </w:p>
    <w:p w14:paraId="1424BBFC">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pacing w:line="440" w:lineRule="exact"/>
        <w:ind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项目概况</w:t>
      </w:r>
    </w:p>
    <w:p w14:paraId="3EE0537B">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cs="宋体"/>
          <w:color w:val="auto"/>
          <w:szCs w:val="21"/>
          <w:highlight w:val="none"/>
          <w:u w:val="single"/>
          <w:lang w:eastAsia="zh-CN"/>
        </w:rPr>
        <w:t>隆安县屏山乡刘家村刘家屯农田水利设施项目</w:t>
      </w:r>
      <w:r>
        <w:rPr>
          <w:rFonts w:hint="eastAsia" w:ascii="宋体" w:hAnsi="宋体" w:eastAsia="宋体" w:cs="宋体"/>
          <w:color w:val="auto"/>
          <w:szCs w:val="21"/>
          <w:highlight w:val="none"/>
        </w:rPr>
        <w:t>项目的潜在供应商应在</w:t>
      </w:r>
      <w:r>
        <w:rPr>
          <w:rFonts w:hint="eastAsia" w:ascii="宋体" w:hAnsi="宋体" w:eastAsia="宋体" w:cs="宋体"/>
          <w:color w:val="auto"/>
          <w:szCs w:val="21"/>
          <w:highlight w:val="none"/>
          <w:lang w:eastAsia="zh-CN"/>
        </w:rPr>
        <w:t>广西政府采购云平台（https://www.gcy.zfcg.gxzf.gov.cn/）</w:t>
      </w:r>
      <w:r>
        <w:rPr>
          <w:rFonts w:hint="eastAsia" w:ascii="宋体" w:hAnsi="宋体" w:eastAsia="宋体" w:cs="宋体"/>
          <w:snapToGrid w:val="0"/>
          <w:color w:val="auto"/>
          <w:highlight w:val="none"/>
        </w:rPr>
        <w:t>获取（下载）</w:t>
      </w:r>
      <w:r>
        <w:rPr>
          <w:rFonts w:hint="eastAsia" w:ascii="宋体" w:hAnsi="宋体" w:eastAsia="宋体" w:cs="宋体"/>
          <w:color w:val="auto"/>
          <w:szCs w:val="21"/>
          <w:highlight w:val="none"/>
        </w:rPr>
        <w:t>竞争性磋商文件，并于</w:t>
      </w:r>
      <w:r>
        <w:rPr>
          <w:rFonts w:hint="eastAsia" w:ascii="宋体" w:hAnsi="宋体" w:cs="宋体"/>
          <w:color w:val="auto"/>
          <w:szCs w:val="21"/>
          <w:highlight w:val="none"/>
          <w:u w:val="single"/>
          <w:lang w:eastAsia="zh-CN"/>
        </w:rPr>
        <w:t>20</w:t>
      </w:r>
      <w:r>
        <w:rPr>
          <w:rFonts w:hint="eastAsia" w:ascii="宋体" w:hAnsi="宋体" w:cs="宋体"/>
          <w:color w:val="auto"/>
          <w:szCs w:val="21"/>
          <w:highlight w:val="none"/>
          <w:u w:val="single"/>
          <w:lang w:val="en-US" w:eastAsia="zh-CN"/>
        </w:rPr>
        <w:t>26</w:t>
      </w:r>
      <w:r>
        <w:rPr>
          <w:rFonts w:hint="eastAsia" w:ascii="宋体" w:hAnsi="宋体" w:cs="宋体"/>
          <w:color w:val="auto"/>
          <w:szCs w:val="21"/>
          <w:highlight w:val="none"/>
          <w:u w:val="single"/>
          <w:lang w:eastAsia="zh-CN"/>
        </w:rPr>
        <w:t>年</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lang w:eastAsia="zh-CN"/>
        </w:rPr>
        <w:t>月</w:t>
      </w:r>
      <w:r>
        <w:rPr>
          <w:rFonts w:hint="eastAsia" w:ascii="宋体" w:hAnsi="宋体" w:cs="宋体"/>
          <w:color w:val="auto"/>
          <w:szCs w:val="21"/>
          <w:highlight w:val="none"/>
          <w:u w:val="single"/>
          <w:lang w:val="en-US" w:eastAsia="zh-CN"/>
        </w:rPr>
        <w:t>18</w:t>
      </w:r>
      <w:r>
        <w:rPr>
          <w:rFonts w:hint="eastAsia" w:ascii="宋体" w:hAnsi="宋体" w:cs="宋体"/>
          <w:color w:val="auto"/>
          <w:szCs w:val="21"/>
          <w:highlight w:val="none"/>
          <w:u w:val="single"/>
          <w:lang w:eastAsia="zh-CN"/>
        </w:rPr>
        <w:t>日</w:t>
      </w:r>
      <w:r>
        <w:rPr>
          <w:rFonts w:hint="eastAsia" w:ascii="宋体" w:hAnsi="宋体" w:cs="宋体"/>
          <w:color w:val="auto"/>
          <w:szCs w:val="21"/>
          <w:highlight w:val="none"/>
          <w:u w:val="single"/>
          <w:lang w:val="en-US" w:eastAsia="zh-CN"/>
        </w:rPr>
        <w:t>10时00分</w:t>
      </w:r>
      <w:r>
        <w:rPr>
          <w:rFonts w:hint="eastAsia" w:ascii="宋体" w:hAnsi="宋体" w:eastAsia="宋体" w:cs="宋体"/>
          <w:bCs/>
          <w:color w:val="auto"/>
          <w:szCs w:val="21"/>
          <w:highlight w:val="none"/>
        </w:rPr>
        <w:t>（北京时间）前提交响应文件</w:t>
      </w:r>
      <w:r>
        <w:rPr>
          <w:rFonts w:hint="eastAsia" w:ascii="宋体" w:hAnsi="宋体" w:eastAsia="宋体" w:cs="宋体"/>
          <w:color w:val="auto"/>
          <w:szCs w:val="21"/>
          <w:highlight w:val="none"/>
        </w:rPr>
        <w:t>。</w:t>
      </w:r>
    </w:p>
    <w:p w14:paraId="6D1FDE74">
      <w:pPr>
        <w:keepNext w:val="0"/>
        <w:keepLines w:val="0"/>
        <w:pageBreakBefore w:val="0"/>
        <w:kinsoku/>
        <w:wordWrap/>
        <w:overflowPunct/>
        <w:topLinePunct w:val="0"/>
        <w:autoSpaceDE/>
        <w:autoSpaceDN/>
        <w:bidi w:val="0"/>
        <w:adjustRightInd/>
        <w:spacing w:line="440" w:lineRule="exact"/>
        <w:ind w:firstLine="482" w:firstLineChars="200"/>
        <w:textAlignment w:val="auto"/>
        <w:rPr>
          <w:rFonts w:hint="eastAsia" w:ascii="宋体" w:hAnsi="宋体" w:eastAsia="宋体" w:cs="宋体"/>
          <w:b/>
          <w:color w:val="auto"/>
          <w:kern w:val="44"/>
          <w:sz w:val="24"/>
          <w:highlight w:val="none"/>
        </w:rPr>
      </w:pPr>
      <w:r>
        <w:rPr>
          <w:rFonts w:hint="eastAsia" w:ascii="宋体" w:hAnsi="宋体" w:eastAsia="宋体" w:cs="宋体"/>
          <w:b/>
          <w:color w:val="auto"/>
          <w:kern w:val="44"/>
          <w:sz w:val="24"/>
          <w:highlight w:val="none"/>
        </w:rPr>
        <w:t>一、项目基本情况</w:t>
      </w:r>
      <w:bookmarkEnd w:id="10"/>
      <w:bookmarkEnd w:id="11"/>
      <w:bookmarkEnd w:id="12"/>
      <w:bookmarkEnd w:id="13"/>
      <w:bookmarkEnd w:id="14"/>
    </w:p>
    <w:p w14:paraId="4E0FDF4B">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1.项目编号：</w:t>
      </w:r>
      <w:r>
        <w:rPr>
          <w:rFonts w:hint="eastAsia" w:ascii="宋体" w:hAnsi="宋体" w:cs="宋体"/>
          <w:color w:val="auto"/>
          <w:szCs w:val="21"/>
          <w:highlight w:val="none"/>
          <w:lang w:eastAsia="zh-CN"/>
        </w:rPr>
        <w:t xml:space="preserve">NNZC2026-C2-230022-JHGC      </w:t>
      </w:r>
    </w:p>
    <w:p w14:paraId="260EB897">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color w:val="auto"/>
          <w:highlight w:val="none"/>
          <w:lang w:eastAsia="zh-CN"/>
        </w:rPr>
      </w:pPr>
      <w:r>
        <w:rPr>
          <w:rFonts w:hint="eastAsia" w:ascii="宋体" w:hAnsi="宋体" w:eastAsia="宋体" w:cs="宋体"/>
          <w:color w:val="auto"/>
          <w:szCs w:val="21"/>
          <w:highlight w:val="none"/>
        </w:rPr>
        <w:t>2.项目名称：</w:t>
      </w:r>
      <w:r>
        <w:rPr>
          <w:rFonts w:hint="eastAsia" w:ascii="宋体" w:hAnsi="宋体" w:cs="宋体"/>
          <w:color w:val="auto"/>
          <w:spacing w:val="-4"/>
          <w:szCs w:val="21"/>
          <w:highlight w:val="none"/>
          <w:lang w:eastAsia="zh-CN"/>
        </w:rPr>
        <w:t>隆安县屏山乡刘家村刘家屯农田水利设施项目</w:t>
      </w:r>
    </w:p>
    <w:p w14:paraId="1F7AA781">
      <w:pPr>
        <w:keepNext w:val="0"/>
        <w:keepLines w:val="0"/>
        <w:pageBreakBefore w:val="0"/>
        <w:tabs>
          <w:tab w:val="left" w:pos="6358"/>
        </w:tabs>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3.采购方式：竞争性磋商</w:t>
      </w:r>
    </w:p>
    <w:p w14:paraId="004738B6">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4.预算金额：</w:t>
      </w:r>
      <w:r>
        <w:rPr>
          <w:rFonts w:hint="eastAsia" w:ascii="宋体" w:hAnsi="宋体" w:cs="宋体"/>
          <w:b w:val="0"/>
          <w:bCs w:val="0"/>
          <w:color w:val="auto"/>
          <w:szCs w:val="21"/>
          <w:highlight w:val="none"/>
          <w:lang w:val="en-US" w:eastAsia="zh-CN"/>
        </w:rPr>
        <w:t>773563.00</w:t>
      </w:r>
      <w:r>
        <w:rPr>
          <w:rFonts w:hint="eastAsia" w:ascii="宋体" w:hAnsi="宋体" w:eastAsia="宋体" w:cs="宋体"/>
          <w:b w:val="0"/>
          <w:bCs w:val="0"/>
          <w:color w:val="auto"/>
          <w:szCs w:val="21"/>
          <w:highlight w:val="none"/>
          <w:lang w:val="en-US" w:eastAsia="zh-CN"/>
        </w:rPr>
        <w:t>元</w:t>
      </w:r>
    </w:p>
    <w:p w14:paraId="3AC93257">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default"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rPr>
        <w:t>5.</w:t>
      </w:r>
      <w:r>
        <w:rPr>
          <w:rFonts w:hint="eastAsia" w:ascii="宋体" w:hAnsi="宋体" w:eastAsia="宋体" w:cs="Times New Roman"/>
          <w:b w:val="0"/>
          <w:bCs w:val="0"/>
          <w:color w:val="auto"/>
          <w:sz w:val="21"/>
          <w:szCs w:val="21"/>
          <w:highlight w:val="none"/>
        </w:rPr>
        <w:t>最高限价</w:t>
      </w:r>
      <w:r>
        <w:rPr>
          <w:rFonts w:hint="eastAsia" w:ascii="宋体" w:hAnsi="宋体" w:eastAsia="宋体" w:cs="Times New Roman"/>
          <w:b w:val="0"/>
          <w:bCs w:val="0"/>
          <w:color w:val="auto"/>
          <w:sz w:val="21"/>
          <w:szCs w:val="21"/>
          <w:highlight w:val="none"/>
          <w:lang w:eastAsia="zh-CN"/>
        </w:rPr>
        <w:t>（</w:t>
      </w:r>
      <w:r>
        <w:rPr>
          <w:rFonts w:hint="eastAsia" w:ascii="宋体" w:hAnsi="宋体" w:eastAsia="宋体" w:cs="宋体"/>
          <w:b w:val="0"/>
          <w:bCs w:val="0"/>
          <w:color w:val="auto"/>
          <w:szCs w:val="21"/>
          <w:highlight w:val="none"/>
          <w:lang w:eastAsia="zh-CN"/>
        </w:rPr>
        <w:t>招标控制价</w:t>
      </w:r>
      <w:r>
        <w:rPr>
          <w:rFonts w:hint="eastAsia" w:ascii="宋体" w:hAnsi="宋体" w:eastAsia="宋体" w:cs="Times New Roman"/>
          <w:b w:val="0"/>
          <w:bCs w:val="0"/>
          <w:color w:val="auto"/>
          <w:sz w:val="21"/>
          <w:szCs w:val="21"/>
          <w:highlight w:val="none"/>
          <w:lang w:eastAsia="zh-CN"/>
        </w:rPr>
        <w:t>）</w:t>
      </w:r>
      <w:r>
        <w:rPr>
          <w:rFonts w:hint="eastAsia" w:ascii="宋体" w:hAnsi="宋体" w:eastAsia="宋体" w:cs="宋体"/>
          <w:b w:val="0"/>
          <w:bCs w:val="0"/>
          <w:color w:val="auto"/>
          <w:szCs w:val="21"/>
          <w:highlight w:val="none"/>
        </w:rPr>
        <w:t>：</w:t>
      </w:r>
      <w:r>
        <w:rPr>
          <w:rFonts w:hint="eastAsia" w:ascii="宋体" w:hAnsi="宋体" w:cs="宋体"/>
          <w:b w:val="0"/>
          <w:bCs w:val="0"/>
          <w:color w:val="auto"/>
          <w:szCs w:val="21"/>
          <w:highlight w:val="none"/>
          <w:lang w:eastAsia="zh-CN"/>
        </w:rPr>
        <w:t>773563.00</w:t>
      </w:r>
      <w:r>
        <w:rPr>
          <w:rFonts w:hint="eastAsia" w:ascii="宋体" w:hAnsi="宋体" w:eastAsia="宋体" w:cs="宋体"/>
          <w:b w:val="0"/>
          <w:bCs w:val="0"/>
          <w:color w:val="auto"/>
          <w:szCs w:val="21"/>
          <w:highlight w:val="none"/>
          <w:lang w:val="en-US" w:eastAsia="zh-CN"/>
        </w:rPr>
        <w:t>元</w:t>
      </w:r>
    </w:p>
    <w:p w14:paraId="41081C79">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6.采购需求：</w:t>
      </w:r>
      <w:r>
        <w:rPr>
          <w:rFonts w:hint="eastAsia" w:ascii="宋体" w:hAnsi="宋体" w:cs="宋体"/>
          <w:color w:val="auto"/>
          <w:szCs w:val="21"/>
          <w:highlight w:val="none"/>
          <w:lang w:eastAsia="zh-CN"/>
        </w:rPr>
        <w:t>隆安县屏山乡刘家村刘家屯农田水利设施项目</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具体内容详见施工图纸及工程量清单所包含的内容</w:t>
      </w:r>
      <w:r>
        <w:rPr>
          <w:rFonts w:hint="eastAsia" w:ascii="宋体" w:hAnsi="宋体" w:eastAsia="宋体" w:cs="宋体"/>
          <w:color w:val="auto"/>
          <w:szCs w:val="21"/>
          <w:highlight w:val="none"/>
        </w:rPr>
        <w:t>。</w:t>
      </w:r>
    </w:p>
    <w:p w14:paraId="72B6C7E8">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7.</w:t>
      </w:r>
      <w:r>
        <w:rPr>
          <w:rFonts w:hint="eastAsia" w:ascii="宋体" w:hAnsi="宋体" w:cs="宋体"/>
          <w:color w:val="auto"/>
          <w:sz w:val="21"/>
          <w:szCs w:val="21"/>
          <w:highlight w:val="none"/>
        </w:rPr>
        <w:t>合同履</w:t>
      </w:r>
      <w:r>
        <w:rPr>
          <w:rFonts w:hint="eastAsia" w:ascii="宋体" w:hAnsi="宋体" w:eastAsia="宋体" w:cs="宋体"/>
          <w:color w:val="auto"/>
          <w:sz w:val="21"/>
          <w:szCs w:val="21"/>
          <w:highlight w:val="none"/>
        </w:rPr>
        <w:t>行期限（工期）</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120日历天。</w:t>
      </w:r>
    </w:p>
    <w:p w14:paraId="7A82DDC3">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8.本项目是否接受联合体：□是，</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否。</w:t>
      </w:r>
    </w:p>
    <w:p w14:paraId="5FD5507A">
      <w:pPr>
        <w:keepNext w:val="0"/>
        <w:keepLines w:val="0"/>
        <w:pageBreakBefore w:val="0"/>
        <w:kinsoku/>
        <w:wordWrap/>
        <w:overflowPunct/>
        <w:topLinePunct w:val="0"/>
        <w:autoSpaceDE/>
        <w:autoSpaceDN/>
        <w:bidi w:val="0"/>
        <w:adjustRightInd/>
        <w:spacing w:line="440" w:lineRule="exact"/>
        <w:ind w:firstLine="482" w:firstLineChars="200"/>
        <w:textAlignment w:val="auto"/>
        <w:rPr>
          <w:rFonts w:hint="eastAsia" w:ascii="宋体" w:hAnsi="宋体" w:eastAsia="宋体" w:cs="宋体"/>
          <w:bCs/>
          <w:color w:val="auto"/>
          <w:sz w:val="24"/>
          <w:highlight w:val="none"/>
        </w:rPr>
      </w:pPr>
      <w:bookmarkStart w:id="19" w:name="_Toc28359013"/>
      <w:bookmarkStart w:id="20" w:name="_Toc35393630"/>
      <w:bookmarkStart w:id="21" w:name="_Toc35393799"/>
      <w:bookmarkStart w:id="22" w:name="_Toc44229879"/>
      <w:bookmarkStart w:id="23" w:name="_Toc28359090"/>
      <w:r>
        <w:rPr>
          <w:rFonts w:hint="eastAsia" w:ascii="宋体" w:hAnsi="宋体" w:eastAsia="宋体" w:cs="宋体"/>
          <w:b/>
          <w:color w:val="auto"/>
          <w:kern w:val="44"/>
          <w:sz w:val="24"/>
          <w:highlight w:val="none"/>
        </w:rPr>
        <w:t>二、供应商的资格条件</w:t>
      </w:r>
      <w:bookmarkEnd w:id="19"/>
      <w:bookmarkEnd w:id="20"/>
      <w:bookmarkEnd w:id="21"/>
      <w:bookmarkEnd w:id="22"/>
      <w:bookmarkEnd w:id="23"/>
    </w:p>
    <w:p w14:paraId="10F178AB">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1.满足《中华人民共和国政府采购法》第二十二条规定；</w:t>
      </w:r>
    </w:p>
    <w:p w14:paraId="0E1B1D7C">
      <w:pPr>
        <w:keepNext w:val="0"/>
        <w:keepLines w:val="0"/>
        <w:pageBreakBefore w:val="0"/>
        <w:kinsoku/>
        <w:wordWrap/>
        <w:overflowPunct/>
        <w:topLinePunct w:val="0"/>
        <w:autoSpaceDE/>
        <w:autoSpaceDN/>
        <w:bidi w:val="0"/>
        <w:adjustRightInd/>
        <w:spacing w:line="440" w:lineRule="exact"/>
        <w:ind w:firstLine="420" w:firstLineChars="200"/>
        <w:textAlignment w:val="auto"/>
        <w:rPr>
          <w:rFonts w:ascii="宋体" w:hAnsi="宋体" w:eastAsia="宋体" w:cs="Times New Roman"/>
          <w:color w:val="auto"/>
          <w:szCs w:val="21"/>
          <w:highlight w:val="none"/>
        </w:rPr>
      </w:pPr>
      <w:r>
        <w:rPr>
          <w:rFonts w:hint="eastAsia" w:ascii="宋体" w:hAnsi="宋体" w:eastAsia="宋体" w:cs="宋体"/>
          <w:color w:val="auto"/>
          <w:spacing w:val="0"/>
          <w:w w:val="100"/>
          <w:position w:val="0"/>
          <w:sz w:val="21"/>
          <w:szCs w:val="21"/>
          <w:highlight w:val="none"/>
        </w:rPr>
        <w:t>2.落实政府采购政策需满足的资格要求</w:t>
      </w:r>
      <w:r>
        <w:rPr>
          <w:rFonts w:hint="eastAsia" w:ascii="宋体" w:hAnsi="宋体" w:eastAsia="宋体" w:cs="宋体"/>
          <w:color w:val="auto"/>
          <w:spacing w:val="0"/>
          <w:w w:val="100"/>
          <w:position w:val="0"/>
          <w:sz w:val="21"/>
          <w:szCs w:val="21"/>
          <w:highlight w:val="none"/>
          <w:lang w:eastAsia="zh-CN"/>
        </w:rPr>
        <w:t>：</w:t>
      </w:r>
      <w:r>
        <w:rPr>
          <w:rFonts w:hint="eastAsia" w:ascii="宋体" w:hAnsi="宋体" w:cs="Times New Roman"/>
          <w:color w:val="auto"/>
          <w:szCs w:val="21"/>
          <w:highlight w:val="none"/>
          <w:lang w:eastAsia="zh-CN"/>
        </w:rPr>
        <w:t>☑</w:t>
      </w:r>
      <w:r>
        <w:rPr>
          <w:rFonts w:hint="eastAsia" w:ascii="宋体" w:hAnsi="宋体" w:eastAsia="宋体" w:cs="Times New Roman"/>
          <w:color w:val="auto"/>
          <w:szCs w:val="21"/>
          <w:highlight w:val="none"/>
        </w:rPr>
        <w:t>专门面向</w:t>
      </w:r>
      <w:r>
        <w:rPr>
          <w:rFonts w:hint="eastAsia" w:ascii="宋体" w:hAnsi="宋体" w:cs="Times New Roman"/>
          <w:color w:val="auto"/>
          <w:szCs w:val="21"/>
          <w:highlight w:val="none"/>
          <w:lang w:val="en-US" w:eastAsia="zh-CN"/>
        </w:rPr>
        <w:t>小微</w:t>
      </w:r>
      <w:r>
        <w:rPr>
          <w:rFonts w:hint="eastAsia" w:ascii="宋体" w:hAnsi="宋体" w:eastAsia="宋体" w:cs="Times New Roman"/>
          <w:color w:val="auto"/>
          <w:szCs w:val="21"/>
          <w:highlight w:val="none"/>
        </w:rPr>
        <w:t>企业采购的项目（供应商应为</w:t>
      </w:r>
      <w:r>
        <w:rPr>
          <w:rFonts w:hint="eastAsia" w:ascii="宋体" w:hAnsi="宋体" w:cs="Times New Roman"/>
          <w:color w:val="auto"/>
          <w:szCs w:val="21"/>
          <w:highlight w:val="none"/>
          <w:lang w:val="en-US" w:eastAsia="zh-CN"/>
        </w:rPr>
        <w:t>小微</w:t>
      </w:r>
      <w:r>
        <w:rPr>
          <w:rFonts w:hint="eastAsia" w:ascii="宋体" w:hAnsi="宋体" w:eastAsia="宋体" w:cs="Times New Roman"/>
          <w:color w:val="auto"/>
          <w:szCs w:val="21"/>
          <w:highlight w:val="none"/>
        </w:rPr>
        <w:t>企业、监狱企业、残疾人福利性单位)</w:t>
      </w:r>
    </w:p>
    <w:p w14:paraId="2F0081CF">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pacing w:val="0"/>
          <w:w w:val="100"/>
          <w:position w:val="0"/>
          <w:sz w:val="21"/>
          <w:szCs w:val="21"/>
          <w:highlight w:val="none"/>
          <w:u w:val="none"/>
          <w:lang w:eastAsia="zh-CN"/>
        </w:rPr>
      </w:pPr>
      <w:r>
        <w:rPr>
          <w:rFonts w:hint="eastAsia" w:ascii="宋体" w:hAnsi="宋体" w:eastAsia="宋体" w:cs="宋体"/>
          <w:color w:val="auto"/>
          <w:spacing w:val="0"/>
          <w:w w:val="100"/>
          <w:position w:val="0"/>
          <w:sz w:val="21"/>
          <w:szCs w:val="21"/>
          <w:highlight w:val="none"/>
        </w:rPr>
        <w:t>3.本项目的特定资格要求</w:t>
      </w:r>
      <w:r>
        <w:rPr>
          <w:rFonts w:hint="eastAsia" w:ascii="宋体" w:hAnsi="宋体" w:eastAsia="宋体" w:cs="宋体"/>
          <w:color w:val="auto"/>
          <w:spacing w:val="0"/>
          <w:w w:val="100"/>
          <w:position w:val="0"/>
          <w:sz w:val="21"/>
          <w:szCs w:val="21"/>
          <w:highlight w:val="none"/>
          <w:u w:val="none"/>
          <w:lang w:eastAsia="zh-CN"/>
        </w:rPr>
        <w:t>：</w:t>
      </w:r>
    </w:p>
    <w:p w14:paraId="67FA7EB5">
      <w:pPr>
        <w:keepNext w:val="0"/>
        <w:keepLines w:val="0"/>
        <w:pageBreakBefore w:val="0"/>
        <w:kinsoku/>
        <w:wordWrap/>
        <w:overflowPunct/>
        <w:topLinePunct w:val="0"/>
        <w:autoSpaceDE/>
        <w:autoSpaceDN/>
        <w:bidi w:val="0"/>
        <w:adjustRightInd/>
        <w:spacing w:line="440" w:lineRule="exact"/>
        <w:ind w:firstLine="630" w:firstLineChars="3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（1）须具备独立的法人资格，具有水利水电工程施工总承包叁级或叁级以上资质；具有省级及以上建设行政主管部门颁发的安全生产许可证</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在人员、设备、资金等方面具备相应的施工能力。</w:t>
      </w:r>
    </w:p>
    <w:p w14:paraId="7FB0DCBF">
      <w:pPr>
        <w:keepNext w:val="0"/>
        <w:keepLines w:val="0"/>
        <w:pageBreakBefore w:val="0"/>
        <w:kinsoku/>
        <w:wordWrap/>
        <w:overflowPunct/>
        <w:topLinePunct w:val="0"/>
        <w:autoSpaceDE/>
        <w:autoSpaceDN/>
        <w:bidi w:val="0"/>
        <w:adjustRightInd/>
        <w:spacing w:line="440" w:lineRule="exact"/>
        <w:ind w:firstLine="630" w:firstLineChars="3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（2）拟派项目经理须具备</w:t>
      </w:r>
      <w:r>
        <w:rPr>
          <w:rFonts w:hint="eastAsia" w:ascii="宋体" w:hAnsi="宋体" w:cs="宋体"/>
          <w:color w:val="auto"/>
          <w:szCs w:val="21"/>
          <w:highlight w:val="none"/>
          <w:lang w:eastAsia="zh-CN"/>
        </w:rPr>
        <w:t>水利水电工程专业贰级以上</w:t>
      </w:r>
      <w:r>
        <w:rPr>
          <w:rFonts w:hint="eastAsia" w:ascii="宋体" w:hAnsi="宋体" w:eastAsia="宋体" w:cs="宋体"/>
          <w:color w:val="auto"/>
          <w:szCs w:val="21"/>
          <w:highlight w:val="none"/>
        </w:rPr>
        <w:t>（含贰级）注册建造师执业资格，具备有效的安全生产考核合格证书（B类）。本项目不接受有在建、已中标未开工或其他项目中标候选人第一名的建造师作为项目经理。</w:t>
      </w:r>
    </w:p>
    <w:p w14:paraId="2A984739">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b/>
          <w:bCs/>
          <w:color w:val="auto"/>
          <w:spacing w:val="0"/>
          <w:w w:val="100"/>
          <w:position w:val="0"/>
          <w:sz w:val="21"/>
          <w:szCs w:val="21"/>
          <w:highlight w:val="none"/>
          <w:u w:val="none"/>
          <w:lang w:val="en-US" w:eastAsia="zh-CN"/>
        </w:rPr>
      </w:pPr>
      <w:r>
        <w:rPr>
          <w:rFonts w:hint="eastAsia" w:ascii="宋体" w:hAnsi="宋体" w:eastAsia="宋体" w:cs="宋体"/>
          <w:color w:val="auto"/>
          <w:spacing w:val="0"/>
          <w:w w:val="100"/>
          <w:position w:val="0"/>
          <w:sz w:val="21"/>
          <w:szCs w:val="21"/>
          <w:highlight w:val="none"/>
          <w:u w:val="none"/>
        </w:rPr>
        <w:t>4</w:t>
      </w:r>
      <w:r>
        <w:rPr>
          <w:rFonts w:hint="eastAsia" w:ascii="宋体" w:hAnsi="宋体" w:eastAsia="宋体" w:cs="宋体"/>
          <w:color w:val="auto"/>
          <w:spacing w:val="0"/>
          <w:w w:val="100"/>
          <w:position w:val="0"/>
          <w:sz w:val="21"/>
          <w:szCs w:val="21"/>
          <w:highlight w:val="none"/>
          <w:u w:val="none"/>
          <w:lang w:eastAsia="zh-CN"/>
        </w:rPr>
        <w:t>.</w:t>
      </w:r>
      <w:r>
        <w:rPr>
          <w:rFonts w:hint="eastAsia" w:ascii="宋体" w:hAnsi="宋体" w:eastAsia="宋体" w:cs="宋体"/>
          <w:color w:val="auto"/>
          <w:spacing w:val="0"/>
          <w:w w:val="100"/>
          <w:position w:val="0"/>
          <w:sz w:val="21"/>
          <w:szCs w:val="21"/>
          <w:highlight w:val="none"/>
          <w:u w:val="none"/>
        </w:rPr>
        <w:t>本项目的特定条件</w:t>
      </w:r>
      <w:r>
        <w:rPr>
          <w:rFonts w:hint="eastAsia" w:ascii="宋体" w:hAnsi="宋体" w:eastAsia="宋体" w:cs="宋体"/>
          <w:b w:val="0"/>
          <w:bCs w:val="0"/>
          <w:color w:val="auto"/>
          <w:spacing w:val="0"/>
          <w:w w:val="100"/>
          <w:position w:val="0"/>
          <w:sz w:val="21"/>
          <w:szCs w:val="21"/>
          <w:highlight w:val="none"/>
          <w:u w:val="none"/>
          <w:lang w:eastAsia="zh-CN"/>
        </w:rPr>
        <w:t>：</w:t>
      </w:r>
      <w:r>
        <w:rPr>
          <w:rFonts w:hint="eastAsia" w:ascii="宋体" w:hAnsi="宋体" w:eastAsia="宋体" w:cs="宋体"/>
          <w:b w:val="0"/>
          <w:bCs w:val="0"/>
          <w:color w:val="auto"/>
          <w:spacing w:val="0"/>
          <w:w w:val="100"/>
          <w:position w:val="0"/>
          <w:sz w:val="21"/>
          <w:szCs w:val="21"/>
          <w:highlight w:val="none"/>
          <w:lang w:eastAsia="zh-CN"/>
        </w:rPr>
        <w:t>无</w:t>
      </w:r>
      <w:r>
        <w:rPr>
          <w:rFonts w:hint="eastAsia" w:ascii="宋体" w:hAnsi="宋体" w:eastAsia="宋体" w:cs="宋体"/>
          <w:b w:val="0"/>
          <w:bCs w:val="0"/>
          <w:color w:val="auto"/>
          <w:spacing w:val="0"/>
          <w:w w:val="100"/>
          <w:position w:val="0"/>
          <w:sz w:val="21"/>
          <w:szCs w:val="21"/>
          <w:highlight w:val="none"/>
          <w:u w:val="none"/>
          <w:lang w:eastAsia="zh-CN"/>
        </w:rPr>
        <w:t>。</w:t>
      </w:r>
    </w:p>
    <w:p w14:paraId="7CEC317B">
      <w:pPr>
        <w:keepNext w:val="0"/>
        <w:keepLines w:val="0"/>
        <w:pageBreakBefore w:val="0"/>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5</w:t>
      </w:r>
      <w:r>
        <w:rPr>
          <w:rFonts w:hint="eastAsia" w:ascii="宋体" w:hAnsi="宋体" w:eastAsia="宋体" w:cs="宋体"/>
          <w:color w:val="auto"/>
          <w:spacing w:val="0"/>
          <w:w w:val="100"/>
          <w:position w:val="0"/>
          <w:sz w:val="21"/>
          <w:szCs w:val="21"/>
          <w:highlight w:val="none"/>
          <w:lang w:eastAsia="zh-CN"/>
        </w:rPr>
        <w:t>.</w:t>
      </w:r>
      <w:r>
        <w:rPr>
          <w:rFonts w:hint="eastAsia" w:ascii="宋体" w:hAnsi="宋体" w:eastAsia="宋体" w:cs="宋体"/>
          <w:color w:val="auto"/>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59FC2DE6">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pacing w:val="0"/>
          <w:w w:val="100"/>
          <w:position w:val="0"/>
          <w:sz w:val="21"/>
          <w:szCs w:val="21"/>
          <w:highlight w:val="none"/>
        </w:rPr>
        <w:t>6</w:t>
      </w:r>
      <w:r>
        <w:rPr>
          <w:rFonts w:hint="eastAsia" w:ascii="宋体" w:hAnsi="宋体" w:eastAsia="宋体" w:cs="宋体"/>
          <w:color w:val="auto"/>
          <w:spacing w:val="0"/>
          <w:w w:val="100"/>
          <w:position w:val="0"/>
          <w:sz w:val="21"/>
          <w:szCs w:val="21"/>
          <w:highlight w:val="none"/>
          <w:lang w:eastAsia="zh-CN"/>
        </w:rPr>
        <w:t>.</w:t>
      </w:r>
      <w:r>
        <w:rPr>
          <w:rFonts w:hint="eastAsia" w:ascii="宋体" w:hAnsi="宋体" w:eastAsia="宋体" w:cs="宋体"/>
          <w:color w:val="auto"/>
          <w:spacing w:val="0"/>
          <w:w w:val="100"/>
          <w:position w:val="0"/>
          <w:sz w:val="21"/>
          <w:szCs w:val="21"/>
          <w:highlight w:val="none"/>
        </w:rPr>
        <w:t>对在“信用中国”网站(www.creditchina.gov.cn) 、中国政府采购网(www.ccgp.gov.cn)被列入失信被执行人、重大税收违法</w:t>
      </w:r>
      <w:r>
        <w:rPr>
          <w:rFonts w:hint="eastAsia" w:ascii="宋体" w:hAnsi="宋体" w:eastAsia="宋体" w:cs="宋体"/>
          <w:color w:val="auto"/>
          <w:spacing w:val="0"/>
          <w:w w:val="100"/>
          <w:position w:val="0"/>
          <w:sz w:val="21"/>
          <w:szCs w:val="21"/>
          <w:highlight w:val="none"/>
          <w:lang w:eastAsia="zh-CN"/>
        </w:rPr>
        <w:t>失信主体</w:t>
      </w:r>
      <w:r>
        <w:rPr>
          <w:rFonts w:hint="eastAsia" w:ascii="宋体" w:hAnsi="宋体" w:eastAsia="宋体" w:cs="宋体"/>
          <w:color w:val="auto"/>
          <w:spacing w:val="0"/>
          <w:w w:val="100"/>
          <w:position w:val="0"/>
          <w:sz w:val="21"/>
          <w:szCs w:val="21"/>
          <w:highlight w:val="none"/>
        </w:rPr>
        <w:t>、政府采购严重违法失信行为记录名单及其他不符合《中华人民共和国政府采购法》第二十二条规定条件的供应商，不得参与政府采购活动。</w:t>
      </w:r>
    </w:p>
    <w:p w14:paraId="63016390">
      <w:pPr>
        <w:keepNext w:val="0"/>
        <w:keepLines w:val="0"/>
        <w:pageBreakBefore w:val="0"/>
        <w:kinsoku/>
        <w:wordWrap/>
        <w:overflowPunct/>
        <w:topLinePunct w:val="0"/>
        <w:autoSpaceDE/>
        <w:autoSpaceDN/>
        <w:bidi w:val="0"/>
        <w:adjustRightInd/>
        <w:spacing w:line="44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三、获取竞争性磋商文件</w:t>
      </w:r>
      <w:bookmarkEnd w:id="15"/>
      <w:bookmarkEnd w:id="16"/>
      <w:bookmarkEnd w:id="17"/>
      <w:bookmarkEnd w:id="18"/>
    </w:p>
    <w:p w14:paraId="396E069D">
      <w:pPr>
        <w:keepNext w:val="0"/>
        <w:keepLines w:val="0"/>
        <w:pageBreakBefore w:val="0"/>
        <w:widowControl/>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auto"/>
          <w:szCs w:val="21"/>
          <w:highlight w:val="none"/>
        </w:rPr>
      </w:pPr>
      <w:bookmarkStart w:id="24" w:name="_Toc28359005"/>
      <w:bookmarkStart w:id="25" w:name="_Toc28359082"/>
      <w:bookmarkStart w:id="26" w:name="_Toc35393624"/>
      <w:bookmarkStart w:id="27" w:name="_Toc35393793"/>
      <w:r>
        <w:rPr>
          <w:rFonts w:hint="eastAsia" w:ascii="宋体" w:hAnsi="宋体" w:eastAsia="宋体" w:cs="宋体"/>
          <w:color w:val="auto"/>
          <w:szCs w:val="21"/>
          <w:highlight w:val="none"/>
        </w:rPr>
        <w:t>时间：自公告发布之日起。</w:t>
      </w:r>
    </w:p>
    <w:p w14:paraId="22B359C5">
      <w:pPr>
        <w:keepNext w:val="0"/>
        <w:keepLines w:val="0"/>
        <w:pageBreakBefore w:val="0"/>
        <w:widowControl/>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获取方式</w:t>
      </w:r>
      <w:r>
        <w:rPr>
          <w:rFonts w:hint="eastAsia" w:ascii="宋体" w:hAnsi="宋体" w:eastAsia="宋体" w:cs="宋体"/>
          <w:color w:val="auto"/>
          <w:szCs w:val="21"/>
          <w:highlight w:val="none"/>
          <w:lang w:eastAsia="zh-CN"/>
        </w:rPr>
        <w:t>：</w:t>
      </w:r>
      <w:r>
        <w:rPr>
          <w:rFonts w:hint="eastAsia" w:ascii="宋体" w:hAnsi="宋体" w:eastAsia="宋体" w:cs="Times New Roman"/>
          <w:color w:val="auto"/>
          <w:szCs w:val="21"/>
          <w:highlight w:val="none"/>
        </w:rPr>
        <w:t>网上下载。本项目不发放纸质采购文件，</w:t>
      </w:r>
      <w:r>
        <w:rPr>
          <w:rFonts w:hint="eastAsia" w:ascii="宋体" w:hAnsi="宋体" w:eastAsia="宋体" w:cs="宋体"/>
          <w:color w:val="auto"/>
          <w:szCs w:val="21"/>
          <w:highlight w:val="none"/>
        </w:rPr>
        <w:t>供应商可自行在</w:t>
      </w:r>
      <w:r>
        <w:rPr>
          <w:rFonts w:hint="eastAsia" w:ascii="宋体" w:hAnsi="宋体"/>
          <w:color w:val="auto"/>
          <w:szCs w:val="21"/>
          <w:highlight w:val="none"/>
        </w:rPr>
        <w:t>广西政府采购云平台（https://www.gcy.zfcg.gxzf.gov.cn/）下载采购文件</w:t>
      </w:r>
      <w:r>
        <w:rPr>
          <w:rFonts w:hint="eastAsia" w:ascii="宋体" w:hAnsi="宋体" w:eastAsia="宋体" w:cs="宋体"/>
          <w:color w:val="auto"/>
          <w:szCs w:val="21"/>
          <w:highlight w:val="none"/>
        </w:rPr>
        <w:t>（操作路径：登录</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-项目采购-获取采购文件-找到本项目-点击“申请获取采购文件”），电子响应文件制作需要基于</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https://www.gcy.zfcg.gxzf.gov.cn/</w:t>
      </w:r>
      <w:r>
        <w:rPr>
          <w:rFonts w:hint="eastAsia" w:ascii="宋体" w:hAnsi="宋体" w:eastAsia="宋体" w:cs="宋体"/>
          <w:color w:val="auto"/>
          <w:szCs w:val="21"/>
          <w:highlight w:val="none"/>
        </w:rPr>
        <w:t>）获取的采购文件编制。</w:t>
      </w:r>
    </w:p>
    <w:p w14:paraId="7EC78B65">
      <w:pPr>
        <w:keepNext w:val="0"/>
        <w:keepLines w:val="0"/>
        <w:pageBreakBefore w:val="0"/>
        <w:widowControl/>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售价：0元。</w:t>
      </w:r>
    </w:p>
    <w:p w14:paraId="0810F1EC">
      <w:pPr>
        <w:keepNext w:val="0"/>
        <w:keepLines w:val="0"/>
        <w:pageBreakBefore w:val="0"/>
        <w:kinsoku/>
        <w:wordWrap/>
        <w:overflowPunct/>
        <w:topLinePunct w:val="0"/>
        <w:autoSpaceDE/>
        <w:autoSpaceDN/>
        <w:bidi w:val="0"/>
        <w:adjustRightInd/>
        <w:spacing w:line="44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w:t>
      </w:r>
      <w:bookmarkEnd w:id="24"/>
      <w:bookmarkEnd w:id="25"/>
      <w:bookmarkEnd w:id="26"/>
      <w:bookmarkEnd w:id="27"/>
      <w:r>
        <w:rPr>
          <w:rFonts w:hint="eastAsia" w:ascii="宋体" w:hAnsi="宋体" w:eastAsia="宋体" w:cs="宋体"/>
          <w:b/>
          <w:bCs/>
          <w:color w:val="auto"/>
          <w:sz w:val="24"/>
          <w:highlight w:val="none"/>
        </w:rPr>
        <w:t>响应文件提交</w:t>
      </w:r>
    </w:p>
    <w:p w14:paraId="2D16AEED">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1.首次响应文件提交截止时间</w:t>
      </w:r>
      <w:r>
        <w:rPr>
          <w:rFonts w:hint="eastAsia" w:ascii="宋体" w:hAnsi="宋体" w:eastAsia="宋体" w:cs="宋体"/>
          <w:bCs/>
          <w:color w:val="auto"/>
          <w:szCs w:val="21"/>
          <w:highlight w:val="none"/>
        </w:rPr>
        <w:t>（北京时间）：</w:t>
      </w:r>
      <w:r>
        <w:rPr>
          <w:rFonts w:hint="eastAsia" w:ascii="宋体" w:hAnsi="宋体" w:cs="宋体"/>
          <w:color w:val="auto"/>
          <w:szCs w:val="21"/>
          <w:highlight w:val="none"/>
          <w:u w:val="single"/>
          <w:lang w:eastAsia="zh-CN"/>
        </w:rPr>
        <w:t>20</w:t>
      </w:r>
      <w:r>
        <w:rPr>
          <w:rFonts w:hint="eastAsia" w:ascii="宋体" w:hAnsi="宋体" w:cs="宋体"/>
          <w:color w:val="auto"/>
          <w:szCs w:val="21"/>
          <w:highlight w:val="none"/>
          <w:u w:val="single"/>
          <w:lang w:val="en-US" w:eastAsia="zh-CN"/>
        </w:rPr>
        <w:t>26</w:t>
      </w:r>
      <w:r>
        <w:rPr>
          <w:rFonts w:hint="eastAsia" w:ascii="宋体" w:hAnsi="宋体" w:cs="宋体"/>
          <w:color w:val="auto"/>
          <w:szCs w:val="21"/>
          <w:highlight w:val="none"/>
          <w:u w:val="single"/>
          <w:lang w:eastAsia="zh-CN"/>
        </w:rPr>
        <w:t>年</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lang w:eastAsia="zh-CN"/>
        </w:rPr>
        <w:t>月</w:t>
      </w:r>
      <w:r>
        <w:rPr>
          <w:rFonts w:hint="eastAsia" w:ascii="宋体" w:hAnsi="宋体" w:cs="宋体"/>
          <w:color w:val="auto"/>
          <w:szCs w:val="21"/>
          <w:highlight w:val="none"/>
          <w:u w:val="single"/>
          <w:lang w:val="en-US" w:eastAsia="zh-CN"/>
        </w:rPr>
        <w:t>18</w:t>
      </w:r>
      <w:r>
        <w:rPr>
          <w:rFonts w:hint="eastAsia" w:ascii="宋体" w:hAnsi="宋体" w:cs="宋体"/>
          <w:color w:val="auto"/>
          <w:szCs w:val="21"/>
          <w:highlight w:val="none"/>
          <w:u w:val="single"/>
          <w:lang w:eastAsia="zh-CN"/>
        </w:rPr>
        <w:t>日</w:t>
      </w:r>
      <w:r>
        <w:rPr>
          <w:rFonts w:hint="eastAsia" w:ascii="宋体" w:hAnsi="宋体" w:cs="宋体"/>
          <w:color w:val="auto"/>
          <w:szCs w:val="21"/>
          <w:highlight w:val="none"/>
          <w:u w:val="single"/>
          <w:lang w:val="en-US" w:eastAsia="zh-CN"/>
        </w:rPr>
        <w:t>10时00分</w:t>
      </w:r>
      <w:r>
        <w:rPr>
          <w:rFonts w:hint="eastAsia" w:ascii="宋体" w:hAnsi="宋体" w:eastAsia="宋体" w:cs="宋体"/>
          <w:color w:val="auto"/>
          <w:szCs w:val="21"/>
          <w:highlight w:val="none"/>
        </w:rPr>
        <w:t>。</w:t>
      </w:r>
    </w:p>
    <w:p w14:paraId="3CA49B48">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2.首次响应文件提交地点：</w:t>
      </w:r>
    </w:p>
    <w:p w14:paraId="382395B9">
      <w:pPr>
        <w:keepNext w:val="0"/>
        <w:keepLines w:val="0"/>
        <w:pageBreakBefore w:val="0"/>
        <w:widowControl/>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（1）响应文件提交方式：本项目为南宁市全流程电子化项目，通过</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https://www.gcy.zfcg.gxzf.gov.cn/</w:t>
      </w:r>
      <w:r>
        <w:rPr>
          <w:rFonts w:hint="eastAsia" w:ascii="宋体" w:hAnsi="宋体" w:eastAsia="宋体" w:cs="宋体"/>
          <w:color w:val="auto"/>
          <w:szCs w:val="21"/>
          <w:highlight w:val="none"/>
        </w:rPr>
        <w:t>）实行在线电子响应，供应商应先安装“政采云电子交易客户端”（请自行前往</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进行下载），并按照本项目采购文件和</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的要求编制、加密后在投标截止时间前通过网络上传至南宁市</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供应商在</w:t>
      </w:r>
      <w:r>
        <w:rPr>
          <w:rFonts w:hint="eastAsia" w:ascii="宋体" w:hAnsi="宋体" w:eastAsia="宋体" w:cs="宋体"/>
          <w:b/>
          <w:color w:val="auto"/>
          <w:szCs w:val="21"/>
          <w:highlight w:val="none"/>
          <w:lang w:eastAsia="zh-CN"/>
        </w:rPr>
        <w:t>“广西政府采购云平台”</w:t>
      </w:r>
      <w:r>
        <w:rPr>
          <w:rFonts w:hint="eastAsia" w:ascii="宋体" w:hAnsi="宋体" w:eastAsia="宋体" w:cs="宋体"/>
          <w:b/>
          <w:color w:val="auto"/>
          <w:szCs w:val="21"/>
          <w:highlight w:val="none"/>
        </w:rPr>
        <w:t>提交电子版响应文件时，请填写参加远程采购活动经办人联系方式，</w:t>
      </w:r>
      <w:r>
        <w:rPr>
          <w:rFonts w:hint="eastAsia" w:ascii="宋体" w:hAnsi="宋体" w:eastAsia="宋体" w:cs="宋体"/>
          <w:color w:val="auto"/>
          <w:szCs w:val="21"/>
          <w:highlight w:val="none"/>
        </w:rPr>
        <w:t>电子响应文件具体操作流程详见本公告附件。</w:t>
      </w:r>
    </w:p>
    <w:p w14:paraId="2D4AEA11">
      <w:pPr>
        <w:keepNext w:val="0"/>
        <w:keepLines w:val="0"/>
        <w:pageBreakBefore w:val="0"/>
        <w:widowControl/>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（2）未进行网上注册并办理数字证书（CA认证）的供应商将无法参与本项目政府采购活动，潜在供应商应当在投标截止时间前，完成电子交易平台上的CA数字证书办理（申领流程见本公告附件</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）及响应文件的提交。完成CA数字证书办理预计7日左右，供应商只需办理其中一家CA数字证书及签章。</w:t>
      </w:r>
    </w:p>
    <w:p w14:paraId="0D2E82AA">
      <w:pPr>
        <w:keepNext w:val="0"/>
        <w:keepLines w:val="0"/>
        <w:pageBreakBefore w:val="0"/>
        <w:widowControl/>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（3）为确保网上操作合法、有效和安全，请供应商确保在电子响应过程中能够对相关数据电文进行加密和使用电子签章，妥善保管CA数字证书并使用有效的CA数字证书参与整个采购活动。</w:t>
      </w:r>
    </w:p>
    <w:p w14:paraId="7801F21E">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u w:val="single"/>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w:t>
      </w:r>
      <w:r>
        <w:rPr>
          <w:rFonts w:hint="eastAsia" w:ascii="宋体" w:hAnsi="宋体" w:cs="宋体"/>
          <w:bCs/>
          <w:color w:val="auto"/>
          <w:szCs w:val="21"/>
          <w:highlight w:val="none"/>
          <w:u w:val="single"/>
          <w:lang w:eastAsia="zh-CN"/>
        </w:rPr>
        <w:t>“广西政府采购云平台”</w:t>
      </w:r>
      <w:r>
        <w:rPr>
          <w:rFonts w:hint="eastAsia" w:ascii="宋体" w:hAnsi="宋体" w:eastAsia="宋体" w:cs="宋体"/>
          <w:bCs/>
          <w:color w:val="auto"/>
          <w:szCs w:val="21"/>
          <w:highlight w:val="none"/>
          <w:u w:val="single"/>
        </w:rPr>
        <w:t>将予以拒收。</w:t>
      </w:r>
    </w:p>
    <w:p w14:paraId="2EBA8F55">
      <w:pPr>
        <w:keepNext w:val="0"/>
        <w:keepLines w:val="0"/>
        <w:pageBreakBefore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3.CA证书在线解密：首次响应文件开启时，</w:t>
      </w:r>
      <w:r>
        <w:rPr>
          <w:rFonts w:hint="eastAsia" w:ascii="宋体" w:hAnsi="宋体" w:cs="宋体"/>
          <w:b/>
          <w:bCs/>
          <w:color w:val="auto"/>
          <w:kern w:val="0"/>
          <w:szCs w:val="21"/>
          <w:highlight w:val="none"/>
          <w:lang w:val="en-US" w:eastAsia="zh-CN"/>
        </w:rPr>
        <w:t>须</w:t>
      </w:r>
      <w:r>
        <w:rPr>
          <w:rFonts w:hint="eastAsia" w:ascii="宋体" w:hAnsi="宋体" w:eastAsia="宋体" w:cs="宋体"/>
          <w:b/>
          <w:bCs/>
          <w:color w:val="auto"/>
          <w:kern w:val="0"/>
          <w:szCs w:val="21"/>
          <w:highlight w:val="none"/>
          <w:lang w:eastAsia="zh-CN"/>
        </w:rPr>
        <w:t>要</w:t>
      </w:r>
      <w:r>
        <w:rPr>
          <w:rFonts w:hint="eastAsia" w:ascii="宋体" w:hAnsi="宋体" w:eastAsia="宋体" w:cs="宋体"/>
          <w:b/>
          <w:bCs/>
          <w:color w:val="auto"/>
          <w:kern w:val="0"/>
          <w:szCs w:val="21"/>
          <w:highlight w:val="none"/>
        </w:rPr>
        <w:t>供应商携带制作响应文件时用来加密的有效数字证书（CA认证）登录</w:t>
      </w:r>
      <w:r>
        <w:rPr>
          <w:rFonts w:hint="eastAsia" w:ascii="宋体" w:hAnsi="宋体" w:cs="宋体"/>
          <w:color w:val="auto"/>
          <w:kern w:val="0"/>
          <w:szCs w:val="21"/>
          <w:highlight w:val="none"/>
          <w:lang w:eastAsia="zh-CN"/>
        </w:rPr>
        <w:t>“广西政府采购云平台”</w:t>
      </w:r>
      <w:r>
        <w:rPr>
          <w:rFonts w:hint="eastAsia" w:ascii="宋体" w:hAnsi="宋体" w:eastAsia="宋体" w:cs="宋体"/>
          <w:color w:val="auto"/>
          <w:kern w:val="0"/>
          <w:szCs w:val="21"/>
          <w:highlight w:val="none"/>
        </w:rPr>
        <w:t>电子开标大厅现场按规定时间对加密的响应文件进行解密，未能按要求进行解密的，由此产生的后果由</w:t>
      </w:r>
      <w:r>
        <w:rPr>
          <w:rFonts w:hint="eastAsia" w:ascii="宋体" w:hAnsi="宋体" w:cs="宋体"/>
          <w:color w:val="auto"/>
          <w:kern w:val="0"/>
          <w:szCs w:val="21"/>
          <w:highlight w:val="none"/>
          <w:lang w:val="en-US" w:eastAsia="zh-CN"/>
        </w:rPr>
        <w:t>供应商</w:t>
      </w:r>
      <w:r>
        <w:rPr>
          <w:rFonts w:hint="eastAsia" w:ascii="宋体" w:hAnsi="宋体" w:eastAsia="宋体" w:cs="宋体"/>
          <w:color w:val="auto"/>
          <w:kern w:val="0"/>
          <w:szCs w:val="21"/>
          <w:highlight w:val="none"/>
        </w:rPr>
        <w:t>自行承担。</w:t>
      </w:r>
    </w:p>
    <w:p w14:paraId="45ED89C1">
      <w:pPr>
        <w:keepNext w:val="0"/>
        <w:keepLines w:val="0"/>
        <w:pageBreakBefore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4.供应商需要在具备有摄像头及语音功能且互联网网络状况良好的电脑登录</w:t>
      </w:r>
      <w:r>
        <w:rPr>
          <w:rFonts w:hint="eastAsia" w:ascii="宋体" w:hAnsi="宋体" w:cs="宋体"/>
          <w:color w:val="auto"/>
          <w:kern w:val="0"/>
          <w:szCs w:val="21"/>
          <w:highlight w:val="none"/>
          <w:lang w:eastAsia="zh-CN"/>
        </w:rPr>
        <w:t>“广西政府采购云平台”</w:t>
      </w:r>
      <w:r>
        <w:rPr>
          <w:rFonts w:hint="eastAsia" w:ascii="宋体" w:hAnsi="宋体" w:eastAsia="宋体" w:cs="宋体"/>
          <w:color w:val="auto"/>
          <w:kern w:val="0"/>
          <w:szCs w:val="21"/>
          <w:highlight w:val="none"/>
        </w:rPr>
        <w:t>远程开标大厅参与本次磋商，否则后果自负。</w:t>
      </w:r>
    </w:p>
    <w:p w14:paraId="2C738F90">
      <w:pPr>
        <w:keepNext w:val="0"/>
        <w:keepLines w:val="0"/>
        <w:pageBreakBefore w:val="0"/>
        <w:kinsoku/>
        <w:wordWrap/>
        <w:overflowPunct/>
        <w:topLinePunct w:val="0"/>
        <w:autoSpaceDE/>
        <w:autoSpaceDN/>
        <w:bidi w:val="0"/>
        <w:adjustRightInd/>
        <w:spacing w:line="44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五、开启（首次响应文件开启时间）</w:t>
      </w:r>
    </w:p>
    <w:p w14:paraId="0C66C6C8">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bCs/>
          <w:color w:val="auto"/>
          <w:szCs w:val="21"/>
          <w:highlight w:val="none"/>
          <w:u w:val="single"/>
        </w:rPr>
      </w:pPr>
      <w:r>
        <w:rPr>
          <w:rFonts w:hint="eastAsia" w:ascii="宋体" w:hAnsi="宋体" w:eastAsia="宋体" w:cs="宋体"/>
          <w:color w:val="auto"/>
          <w:szCs w:val="21"/>
          <w:highlight w:val="none"/>
        </w:rPr>
        <w:t>1.时间</w:t>
      </w:r>
      <w:r>
        <w:rPr>
          <w:rFonts w:hint="eastAsia" w:ascii="宋体" w:hAnsi="宋体" w:eastAsia="宋体" w:cs="宋体"/>
          <w:bCs/>
          <w:color w:val="auto"/>
          <w:szCs w:val="21"/>
          <w:highlight w:val="none"/>
        </w:rPr>
        <w:t>（北京时间）</w:t>
      </w:r>
      <w:r>
        <w:rPr>
          <w:rFonts w:hint="eastAsia" w:ascii="宋体" w:hAnsi="宋体" w:eastAsia="宋体" w:cs="宋体"/>
          <w:color w:val="auto"/>
          <w:szCs w:val="21"/>
          <w:highlight w:val="none"/>
        </w:rPr>
        <w:t>：</w:t>
      </w:r>
      <w:r>
        <w:rPr>
          <w:rFonts w:hint="eastAsia" w:ascii="宋体" w:hAnsi="宋体" w:cs="宋体"/>
          <w:color w:val="auto"/>
          <w:szCs w:val="21"/>
          <w:highlight w:val="none"/>
          <w:u w:val="single"/>
          <w:lang w:eastAsia="zh-CN"/>
        </w:rPr>
        <w:t>20</w:t>
      </w:r>
      <w:r>
        <w:rPr>
          <w:rFonts w:hint="eastAsia" w:ascii="宋体" w:hAnsi="宋体" w:cs="宋体"/>
          <w:color w:val="auto"/>
          <w:szCs w:val="21"/>
          <w:highlight w:val="none"/>
          <w:u w:val="single"/>
          <w:lang w:val="en-US" w:eastAsia="zh-CN"/>
        </w:rPr>
        <w:t>26</w:t>
      </w:r>
      <w:r>
        <w:rPr>
          <w:rFonts w:hint="eastAsia" w:ascii="宋体" w:hAnsi="宋体" w:cs="宋体"/>
          <w:color w:val="auto"/>
          <w:szCs w:val="21"/>
          <w:highlight w:val="none"/>
          <w:u w:val="single"/>
          <w:lang w:eastAsia="zh-CN"/>
        </w:rPr>
        <w:t>年</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lang w:eastAsia="zh-CN"/>
        </w:rPr>
        <w:t>月</w:t>
      </w:r>
      <w:r>
        <w:rPr>
          <w:rFonts w:hint="eastAsia" w:ascii="宋体" w:hAnsi="宋体" w:cs="宋体"/>
          <w:color w:val="auto"/>
          <w:szCs w:val="21"/>
          <w:highlight w:val="none"/>
          <w:u w:val="single"/>
          <w:lang w:val="en-US" w:eastAsia="zh-CN"/>
        </w:rPr>
        <w:t>18</w:t>
      </w:r>
      <w:r>
        <w:rPr>
          <w:rFonts w:hint="eastAsia" w:ascii="宋体" w:hAnsi="宋体" w:cs="宋体"/>
          <w:color w:val="auto"/>
          <w:szCs w:val="21"/>
          <w:highlight w:val="none"/>
          <w:u w:val="single"/>
          <w:lang w:eastAsia="zh-CN"/>
        </w:rPr>
        <w:t>日</w:t>
      </w:r>
      <w:r>
        <w:rPr>
          <w:rFonts w:hint="eastAsia" w:ascii="宋体" w:hAnsi="宋体" w:cs="宋体"/>
          <w:color w:val="auto"/>
          <w:szCs w:val="21"/>
          <w:highlight w:val="none"/>
          <w:u w:val="single"/>
          <w:lang w:val="en-US" w:eastAsia="zh-CN"/>
        </w:rPr>
        <w:t>10时00分</w:t>
      </w:r>
      <w:r>
        <w:rPr>
          <w:rFonts w:hint="eastAsia" w:ascii="宋体" w:hAnsi="宋体" w:eastAsia="宋体" w:cs="宋体"/>
          <w:color w:val="auto"/>
          <w:szCs w:val="21"/>
          <w:highlight w:val="none"/>
        </w:rPr>
        <w:t>后</w:t>
      </w:r>
    </w:p>
    <w:p w14:paraId="6E5C41A1">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bCs/>
          <w:color w:val="auto"/>
          <w:szCs w:val="21"/>
          <w:highlight w:val="none"/>
          <w:u w:val="single"/>
        </w:rPr>
      </w:pPr>
      <w:r>
        <w:rPr>
          <w:rFonts w:hint="eastAsia" w:ascii="宋体" w:hAnsi="宋体" w:eastAsia="宋体" w:cs="宋体"/>
          <w:color w:val="auto"/>
          <w:szCs w:val="21"/>
          <w:highlight w:val="none"/>
        </w:rPr>
        <w:t>2.地点：</w:t>
      </w:r>
      <w:r>
        <w:rPr>
          <w:rFonts w:hint="eastAsia" w:ascii="宋体" w:hAnsi="宋体"/>
          <w:color w:val="auto"/>
          <w:szCs w:val="21"/>
          <w:highlight w:val="none"/>
          <w:u w:val="single"/>
        </w:rPr>
        <w:t>广西政府采购云平台远程开标大厅</w:t>
      </w:r>
    </w:p>
    <w:p w14:paraId="25AF39BF">
      <w:pPr>
        <w:keepNext w:val="0"/>
        <w:keepLines w:val="0"/>
        <w:pageBreakBefore w:val="0"/>
        <w:kinsoku/>
        <w:wordWrap/>
        <w:overflowPunct/>
        <w:topLinePunct w:val="0"/>
        <w:autoSpaceDE/>
        <w:autoSpaceDN/>
        <w:bidi w:val="0"/>
        <w:adjustRightInd/>
        <w:spacing w:line="440" w:lineRule="exact"/>
        <w:ind w:firstLine="482" w:firstLineChars="200"/>
        <w:textAlignment w:val="auto"/>
        <w:rPr>
          <w:rFonts w:hint="eastAsia" w:ascii="宋体" w:hAnsi="宋体" w:eastAsia="宋体" w:cs="宋体"/>
          <w:b/>
          <w:bCs/>
          <w:color w:val="auto"/>
          <w:sz w:val="24"/>
          <w:highlight w:val="none"/>
        </w:rPr>
      </w:pPr>
      <w:bookmarkStart w:id="28" w:name="_Toc35393625"/>
      <w:bookmarkStart w:id="29" w:name="_Toc28359007"/>
      <w:bookmarkStart w:id="30" w:name="_Toc35393794"/>
      <w:bookmarkStart w:id="31" w:name="_Toc28359084"/>
      <w:r>
        <w:rPr>
          <w:rFonts w:hint="eastAsia" w:ascii="宋体" w:hAnsi="宋体" w:eastAsia="宋体" w:cs="宋体"/>
          <w:b/>
          <w:bCs/>
          <w:color w:val="auto"/>
          <w:sz w:val="24"/>
          <w:highlight w:val="none"/>
        </w:rPr>
        <w:t>六、公告期限</w:t>
      </w:r>
      <w:bookmarkEnd w:id="28"/>
      <w:bookmarkEnd w:id="29"/>
      <w:bookmarkEnd w:id="30"/>
      <w:bookmarkEnd w:id="31"/>
    </w:p>
    <w:p w14:paraId="5C551DDD">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w:t>
      </w: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个工作日。</w:t>
      </w:r>
    </w:p>
    <w:p w14:paraId="499BB078">
      <w:pPr>
        <w:keepNext w:val="0"/>
        <w:keepLines w:val="0"/>
        <w:pageBreakBefore w:val="0"/>
        <w:kinsoku/>
        <w:wordWrap/>
        <w:overflowPunct/>
        <w:topLinePunct w:val="0"/>
        <w:autoSpaceDE/>
        <w:autoSpaceDN/>
        <w:bidi w:val="0"/>
        <w:adjustRightInd/>
        <w:spacing w:line="440" w:lineRule="exact"/>
        <w:ind w:firstLine="482" w:firstLineChars="200"/>
        <w:textAlignment w:val="auto"/>
        <w:rPr>
          <w:rFonts w:hint="eastAsia" w:ascii="宋体" w:hAnsi="宋体" w:eastAsia="宋体" w:cs="宋体"/>
          <w:b/>
          <w:bCs/>
          <w:color w:val="auto"/>
          <w:sz w:val="24"/>
          <w:highlight w:val="none"/>
        </w:rPr>
      </w:pPr>
      <w:bookmarkStart w:id="32" w:name="_Toc35393795"/>
      <w:bookmarkStart w:id="33" w:name="_Toc35393626"/>
      <w:r>
        <w:rPr>
          <w:rFonts w:hint="eastAsia" w:ascii="宋体" w:hAnsi="宋体" w:eastAsia="宋体" w:cs="宋体"/>
          <w:b/>
          <w:bCs/>
          <w:color w:val="auto"/>
          <w:sz w:val="24"/>
          <w:highlight w:val="none"/>
        </w:rPr>
        <w:t>七、其他补充事宜</w:t>
      </w:r>
      <w:bookmarkEnd w:id="32"/>
      <w:bookmarkEnd w:id="33"/>
    </w:p>
    <w:p w14:paraId="35E558CF">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1.磋商保证金：本项目不收取磋商保证金</w:t>
      </w:r>
    </w:p>
    <w:p w14:paraId="2B5E7554">
      <w:pPr>
        <w:keepNext w:val="0"/>
        <w:keepLines w:val="0"/>
        <w:pageBreakBefore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auto"/>
          <w:kern w:val="0"/>
          <w:szCs w:val="21"/>
          <w:highlight w:val="none"/>
          <w:vertAlign w:val="baseline"/>
        </w:rPr>
      </w:pPr>
      <w:r>
        <w:rPr>
          <w:rFonts w:hint="eastAsia" w:ascii="宋体" w:hAnsi="宋体" w:eastAsia="宋体" w:cs="宋体"/>
          <w:color w:val="auto"/>
          <w:kern w:val="0"/>
          <w:szCs w:val="21"/>
          <w:highlight w:val="none"/>
        </w:rPr>
        <w:t>2.采购意向公开链接：</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6"/>
      </w:tblGrid>
      <w:tr w14:paraId="1D935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66" w:type="dxa"/>
          </w:tcPr>
          <w:p w14:paraId="405834A6">
            <w:pPr>
              <w:keepNext w:val="0"/>
              <w:keepLines w:val="0"/>
              <w:pageBreakBefore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auto"/>
                <w:kern w:val="0"/>
                <w:szCs w:val="21"/>
                <w:highlight w:val="none"/>
                <w:vertAlign w:val="baseline"/>
              </w:rPr>
            </w:pPr>
            <w:r>
              <w:rPr>
                <w:rFonts w:hint="eastAsia" w:ascii="宋体" w:hAnsi="宋体" w:eastAsia="宋体" w:cs="宋体"/>
                <w:color w:val="auto"/>
                <w:kern w:val="0"/>
                <w:szCs w:val="21"/>
                <w:highlight w:val="none"/>
              </w:rPr>
              <w:t>http://www.ccgp-guangxi.gov.cn/site/detail?categoryCode=ZcyAnnouncement&amp;parentId=66485&amp;articleId=FtQXzt2MYfMqEDxRqdiekQ==</w:t>
            </w:r>
          </w:p>
        </w:tc>
      </w:tr>
    </w:tbl>
    <w:p w14:paraId="5E5B6882">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kern w:val="0"/>
          <w:szCs w:val="21"/>
          <w:highlight w:val="none"/>
        </w:rPr>
      </w:pPr>
      <w:bookmarkStart w:id="34" w:name="_Hlk37429585"/>
      <w:r>
        <w:rPr>
          <w:rFonts w:hint="eastAsia" w:ascii="宋体" w:hAnsi="宋体" w:eastAsia="宋体" w:cs="宋体"/>
          <w:color w:val="auto"/>
          <w:kern w:val="0"/>
          <w:szCs w:val="21"/>
          <w:highlight w:val="none"/>
        </w:rPr>
        <w:t>3.</w:t>
      </w:r>
      <w:bookmarkStart w:id="35" w:name="_Hlk37429595"/>
      <w:r>
        <w:rPr>
          <w:rFonts w:hint="eastAsia" w:ascii="宋体" w:hAnsi="宋体" w:eastAsia="宋体" w:cs="宋体"/>
          <w:color w:val="auto"/>
          <w:kern w:val="0"/>
          <w:szCs w:val="21"/>
          <w:highlight w:val="none"/>
        </w:rPr>
        <w:t>网上查询地址</w:t>
      </w:r>
    </w:p>
    <w:bookmarkEnd w:id="34"/>
    <w:bookmarkEnd w:id="35"/>
    <w:p w14:paraId="30F7B362">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eastAsia="宋体" w:cs="宋体"/>
          <w:color w:val="auto"/>
          <w:kern w:val="0"/>
          <w:szCs w:val="21"/>
          <w:highlight w:val="none"/>
          <w:lang w:eastAsia="zh-CN"/>
        </w:rPr>
      </w:pPr>
      <w:bookmarkStart w:id="36" w:name="_Hlk37429674"/>
      <w:r>
        <w:rPr>
          <w:rFonts w:ascii="宋体" w:hAnsi="宋体"/>
          <w:color w:val="auto"/>
          <w:szCs w:val="21"/>
          <w:highlight w:val="none"/>
        </w:rPr>
        <w:t>http://www.ccgp.gov.cn/（中国政府采购网）、http://www.ccgp-guangxi.gov.cn/ (广西壮族自治区政府采购网)、http://ggzy.jgswj.gxzf.gov.cn/nnggzy/（全国公共资源交易平台（广西.南宁））、http://www.gxjhgczx.com/（广西佳鸿工程技术有限公司网）</w:t>
      </w:r>
      <w:r>
        <w:rPr>
          <w:rFonts w:hint="eastAsia" w:ascii="宋体" w:hAnsi="宋体" w:cs="宋体"/>
          <w:color w:val="auto"/>
          <w:kern w:val="0"/>
          <w:szCs w:val="21"/>
          <w:highlight w:val="none"/>
          <w:lang w:val="en-US" w:eastAsia="zh-CN"/>
        </w:rPr>
        <w:t>。</w:t>
      </w:r>
    </w:p>
    <w:p w14:paraId="1C608BAD">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本项目需要落实的政府采购政策</w:t>
      </w:r>
    </w:p>
    <w:bookmarkEnd w:id="36"/>
    <w:p w14:paraId="00B9286C">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（1）政府采购促进中小企业发展。</w:t>
      </w:r>
    </w:p>
    <w:p w14:paraId="461A05E3">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（2）政府采购支持采用本国产品的政策。</w:t>
      </w:r>
    </w:p>
    <w:p w14:paraId="1C3A77F4">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（3）强制采购节能产品；优先采购节能产品、环境标志产品。</w:t>
      </w:r>
    </w:p>
    <w:p w14:paraId="160BA812">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（4）政府采购促进残疾人就业政策。</w:t>
      </w:r>
    </w:p>
    <w:p w14:paraId="5E7A17B4">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政府采购支持监狱企业发展。</w:t>
      </w:r>
    </w:p>
    <w:p w14:paraId="2F43EBC3">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扶持不发达地区和少数民族地区政策。</w:t>
      </w:r>
    </w:p>
    <w:p w14:paraId="3706A585">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供应商认为采购文件使自己的权益受到损害的，可以自获取采购文件之日或者采购文件公告期限届满之日（公告期限届满后获取采购文件的，以公告期限届满之日为准）起7个工作日内且应当在采购响应截止时间之前，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3E97D5BB">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6.若对项目采购电子交易系统操作有疑问，可登录</w:t>
      </w:r>
      <w:r>
        <w:rPr>
          <w:rFonts w:hint="eastAsia" w:ascii="宋体" w:hAnsi="宋体" w:cs="宋体"/>
          <w:color w:val="auto"/>
          <w:kern w:val="0"/>
          <w:szCs w:val="21"/>
          <w:highlight w:val="none"/>
          <w:lang w:eastAsia="zh-CN"/>
        </w:rPr>
        <w:t>“广西政府采购云平台”</w:t>
      </w:r>
      <w:r>
        <w:rPr>
          <w:rFonts w:hint="eastAsia" w:ascii="宋体" w:hAnsi="宋体" w:eastAsia="宋体" w:cs="宋体"/>
          <w:color w:val="auto"/>
          <w:kern w:val="0"/>
          <w:szCs w:val="21"/>
          <w:highlight w:val="none"/>
        </w:rPr>
        <w:t>（https://www.gcy.zfcg.gxzf.gov.cn/），点击右侧咨询小采，获取采小蜜智能服务管家帮助，或拨打政采云服务热线</w:t>
      </w:r>
      <w:r>
        <w:rPr>
          <w:rFonts w:hint="eastAsia" w:ascii="宋体" w:hAnsi="宋体" w:eastAsia="宋体" w:cs="宋体"/>
          <w:color w:val="auto"/>
          <w:kern w:val="0"/>
          <w:szCs w:val="21"/>
          <w:highlight w:val="none"/>
          <w:lang w:val="en-US" w:eastAsia="zh-CN"/>
        </w:rPr>
        <w:t>95763</w:t>
      </w:r>
      <w:r>
        <w:rPr>
          <w:rFonts w:hint="eastAsia" w:ascii="宋体" w:hAnsi="宋体" w:eastAsia="宋体" w:cs="宋体"/>
          <w:color w:val="auto"/>
          <w:kern w:val="0"/>
          <w:szCs w:val="21"/>
          <w:highlight w:val="none"/>
        </w:rPr>
        <w:t xml:space="preserve">获取热线服务帮助。 </w:t>
      </w:r>
    </w:p>
    <w:p w14:paraId="33C97187">
      <w:pPr>
        <w:keepNext w:val="0"/>
        <w:keepLines w:val="0"/>
        <w:pageBreakBefore w:val="0"/>
        <w:kinsoku/>
        <w:wordWrap/>
        <w:overflowPunct/>
        <w:topLinePunct w:val="0"/>
        <w:autoSpaceDE/>
        <w:autoSpaceDN/>
        <w:bidi w:val="0"/>
        <w:adjustRightInd/>
        <w:spacing w:line="440" w:lineRule="exact"/>
        <w:ind w:firstLine="482" w:firstLineChars="200"/>
        <w:textAlignment w:val="auto"/>
        <w:rPr>
          <w:rFonts w:hint="eastAsia" w:ascii="宋体" w:hAnsi="宋体" w:eastAsia="宋体" w:cs="宋体"/>
          <w:bCs/>
          <w:color w:val="auto"/>
          <w:sz w:val="24"/>
          <w:highlight w:val="none"/>
        </w:rPr>
      </w:pPr>
      <w:r>
        <w:rPr>
          <w:rFonts w:hint="eastAsia" w:ascii="宋体" w:hAnsi="宋体" w:eastAsia="宋体" w:cs="宋体"/>
          <w:b/>
          <w:color w:val="auto"/>
          <w:kern w:val="44"/>
          <w:sz w:val="24"/>
          <w:highlight w:val="none"/>
        </w:rPr>
        <w:t>八、凡对本次采购提出询问，请按以下方式联系</w:t>
      </w:r>
    </w:p>
    <w:p w14:paraId="491D587C">
      <w:pPr>
        <w:keepNext w:val="0"/>
        <w:keepLines w:val="0"/>
        <w:pageBreakBefore w:val="0"/>
        <w:kinsoku/>
        <w:wordWrap/>
        <w:overflowPunct/>
        <w:topLinePunct w:val="0"/>
        <w:autoSpaceDE/>
        <w:autoSpaceDN/>
        <w:bidi w:val="0"/>
        <w:adjustRightInd/>
        <w:spacing w:line="440" w:lineRule="exact"/>
        <w:ind w:firstLine="735" w:firstLineChars="350"/>
        <w:jc w:val="left"/>
        <w:textAlignment w:val="auto"/>
        <w:rPr>
          <w:rFonts w:hint="eastAsia" w:ascii="宋体" w:hAnsi="宋体" w:eastAsia="宋体" w:cs="宋体"/>
          <w:color w:val="auto"/>
          <w:szCs w:val="21"/>
          <w:highlight w:val="none"/>
        </w:rPr>
      </w:pPr>
      <w:bookmarkStart w:id="37" w:name="_Toc24059"/>
      <w:bookmarkStart w:id="38" w:name="_Toc20817"/>
      <w:bookmarkStart w:id="39" w:name="_Toc15775"/>
      <w:r>
        <w:rPr>
          <w:rFonts w:hint="eastAsia" w:ascii="宋体" w:hAnsi="宋体" w:eastAsia="宋体" w:cs="宋体"/>
          <w:color w:val="auto"/>
          <w:szCs w:val="21"/>
          <w:highlight w:val="none"/>
        </w:rPr>
        <w:t>1.采购人信息</w:t>
      </w:r>
    </w:p>
    <w:p w14:paraId="169CB516">
      <w:pPr>
        <w:keepNext w:val="0"/>
        <w:keepLines w:val="0"/>
        <w:pageBreakBefore w:val="0"/>
        <w:kinsoku/>
        <w:wordWrap/>
        <w:overflowPunct/>
        <w:topLinePunct w:val="0"/>
        <w:autoSpaceDE/>
        <w:autoSpaceDN/>
        <w:bidi w:val="0"/>
        <w:adjustRightInd/>
        <w:spacing w:line="440" w:lineRule="exact"/>
        <w:ind w:left="1041" w:leftChars="371" w:hanging="262" w:hangingChars="125"/>
        <w:jc w:val="left"/>
        <w:textAlignment w:val="auto"/>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名称</w:t>
      </w:r>
      <w:r>
        <w:rPr>
          <w:rFonts w:hint="eastAsia" w:ascii="宋体" w:hAnsi="宋体" w:cs="宋体"/>
          <w:color w:val="auto"/>
          <w:szCs w:val="21"/>
          <w:highlight w:val="none"/>
          <w:lang w:eastAsia="zh-CN"/>
        </w:rPr>
        <w:t>：隆安县屏山乡人民政府</w:t>
      </w:r>
    </w:p>
    <w:p w14:paraId="5A987086">
      <w:pPr>
        <w:keepNext w:val="0"/>
        <w:keepLines w:val="0"/>
        <w:pageBreakBefore w:val="0"/>
        <w:kinsoku/>
        <w:wordWrap/>
        <w:overflowPunct/>
        <w:topLinePunct w:val="0"/>
        <w:autoSpaceDE/>
        <w:autoSpaceDN/>
        <w:bidi w:val="0"/>
        <w:adjustRightInd/>
        <w:spacing w:line="440" w:lineRule="exact"/>
        <w:ind w:left="1041" w:leftChars="371" w:hanging="262" w:hangingChars="125"/>
        <w:jc w:val="left"/>
        <w:textAlignment w:val="auto"/>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地址：</w:t>
      </w:r>
      <w:r>
        <w:rPr>
          <w:rFonts w:hint="eastAsia" w:ascii="宋体" w:hAnsi="宋体" w:cs="宋体"/>
          <w:color w:val="auto"/>
          <w:szCs w:val="21"/>
          <w:highlight w:val="none"/>
          <w:lang w:eastAsia="zh-CN"/>
        </w:rPr>
        <w:t>南宁市隆安县屏山乡屏山街50号</w:t>
      </w:r>
    </w:p>
    <w:p w14:paraId="6BF92123">
      <w:pPr>
        <w:keepNext w:val="0"/>
        <w:keepLines w:val="0"/>
        <w:pageBreakBefore w:val="0"/>
        <w:kinsoku/>
        <w:wordWrap/>
        <w:overflowPunct/>
        <w:topLinePunct w:val="0"/>
        <w:autoSpaceDE/>
        <w:autoSpaceDN/>
        <w:bidi w:val="0"/>
        <w:adjustRightInd/>
        <w:spacing w:line="440" w:lineRule="exact"/>
        <w:ind w:left="1041" w:leftChars="371" w:hanging="262" w:hangingChars="125"/>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项目联系人：</w:t>
      </w:r>
      <w:r>
        <w:rPr>
          <w:rFonts w:hint="eastAsia" w:ascii="宋体" w:hAnsi="宋体" w:cs="宋体"/>
          <w:color w:val="auto"/>
          <w:highlight w:val="none"/>
          <w:lang w:eastAsia="zh-CN"/>
        </w:rPr>
        <w:t>滕然军</w:t>
      </w:r>
    </w:p>
    <w:p w14:paraId="2F8A1059">
      <w:pPr>
        <w:keepNext w:val="0"/>
        <w:keepLines w:val="0"/>
        <w:pageBreakBefore w:val="0"/>
        <w:kinsoku/>
        <w:wordWrap/>
        <w:overflowPunct/>
        <w:topLinePunct w:val="0"/>
        <w:autoSpaceDE/>
        <w:autoSpaceDN/>
        <w:bidi w:val="0"/>
        <w:adjustRightInd/>
        <w:spacing w:line="440" w:lineRule="exact"/>
        <w:ind w:left="1041" w:leftChars="371" w:hanging="262" w:hangingChars="125"/>
        <w:jc w:val="left"/>
        <w:textAlignment w:val="auto"/>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rPr>
        <w:t>联系电话：</w:t>
      </w:r>
      <w:r>
        <w:rPr>
          <w:rFonts w:hint="eastAsia" w:ascii="宋体" w:hAnsi="宋体" w:cs="宋体"/>
          <w:color w:val="auto"/>
          <w:szCs w:val="21"/>
          <w:highlight w:val="none"/>
          <w:lang w:eastAsia="zh-CN"/>
        </w:rPr>
        <w:t>0771-6650025</w:t>
      </w:r>
    </w:p>
    <w:p w14:paraId="298E8E38">
      <w:pPr>
        <w:keepNext w:val="0"/>
        <w:keepLines w:val="0"/>
        <w:pageBreakBefore w:val="0"/>
        <w:kinsoku/>
        <w:wordWrap/>
        <w:overflowPunct/>
        <w:topLinePunct w:val="0"/>
        <w:autoSpaceDE/>
        <w:autoSpaceDN/>
        <w:bidi w:val="0"/>
        <w:adjustRightInd/>
        <w:spacing w:line="440" w:lineRule="exact"/>
        <w:ind w:left="1041" w:leftChars="371" w:hanging="262" w:hangingChars="125"/>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2.采购代理机构信息</w:t>
      </w:r>
    </w:p>
    <w:p w14:paraId="48CCF257">
      <w:pPr>
        <w:keepNext w:val="0"/>
        <w:keepLines w:val="0"/>
        <w:pageBreakBefore w:val="0"/>
        <w:kinsoku/>
        <w:wordWrap/>
        <w:overflowPunct/>
        <w:topLinePunct w:val="0"/>
        <w:autoSpaceDE/>
        <w:autoSpaceDN/>
        <w:bidi w:val="0"/>
        <w:adjustRightInd/>
        <w:spacing w:line="440" w:lineRule="exact"/>
        <w:ind w:left="1041" w:leftChars="371" w:hanging="262" w:hangingChars="125"/>
        <w:jc w:val="left"/>
        <w:textAlignment w:val="auto"/>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名称：</w:t>
      </w:r>
      <w:r>
        <w:rPr>
          <w:rFonts w:hint="eastAsia" w:ascii="宋体" w:hAnsi="宋体" w:cs="宋体"/>
          <w:color w:val="auto"/>
          <w:szCs w:val="21"/>
          <w:highlight w:val="none"/>
          <w:lang w:eastAsia="zh-CN"/>
        </w:rPr>
        <w:t>广西佳鸿工程技术有限公司</w:t>
      </w:r>
    </w:p>
    <w:p w14:paraId="272FB857">
      <w:pPr>
        <w:keepNext w:val="0"/>
        <w:keepLines w:val="0"/>
        <w:pageBreakBefore w:val="0"/>
        <w:kinsoku/>
        <w:wordWrap/>
        <w:overflowPunct/>
        <w:topLinePunct w:val="0"/>
        <w:autoSpaceDE/>
        <w:autoSpaceDN/>
        <w:bidi w:val="0"/>
        <w:adjustRightInd/>
        <w:spacing w:line="440" w:lineRule="exact"/>
        <w:ind w:left="1457" w:leftChars="370" w:hanging="680" w:hangingChars="324"/>
        <w:jc w:val="left"/>
        <w:textAlignment w:val="auto"/>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地址：</w:t>
      </w:r>
      <w:r>
        <w:rPr>
          <w:rFonts w:hint="eastAsia" w:ascii="宋体" w:hAnsi="宋体" w:cs="宋体"/>
          <w:color w:val="auto"/>
          <w:szCs w:val="21"/>
          <w:highlight w:val="none"/>
          <w:lang w:eastAsia="zh-CN"/>
        </w:rPr>
        <w:t>南宁市隆安县那桐镇侨康路6号06栋整栋</w:t>
      </w:r>
    </w:p>
    <w:p w14:paraId="7CBCA16A">
      <w:pPr>
        <w:keepNext w:val="0"/>
        <w:keepLines w:val="0"/>
        <w:pageBreakBefore w:val="0"/>
        <w:kinsoku/>
        <w:wordWrap/>
        <w:overflowPunct/>
        <w:topLinePunct w:val="0"/>
        <w:autoSpaceDE/>
        <w:autoSpaceDN/>
        <w:bidi w:val="0"/>
        <w:adjustRightInd/>
        <w:spacing w:line="440" w:lineRule="exact"/>
        <w:ind w:left="1041" w:leftChars="371" w:hanging="262" w:hangingChars="125"/>
        <w:jc w:val="left"/>
        <w:textAlignment w:val="auto"/>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联系电话：</w:t>
      </w:r>
      <w:r>
        <w:rPr>
          <w:rFonts w:hint="eastAsia" w:ascii="宋体" w:hAnsi="宋体" w:cs="宋体"/>
          <w:color w:val="auto"/>
          <w:szCs w:val="21"/>
          <w:highlight w:val="none"/>
          <w:lang w:eastAsia="zh-CN"/>
        </w:rPr>
        <w:t>马伏杰、黄春霞</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0771-6509080</w:t>
      </w:r>
    </w:p>
    <w:p w14:paraId="04A34BDD">
      <w:pPr>
        <w:keepNext w:val="0"/>
        <w:keepLines w:val="0"/>
        <w:pageBreakBefore w:val="0"/>
        <w:kinsoku/>
        <w:wordWrap/>
        <w:overflowPunct/>
        <w:topLinePunct w:val="0"/>
        <w:autoSpaceDE/>
        <w:autoSpaceDN/>
        <w:bidi w:val="0"/>
        <w:adjustRightInd/>
        <w:spacing w:line="440" w:lineRule="exact"/>
        <w:ind w:left="1041" w:leftChars="371" w:hanging="262" w:hangingChars="125"/>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3.项目联系方式</w:t>
      </w:r>
    </w:p>
    <w:p w14:paraId="6380CA2C">
      <w:pPr>
        <w:keepNext w:val="0"/>
        <w:keepLines w:val="0"/>
        <w:pageBreakBefore w:val="0"/>
        <w:kinsoku/>
        <w:wordWrap/>
        <w:overflowPunct/>
        <w:topLinePunct w:val="0"/>
        <w:autoSpaceDE/>
        <w:autoSpaceDN/>
        <w:bidi w:val="0"/>
        <w:adjustRightInd/>
        <w:spacing w:line="440" w:lineRule="exact"/>
        <w:ind w:left="1041" w:leftChars="371" w:hanging="262" w:hangingChars="125"/>
        <w:jc w:val="left"/>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项目联系人：</w:t>
      </w:r>
      <w:r>
        <w:rPr>
          <w:rFonts w:hint="eastAsia" w:ascii="宋体" w:hAnsi="宋体" w:cs="宋体"/>
          <w:color w:val="auto"/>
          <w:szCs w:val="21"/>
          <w:highlight w:val="none"/>
          <w:lang w:eastAsia="zh-CN"/>
        </w:rPr>
        <w:t>马伏杰、黄春霞</w:t>
      </w:r>
    </w:p>
    <w:p w14:paraId="4EDCF36C">
      <w:pPr>
        <w:keepNext w:val="0"/>
        <w:keepLines w:val="0"/>
        <w:pageBreakBefore w:val="0"/>
        <w:kinsoku/>
        <w:wordWrap/>
        <w:overflowPunct/>
        <w:topLinePunct w:val="0"/>
        <w:autoSpaceDE/>
        <w:autoSpaceDN/>
        <w:bidi w:val="0"/>
        <w:adjustRightInd/>
        <w:spacing w:line="440" w:lineRule="exact"/>
        <w:ind w:left="1041" w:leftChars="371" w:hanging="262" w:hangingChars="125"/>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电话：</w:t>
      </w:r>
      <w:r>
        <w:rPr>
          <w:rFonts w:hint="eastAsia" w:ascii="宋体" w:hAnsi="宋体" w:cs="宋体"/>
          <w:color w:val="auto"/>
          <w:szCs w:val="21"/>
          <w:highlight w:val="none"/>
          <w:lang w:eastAsia="zh-CN"/>
        </w:rPr>
        <w:t>0771-6509080</w:t>
      </w:r>
    </w:p>
    <w:p w14:paraId="3BD0CECA">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Cs w:val="21"/>
          <w:highlight w:val="none"/>
        </w:rPr>
      </w:pPr>
    </w:p>
    <w:p w14:paraId="6172131A">
      <w:pPr>
        <w:pStyle w:val="10"/>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附件：</w:t>
      </w:r>
    </w:p>
    <w:p w14:paraId="17F63228">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szCs w:val="21"/>
          <w:highlight w:val="none"/>
        </w:rPr>
        <w:t>1.</w:t>
      </w:r>
      <w:r>
        <w:rPr>
          <w:rFonts w:hint="eastAsia" w:ascii="宋体" w:hAnsi="宋体"/>
          <w:color w:val="auto"/>
          <w:szCs w:val="21"/>
          <w:highlight w:val="none"/>
        </w:rPr>
        <w:t>CA证书申请方式及操作指南下载地址（</w:t>
      </w:r>
      <w:r>
        <w:rPr>
          <w:rFonts w:hint="eastAsia" w:ascii="宋体" w:hAnsi="宋体"/>
          <w:color w:val="auto"/>
          <w:szCs w:val="21"/>
          <w:highlight w:val="none"/>
          <w:lang w:eastAsia="zh-CN"/>
        </w:rPr>
        <w:t>登录http</w:t>
      </w:r>
      <w:r>
        <w:rPr>
          <w:rFonts w:hint="eastAsia"/>
          <w:color w:val="auto"/>
          <w:highlight w:val="none"/>
        </w:rPr>
        <w:t>（南宁市财政局官网）</w:t>
      </w:r>
      <w:r>
        <w:rPr>
          <w:rFonts w:hint="eastAsia"/>
          <w:color w:val="auto"/>
          <w:highlight w:val="none"/>
          <w:lang w:eastAsia="zh-CN"/>
        </w:rPr>
        <w:t>－</w:t>
      </w:r>
      <w:r>
        <w:rPr>
          <w:rFonts w:hint="eastAsia"/>
          <w:color w:val="auto"/>
          <w:highlight w:val="none"/>
        </w:rPr>
        <w:t>业务专题</w:t>
      </w:r>
      <w:r>
        <w:rPr>
          <w:rFonts w:hint="eastAsia"/>
          <w:color w:val="auto"/>
          <w:highlight w:val="none"/>
          <w:lang w:eastAsia="zh-CN"/>
        </w:rPr>
        <w:t>－</w:t>
      </w:r>
      <w:r>
        <w:rPr>
          <w:rFonts w:hint="eastAsia"/>
          <w:color w:val="auto"/>
          <w:highlight w:val="none"/>
        </w:rPr>
        <w:t>政府采购监督管理</w:t>
      </w:r>
      <w:r>
        <w:rPr>
          <w:rFonts w:hint="eastAsia"/>
          <w:color w:val="auto"/>
          <w:highlight w:val="none"/>
          <w:lang w:eastAsia="zh-CN"/>
        </w:rPr>
        <w:t>－</w:t>
      </w:r>
      <w:r>
        <w:rPr>
          <w:rFonts w:hint="eastAsia"/>
          <w:color w:val="auto"/>
          <w:highlight w:val="none"/>
        </w:rPr>
        <w:t>资料下载</w:t>
      </w:r>
      <w:r>
        <w:rPr>
          <w:rFonts w:hint="eastAsia"/>
          <w:color w:val="auto"/>
          <w:highlight w:val="none"/>
          <w:lang w:eastAsia="zh-CN"/>
        </w:rPr>
        <w:t>－</w:t>
      </w:r>
      <w:r>
        <w:rPr>
          <w:rFonts w:hint="eastAsia"/>
          <w:color w:val="auto"/>
          <w:highlight w:val="none"/>
        </w:rPr>
        <w:t>“广西政采云西部</w:t>
      </w:r>
      <w:r>
        <w:rPr>
          <w:color w:val="auto"/>
          <w:highlight w:val="none"/>
        </w:rPr>
        <w:t>CA</w:t>
      </w:r>
      <w:r>
        <w:rPr>
          <w:rFonts w:hint="eastAsia"/>
          <w:color w:val="auto"/>
          <w:highlight w:val="none"/>
        </w:rPr>
        <w:t>办理方式”或“南宁市政采云</w:t>
      </w:r>
      <w:r>
        <w:rPr>
          <w:color w:val="auto"/>
          <w:highlight w:val="none"/>
        </w:rPr>
        <w:t>CA</w:t>
      </w:r>
      <w:r>
        <w:rPr>
          <w:rFonts w:hint="eastAsia"/>
          <w:color w:val="auto"/>
          <w:highlight w:val="none"/>
        </w:rPr>
        <w:t>证书办理操作指南”</w:t>
      </w:r>
      <w:r>
        <w:rPr>
          <w:rFonts w:hint="eastAsia" w:ascii="宋体" w:hAnsi="宋体"/>
          <w:color w:val="auto"/>
          <w:szCs w:val="21"/>
          <w:highlight w:val="none"/>
        </w:rPr>
        <w:t>）</w:t>
      </w:r>
    </w:p>
    <w:p w14:paraId="20DDE40C">
      <w:pPr>
        <w:pStyle w:val="10"/>
        <w:keepNext w:val="0"/>
        <w:keepLines w:val="0"/>
        <w:pageBreakBefore w:val="0"/>
        <w:kinsoku/>
        <w:wordWrap/>
        <w:overflowPunct/>
        <w:topLinePunct w:val="0"/>
        <w:autoSpaceDE/>
        <w:autoSpaceDN/>
        <w:bidi w:val="0"/>
        <w:adjustRightInd/>
        <w:spacing w:line="440" w:lineRule="exact"/>
        <w:ind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2.</w:t>
      </w:r>
      <w:r>
        <w:rPr>
          <w:rFonts w:hint="eastAsia" w:ascii="宋体" w:hAnsi="宋体"/>
          <w:color w:val="auto"/>
          <w:szCs w:val="21"/>
          <w:highlight w:val="none"/>
        </w:rPr>
        <w:t>电子投标文件制作与投送教程（在此网址下载：</w:t>
      </w:r>
      <w:r>
        <w:rPr>
          <w:color w:val="auto"/>
          <w:highlight w:val="none"/>
        </w:rPr>
        <w:fldChar w:fldCharType="begin"/>
      </w:r>
      <w:r>
        <w:rPr>
          <w:color w:val="auto"/>
          <w:highlight w:val="none"/>
        </w:rPr>
        <w:instrText xml:space="preserve"> HYPERLINK "http://nncz.nanning.gov.cn/" </w:instrText>
      </w:r>
      <w:r>
        <w:rPr>
          <w:color w:val="auto"/>
          <w:highlight w:val="none"/>
        </w:rPr>
        <w:fldChar w:fldCharType="separate"/>
      </w:r>
      <w:r>
        <w:rPr>
          <w:rStyle w:val="31"/>
          <w:color w:val="auto"/>
          <w:highlight w:val="none"/>
        </w:rPr>
        <w:t>http://nncz.nanning.gov.cn/</w:t>
      </w:r>
      <w:r>
        <w:rPr>
          <w:color w:val="auto"/>
          <w:highlight w:val="none"/>
        </w:rPr>
        <w:fldChar w:fldCharType="end"/>
      </w:r>
      <w:r>
        <w:rPr>
          <w:rFonts w:hint="eastAsia"/>
          <w:color w:val="auto"/>
          <w:highlight w:val="none"/>
        </w:rPr>
        <w:t>（南宁市财政局官网）</w:t>
      </w:r>
      <w:r>
        <w:rPr>
          <w:rFonts w:hint="eastAsia"/>
          <w:color w:val="auto"/>
          <w:highlight w:val="none"/>
          <w:lang w:eastAsia="zh-CN"/>
        </w:rPr>
        <w:t>－</w:t>
      </w:r>
      <w:r>
        <w:rPr>
          <w:rFonts w:hint="eastAsia"/>
          <w:color w:val="auto"/>
          <w:highlight w:val="none"/>
        </w:rPr>
        <w:t>业务专题</w:t>
      </w:r>
      <w:r>
        <w:rPr>
          <w:rFonts w:hint="eastAsia"/>
          <w:color w:val="auto"/>
          <w:highlight w:val="none"/>
          <w:lang w:eastAsia="zh-CN"/>
        </w:rPr>
        <w:t>－</w:t>
      </w:r>
      <w:r>
        <w:rPr>
          <w:rFonts w:hint="eastAsia"/>
          <w:color w:val="auto"/>
          <w:highlight w:val="none"/>
        </w:rPr>
        <w:t>政府采购监督管理</w:t>
      </w:r>
      <w:r>
        <w:rPr>
          <w:rFonts w:hint="eastAsia"/>
          <w:color w:val="auto"/>
          <w:highlight w:val="none"/>
          <w:lang w:eastAsia="zh-CN"/>
        </w:rPr>
        <w:t>－</w:t>
      </w:r>
      <w:r>
        <w:rPr>
          <w:rFonts w:hint="eastAsia"/>
          <w:color w:val="auto"/>
          <w:highlight w:val="none"/>
        </w:rPr>
        <w:t>资料下载</w:t>
      </w:r>
      <w:r>
        <w:rPr>
          <w:rFonts w:hint="eastAsia"/>
          <w:color w:val="auto"/>
          <w:highlight w:val="none"/>
          <w:lang w:eastAsia="zh-CN"/>
        </w:rPr>
        <w:t>－</w:t>
      </w:r>
      <w:r>
        <w:rPr>
          <w:rFonts w:hint="eastAsia"/>
          <w:color w:val="auto"/>
          <w:highlight w:val="none"/>
        </w:rPr>
        <w:t>南宁市政府采购项目全流程电子化交易操作指南</w:t>
      </w:r>
      <w:r>
        <w:rPr>
          <w:rFonts w:hint="eastAsia" w:ascii="宋体" w:hAnsi="宋体"/>
          <w:color w:val="auto"/>
          <w:szCs w:val="21"/>
          <w:highlight w:val="none"/>
        </w:rPr>
        <w:t>）</w:t>
      </w:r>
    </w:p>
    <w:p w14:paraId="29C98499">
      <w:pPr>
        <w:pStyle w:val="10"/>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Cs w:val="21"/>
          <w:highlight w:val="none"/>
          <w:lang w:eastAsia="zh-CN"/>
        </w:rPr>
      </w:pPr>
    </w:p>
    <w:p w14:paraId="038E5AA7">
      <w:pPr>
        <w:pStyle w:val="10"/>
        <w:keepNext w:val="0"/>
        <w:keepLines w:val="0"/>
        <w:pageBreakBefore w:val="0"/>
        <w:kinsoku/>
        <w:wordWrap/>
        <w:overflowPunct/>
        <w:topLinePunct w:val="0"/>
        <w:autoSpaceDE/>
        <w:autoSpaceDN/>
        <w:bidi w:val="0"/>
        <w:adjustRightInd/>
        <w:spacing w:line="440" w:lineRule="exact"/>
        <w:ind w:firstLine="420" w:firstLineChars="200"/>
        <w:jc w:val="righ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u w:val="none"/>
          <w:lang w:eastAsia="zh-CN"/>
        </w:rPr>
        <w:t>广西佳鸿工程技术有限公司</w:t>
      </w:r>
    </w:p>
    <w:p w14:paraId="66D028D7">
      <w:pPr>
        <w:keepNext w:val="0"/>
        <w:keepLines w:val="0"/>
        <w:pageBreakBefore w:val="0"/>
        <w:kinsoku/>
        <w:wordWrap/>
        <w:overflowPunct/>
        <w:topLinePunct w:val="0"/>
        <w:autoSpaceDE/>
        <w:autoSpaceDN/>
        <w:bidi w:val="0"/>
        <w:adjustRightInd/>
        <w:spacing w:line="440" w:lineRule="exact"/>
        <w:ind w:firstLine="420" w:firstLineChars="200"/>
        <w:jc w:val="center"/>
        <w:textAlignment w:val="auto"/>
        <w:rPr>
          <w:rFonts w:hint="default" w:ascii="宋体" w:hAnsi="宋体" w:eastAsia="宋体" w:cs="宋体"/>
          <w:color w:val="auto"/>
          <w:szCs w:val="21"/>
          <w:highlight w:val="none"/>
          <w:lang w:val="en-US" w:eastAsia="zh-CN"/>
        </w:rPr>
        <w:sectPr>
          <w:footerReference r:id="rId9" w:type="default"/>
          <w:pgSz w:w="11910" w:h="16840"/>
          <w:pgMar w:top="1440" w:right="1080" w:bottom="1440" w:left="1080" w:header="720" w:footer="720" w:gutter="0"/>
          <w:pgBorders w:offsetFrom="page">
            <w:top w:val="none" w:sz="0" w:space="0"/>
            <w:left w:val="none" w:sz="0" w:space="0"/>
            <w:bottom w:val="none" w:sz="0" w:space="0"/>
            <w:right w:val="none" w:sz="0" w:space="0"/>
          </w:pgBorders>
          <w:pgNumType w:fmt="decimal" w:start="1"/>
          <w:cols w:space="720" w:num="1"/>
        </w:sectPr>
      </w:pP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lang w:eastAsia="zh-CN"/>
        </w:rPr>
        <w:t>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04</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29日</w:t>
      </w:r>
    </w:p>
    <w:p w14:paraId="27F5B4F1">
      <w:pPr>
        <w:pStyle w:val="2"/>
        <w:spacing w:line="360" w:lineRule="auto"/>
        <w:jc w:val="center"/>
        <w:rPr>
          <w:rFonts w:hint="eastAsia" w:ascii="宋体" w:hAnsi="宋体" w:eastAsia="宋体" w:cs="宋体"/>
          <w:b/>
          <w:bCs/>
          <w:color w:val="auto"/>
          <w:highlight w:val="none"/>
          <w:lang w:val="en-US" w:eastAsia="zh-CN"/>
        </w:rPr>
      </w:pPr>
      <w:bookmarkStart w:id="40" w:name="_Toc10591"/>
      <w:bookmarkStart w:id="41" w:name="_Toc3078"/>
      <w:bookmarkStart w:id="42" w:name="_Toc7539"/>
      <w:bookmarkStart w:id="43" w:name="_Toc5115"/>
      <w:r>
        <w:rPr>
          <w:rFonts w:hint="eastAsia" w:ascii="宋体" w:hAnsi="宋体" w:eastAsia="宋体" w:cs="宋体"/>
          <w:b/>
          <w:bCs/>
          <w:color w:val="auto"/>
          <w:highlight w:val="none"/>
        </w:rPr>
        <w:t xml:space="preserve">第二章 </w:t>
      </w:r>
      <w:r>
        <w:rPr>
          <w:rFonts w:hint="eastAsia" w:ascii="宋体" w:hAnsi="宋体" w:eastAsia="宋体" w:cs="宋体"/>
          <w:b/>
          <w:bCs/>
          <w:color w:val="auto"/>
          <w:highlight w:val="none"/>
          <w:lang w:val="en-US" w:eastAsia="zh-CN"/>
        </w:rPr>
        <w:t>采购需求</w:t>
      </w:r>
      <w:bookmarkEnd w:id="37"/>
      <w:bookmarkEnd w:id="38"/>
      <w:bookmarkEnd w:id="39"/>
      <w:bookmarkEnd w:id="40"/>
      <w:bookmarkEnd w:id="41"/>
      <w:bookmarkEnd w:id="42"/>
      <w:bookmarkEnd w:id="43"/>
    </w:p>
    <w:p w14:paraId="410177A4">
      <w:pPr>
        <w:keepNext w:val="0"/>
        <w:keepLines w:val="0"/>
        <w:pageBreakBefore w:val="0"/>
        <w:kinsoku/>
        <w:wordWrap/>
        <w:overflowPunct/>
        <w:topLinePunct w:val="0"/>
        <w:autoSpaceDE/>
        <w:autoSpaceDN/>
        <w:bidi w:val="0"/>
        <w:adjustRightInd/>
        <w:snapToGrid/>
        <w:spacing w:line="400" w:lineRule="exact"/>
        <w:jc w:val="left"/>
        <w:textAlignment w:val="auto"/>
        <w:rPr>
          <w:rFonts w:ascii="宋体" w:hAnsi="宋体" w:cs="宋体"/>
          <w:color w:val="auto"/>
          <w:szCs w:val="21"/>
          <w:highlight w:val="none"/>
        </w:rPr>
      </w:pPr>
      <w:r>
        <w:rPr>
          <w:rFonts w:hint="eastAsia" w:ascii="宋体" w:hAnsi="宋体" w:cs="宋体"/>
          <w:color w:val="auto"/>
          <w:szCs w:val="21"/>
          <w:highlight w:val="none"/>
        </w:rPr>
        <w:t>说明：</w:t>
      </w:r>
    </w:p>
    <w:p w14:paraId="508FB07D">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ascii="宋体" w:hAnsi="宋体" w:cs="宋体"/>
          <w:color w:val="auto"/>
          <w:szCs w:val="21"/>
          <w:highlight w:val="none"/>
        </w:rPr>
      </w:pPr>
      <w:r>
        <w:rPr>
          <w:rFonts w:hint="eastAsia" w:ascii="宋体" w:hAnsi="宋体"/>
          <w:color w:val="auto"/>
          <w:highlight w:val="none"/>
        </w:rPr>
        <w:t>1. 为落实政府采购政策需满足的要求</w:t>
      </w:r>
    </w:p>
    <w:p w14:paraId="6AC55BEF">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（1）本竞争性磋商采购文件所称中小企业必须符合《政府采购促进中小企业发展管理办法》（财库〔2020〕46号）的规定。</w:t>
      </w:r>
    </w:p>
    <w:p w14:paraId="334E95D4">
      <w:pPr>
        <w:keepNext w:val="0"/>
        <w:keepLines w:val="0"/>
        <w:pageBreakBefore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ascii="宋体" w:hAnsi="宋体" w:cs="宋体"/>
          <w:b/>
          <w:bCs/>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工程</w:t>
      </w:r>
      <w:r>
        <w:rPr>
          <w:rFonts w:hint="eastAsia" w:ascii="宋体" w:hAnsi="宋体" w:cs="宋体"/>
          <w:color w:val="auto"/>
          <w:szCs w:val="21"/>
          <w:highlight w:val="none"/>
        </w:rPr>
        <w:t>项目中包含货物的，根据《财政部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公章），否则响应文件作无效处理。如本项目包含的配套货物属于品目清单内非标注“★”的产品时，应优先采购，具体详见“第四章 评审程序和评定成交的标准”。</w:t>
      </w:r>
    </w:p>
    <w:p w14:paraId="21F30DF2">
      <w:pPr>
        <w:keepNext w:val="0"/>
        <w:keepLines w:val="0"/>
        <w:pageBreakBefore w:val="0"/>
        <w:kinsoku/>
        <w:wordWrap/>
        <w:overflowPunct/>
        <w:topLinePunct w:val="0"/>
        <w:autoSpaceDE/>
        <w:autoSpaceDN/>
        <w:bidi w:val="0"/>
        <w:adjustRightInd/>
        <w:snapToGrid/>
        <w:spacing w:line="400" w:lineRule="exact"/>
        <w:ind w:firstLine="413" w:firstLineChars="196"/>
        <w:textAlignment w:val="auto"/>
        <w:rPr>
          <w:rFonts w:ascii="宋体" w:hAnsi="宋体" w:cs="宋体"/>
          <w:b/>
          <w:bCs/>
          <w:color w:val="auto"/>
          <w:szCs w:val="21"/>
          <w:highlight w:val="none"/>
        </w:rPr>
      </w:pPr>
      <w:r>
        <w:rPr>
          <w:rFonts w:hint="eastAsia" w:ascii="宋体" w:hAnsi="宋体" w:cs="宋体"/>
          <w:b/>
          <w:bCs/>
          <w:color w:val="auto"/>
          <w:szCs w:val="21"/>
          <w:highlight w:val="none"/>
        </w:rPr>
        <w:t>2.“实质性要求”是指采购需求中带“▲”的条款或者不能负偏离的条款或者已经指明不满足按响应文件作无效处理的条款。</w:t>
      </w:r>
      <w:r>
        <w:rPr>
          <w:rFonts w:hint="eastAsia" w:ascii="宋体" w:hAnsi="宋体" w:cs="宋体"/>
          <w:b/>
          <w:color w:val="auto"/>
          <w:szCs w:val="21"/>
          <w:highlight w:val="none"/>
        </w:rPr>
        <w:t>本项目凡标注“▲”的条款或要求不响应或不满足的，其响应文件即作无效竞标处理。</w:t>
      </w:r>
    </w:p>
    <w:p w14:paraId="1CE7D5F5">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color w:val="auto"/>
          <w:highlight w:val="none"/>
        </w:rPr>
      </w:pPr>
      <w:r>
        <w:rPr>
          <w:rFonts w:hint="eastAsia" w:ascii="宋体" w:hAnsi="宋体" w:cs="宋体"/>
          <w:color w:val="auto"/>
          <w:szCs w:val="21"/>
          <w:highlight w:val="none"/>
        </w:rPr>
        <w:t xml:space="preserve">3. </w:t>
      </w:r>
      <w:r>
        <w:rPr>
          <w:rFonts w:hint="eastAsia" w:ascii="宋体" w:hAnsi="宋体"/>
          <w:color w:val="auto"/>
          <w:highlight w:val="none"/>
        </w:rPr>
        <w:t>如投标人投标</w:t>
      </w:r>
      <w:r>
        <w:rPr>
          <w:rFonts w:ascii="宋体" w:hAnsi="宋体"/>
          <w:color w:val="auto"/>
          <w:highlight w:val="none"/>
        </w:rPr>
        <w:t>产品</w:t>
      </w:r>
      <w:r>
        <w:rPr>
          <w:rFonts w:hint="eastAsia" w:ascii="宋体" w:hAnsi="宋体"/>
          <w:color w:val="auto"/>
          <w:highlight w:val="none"/>
        </w:rPr>
        <w:t>存在</w:t>
      </w:r>
      <w:r>
        <w:rPr>
          <w:rFonts w:ascii="宋体" w:hAnsi="宋体"/>
          <w:color w:val="auto"/>
          <w:highlight w:val="none"/>
        </w:rPr>
        <w:t>侵犯</w:t>
      </w:r>
      <w:r>
        <w:rPr>
          <w:rFonts w:hint="eastAsia" w:ascii="宋体" w:hAnsi="宋体"/>
          <w:color w:val="auto"/>
          <w:highlight w:val="none"/>
        </w:rPr>
        <w:t>他人的知识产权或者专利成果行为的，应</w:t>
      </w:r>
      <w:r>
        <w:rPr>
          <w:rFonts w:ascii="宋体" w:hAnsi="宋体"/>
          <w:color w:val="auto"/>
          <w:highlight w:val="none"/>
        </w:rPr>
        <w:t>承担相应法律责任</w:t>
      </w:r>
      <w:r>
        <w:rPr>
          <w:rFonts w:hint="eastAsia" w:ascii="宋体" w:hAnsi="宋体"/>
          <w:color w:val="auto"/>
          <w:highlight w:val="none"/>
        </w:rPr>
        <w:t>。</w:t>
      </w:r>
    </w:p>
    <w:p w14:paraId="2AB8B6C0">
      <w:pPr>
        <w:outlineLvl w:val="9"/>
        <w:rPr>
          <w:rFonts w:hint="eastAsia" w:ascii="宋体" w:hAnsi="宋体"/>
          <w:color w:val="auto"/>
          <w:highlight w:val="none"/>
        </w:rPr>
      </w:pPr>
    </w:p>
    <w:p w14:paraId="214C7024">
      <w:pPr>
        <w:outlineLvl w:val="9"/>
        <w:rPr>
          <w:rFonts w:hint="eastAsia" w:ascii="宋体" w:hAnsi="宋体"/>
          <w:color w:val="auto"/>
          <w:highlight w:val="none"/>
        </w:rPr>
      </w:pPr>
    </w:p>
    <w:p w14:paraId="2621C038">
      <w:pPr>
        <w:outlineLvl w:val="9"/>
        <w:rPr>
          <w:rFonts w:hint="eastAsia" w:ascii="宋体" w:hAnsi="宋体"/>
          <w:color w:val="auto"/>
          <w:highlight w:val="none"/>
        </w:rPr>
      </w:pPr>
    </w:p>
    <w:p w14:paraId="56FD25F9">
      <w:pPr>
        <w:outlineLvl w:val="9"/>
        <w:rPr>
          <w:rFonts w:hint="eastAsia" w:ascii="宋体" w:hAnsi="宋体"/>
          <w:color w:val="auto"/>
          <w:highlight w:val="none"/>
        </w:rPr>
      </w:pPr>
    </w:p>
    <w:p w14:paraId="12178783">
      <w:pPr>
        <w:outlineLvl w:val="9"/>
        <w:rPr>
          <w:rFonts w:hint="eastAsia" w:ascii="宋体" w:hAnsi="宋体"/>
          <w:color w:val="auto"/>
          <w:highlight w:val="none"/>
        </w:rPr>
      </w:pPr>
    </w:p>
    <w:p w14:paraId="52399EE2">
      <w:pPr>
        <w:outlineLvl w:val="9"/>
        <w:rPr>
          <w:rFonts w:hint="eastAsia" w:ascii="宋体" w:hAnsi="宋体"/>
          <w:color w:val="auto"/>
          <w:highlight w:val="none"/>
        </w:rPr>
      </w:pPr>
    </w:p>
    <w:p w14:paraId="05B76DBE">
      <w:pPr>
        <w:outlineLvl w:val="9"/>
        <w:rPr>
          <w:rFonts w:hint="eastAsia" w:ascii="宋体" w:hAnsi="宋体"/>
          <w:color w:val="auto"/>
          <w:highlight w:val="none"/>
        </w:rPr>
      </w:pPr>
    </w:p>
    <w:p w14:paraId="5296EFAA">
      <w:pPr>
        <w:outlineLvl w:val="9"/>
        <w:rPr>
          <w:rFonts w:hint="eastAsia"/>
          <w:color w:val="auto"/>
          <w:highlight w:val="none"/>
        </w:rPr>
      </w:pPr>
    </w:p>
    <w:p w14:paraId="28B6E5D0">
      <w:pPr>
        <w:outlineLvl w:val="9"/>
        <w:rPr>
          <w:rFonts w:hint="eastAsia" w:ascii="宋体" w:hAnsi="宋体"/>
          <w:color w:val="auto"/>
          <w:highlight w:val="none"/>
        </w:rPr>
      </w:pPr>
    </w:p>
    <w:p w14:paraId="3E5232E2">
      <w:pPr>
        <w:outlineLvl w:val="9"/>
        <w:rPr>
          <w:rFonts w:hint="eastAsia" w:ascii="宋体" w:hAnsi="宋体"/>
          <w:color w:val="auto"/>
          <w:highlight w:val="none"/>
        </w:rPr>
      </w:pPr>
    </w:p>
    <w:p w14:paraId="280D4BE6">
      <w:pPr>
        <w:pStyle w:val="33"/>
        <w:rPr>
          <w:rFonts w:hint="eastAsia" w:ascii="宋体" w:hAnsi="宋体"/>
          <w:color w:val="auto"/>
          <w:highlight w:val="none"/>
        </w:rPr>
      </w:pPr>
    </w:p>
    <w:p w14:paraId="204BF880">
      <w:pPr>
        <w:pStyle w:val="33"/>
        <w:rPr>
          <w:rFonts w:hint="eastAsia" w:ascii="宋体" w:hAnsi="宋体"/>
          <w:color w:val="auto"/>
          <w:highlight w:val="none"/>
        </w:rPr>
      </w:pPr>
    </w:p>
    <w:p w14:paraId="5E8FFCD2">
      <w:pPr>
        <w:pStyle w:val="33"/>
        <w:rPr>
          <w:rFonts w:hint="eastAsia" w:ascii="宋体" w:hAnsi="宋体"/>
          <w:color w:val="auto"/>
          <w:highlight w:val="none"/>
        </w:rPr>
      </w:pPr>
    </w:p>
    <w:p w14:paraId="2EEFC841">
      <w:pPr>
        <w:outlineLvl w:val="9"/>
        <w:rPr>
          <w:rFonts w:hint="eastAsia" w:ascii="宋体" w:hAnsi="宋体"/>
          <w:color w:val="auto"/>
          <w:highlight w:val="none"/>
        </w:rPr>
      </w:pPr>
    </w:p>
    <w:p w14:paraId="672DEA6E">
      <w:pPr>
        <w:outlineLvl w:val="9"/>
        <w:rPr>
          <w:rFonts w:hint="eastAsia"/>
          <w:color w:val="auto"/>
          <w:highlight w:val="none"/>
        </w:rPr>
      </w:pPr>
    </w:p>
    <w:p w14:paraId="51A6C52D">
      <w:pPr>
        <w:outlineLvl w:val="9"/>
        <w:rPr>
          <w:rFonts w:hint="eastAsia"/>
          <w:color w:val="auto"/>
          <w:highlight w:val="none"/>
        </w:rPr>
      </w:pPr>
    </w:p>
    <w:p w14:paraId="79464E75">
      <w:pPr>
        <w:outlineLvl w:val="9"/>
        <w:rPr>
          <w:rFonts w:hint="eastAsia" w:ascii="宋体" w:hAnsi="宋体"/>
          <w:color w:val="auto"/>
          <w:highlight w:val="none"/>
        </w:rPr>
      </w:pPr>
    </w:p>
    <w:tbl>
      <w:tblPr>
        <w:tblStyle w:val="27"/>
        <w:tblW w:w="100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545"/>
        <w:gridCol w:w="990"/>
        <w:gridCol w:w="464"/>
        <w:gridCol w:w="436"/>
        <w:gridCol w:w="4500"/>
        <w:gridCol w:w="1380"/>
        <w:gridCol w:w="1163"/>
      </w:tblGrid>
      <w:tr w14:paraId="2779F6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jc w:val="center"/>
        </w:trPr>
        <w:tc>
          <w:tcPr>
            <w:tcW w:w="10023" w:type="dxa"/>
            <w:gridSpan w:val="8"/>
            <w:tcBorders>
              <w:top w:val="single" w:color="auto" w:sz="4" w:space="0"/>
              <w:left w:val="single" w:color="auto" w:sz="4" w:space="0"/>
              <w:right w:val="single" w:color="auto" w:sz="4" w:space="0"/>
            </w:tcBorders>
            <w:noWrap w:val="0"/>
            <w:vAlign w:val="center"/>
          </w:tcPr>
          <w:p w14:paraId="41238B79">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b/>
                <w:color w:val="auto"/>
                <w:sz w:val="32"/>
                <w:szCs w:val="32"/>
                <w:highlight w:val="none"/>
              </w:rPr>
            </w:pPr>
            <w:r>
              <w:rPr>
                <w:rFonts w:hint="eastAsia" w:ascii="宋体" w:hAnsi="宋体" w:cs="Arial"/>
                <w:b/>
                <w:color w:val="auto"/>
                <w:sz w:val="32"/>
                <w:szCs w:val="32"/>
                <w:highlight w:val="none"/>
              </w:rPr>
              <w:t>采购需求一览表</w:t>
            </w:r>
          </w:p>
        </w:tc>
      </w:tr>
      <w:tr w14:paraId="0392EF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vMerge w:val="restart"/>
            <w:tcBorders>
              <w:top w:val="single" w:color="auto" w:sz="4" w:space="0"/>
              <w:left w:val="single" w:color="auto" w:sz="4" w:space="0"/>
              <w:right w:val="single" w:color="auto" w:sz="4" w:space="0"/>
            </w:tcBorders>
            <w:noWrap w:val="0"/>
            <w:vAlign w:val="center"/>
          </w:tcPr>
          <w:p w14:paraId="75B0B305">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采购清单及技术参数</w:t>
            </w:r>
          </w:p>
        </w:tc>
        <w:tc>
          <w:tcPr>
            <w:tcW w:w="54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2047BC5B">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序号</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31A77C2E">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标的的名称</w:t>
            </w:r>
          </w:p>
        </w:tc>
        <w:tc>
          <w:tcPr>
            <w:tcW w:w="464" w:type="dxa"/>
            <w:tcBorders>
              <w:top w:val="single" w:color="auto" w:sz="4" w:space="0"/>
              <w:left w:val="single" w:color="auto" w:sz="4" w:space="0"/>
              <w:bottom w:val="single" w:color="auto" w:sz="4" w:space="0"/>
              <w:right w:val="single" w:color="auto" w:sz="4" w:space="0"/>
            </w:tcBorders>
            <w:noWrap w:val="0"/>
            <w:vAlign w:val="center"/>
          </w:tcPr>
          <w:p w14:paraId="3EB69315">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单位</w:t>
            </w:r>
          </w:p>
        </w:tc>
        <w:tc>
          <w:tcPr>
            <w:tcW w:w="436" w:type="dxa"/>
            <w:tcBorders>
              <w:top w:val="single" w:color="auto" w:sz="4" w:space="0"/>
              <w:left w:val="single" w:color="auto" w:sz="4" w:space="0"/>
              <w:bottom w:val="single" w:color="auto" w:sz="4" w:space="0"/>
              <w:right w:val="single" w:color="auto" w:sz="4" w:space="0"/>
            </w:tcBorders>
            <w:noWrap w:val="0"/>
            <w:vAlign w:val="center"/>
          </w:tcPr>
          <w:p w14:paraId="7DD100F8">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数量</w:t>
            </w:r>
          </w:p>
        </w:tc>
        <w:tc>
          <w:tcPr>
            <w:tcW w:w="4500" w:type="dxa"/>
            <w:tcBorders>
              <w:top w:val="single" w:color="auto" w:sz="4" w:space="0"/>
              <w:left w:val="single" w:color="auto" w:sz="4" w:space="0"/>
              <w:bottom w:val="single" w:color="auto" w:sz="4" w:space="0"/>
              <w:right w:val="single" w:color="auto" w:sz="4" w:space="0"/>
            </w:tcBorders>
            <w:noWrap w:val="0"/>
            <w:vAlign w:val="center"/>
          </w:tcPr>
          <w:p w14:paraId="55CFF14C">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s="宋体"/>
                <w:color w:val="auto"/>
                <w:szCs w:val="21"/>
                <w:highlight w:val="none"/>
              </w:rPr>
            </w:pPr>
            <w:r>
              <w:rPr>
                <w:rFonts w:hint="eastAsia" w:ascii="宋体" w:hAnsi="宋体" w:eastAsia="宋体" w:cs="宋体"/>
                <w:color w:val="auto"/>
                <w:szCs w:val="21"/>
                <w:highlight w:val="none"/>
              </w:rPr>
              <w:t>工程概况及采购范围</w:t>
            </w:r>
          </w:p>
        </w:tc>
        <w:tc>
          <w:tcPr>
            <w:tcW w:w="1380" w:type="dxa"/>
            <w:tcBorders>
              <w:top w:val="single" w:color="auto" w:sz="4" w:space="0"/>
              <w:left w:val="single" w:color="auto" w:sz="4" w:space="0"/>
              <w:bottom w:val="single" w:color="auto" w:sz="4" w:space="0"/>
              <w:right w:val="single" w:color="auto" w:sz="4" w:space="0"/>
            </w:tcBorders>
            <w:noWrap w:val="0"/>
            <w:vAlign w:val="center"/>
          </w:tcPr>
          <w:p w14:paraId="60E56F29">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 w:val="0"/>
                <w:bCs/>
                <w:color w:val="auto"/>
                <w:szCs w:val="21"/>
                <w:highlight w:val="none"/>
              </w:rPr>
            </w:pPr>
            <w:r>
              <w:rPr>
                <w:rFonts w:hint="eastAsia" w:ascii="宋体" w:hAnsi="宋体"/>
                <w:b w:val="0"/>
                <w:bCs/>
                <w:color w:val="auto"/>
                <w:sz w:val="20"/>
                <w:szCs w:val="20"/>
                <w:highlight w:val="none"/>
                <w:lang w:val="en-US" w:eastAsia="zh-CN"/>
              </w:rPr>
              <w:t>预算金额</w:t>
            </w:r>
            <w:r>
              <w:rPr>
                <w:rFonts w:hint="eastAsia" w:ascii="宋体" w:hAnsi="宋体"/>
                <w:b w:val="0"/>
                <w:bCs/>
                <w:color w:val="auto"/>
                <w:sz w:val="20"/>
                <w:szCs w:val="20"/>
                <w:highlight w:val="none"/>
              </w:rPr>
              <w:t>（元）</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49B8F214">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s="宋体"/>
                <w:b w:val="0"/>
                <w:bCs/>
                <w:color w:val="auto"/>
                <w:szCs w:val="21"/>
                <w:highlight w:val="none"/>
              </w:rPr>
            </w:pPr>
            <w:r>
              <w:rPr>
                <w:rFonts w:hint="eastAsia" w:ascii="宋体" w:hAnsi="宋体"/>
                <w:b w:val="0"/>
                <w:bCs/>
                <w:color w:val="auto"/>
                <w:sz w:val="15"/>
                <w:szCs w:val="15"/>
                <w:highlight w:val="none"/>
              </w:rPr>
              <w:t>中小企业划分标准所属行业名称（行业名称及划分见本章附件2）</w:t>
            </w:r>
          </w:p>
        </w:tc>
      </w:tr>
      <w:tr w14:paraId="4267B4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noWrap w:val="0"/>
            <w:vAlign w:val="top"/>
          </w:tcPr>
          <w:p w14:paraId="70329602">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b/>
                <w:bCs/>
                <w:color w:val="auto"/>
                <w:szCs w:val="21"/>
                <w:highlight w:val="none"/>
              </w:rPr>
            </w:pPr>
          </w:p>
        </w:tc>
        <w:tc>
          <w:tcPr>
            <w:tcW w:w="545" w:type="dxa"/>
            <w:tcBorders>
              <w:top w:val="single" w:color="auto" w:sz="4" w:space="0"/>
              <w:left w:val="single" w:color="auto" w:sz="4" w:space="0"/>
              <w:bottom w:val="single" w:color="auto" w:sz="4" w:space="0"/>
              <w:right w:val="single" w:color="auto" w:sz="4" w:space="0"/>
            </w:tcBorders>
            <w:noWrap w:val="0"/>
            <w:vAlign w:val="center"/>
          </w:tcPr>
          <w:p w14:paraId="397C6353">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olor w:val="auto"/>
                <w:szCs w:val="21"/>
                <w:highlight w:val="none"/>
              </w:rPr>
            </w:pPr>
            <w:r>
              <w:rPr>
                <w:rFonts w:hint="eastAsia" w:ascii="宋体" w:hAnsi="宋体"/>
                <w:color w:val="auto"/>
                <w:szCs w:val="21"/>
                <w:highlight w:val="none"/>
              </w:rPr>
              <w:t>1</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41CFB3B6">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 xml:space="preserve">隆安县屏山乡刘家村刘家屯农田水利设施项目 </w:t>
            </w:r>
          </w:p>
        </w:tc>
        <w:tc>
          <w:tcPr>
            <w:tcW w:w="464" w:type="dxa"/>
            <w:tcBorders>
              <w:top w:val="single" w:color="auto" w:sz="4" w:space="0"/>
              <w:left w:val="single" w:color="auto" w:sz="4" w:space="0"/>
              <w:bottom w:val="single" w:color="auto" w:sz="4" w:space="0"/>
              <w:right w:val="single" w:color="auto" w:sz="4" w:space="0"/>
            </w:tcBorders>
            <w:noWrap w:val="0"/>
            <w:vAlign w:val="center"/>
          </w:tcPr>
          <w:p w14:paraId="64495D32">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b w:val="0"/>
                <w:bCs w:val="0"/>
                <w:color w:val="auto"/>
                <w:szCs w:val="21"/>
                <w:highlight w:val="none"/>
              </w:rPr>
            </w:pPr>
            <w:r>
              <w:rPr>
                <w:rFonts w:hint="eastAsia" w:ascii="宋体" w:hAnsi="宋体"/>
                <w:b w:val="0"/>
                <w:bCs w:val="0"/>
                <w:color w:val="auto"/>
                <w:szCs w:val="21"/>
                <w:highlight w:val="none"/>
              </w:rPr>
              <w:t>项</w:t>
            </w:r>
          </w:p>
        </w:tc>
        <w:tc>
          <w:tcPr>
            <w:tcW w:w="436" w:type="dxa"/>
            <w:tcBorders>
              <w:top w:val="single" w:color="auto" w:sz="4" w:space="0"/>
              <w:left w:val="single" w:color="auto" w:sz="4" w:space="0"/>
              <w:bottom w:val="single" w:color="auto" w:sz="4" w:space="0"/>
              <w:right w:val="single" w:color="auto" w:sz="4" w:space="0"/>
            </w:tcBorders>
            <w:noWrap w:val="0"/>
            <w:vAlign w:val="center"/>
          </w:tcPr>
          <w:p w14:paraId="0A4D883E">
            <w:pPr>
              <w:spacing w:line="480" w:lineRule="exac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1</w:t>
            </w:r>
          </w:p>
        </w:tc>
        <w:tc>
          <w:tcPr>
            <w:tcW w:w="4500" w:type="dxa"/>
            <w:tcBorders>
              <w:top w:val="single" w:color="auto" w:sz="4" w:space="0"/>
              <w:left w:val="single" w:color="auto" w:sz="4" w:space="0"/>
              <w:bottom w:val="single" w:color="auto" w:sz="4" w:space="0"/>
              <w:right w:val="single" w:color="auto" w:sz="4" w:space="0"/>
            </w:tcBorders>
            <w:noWrap w:val="0"/>
            <w:vAlign w:val="center"/>
          </w:tcPr>
          <w:p w14:paraId="7CE6CB8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highlight w:val="none"/>
              </w:rPr>
            </w:pPr>
            <w:r>
              <w:rPr>
                <w:rFonts w:hint="eastAsia" w:ascii="宋体" w:hAnsi="宋体" w:eastAsia="宋体" w:cs="宋体"/>
                <w:b/>
                <w:bCs/>
                <w:color w:val="auto"/>
                <w:szCs w:val="21"/>
                <w:highlight w:val="none"/>
              </w:rPr>
              <w:t>1.</w:t>
            </w:r>
            <w:r>
              <w:rPr>
                <w:rFonts w:hint="eastAsia"/>
                <w:b/>
                <w:bCs/>
                <w:color w:val="auto"/>
                <w:highlight w:val="none"/>
              </w:rPr>
              <w:t>工程概况</w:t>
            </w:r>
            <w:r>
              <w:rPr>
                <w:rFonts w:hint="eastAsia"/>
                <w:b/>
                <w:bCs/>
                <w:color w:val="auto"/>
                <w:highlight w:val="none"/>
                <w:lang w:eastAsia="zh-CN"/>
              </w:rPr>
              <w:t>及</w:t>
            </w:r>
            <w:r>
              <w:rPr>
                <w:rFonts w:hint="eastAsia" w:ascii="宋体" w:hAnsi="宋体" w:eastAsia="宋体" w:cs="宋体"/>
                <w:b/>
                <w:bCs/>
                <w:color w:val="auto"/>
                <w:szCs w:val="21"/>
                <w:highlight w:val="none"/>
                <w:lang w:val="en-US" w:eastAsia="zh-CN"/>
              </w:rPr>
              <w:t>采购</w:t>
            </w:r>
            <w:r>
              <w:rPr>
                <w:rFonts w:hint="eastAsia" w:ascii="宋体" w:hAnsi="宋体" w:eastAsia="宋体" w:cs="宋体"/>
                <w:b/>
                <w:bCs/>
                <w:color w:val="auto"/>
                <w:szCs w:val="21"/>
                <w:highlight w:val="none"/>
              </w:rPr>
              <w:t>范围</w:t>
            </w:r>
            <w:r>
              <w:rPr>
                <w:rFonts w:hint="eastAsia"/>
                <w:b/>
                <w:bCs/>
                <w:color w:val="auto"/>
                <w:highlight w:val="none"/>
              </w:rPr>
              <w:t>：</w:t>
            </w:r>
            <w:r>
              <w:rPr>
                <w:rFonts w:hint="eastAsia" w:ascii="宋体" w:hAnsi="宋体" w:eastAsia="宋体" w:cs="宋体"/>
                <w:b w:val="0"/>
                <w:bCs w:val="0"/>
                <w:color w:val="auto"/>
                <w:highlight w:val="none"/>
                <w:lang w:val="en-US" w:eastAsia="zh-CN"/>
              </w:rPr>
              <w:t xml:space="preserve"> </w:t>
            </w:r>
            <w:r>
              <w:rPr>
                <w:rFonts w:hint="eastAsia" w:ascii="宋体" w:hAnsi="宋体" w:cs="宋体"/>
                <w:b w:val="0"/>
                <w:bCs w:val="0"/>
                <w:color w:val="auto"/>
                <w:highlight w:val="none"/>
                <w:lang w:val="en-US" w:eastAsia="zh-CN"/>
              </w:rPr>
              <w:t>本项目地点位于隆安县屏山乡刘家村刘家屯。建设内容：1.刘家村2条排灌渠道砼衬砌改造其中01渠L=221m，02渠L=575m；2.渠道配套附属设施，主要有排灌缺口26个、机械通行盖板2座、项目标志碑1座等。具体内容详见施工图纸及工程量清单所包含的内容。</w:t>
            </w:r>
          </w:p>
          <w:p w14:paraId="721475D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cs="宋体"/>
                <w:b/>
                <w:bCs/>
                <w:color w:val="auto"/>
                <w:szCs w:val="21"/>
                <w:highlight w:val="none"/>
                <w:lang w:val="en-US" w:eastAsia="zh-CN"/>
              </w:rPr>
              <w:t>2.</w:t>
            </w:r>
            <w:r>
              <w:rPr>
                <w:rFonts w:hint="eastAsia" w:ascii="宋体" w:hAnsi="宋体" w:eastAsia="宋体" w:cs="宋体"/>
                <w:b/>
                <w:bCs/>
                <w:color w:val="auto"/>
                <w:szCs w:val="21"/>
                <w:highlight w:val="none"/>
              </w:rPr>
              <w:t>建设地点：</w:t>
            </w:r>
            <w:r>
              <w:rPr>
                <w:rFonts w:hint="eastAsia" w:ascii="宋体" w:hAnsi="宋体"/>
                <w:color w:val="auto"/>
                <w:szCs w:val="21"/>
                <w:highlight w:val="none"/>
                <w:lang w:eastAsia="zh-CN"/>
              </w:rPr>
              <w:t>隆安县境内</w:t>
            </w:r>
            <w:r>
              <w:rPr>
                <w:rFonts w:hint="eastAsia" w:ascii="宋体" w:hAnsi="宋体" w:eastAsia="宋体" w:cs="宋体"/>
                <w:color w:val="auto"/>
                <w:szCs w:val="21"/>
                <w:highlight w:val="none"/>
                <w:lang w:val="en-US" w:eastAsia="zh-CN"/>
              </w:rPr>
              <w:t>。</w:t>
            </w:r>
          </w:p>
          <w:p w14:paraId="29F62F3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b/>
                <w:bCs/>
                <w:color w:val="auto"/>
                <w:szCs w:val="21"/>
                <w:highlight w:val="none"/>
                <w:lang w:eastAsia="zh-CN"/>
              </w:rPr>
            </w:pPr>
            <w:r>
              <w:rPr>
                <w:rFonts w:hint="eastAsia" w:ascii="宋体" w:hAnsi="宋体" w:eastAsia="宋体" w:cs="宋体"/>
                <w:b/>
                <w:bCs/>
                <w:color w:val="auto"/>
                <w:szCs w:val="21"/>
                <w:highlight w:val="none"/>
              </w:rPr>
              <w:t>3</w:t>
            </w:r>
            <w:r>
              <w:rPr>
                <w:rFonts w:hint="eastAsia" w:ascii="宋体" w:hAnsi="宋体" w:cs="宋体"/>
                <w:b/>
                <w:bCs/>
                <w:color w:val="auto"/>
                <w:szCs w:val="21"/>
                <w:highlight w:val="none"/>
                <w:lang w:eastAsia="zh-CN"/>
              </w:rPr>
              <w:t>.工程建设地点的现场条件：</w:t>
            </w:r>
          </w:p>
          <w:p w14:paraId="07188A1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（1）现场自然条件：满足施工要求。</w:t>
            </w:r>
          </w:p>
          <w:p w14:paraId="1B4582A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（2）现场施工条件：符合施工要求。</w:t>
            </w:r>
          </w:p>
          <w:p w14:paraId="35745E0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Times New Roman"/>
                <w:b/>
                <w:bCs/>
                <w:color w:val="auto"/>
                <w:kern w:val="0"/>
                <w:szCs w:val="21"/>
                <w:highlight w:val="none"/>
              </w:rPr>
            </w:pPr>
            <w:r>
              <w:rPr>
                <w:rFonts w:hint="eastAsia" w:ascii="宋体" w:hAnsi="宋体" w:eastAsia="宋体" w:cs="Times New Roman"/>
                <w:color w:val="auto"/>
                <w:szCs w:val="21"/>
                <w:highlight w:val="none"/>
              </w:rPr>
              <w:t>▲</w:t>
            </w:r>
            <w:r>
              <w:rPr>
                <w:rFonts w:hint="eastAsia" w:ascii="宋体" w:hAnsi="宋体" w:cs="宋体"/>
                <w:b/>
                <w:bCs/>
                <w:color w:val="auto"/>
                <w:szCs w:val="21"/>
                <w:highlight w:val="none"/>
                <w:lang w:val="en-US" w:eastAsia="zh-CN"/>
              </w:rPr>
              <w:t>4</w:t>
            </w:r>
            <w:r>
              <w:rPr>
                <w:rFonts w:hint="eastAsia" w:ascii="宋体" w:hAnsi="宋体" w:eastAsia="宋体" w:cs="宋体"/>
                <w:b/>
                <w:bCs/>
                <w:color w:val="auto"/>
                <w:szCs w:val="21"/>
                <w:highlight w:val="none"/>
                <w:lang w:val="en-US" w:eastAsia="zh-CN"/>
              </w:rPr>
              <w:t>.</w:t>
            </w:r>
            <w:r>
              <w:rPr>
                <w:rFonts w:hint="eastAsia" w:ascii="宋体" w:hAnsi="宋体" w:eastAsia="宋体" w:cs="Times New Roman"/>
                <w:b/>
                <w:bCs/>
                <w:color w:val="auto"/>
                <w:kern w:val="0"/>
                <w:szCs w:val="21"/>
                <w:highlight w:val="none"/>
              </w:rPr>
              <w:t>人员最低配备要求</w:t>
            </w:r>
          </w:p>
          <w:p w14:paraId="0DE93BD7">
            <w:pPr>
              <w:keepNext w:val="0"/>
              <w:keepLines w:val="0"/>
              <w:pageBreakBefore w:val="0"/>
              <w:widowControl/>
              <w:kinsoku/>
              <w:wordWrap/>
              <w:overflowPunct/>
              <w:topLinePunct w:val="0"/>
              <w:autoSpaceDE/>
              <w:autoSpaceDN/>
              <w:bidi w:val="0"/>
              <w:adjustRightInd/>
              <w:snapToGrid/>
              <w:spacing w:line="312" w:lineRule="auto"/>
              <w:ind w:firstLine="420" w:firstLineChars="200"/>
              <w:textAlignment w:val="auto"/>
              <w:rPr>
                <w:rFonts w:hint="eastAsia"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拟投入本工程的人员必须是本单位的在岗人员，并持有相应的执业资格证书，对相关人员的具体条件要求如下：</w:t>
            </w:r>
          </w:p>
          <w:p w14:paraId="6CF6180B">
            <w:pPr>
              <w:keepNext w:val="0"/>
              <w:keepLines w:val="0"/>
              <w:pageBreakBefore w:val="0"/>
              <w:widowControl/>
              <w:kinsoku/>
              <w:wordWrap/>
              <w:overflowPunct/>
              <w:topLinePunct w:val="0"/>
              <w:autoSpaceDE/>
              <w:autoSpaceDN/>
              <w:bidi w:val="0"/>
              <w:adjustRightInd/>
              <w:snapToGrid/>
              <w:spacing w:line="312" w:lineRule="auto"/>
              <w:ind w:firstLine="420" w:firstLineChars="200"/>
              <w:textAlignment w:val="auto"/>
              <w:rPr>
                <w:rFonts w:hint="eastAsia"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（1）项目经理：持有贰级或贰级以上建造师注册证书，专业是水利水电工程专业（以建造师注册证书中“专业类别”栏所填写的专业为准）；持有省级或省级以上水行政主管部门或其授权部门（机构）颁发的 B 类安全生产考核合格证书。项目经理不得在任何在建工程中担任任何管理职务。</w:t>
            </w:r>
          </w:p>
          <w:p w14:paraId="6375F9CB">
            <w:pPr>
              <w:keepNext w:val="0"/>
              <w:keepLines w:val="0"/>
              <w:pageBreakBefore w:val="0"/>
              <w:widowControl/>
              <w:kinsoku/>
              <w:wordWrap/>
              <w:overflowPunct/>
              <w:topLinePunct w:val="0"/>
              <w:autoSpaceDE/>
              <w:autoSpaceDN/>
              <w:bidi w:val="0"/>
              <w:adjustRightInd/>
              <w:snapToGrid/>
              <w:spacing w:line="312" w:lineRule="auto"/>
              <w:ind w:firstLine="420" w:firstLineChars="200"/>
              <w:textAlignment w:val="auto"/>
              <w:rPr>
                <w:rFonts w:hint="eastAsia"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（2）技术负责人：持有中级及以上技术职称，专业是水利水电工程类专业（专业以技术职称证书所填写专业为准）。</w:t>
            </w:r>
          </w:p>
          <w:p w14:paraId="298BD237">
            <w:pPr>
              <w:keepNext w:val="0"/>
              <w:keepLines w:val="0"/>
              <w:pageBreakBefore w:val="0"/>
              <w:widowControl/>
              <w:kinsoku/>
              <w:wordWrap/>
              <w:overflowPunct/>
              <w:topLinePunct w:val="0"/>
              <w:autoSpaceDE/>
              <w:autoSpaceDN/>
              <w:bidi w:val="0"/>
              <w:adjustRightInd/>
              <w:snapToGrid/>
              <w:spacing w:line="312" w:lineRule="auto"/>
              <w:ind w:firstLine="420" w:firstLineChars="200"/>
              <w:textAlignment w:val="auto"/>
              <w:rPr>
                <w:rFonts w:hint="eastAsia"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（3）质量管理员：持有省级或省级以上水行政主管部门或其授权部门（机构）颁发的质量检查员证书。</w:t>
            </w:r>
          </w:p>
          <w:p w14:paraId="6BF24836">
            <w:pPr>
              <w:keepNext w:val="0"/>
              <w:keepLines w:val="0"/>
              <w:pageBreakBefore w:val="0"/>
              <w:widowControl/>
              <w:kinsoku/>
              <w:wordWrap/>
              <w:overflowPunct/>
              <w:topLinePunct w:val="0"/>
              <w:autoSpaceDE/>
              <w:autoSpaceDN/>
              <w:bidi w:val="0"/>
              <w:adjustRightInd/>
              <w:snapToGrid/>
              <w:spacing w:line="312" w:lineRule="auto"/>
              <w:ind w:firstLine="420" w:firstLineChars="200"/>
              <w:textAlignment w:val="auto"/>
              <w:rPr>
                <w:rFonts w:hint="eastAsia"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（4）安全管理员：持有省级或省级以上水行政主管部门或其授权部门（机构）颁发的 c 类安全生产考核合格证书。</w:t>
            </w:r>
          </w:p>
          <w:p w14:paraId="13F53171">
            <w:pPr>
              <w:keepNext w:val="0"/>
              <w:keepLines w:val="0"/>
              <w:pageBreakBefore w:val="0"/>
              <w:widowControl/>
              <w:kinsoku/>
              <w:wordWrap/>
              <w:overflowPunct/>
              <w:topLinePunct w:val="0"/>
              <w:autoSpaceDE/>
              <w:autoSpaceDN/>
              <w:bidi w:val="0"/>
              <w:adjustRightInd/>
              <w:snapToGrid/>
              <w:spacing w:line="312" w:lineRule="auto"/>
              <w:ind w:firstLine="420" w:firstLineChars="200"/>
              <w:textAlignment w:val="auto"/>
              <w:rPr>
                <w:rFonts w:hint="eastAsia"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（5）施工员：须持有工程施工员岗位证书。</w:t>
            </w:r>
          </w:p>
          <w:p w14:paraId="55CDF6A0">
            <w:pPr>
              <w:keepNext w:val="0"/>
              <w:keepLines w:val="0"/>
              <w:pageBreakBefore w:val="0"/>
              <w:widowControl/>
              <w:kinsoku/>
              <w:wordWrap/>
              <w:overflowPunct/>
              <w:topLinePunct w:val="0"/>
              <w:autoSpaceDE/>
              <w:autoSpaceDN/>
              <w:bidi w:val="0"/>
              <w:adjustRightInd/>
              <w:snapToGrid/>
              <w:spacing w:line="312" w:lineRule="auto"/>
              <w:ind w:firstLine="420" w:firstLineChars="200"/>
              <w:textAlignment w:val="auto"/>
              <w:rPr>
                <w:rFonts w:hint="eastAsia"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（6）材料员：须持有工程材料员岗位证书。</w:t>
            </w:r>
          </w:p>
          <w:p w14:paraId="24D5DC22">
            <w:pPr>
              <w:keepNext w:val="0"/>
              <w:keepLines w:val="0"/>
              <w:pageBreakBefore w:val="0"/>
              <w:widowControl/>
              <w:kinsoku/>
              <w:wordWrap/>
              <w:overflowPunct/>
              <w:topLinePunct w:val="0"/>
              <w:autoSpaceDE/>
              <w:autoSpaceDN/>
              <w:bidi w:val="0"/>
              <w:adjustRightInd/>
              <w:snapToGrid/>
              <w:spacing w:line="312" w:lineRule="auto"/>
              <w:ind w:firstLine="420" w:firstLineChars="200"/>
              <w:textAlignment w:val="auto"/>
              <w:rPr>
                <w:rFonts w:hint="eastAsia" w:ascii="宋体" w:hAnsi="宋体" w:cs="宋体"/>
                <w:b w:val="0"/>
                <w:bCs w:val="0"/>
                <w:color w:val="auto"/>
                <w:szCs w:val="21"/>
                <w:highlight w:val="none"/>
                <w:lang w:eastAsia="zh-CN"/>
              </w:rPr>
            </w:pPr>
            <w:r>
              <w:rPr>
                <w:rFonts w:hint="eastAsia" w:ascii="宋体" w:hAnsi="宋体"/>
                <w:color w:val="auto"/>
                <w:kern w:val="0"/>
                <w:szCs w:val="21"/>
                <w:highlight w:val="none"/>
                <w:lang w:val="en-US" w:eastAsia="zh-CN"/>
              </w:rPr>
              <w:t>上述（1）~（6）项人员应附相关证书的复印件，并提供上述人员[2025年11月至2026年04月]期间连续三个月依法缴纳社会保障资金的缴费凭证复印件。</w:t>
            </w:r>
          </w:p>
        </w:tc>
        <w:tc>
          <w:tcPr>
            <w:tcW w:w="1380" w:type="dxa"/>
            <w:tcBorders>
              <w:top w:val="single" w:color="auto" w:sz="4" w:space="0"/>
              <w:left w:val="single" w:color="auto" w:sz="4" w:space="0"/>
              <w:bottom w:val="single" w:color="auto" w:sz="4" w:space="0"/>
              <w:right w:val="single" w:color="auto" w:sz="4" w:space="0"/>
            </w:tcBorders>
            <w:noWrap w:val="0"/>
            <w:vAlign w:val="center"/>
          </w:tcPr>
          <w:p w14:paraId="272C163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olor w:val="auto"/>
                <w:kern w:val="0"/>
                <w:szCs w:val="21"/>
                <w:highlight w:val="none"/>
                <w:lang w:eastAsia="zh-CN"/>
              </w:rPr>
            </w:pPr>
            <w:r>
              <w:rPr>
                <w:rFonts w:hint="eastAsia" w:ascii="宋体" w:hAnsi="宋体"/>
                <w:color w:val="auto"/>
                <w:kern w:val="0"/>
                <w:szCs w:val="21"/>
                <w:highlight w:val="none"/>
                <w:lang w:eastAsia="zh-CN"/>
              </w:rPr>
              <w:t>773563.00</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5D96AA9B">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olor w:val="auto"/>
                <w:szCs w:val="21"/>
                <w:highlight w:val="none"/>
              </w:rPr>
            </w:pPr>
            <w:r>
              <w:rPr>
                <w:rFonts w:hint="eastAsia" w:ascii="宋体" w:hAnsi="宋体"/>
                <w:color w:val="auto"/>
                <w:szCs w:val="21"/>
                <w:highlight w:val="none"/>
              </w:rPr>
              <w:t>建筑业</w:t>
            </w:r>
          </w:p>
        </w:tc>
      </w:tr>
      <w:tr w14:paraId="24D4AF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1"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top"/>
          </w:tcPr>
          <w:p w14:paraId="6C023D95">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olor w:val="auto"/>
                <w:szCs w:val="21"/>
                <w:highlight w:val="none"/>
              </w:rPr>
            </w:pPr>
            <w:r>
              <w:rPr>
                <w:rFonts w:hint="eastAsia" w:ascii="宋体" w:hAnsi="宋体"/>
                <w:color w:val="auto"/>
                <w:szCs w:val="21"/>
                <w:highlight w:val="none"/>
              </w:rPr>
              <w:t>商务条款</w:t>
            </w:r>
          </w:p>
        </w:tc>
        <w:tc>
          <w:tcPr>
            <w:tcW w:w="9478" w:type="dxa"/>
            <w:gridSpan w:val="7"/>
            <w:tcBorders>
              <w:top w:val="single" w:color="auto" w:sz="4" w:space="0"/>
              <w:left w:val="single" w:color="auto" w:sz="4" w:space="0"/>
              <w:bottom w:val="single" w:color="auto" w:sz="4" w:space="0"/>
              <w:right w:val="single" w:color="auto" w:sz="4" w:space="0"/>
            </w:tcBorders>
            <w:noWrap w:val="0"/>
            <w:vAlign w:val="top"/>
          </w:tcPr>
          <w:p w14:paraId="0164DB41">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▲一、合同签订期：自成交通知书发出之日起25日内</w:t>
            </w:r>
            <w:r>
              <w:rPr>
                <w:rFonts w:hint="eastAsia" w:ascii="宋体" w:hAnsi="宋体" w:cs="Times New Roman"/>
                <w:color w:val="auto"/>
                <w:szCs w:val="21"/>
                <w:highlight w:val="none"/>
                <w:lang w:val="en-US" w:eastAsia="zh-CN"/>
              </w:rPr>
              <w:t>。</w:t>
            </w:r>
          </w:p>
          <w:p w14:paraId="23585F51">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▲二、</w:t>
            </w:r>
            <w:r>
              <w:rPr>
                <w:rFonts w:hint="eastAsia" w:ascii="宋体" w:hAnsi="宋体" w:eastAsia="宋体" w:cs="宋体"/>
                <w:color w:val="auto"/>
                <w:szCs w:val="21"/>
                <w:highlight w:val="none"/>
              </w:rPr>
              <w:t>合同履行期限</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工期</w:t>
            </w:r>
            <w:r>
              <w:rPr>
                <w:rFonts w:hint="eastAsia" w:ascii="宋体" w:hAnsi="宋体" w:eastAsia="宋体" w:cs="宋体"/>
                <w:color w:val="auto"/>
                <w:szCs w:val="21"/>
                <w:highlight w:val="none"/>
                <w:lang w:eastAsia="zh-CN"/>
              </w:rPr>
              <w:t>）</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120日历天。</w:t>
            </w:r>
          </w:p>
          <w:p w14:paraId="0B7576CE">
            <w:pPr>
              <w:spacing w:line="360" w:lineRule="auto"/>
              <w:rPr>
                <w:rFonts w:hint="eastAsia" w:ascii="宋体" w:hAnsi="宋体"/>
                <w:color w:val="auto"/>
                <w:szCs w:val="21"/>
                <w:highlight w:val="none"/>
              </w:rPr>
            </w:pPr>
            <w:r>
              <w:rPr>
                <w:rFonts w:hint="eastAsia" w:ascii="宋体" w:hAnsi="宋体" w:eastAsia="宋体" w:cs="Times New Roman"/>
                <w:color w:val="auto"/>
                <w:szCs w:val="21"/>
                <w:highlight w:val="none"/>
              </w:rPr>
              <w:t>▲</w:t>
            </w:r>
            <w:r>
              <w:rPr>
                <w:rFonts w:hint="eastAsia" w:ascii="宋体" w:hAnsi="宋体"/>
                <w:color w:val="auto"/>
                <w:szCs w:val="21"/>
                <w:highlight w:val="none"/>
                <w:lang w:eastAsia="zh-CN"/>
              </w:rPr>
              <w:t>三</w:t>
            </w:r>
            <w:r>
              <w:rPr>
                <w:rFonts w:hint="eastAsia" w:ascii="宋体" w:hAnsi="宋体"/>
                <w:color w:val="auto"/>
                <w:szCs w:val="21"/>
                <w:highlight w:val="none"/>
              </w:rPr>
              <w:t>、开工时间：具体以采购人（监理）开工令为准。</w:t>
            </w:r>
          </w:p>
          <w:p w14:paraId="27147FF5">
            <w:pPr>
              <w:spacing w:line="360" w:lineRule="auto"/>
              <w:rPr>
                <w:rFonts w:hint="eastAsia" w:ascii="宋体" w:hAnsi="宋体"/>
                <w:color w:val="auto"/>
                <w:szCs w:val="21"/>
                <w:highlight w:val="none"/>
              </w:rPr>
            </w:pPr>
            <w:r>
              <w:rPr>
                <w:rFonts w:hint="eastAsia" w:ascii="宋体" w:hAnsi="宋体" w:eastAsia="宋体" w:cs="Times New Roman"/>
                <w:color w:val="auto"/>
                <w:szCs w:val="21"/>
                <w:highlight w:val="none"/>
              </w:rPr>
              <w:t>▲</w:t>
            </w:r>
            <w:r>
              <w:rPr>
                <w:rFonts w:hint="eastAsia" w:ascii="宋体" w:hAnsi="宋体"/>
                <w:color w:val="auto"/>
                <w:szCs w:val="21"/>
                <w:highlight w:val="none"/>
                <w:lang w:eastAsia="zh-CN"/>
              </w:rPr>
              <w:t>四</w:t>
            </w:r>
            <w:r>
              <w:rPr>
                <w:rFonts w:hint="eastAsia" w:ascii="宋体" w:hAnsi="宋体"/>
                <w:color w:val="auto"/>
                <w:szCs w:val="21"/>
                <w:highlight w:val="none"/>
              </w:rPr>
              <w:t>、工程质量要求：达到国家施工验收规范合格标准。</w:t>
            </w:r>
          </w:p>
          <w:p w14:paraId="4730FA6A">
            <w:pPr>
              <w:spacing w:line="360" w:lineRule="auto"/>
              <w:rPr>
                <w:rFonts w:hint="eastAsia" w:ascii="宋体" w:hAnsi="宋体"/>
                <w:color w:val="auto"/>
                <w:highlight w:val="none"/>
              </w:rPr>
            </w:pPr>
            <w:r>
              <w:rPr>
                <w:rFonts w:hint="eastAsia" w:ascii="宋体" w:hAnsi="宋体" w:eastAsia="宋体" w:cs="Times New Roman"/>
                <w:color w:val="auto"/>
                <w:szCs w:val="21"/>
                <w:highlight w:val="none"/>
              </w:rPr>
              <w:t>▲</w:t>
            </w:r>
            <w:r>
              <w:rPr>
                <w:rFonts w:hint="eastAsia" w:ascii="宋体" w:hAnsi="宋体"/>
                <w:color w:val="auto"/>
                <w:highlight w:val="none"/>
                <w:lang w:eastAsia="zh-CN"/>
              </w:rPr>
              <w:t>五</w:t>
            </w:r>
            <w:r>
              <w:rPr>
                <w:rFonts w:hint="eastAsia" w:ascii="宋体" w:hAnsi="宋体"/>
                <w:color w:val="auto"/>
                <w:highlight w:val="none"/>
              </w:rPr>
              <w:t>、售后服务</w:t>
            </w:r>
            <w:r>
              <w:rPr>
                <w:rFonts w:hint="eastAsia" w:ascii="宋体" w:hAnsi="宋体" w:eastAsia="宋体" w:cs="Times New Roman"/>
                <w:color w:val="auto"/>
                <w:szCs w:val="21"/>
                <w:highlight w:val="none"/>
                <w:lang w:val="en-US" w:eastAsia="zh-CN"/>
              </w:rPr>
              <w:t>要求</w:t>
            </w:r>
            <w:r>
              <w:rPr>
                <w:rFonts w:hint="eastAsia" w:ascii="宋体" w:hAnsi="宋体"/>
                <w:color w:val="auto"/>
                <w:highlight w:val="none"/>
              </w:rPr>
              <w:t>：</w:t>
            </w:r>
          </w:p>
          <w:p w14:paraId="6F084EB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1.处理问题响应时间：接到采购人处理问题通知后2小时内到达采购人指定现场。</w:t>
            </w:r>
          </w:p>
          <w:p w14:paraId="4073628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2.成交人如需更换项目管理人员，需向采购人书面申请，经采购人审批许可，替换的人员所具备的资质不得低于原人员的资质。</w:t>
            </w:r>
          </w:p>
          <w:p w14:paraId="6D3B17A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highlight w:val="none"/>
              </w:rPr>
            </w:pPr>
            <w:r>
              <w:rPr>
                <w:rFonts w:hint="eastAsia" w:ascii="宋体" w:hAnsi="宋体" w:eastAsia="宋体" w:cs="宋体"/>
                <w:color w:val="auto"/>
                <w:szCs w:val="21"/>
                <w:highlight w:val="none"/>
                <w:lang w:val="en-US" w:eastAsia="zh-CN"/>
              </w:rPr>
              <w:t>3.如因成交人原因导致本项目竣工验收不合格的，成交人应整改至通过竣工验收为止且自行承担相应的费用，采购人不另行支付费用。</w:t>
            </w:r>
            <w:r>
              <w:rPr>
                <w:rFonts w:hint="eastAsia" w:ascii="宋体" w:hAnsi="宋体" w:eastAsia="宋体" w:cs="宋体"/>
                <w:b/>
                <w:bCs/>
                <w:color w:val="auto"/>
                <w:szCs w:val="21"/>
                <w:highlight w:val="none"/>
                <w:lang w:val="en-US" w:eastAsia="zh-CN"/>
              </w:rPr>
              <w:t>如因成交人拒绝整改或经采购人书面通知整改</w:t>
            </w:r>
            <w:r>
              <w:rPr>
                <w:rFonts w:hint="eastAsia" w:ascii="宋体" w:hAnsi="宋体" w:cs="宋体"/>
                <w:b/>
                <w:bCs/>
                <w:color w:val="auto"/>
                <w:szCs w:val="21"/>
                <w:highlight w:val="none"/>
                <w:lang w:val="en-US" w:eastAsia="zh-CN"/>
              </w:rPr>
              <w:t>两</w:t>
            </w:r>
            <w:r>
              <w:rPr>
                <w:rFonts w:hint="eastAsia" w:ascii="宋体" w:hAnsi="宋体" w:eastAsia="宋体" w:cs="宋体"/>
                <w:b/>
                <w:bCs/>
                <w:color w:val="auto"/>
                <w:szCs w:val="21"/>
                <w:highlight w:val="none"/>
                <w:lang w:val="en-US" w:eastAsia="zh-CN"/>
              </w:rPr>
              <w:t>次仍不合格的，</w:t>
            </w:r>
            <w:r>
              <w:rPr>
                <w:rFonts w:hint="eastAsia" w:ascii="宋体" w:hAnsi="宋体" w:eastAsia="宋体" w:cs="宋体"/>
                <w:color w:val="auto"/>
                <w:szCs w:val="21"/>
                <w:highlight w:val="none"/>
                <w:lang w:val="en-US" w:eastAsia="zh-CN"/>
              </w:rPr>
              <w:t>采购人不予支付合同款项并按合同扣罚违约金。</w:t>
            </w:r>
          </w:p>
          <w:p w14:paraId="05ABD8E8">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六</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付款方式</w:t>
            </w:r>
            <w:r>
              <w:rPr>
                <w:rFonts w:hint="eastAsia" w:ascii="宋体" w:hAnsi="宋体" w:eastAsia="宋体" w:cs="Times New Roman"/>
                <w:color w:val="auto"/>
                <w:szCs w:val="21"/>
                <w:highlight w:val="none"/>
              </w:rPr>
              <w:t>：</w:t>
            </w:r>
          </w:p>
          <w:p w14:paraId="64AEF6A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预付款：</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val="en-US" w:eastAsia="zh-CN"/>
              </w:rPr>
              <w:t>工程预付款总金额为合同价格的30%，在承包人向发包人提交了经发包人认可的履约保证金后，由承包人提出书面申请，经监理人核实后出具付款证书提交给发包人，发包人收到监理人出具的付款证书后办理支付手续给承包人。</w:t>
            </w:r>
          </w:p>
          <w:p w14:paraId="68E9CA8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val="en-US" w:eastAsia="zh-CN"/>
              </w:rPr>
              <w:t>工程进度付款的支付比例：每个付款周期按实际完成工程量的</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lang w:val="en-US" w:eastAsia="zh-CN"/>
              </w:rPr>
              <w:t>0%支付工程进度款，但最高不超过合同总价款的80%，在足额支付农民工工资后，合同总价款的7%在工程完工结算经财政评审确认后申请支付，合同总价款的3%在工程竣工验收合格后申请支付。</w:t>
            </w:r>
          </w:p>
          <w:p w14:paraId="1D2E2333">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七</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报价要求</w:t>
            </w:r>
            <w:r>
              <w:rPr>
                <w:rFonts w:hint="eastAsia" w:ascii="宋体" w:hAnsi="宋体" w:eastAsia="宋体" w:cs="Times New Roman"/>
                <w:color w:val="auto"/>
                <w:szCs w:val="21"/>
                <w:highlight w:val="none"/>
              </w:rPr>
              <w:t>：</w:t>
            </w:r>
          </w:p>
          <w:p w14:paraId="3E3E840F">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2" w:firstLineChars="200"/>
              <w:textAlignment w:val="auto"/>
              <w:rPr>
                <w:rFonts w:hint="eastAsia" w:ascii="宋体" w:hAnsi="宋体" w:cs="宋体"/>
                <w:color w:val="auto"/>
                <w:szCs w:val="21"/>
                <w:highlight w:val="none"/>
              </w:rPr>
            </w:pPr>
            <w:r>
              <w:rPr>
                <w:rFonts w:hint="eastAsia" w:ascii="宋体" w:hAnsi="宋体" w:cs="宋体"/>
                <w:b/>
                <w:bCs/>
                <w:color w:val="auto"/>
                <w:szCs w:val="21"/>
                <w:highlight w:val="none"/>
                <w:lang w:val="en-US" w:eastAsia="zh-CN"/>
              </w:rPr>
              <w:t>1.</w:t>
            </w:r>
            <w:r>
              <w:rPr>
                <w:rFonts w:hint="eastAsia" w:ascii="宋体" w:hAnsi="宋体" w:cs="宋体"/>
                <w:b/>
                <w:bCs/>
                <w:color w:val="auto"/>
                <w:szCs w:val="21"/>
                <w:highlight w:val="none"/>
              </w:rPr>
              <w:t>本项目采用工程量清单报价方式。磋商报价不得高于最高限价，否则竞标无效；最后报价与首次报价相比有调整的，供应商提交的最后报价必须包含已标价的工程量清单（上传格式必须为PDF格式），供应商须提前做好相关准备并按时递交最终报价文件，否则报价无效</w:t>
            </w:r>
            <w:r>
              <w:rPr>
                <w:rFonts w:hint="eastAsia" w:ascii="宋体" w:hAnsi="宋体" w:eastAsia="宋体" w:cs="宋体"/>
                <w:b/>
                <w:bCs/>
                <w:color w:val="auto"/>
                <w:szCs w:val="21"/>
                <w:highlight w:val="none"/>
              </w:rPr>
              <w:t>。</w:t>
            </w:r>
          </w:p>
          <w:p w14:paraId="5FCB3945">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color w:val="auto"/>
                <w:szCs w:val="21"/>
                <w:highlight w:val="none"/>
              </w:rPr>
            </w:pPr>
            <w:r>
              <w:rPr>
                <w:rFonts w:hint="eastAsia" w:ascii="宋体" w:hAnsi="宋体" w:cs="Times New Roman"/>
                <w:color w:val="auto"/>
                <w:szCs w:val="21"/>
                <w:highlight w:val="none"/>
                <w:lang w:val="en-US" w:eastAsia="zh-CN"/>
              </w:rPr>
              <w:t>2.</w:t>
            </w:r>
            <w:r>
              <w:rPr>
                <w:rFonts w:hint="eastAsia" w:ascii="宋体" w:hAnsi="宋体" w:eastAsia="宋体" w:cs="Times New Roman"/>
                <w:color w:val="auto"/>
                <w:szCs w:val="21"/>
                <w:highlight w:val="none"/>
              </w:rPr>
              <w:t>报价必须包含以下部分，包括：</w:t>
            </w:r>
          </w:p>
          <w:p w14:paraId="43F413B1">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①满足本项目全部采购需求，包含投标服务、货物、工程的成本、运输（含保险）、安装（如有）、调试、检验、技术服务、培训等所有费用。</w:t>
            </w:r>
          </w:p>
          <w:p w14:paraId="46E88CB5">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0" w:firstLineChars="200"/>
              <w:textAlignment w:val="auto"/>
              <w:rPr>
                <w:rFonts w:hint="default"/>
                <w:color w:val="auto"/>
                <w:highlight w:val="none"/>
                <w:lang w:val="en-US" w:eastAsia="zh-CN"/>
              </w:rPr>
            </w:pPr>
            <w:r>
              <w:rPr>
                <w:rFonts w:hint="eastAsia" w:ascii="宋体" w:hAnsi="宋体" w:eastAsia="宋体" w:cs="Times New Roman"/>
                <w:color w:val="auto"/>
                <w:szCs w:val="21"/>
                <w:highlight w:val="none"/>
              </w:rPr>
              <w:t>②必要的保险费和各项税金</w:t>
            </w:r>
            <w:r>
              <w:rPr>
                <w:rFonts w:hint="eastAsia" w:ascii="宋体" w:hAnsi="宋体" w:cs="宋体"/>
                <w:color w:val="auto"/>
                <w:szCs w:val="21"/>
                <w:highlight w:val="none"/>
                <w:lang w:bidi="ar"/>
              </w:rPr>
              <w:t>（成交供应商需为该工程购买工程一切险）</w:t>
            </w:r>
            <w:r>
              <w:rPr>
                <w:rFonts w:hint="eastAsia" w:ascii="宋体" w:hAnsi="宋体" w:eastAsia="宋体" w:cs="Times New Roman"/>
                <w:color w:val="auto"/>
                <w:szCs w:val="21"/>
                <w:highlight w:val="none"/>
              </w:rPr>
              <w:t>。</w:t>
            </w:r>
          </w:p>
        </w:tc>
      </w:tr>
      <w:tr w14:paraId="7B9E90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14:paraId="4A2AB019">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olor w:val="auto"/>
                <w:szCs w:val="21"/>
                <w:highlight w:val="none"/>
              </w:rPr>
            </w:pPr>
            <w:r>
              <w:rPr>
                <w:rFonts w:hint="eastAsia" w:ascii="宋体" w:hAnsi="宋体"/>
                <w:color w:val="auto"/>
                <w:szCs w:val="21"/>
                <w:highlight w:val="none"/>
              </w:rPr>
              <w:t>其他说明</w:t>
            </w:r>
          </w:p>
        </w:tc>
        <w:tc>
          <w:tcPr>
            <w:tcW w:w="9478" w:type="dxa"/>
            <w:gridSpan w:val="7"/>
            <w:tcBorders>
              <w:top w:val="single" w:color="auto" w:sz="4" w:space="0"/>
              <w:left w:val="single" w:color="auto" w:sz="4" w:space="0"/>
              <w:bottom w:val="single" w:color="auto" w:sz="4" w:space="0"/>
              <w:right w:val="single" w:color="auto" w:sz="4" w:space="0"/>
            </w:tcBorders>
            <w:noWrap w:val="0"/>
            <w:vAlign w:val="top"/>
          </w:tcPr>
          <w:p w14:paraId="6B2DDF52">
            <w:pPr>
              <w:tabs>
                <w:tab w:val="left" w:pos="180"/>
                <w:tab w:val="left" w:pos="1620"/>
              </w:tabs>
              <w:spacing w:line="400" w:lineRule="exact"/>
              <w:rPr>
                <w:rFonts w:hint="eastAsia"/>
                <w:color w:val="auto"/>
                <w:szCs w:val="21"/>
                <w:highlight w:val="none"/>
              </w:rPr>
            </w:pPr>
            <w:r>
              <w:rPr>
                <w:rFonts w:hint="eastAsia"/>
                <w:color w:val="auto"/>
                <w:szCs w:val="21"/>
                <w:highlight w:val="none"/>
              </w:rPr>
              <w:t>一、与本项目有关的设计图纸、技术规范、文件等附件资料及其获取方式（如有）</w:t>
            </w:r>
          </w:p>
          <w:p w14:paraId="4C49678B">
            <w:pPr>
              <w:tabs>
                <w:tab w:val="left" w:pos="180"/>
                <w:tab w:val="left" w:pos="1620"/>
              </w:tabs>
              <w:spacing w:line="400" w:lineRule="exact"/>
              <w:ind w:firstLine="420" w:firstLineChars="200"/>
              <w:rPr>
                <w:rFonts w:hint="eastAsia"/>
                <w:color w:val="auto"/>
                <w:szCs w:val="21"/>
                <w:highlight w:val="none"/>
              </w:rPr>
            </w:pPr>
            <w:r>
              <w:rPr>
                <w:rFonts w:hint="eastAsia"/>
                <w:color w:val="auto"/>
                <w:szCs w:val="21"/>
                <w:highlight w:val="none"/>
              </w:rPr>
              <w:t>文件或者资料名称：工程量清单、图纸</w:t>
            </w:r>
          </w:p>
          <w:p w14:paraId="2ED68FA4">
            <w:pPr>
              <w:tabs>
                <w:tab w:val="left" w:pos="180"/>
                <w:tab w:val="left" w:pos="1620"/>
              </w:tabs>
              <w:spacing w:line="400" w:lineRule="exact"/>
              <w:ind w:firstLine="420" w:firstLineChars="200"/>
              <w:rPr>
                <w:rFonts w:hint="eastAsia"/>
                <w:color w:val="auto"/>
                <w:szCs w:val="21"/>
                <w:highlight w:val="none"/>
              </w:rPr>
            </w:pPr>
            <w:r>
              <w:rPr>
                <w:rFonts w:hint="eastAsia"/>
                <w:color w:val="auto"/>
                <w:szCs w:val="21"/>
                <w:highlight w:val="none"/>
              </w:rPr>
              <w:t>公布渠道或者获取方式：</w:t>
            </w:r>
            <w:r>
              <w:rPr>
                <w:rFonts w:hint="eastAsia"/>
                <w:color w:val="auto"/>
                <w:szCs w:val="21"/>
                <w:highlight w:val="none"/>
                <w:lang w:eastAsia="zh-CN"/>
              </w:rPr>
              <w:t>“广西政府采购云平台”</w:t>
            </w:r>
            <w:r>
              <w:rPr>
                <w:rFonts w:hint="eastAsia"/>
                <w:color w:val="auto"/>
                <w:szCs w:val="21"/>
                <w:highlight w:val="none"/>
              </w:rPr>
              <w:t>下载</w:t>
            </w:r>
          </w:p>
          <w:p w14:paraId="07961C6F">
            <w:pPr>
              <w:widowControl/>
              <w:shd w:val="clear" w:color="auto" w:fill="FFFFFF"/>
              <w:spacing w:line="400" w:lineRule="exact"/>
              <w:rPr>
                <w:rFonts w:hint="eastAsia"/>
                <w:color w:val="auto"/>
                <w:szCs w:val="21"/>
                <w:highlight w:val="none"/>
              </w:rPr>
            </w:pPr>
            <w:r>
              <w:rPr>
                <w:rFonts w:hint="eastAsia"/>
                <w:color w:val="auto"/>
                <w:szCs w:val="21"/>
                <w:highlight w:val="none"/>
                <w:lang w:eastAsia="zh-CN"/>
              </w:rPr>
              <w:t>二</w:t>
            </w:r>
            <w:r>
              <w:rPr>
                <w:rFonts w:hint="eastAsia"/>
                <w:color w:val="auto"/>
                <w:szCs w:val="21"/>
                <w:highlight w:val="none"/>
              </w:rPr>
              <w:t>、其他</w:t>
            </w:r>
          </w:p>
          <w:p w14:paraId="095BA269">
            <w:pPr>
              <w:widowControl/>
              <w:shd w:val="clear" w:color="auto" w:fill="FFFFFF"/>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1、是否进行演示：否</w:t>
            </w:r>
          </w:p>
          <w:p w14:paraId="53B0620C">
            <w:pPr>
              <w:widowControl/>
              <w:shd w:val="clear" w:color="auto" w:fill="FFFFFF"/>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2、是否要求提供样品：否</w:t>
            </w:r>
          </w:p>
          <w:p w14:paraId="40188F93">
            <w:pPr>
              <w:pStyle w:val="51"/>
              <w:numPr>
                <w:ilvl w:val="0"/>
                <w:numId w:val="0"/>
              </w:numPr>
              <w:ind w:left="0" w:leftChars="0" w:firstLine="420" w:firstLineChars="200"/>
              <w:rPr>
                <w:rFonts w:ascii="宋体" w:hAnsi="宋体"/>
                <w:color w:val="auto"/>
                <w:szCs w:val="21"/>
                <w:highlight w:val="none"/>
              </w:rPr>
            </w:pPr>
            <w:r>
              <w:rPr>
                <w:rFonts w:hint="eastAsia" w:ascii="宋体" w:hAnsi="宋体" w:cs="宋体"/>
                <w:color w:val="auto"/>
                <w:sz w:val="21"/>
                <w:szCs w:val="21"/>
                <w:highlight w:val="none"/>
              </w:rPr>
              <w:t>3、是否现场踏勘：否</w:t>
            </w:r>
          </w:p>
        </w:tc>
      </w:tr>
    </w:tbl>
    <w:p w14:paraId="3DABE903">
      <w:pPr>
        <w:spacing w:line="360" w:lineRule="auto"/>
        <w:rPr>
          <w:rFonts w:hint="eastAsia" w:ascii="宋体" w:hAnsi="宋体" w:eastAsia="宋体" w:cs="宋体"/>
          <w:color w:val="auto"/>
          <w:sz w:val="32"/>
          <w:szCs w:val="32"/>
          <w:highlight w:val="none"/>
        </w:rPr>
        <w:sectPr>
          <w:footerReference r:id="rId10" w:type="default"/>
          <w:pgSz w:w="11906" w:h="16838"/>
          <w:pgMar w:top="1440" w:right="1080" w:bottom="1440" w:left="1080" w:header="720" w:footer="720" w:gutter="0"/>
          <w:pgBorders w:offsetFrom="page">
            <w:top w:val="none" w:sz="0" w:space="0"/>
            <w:left w:val="none" w:sz="0" w:space="0"/>
            <w:bottom w:val="none" w:sz="0" w:space="0"/>
            <w:right w:val="none" w:sz="0" w:space="0"/>
          </w:pgBorders>
          <w:pgNumType w:fmt="decimal"/>
          <w:cols w:space="720" w:num="1"/>
          <w:docGrid w:type="lines" w:linePitch="331" w:charSpace="0"/>
        </w:sectPr>
      </w:pPr>
    </w:p>
    <w:p w14:paraId="34F2433D">
      <w:pPr>
        <w:spacing w:line="428" w:lineRule="exact"/>
        <w:rPr>
          <w:rFonts w:ascii="Arial Unicode MS" w:hAnsi="Arial Unicode MS" w:eastAsia="Times New Roman" w:cs="Arial Unicode MS"/>
          <w:color w:val="auto"/>
          <w:sz w:val="17"/>
          <w:szCs w:val="17"/>
          <w:highlight w:val="none"/>
        </w:rPr>
      </w:pPr>
      <w:bookmarkStart w:id="44" w:name="_Toc30087"/>
      <w:bookmarkStart w:id="45" w:name="_Toc17962"/>
      <w:bookmarkStart w:id="46" w:name="_Toc23956"/>
      <w:r>
        <w:rPr>
          <w:rFonts w:hint="eastAsia" w:ascii="微软雅黑" w:hAnsi="微软雅黑" w:eastAsia="微软雅黑" w:cs="微软雅黑"/>
          <w:color w:val="auto"/>
          <w:sz w:val="32"/>
          <w:szCs w:val="32"/>
          <w:highlight w:val="none"/>
        </w:rPr>
        <w:t>附件</w:t>
      </w:r>
      <w:r>
        <w:rPr>
          <w:rFonts w:ascii="微软雅黑" w:hAnsi="微软雅黑" w:eastAsia="微软雅黑" w:cs="微软雅黑"/>
          <w:color w:val="auto"/>
          <w:sz w:val="32"/>
          <w:szCs w:val="32"/>
          <w:highlight w:val="none"/>
        </w:rPr>
        <w:t>1</w:t>
      </w:r>
      <w:r>
        <w:rPr>
          <w:rFonts w:hint="eastAsia" w:ascii="微软雅黑" w:hAnsi="微软雅黑" w:eastAsia="微软雅黑" w:cs="微软雅黑"/>
          <w:color w:val="auto"/>
          <w:sz w:val="32"/>
          <w:szCs w:val="32"/>
          <w:highlight w:val="none"/>
        </w:rPr>
        <w:t>：</w:t>
      </w:r>
    </w:p>
    <w:p w14:paraId="519CFC16">
      <w:pPr>
        <w:spacing w:line="528" w:lineRule="exact"/>
        <w:jc w:val="center"/>
        <w:rPr>
          <w:rFonts w:ascii="Arial Unicode MS" w:hAnsi="Arial Unicode MS" w:eastAsia="Times New Roman" w:cs="Arial Unicode MS"/>
          <w:color w:val="auto"/>
          <w:sz w:val="40"/>
          <w:szCs w:val="40"/>
          <w:highlight w:val="none"/>
        </w:rPr>
      </w:pPr>
      <w:r>
        <w:rPr>
          <w:rFonts w:hint="eastAsia" w:ascii="微软雅黑" w:hAnsi="微软雅黑" w:eastAsia="微软雅黑" w:cs="微软雅黑"/>
          <w:color w:val="auto"/>
          <w:sz w:val="40"/>
          <w:szCs w:val="40"/>
          <w:highlight w:val="none"/>
        </w:rPr>
        <w:t>节能产品政府采购品目清单</w:t>
      </w:r>
    </w:p>
    <w:tbl>
      <w:tblPr>
        <w:tblStyle w:val="27"/>
        <w:tblW w:w="9469" w:type="dxa"/>
        <w:tblInd w:w="93" w:type="dxa"/>
        <w:tblLayout w:type="fixed"/>
        <w:tblCellMar>
          <w:top w:w="0" w:type="dxa"/>
          <w:left w:w="108" w:type="dxa"/>
          <w:bottom w:w="0" w:type="dxa"/>
          <w:right w:w="108" w:type="dxa"/>
        </w:tblCellMar>
      </w:tblPr>
      <w:tblGrid>
        <w:gridCol w:w="641"/>
        <w:gridCol w:w="1116"/>
        <w:gridCol w:w="1516"/>
        <w:gridCol w:w="1612"/>
        <w:gridCol w:w="4584"/>
      </w:tblGrid>
      <w:tr w14:paraId="38951E58">
        <w:tblPrEx>
          <w:tblCellMar>
            <w:top w:w="0" w:type="dxa"/>
            <w:left w:w="108" w:type="dxa"/>
            <w:bottom w:w="0" w:type="dxa"/>
            <w:right w:w="108" w:type="dxa"/>
          </w:tblCellMar>
        </w:tblPrEx>
        <w:trPr>
          <w:trHeight w:val="555" w:hRule="atLeast"/>
        </w:trPr>
        <w:tc>
          <w:tcPr>
            <w:tcW w:w="641" w:type="dxa"/>
            <w:tcBorders>
              <w:top w:val="single" w:color="000000" w:sz="8" w:space="0"/>
              <w:left w:val="single" w:color="000000" w:sz="8" w:space="0"/>
              <w:bottom w:val="single" w:color="000000" w:sz="8" w:space="0"/>
              <w:right w:val="single" w:color="000000" w:sz="8" w:space="0"/>
            </w:tcBorders>
            <w:noWrap w:val="0"/>
            <w:vAlign w:val="top"/>
          </w:tcPr>
          <w:p w14:paraId="7CAEF06A">
            <w:pPr>
              <w:widowControl/>
              <w:jc w:val="center"/>
              <w:rPr>
                <w:rFonts w:ascii="宋体" w:cs="宋体"/>
                <w:b/>
                <w:bCs/>
                <w:color w:val="auto"/>
                <w:kern w:val="0"/>
                <w:sz w:val="22"/>
                <w:szCs w:val="22"/>
                <w:highlight w:val="none"/>
              </w:rPr>
            </w:pPr>
            <w:r>
              <w:rPr>
                <w:rFonts w:hint="eastAsia" w:ascii="宋体" w:cs="宋体"/>
                <w:b/>
                <w:bCs/>
                <w:color w:val="auto"/>
                <w:kern w:val="0"/>
                <w:sz w:val="22"/>
                <w:szCs w:val="22"/>
                <w:highlight w:val="none"/>
              </w:rPr>
              <w:t>品目序号</w:t>
            </w:r>
          </w:p>
        </w:tc>
        <w:tc>
          <w:tcPr>
            <w:tcW w:w="4244" w:type="dxa"/>
            <w:gridSpan w:val="3"/>
            <w:tcBorders>
              <w:top w:val="single" w:color="000000" w:sz="8" w:space="0"/>
              <w:left w:val="nil"/>
              <w:bottom w:val="single" w:color="000000" w:sz="8" w:space="0"/>
              <w:right w:val="single" w:color="000000" w:sz="8" w:space="0"/>
            </w:tcBorders>
            <w:noWrap w:val="0"/>
            <w:vAlign w:val="center"/>
          </w:tcPr>
          <w:p w14:paraId="6C8A8B8E">
            <w:pPr>
              <w:widowControl/>
              <w:jc w:val="center"/>
              <w:rPr>
                <w:rFonts w:ascii="宋体" w:cs="宋体"/>
                <w:b/>
                <w:bCs/>
                <w:color w:val="auto"/>
                <w:kern w:val="0"/>
                <w:sz w:val="22"/>
                <w:szCs w:val="22"/>
                <w:highlight w:val="none"/>
              </w:rPr>
            </w:pPr>
            <w:r>
              <w:rPr>
                <w:rFonts w:hint="eastAsia" w:ascii="宋体" w:cs="宋体"/>
                <w:b/>
                <w:bCs/>
                <w:color w:val="auto"/>
                <w:kern w:val="0"/>
                <w:sz w:val="22"/>
                <w:szCs w:val="22"/>
                <w:highlight w:val="none"/>
              </w:rPr>
              <w:t>名称</w:t>
            </w:r>
          </w:p>
        </w:tc>
        <w:tc>
          <w:tcPr>
            <w:tcW w:w="4584" w:type="dxa"/>
            <w:tcBorders>
              <w:top w:val="single" w:color="000000" w:sz="8" w:space="0"/>
              <w:left w:val="nil"/>
              <w:bottom w:val="single" w:color="000000" w:sz="8" w:space="0"/>
              <w:right w:val="single" w:color="000000" w:sz="8" w:space="0"/>
            </w:tcBorders>
            <w:noWrap w:val="0"/>
            <w:vAlign w:val="center"/>
          </w:tcPr>
          <w:p w14:paraId="0D67F360">
            <w:pPr>
              <w:widowControl/>
              <w:jc w:val="center"/>
              <w:rPr>
                <w:rFonts w:ascii="宋体" w:cs="宋体"/>
                <w:b/>
                <w:bCs/>
                <w:color w:val="auto"/>
                <w:kern w:val="0"/>
                <w:sz w:val="22"/>
                <w:szCs w:val="22"/>
                <w:highlight w:val="none"/>
              </w:rPr>
            </w:pPr>
            <w:r>
              <w:rPr>
                <w:rFonts w:hint="eastAsia" w:ascii="宋体" w:cs="宋体"/>
                <w:b/>
                <w:bCs/>
                <w:color w:val="auto"/>
                <w:kern w:val="0"/>
                <w:sz w:val="22"/>
                <w:szCs w:val="22"/>
                <w:highlight w:val="none"/>
              </w:rPr>
              <w:t>依据的标准</w:t>
            </w:r>
          </w:p>
        </w:tc>
      </w:tr>
      <w:tr w14:paraId="67C4996F">
        <w:tblPrEx>
          <w:tblCellMar>
            <w:top w:w="0" w:type="dxa"/>
            <w:left w:w="108" w:type="dxa"/>
            <w:bottom w:w="0" w:type="dxa"/>
            <w:right w:w="108" w:type="dxa"/>
          </w:tblCellMar>
        </w:tblPrEx>
        <w:trPr>
          <w:trHeight w:val="495" w:hRule="atLeast"/>
        </w:trPr>
        <w:tc>
          <w:tcPr>
            <w:tcW w:w="641" w:type="dxa"/>
            <w:vMerge w:val="restart"/>
            <w:tcBorders>
              <w:top w:val="nil"/>
              <w:left w:val="single" w:color="000000" w:sz="8" w:space="0"/>
              <w:bottom w:val="single" w:color="000000" w:sz="8" w:space="0"/>
              <w:right w:val="single" w:color="000000" w:sz="8" w:space="0"/>
            </w:tcBorders>
            <w:noWrap w:val="0"/>
            <w:vAlign w:val="center"/>
          </w:tcPr>
          <w:p w14:paraId="02FC23B7">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1</w:t>
            </w:r>
          </w:p>
        </w:tc>
        <w:tc>
          <w:tcPr>
            <w:tcW w:w="1116" w:type="dxa"/>
            <w:vMerge w:val="restart"/>
            <w:tcBorders>
              <w:top w:val="nil"/>
              <w:left w:val="single" w:color="000000" w:sz="8" w:space="0"/>
              <w:bottom w:val="single" w:color="000000" w:sz="8" w:space="0"/>
              <w:right w:val="single" w:color="000000" w:sz="8" w:space="0"/>
            </w:tcBorders>
            <w:noWrap w:val="0"/>
            <w:vAlign w:val="center"/>
          </w:tcPr>
          <w:p w14:paraId="46DFF207">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A020101计算机设备</w:t>
            </w:r>
          </w:p>
        </w:tc>
        <w:tc>
          <w:tcPr>
            <w:tcW w:w="1516" w:type="dxa"/>
            <w:tcBorders>
              <w:top w:val="nil"/>
              <w:left w:val="nil"/>
              <w:bottom w:val="single" w:color="000000" w:sz="8" w:space="0"/>
              <w:right w:val="single" w:color="000000" w:sz="8" w:space="0"/>
            </w:tcBorders>
            <w:noWrap w:val="0"/>
            <w:vAlign w:val="center"/>
          </w:tcPr>
          <w:p w14:paraId="65BA4436">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w:t>
            </w:r>
            <w:r>
              <w:rPr>
                <w:rFonts w:ascii="宋体" w:hAnsi="宋体" w:eastAsia="Times New Roman" w:cs="宋体"/>
                <w:color w:val="auto"/>
                <w:kern w:val="0"/>
                <w:sz w:val="20"/>
                <w:szCs w:val="20"/>
                <w:highlight w:val="none"/>
              </w:rPr>
              <w:t>A02010104台式计算机</w:t>
            </w:r>
          </w:p>
        </w:tc>
        <w:tc>
          <w:tcPr>
            <w:tcW w:w="1612" w:type="dxa"/>
            <w:tcBorders>
              <w:top w:val="nil"/>
              <w:left w:val="nil"/>
              <w:bottom w:val="single" w:color="000000" w:sz="8" w:space="0"/>
              <w:right w:val="single" w:color="000000" w:sz="8" w:space="0"/>
            </w:tcBorders>
            <w:noWrap w:val="0"/>
            <w:vAlign w:val="center"/>
          </w:tcPr>
          <w:p w14:paraId="665DDCD7">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3E224A33">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《微型计算机能效限定值及能效等级》（</w:t>
            </w:r>
            <w:r>
              <w:rPr>
                <w:rFonts w:ascii="宋体" w:hAnsi="宋体" w:eastAsia="Times New Roman" w:cs="宋体"/>
                <w:color w:val="auto"/>
                <w:kern w:val="0"/>
                <w:sz w:val="20"/>
                <w:szCs w:val="20"/>
                <w:highlight w:val="none"/>
              </w:rPr>
              <w:t>GB28380）</w:t>
            </w:r>
          </w:p>
        </w:tc>
      </w:tr>
      <w:tr w14:paraId="4E887A55">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64E1D100">
            <w:pPr>
              <w:widowControl/>
              <w:jc w:val="left"/>
              <w:rPr>
                <w:rFonts w:asci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5A5FB84C">
            <w:pPr>
              <w:widowControl/>
              <w:jc w:val="left"/>
              <w:rPr>
                <w:rFonts w:ascii="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48297D31">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w:t>
            </w:r>
            <w:r>
              <w:rPr>
                <w:rFonts w:ascii="宋体" w:hAnsi="宋体" w:eastAsia="Times New Roman" w:cs="宋体"/>
                <w:color w:val="auto"/>
                <w:kern w:val="0"/>
                <w:sz w:val="20"/>
                <w:szCs w:val="20"/>
                <w:highlight w:val="none"/>
              </w:rPr>
              <w:t>A02010105便携式计算机</w:t>
            </w:r>
          </w:p>
        </w:tc>
        <w:tc>
          <w:tcPr>
            <w:tcW w:w="1612" w:type="dxa"/>
            <w:tcBorders>
              <w:top w:val="nil"/>
              <w:left w:val="nil"/>
              <w:bottom w:val="single" w:color="000000" w:sz="8" w:space="0"/>
              <w:right w:val="single" w:color="000000" w:sz="8" w:space="0"/>
            </w:tcBorders>
            <w:noWrap w:val="0"/>
            <w:vAlign w:val="center"/>
          </w:tcPr>
          <w:p w14:paraId="5EE9A85E">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02ED6C15">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《微型计算机能效限定值及能效等级》（</w:t>
            </w:r>
            <w:r>
              <w:rPr>
                <w:rFonts w:ascii="宋体" w:hAnsi="宋体" w:eastAsia="Times New Roman" w:cs="宋体"/>
                <w:color w:val="auto"/>
                <w:kern w:val="0"/>
                <w:sz w:val="20"/>
                <w:szCs w:val="20"/>
                <w:highlight w:val="none"/>
              </w:rPr>
              <w:t>GB28380）</w:t>
            </w:r>
          </w:p>
        </w:tc>
      </w:tr>
      <w:tr w14:paraId="456875BD">
        <w:tblPrEx>
          <w:tblCellMar>
            <w:top w:w="0" w:type="dxa"/>
            <w:left w:w="108" w:type="dxa"/>
            <w:bottom w:w="0" w:type="dxa"/>
            <w:right w:w="108" w:type="dxa"/>
          </w:tblCellMar>
        </w:tblPrEx>
        <w:trPr>
          <w:trHeight w:val="73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16FE0F3D">
            <w:pPr>
              <w:widowControl/>
              <w:jc w:val="left"/>
              <w:rPr>
                <w:rFonts w:asci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767E83B8">
            <w:pPr>
              <w:widowControl/>
              <w:jc w:val="left"/>
              <w:rPr>
                <w:rFonts w:ascii="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37B9D985">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w:t>
            </w:r>
            <w:r>
              <w:rPr>
                <w:rFonts w:ascii="宋体" w:hAnsi="宋体" w:eastAsia="Times New Roman" w:cs="宋体"/>
                <w:color w:val="auto"/>
                <w:kern w:val="0"/>
                <w:sz w:val="20"/>
                <w:szCs w:val="20"/>
                <w:highlight w:val="none"/>
              </w:rPr>
              <w:t>A02010107平板式微型计算机</w:t>
            </w:r>
          </w:p>
        </w:tc>
        <w:tc>
          <w:tcPr>
            <w:tcW w:w="1612" w:type="dxa"/>
            <w:tcBorders>
              <w:top w:val="nil"/>
              <w:left w:val="nil"/>
              <w:bottom w:val="single" w:color="000000" w:sz="8" w:space="0"/>
              <w:right w:val="single" w:color="000000" w:sz="8" w:space="0"/>
            </w:tcBorders>
            <w:noWrap w:val="0"/>
            <w:vAlign w:val="center"/>
          </w:tcPr>
          <w:p w14:paraId="7198541C">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442137CB">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《微型计算机能效限定值及能效等级》（</w:t>
            </w:r>
            <w:r>
              <w:rPr>
                <w:rFonts w:ascii="宋体" w:hAnsi="宋体" w:eastAsia="Times New Roman" w:cs="宋体"/>
                <w:color w:val="auto"/>
                <w:kern w:val="0"/>
                <w:sz w:val="20"/>
                <w:szCs w:val="20"/>
                <w:highlight w:val="none"/>
              </w:rPr>
              <w:t>GB28380）</w:t>
            </w:r>
          </w:p>
        </w:tc>
      </w:tr>
      <w:tr w14:paraId="71D85620">
        <w:tblPrEx>
          <w:tblCellMar>
            <w:top w:w="0" w:type="dxa"/>
            <w:left w:w="108" w:type="dxa"/>
            <w:bottom w:w="0" w:type="dxa"/>
            <w:right w:w="108" w:type="dxa"/>
          </w:tblCellMar>
        </w:tblPrEx>
        <w:trPr>
          <w:trHeight w:val="495" w:hRule="atLeast"/>
        </w:trPr>
        <w:tc>
          <w:tcPr>
            <w:tcW w:w="641" w:type="dxa"/>
            <w:vMerge w:val="restart"/>
            <w:tcBorders>
              <w:top w:val="nil"/>
              <w:left w:val="single" w:color="000000" w:sz="8" w:space="0"/>
              <w:bottom w:val="single" w:color="000000" w:sz="8" w:space="0"/>
              <w:right w:val="single" w:color="000000" w:sz="8" w:space="0"/>
            </w:tcBorders>
            <w:noWrap w:val="0"/>
            <w:vAlign w:val="center"/>
          </w:tcPr>
          <w:p w14:paraId="41D59E61">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2</w:t>
            </w:r>
          </w:p>
        </w:tc>
        <w:tc>
          <w:tcPr>
            <w:tcW w:w="1116" w:type="dxa"/>
            <w:vMerge w:val="restart"/>
            <w:tcBorders>
              <w:top w:val="nil"/>
              <w:left w:val="single" w:color="000000" w:sz="8" w:space="0"/>
              <w:bottom w:val="single" w:color="000000" w:sz="8" w:space="0"/>
              <w:right w:val="single" w:color="000000" w:sz="8" w:space="0"/>
            </w:tcBorders>
            <w:noWrap w:val="0"/>
            <w:vAlign w:val="center"/>
          </w:tcPr>
          <w:p w14:paraId="2CB7E1E9">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A020106输入输出设备</w:t>
            </w:r>
          </w:p>
        </w:tc>
        <w:tc>
          <w:tcPr>
            <w:tcW w:w="1516" w:type="dxa"/>
            <w:vMerge w:val="restart"/>
            <w:tcBorders>
              <w:top w:val="nil"/>
              <w:left w:val="single" w:color="000000" w:sz="8" w:space="0"/>
              <w:bottom w:val="single" w:color="000000" w:sz="8" w:space="0"/>
              <w:right w:val="single" w:color="000000" w:sz="8" w:space="0"/>
            </w:tcBorders>
            <w:noWrap w:val="0"/>
            <w:vAlign w:val="center"/>
          </w:tcPr>
          <w:p w14:paraId="2E47568D">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A02010601打印设备</w:t>
            </w:r>
          </w:p>
        </w:tc>
        <w:tc>
          <w:tcPr>
            <w:tcW w:w="1612" w:type="dxa"/>
            <w:tcBorders>
              <w:top w:val="nil"/>
              <w:left w:val="nil"/>
              <w:bottom w:val="single" w:color="000000" w:sz="8" w:space="0"/>
              <w:right w:val="single" w:color="000000" w:sz="8" w:space="0"/>
            </w:tcBorders>
            <w:noWrap w:val="0"/>
            <w:vAlign w:val="center"/>
          </w:tcPr>
          <w:p w14:paraId="39413206">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A0201060101喷墨打印机</w:t>
            </w:r>
          </w:p>
        </w:tc>
        <w:tc>
          <w:tcPr>
            <w:tcW w:w="4584" w:type="dxa"/>
            <w:tcBorders>
              <w:top w:val="nil"/>
              <w:left w:val="nil"/>
              <w:bottom w:val="single" w:color="000000" w:sz="8" w:space="0"/>
              <w:right w:val="single" w:color="000000" w:sz="8" w:space="0"/>
            </w:tcBorders>
            <w:noWrap w:val="0"/>
            <w:vAlign w:val="center"/>
          </w:tcPr>
          <w:p w14:paraId="31A21BA5">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《复印机、打印机和传真机能效限定值及能效等级》（</w:t>
            </w:r>
            <w:r>
              <w:rPr>
                <w:rFonts w:ascii="宋体" w:hAnsi="宋体" w:eastAsia="Times New Roman" w:cs="宋体"/>
                <w:color w:val="auto"/>
                <w:kern w:val="0"/>
                <w:sz w:val="20"/>
                <w:szCs w:val="20"/>
                <w:highlight w:val="none"/>
              </w:rPr>
              <w:t>GB21521）</w:t>
            </w:r>
          </w:p>
        </w:tc>
      </w:tr>
      <w:tr w14:paraId="27BBE1A7">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4CEAA9AF">
            <w:pPr>
              <w:widowControl/>
              <w:jc w:val="left"/>
              <w:rPr>
                <w:rFonts w:asci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2525B055">
            <w:pPr>
              <w:widowControl/>
              <w:jc w:val="left"/>
              <w:rPr>
                <w:rFonts w:ascii="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324B4D24">
            <w:pPr>
              <w:widowControl/>
              <w:jc w:val="left"/>
              <w:rPr>
                <w:rFonts w:ascii="宋体" w:cs="宋体"/>
                <w:color w:val="auto"/>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14:paraId="3891B4C1">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w:t>
            </w:r>
            <w:r>
              <w:rPr>
                <w:rFonts w:ascii="宋体" w:hAnsi="宋体" w:eastAsia="Times New Roman" w:cs="宋体"/>
                <w:color w:val="auto"/>
                <w:kern w:val="0"/>
                <w:sz w:val="20"/>
                <w:szCs w:val="20"/>
                <w:highlight w:val="none"/>
              </w:rPr>
              <w:t>A0201060102激光打印机</w:t>
            </w:r>
          </w:p>
        </w:tc>
        <w:tc>
          <w:tcPr>
            <w:tcW w:w="4584" w:type="dxa"/>
            <w:tcBorders>
              <w:top w:val="nil"/>
              <w:left w:val="nil"/>
              <w:bottom w:val="single" w:color="000000" w:sz="8" w:space="0"/>
              <w:right w:val="single" w:color="000000" w:sz="8" w:space="0"/>
            </w:tcBorders>
            <w:noWrap w:val="0"/>
            <w:vAlign w:val="center"/>
          </w:tcPr>
          <w:p w14:paraId="19FA2591">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《复印机、打印机和传真机能效限定值及能效等级》（</w:t>
            </w:r>
            <w:r>
              <w:rPr>
                <w:rFonts w:ascii="宋体" w:hAnsi="宋体" w:eastAsia="Times New Roman" w:cs="宋体"/>
                <w:color w:val="auto"/>
                <w:kern w:val="0"/>
                <w:sz w:val="20"/>
                <w:szCs w:val="20"/>
                <w:highlight w:val="none"/>
              </w:rPr>
              <w:t>GB21521）</w:t>
            </w:r>
          </w:p>
        </w:tc>
      </w:tr>
      <w:tr w14:paraId="0C5FBE7A">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68522477">
            <w:pPr>
              <w:widowControl/>
              <w:jc w:val="left"/>
              <w:rPr>
                <w:rFonts w:asci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4BA596BE">
            <w:pPr>
              <w:widowControl/>
              <w:jc w:val="left"/>
              <w:rPr>
                <w:rFonts w:ascii="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0E2704A0">
            <w:pPr>
              <w:widowControl/>
              <w:jc w:val="left"/>
              <w:rPr>
                <w:rFonts w:ascii="宋体" w:cs="宋体"/>
                <w:color w:val="auto"/>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14:paraId="74234D75">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w:t>
            </w:r>
            <w:r>
              <w:rPr>
                <w:rFonts w:ascii="宋体" w:hAnsi="宋体" w:eastAsia="Times New Roman" w:cs="宋体"/>
                <w:color w:val="auto"/>
                <w:kern w:val="0"/>
                <w:sz w:val="20"/>
                <w:szCs w:val="20"/>
                <w:highlight w:val="none"/>
              </w:rPr>
              <w:t>A0201060104针式打印机</w:t>
            </w:r>
          </w:p>
        </w:tc>
        <w:tc>
          <w:tcPr>
            <w:tcW w:w="4584" w:type="dxa"/>
            <w:tcBorders>
              <w:top w:val="nil"/>
              <w:left w:val="nil"/>
              <w:bottom w:val="single" w:color="000000" w:sz="8" w:space="0"/>
              <w:right w:val="single" w:color="000000" w:sz="8" w:space="0"/>
            </w:tcBorders>
            <w:noWrap w:val="0"/>
            <w:vAlign w:val="center"/>
          </w:tcPr>
          <w:p w14:paraId="40535377">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《复印机、打印机和传真机能效限定值及能效等级》（</w:t>
            </w:r>
            <w:r>
              <w:rPr>
                <w:rFonts w:ascii="宋体" w:hAnsi="宋体" w:eastAsia="Times New Roman" w:cs="宋体"/>
                <w:color w:val="auto"/>
                <w:kern w:val="0"/>
                <w:sz w:val="20"/>
                <w:szCs w:val="20"/>
                <w:highlight w:val="none"/>
              </w:rPr>
              <w:t>GB21521）</w:t>
            </w:r>
          </w:p>
        </w:tc>
      </w:tr>
      <w:tr w14:paraId="369B5C69">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0D982709">
            <w:pPr>
              <w:widowControl/>
              <w:jc w:val="left"/>
              <w:rPr>
                <w:rFonts w:asci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3AAED7F6">
            <w:pPr>
              <w:widowControl/>
              <w:jc w:val="left"/>
              <w:rPr>
                <w:rFonts w:ascii="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39AB110D">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A02010604显示设备</w:t>
            </w:r>
          </w:p>
        </w:tc>
        <w:tc>
          <w:tcPr>
            <w:tcW w:w="1612" w:type="dxa"/>
            <w:tcBorders>
              <w:top w:val="nil"/>
              <w:left w:val="nil"/>
              <w:bottom w:val="single" w:color="000000" w:sz="8" w:space="0"/>
              <w:right w:val="single" w:color="000000" w:sz="8" w:space="0"/>
            </w:tcBorders>
            <w:noWrap w:val="0"/>
            <w:vAlign w:val="center"/>
          </w:tcPr>
          <w:p w14:paraId="1DB22941">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w:t>
            </w:r>
            <w:r>
              <w:rPr>
                <w:rFonts w:ascii="宋体" w:hAnsi="宋体" w:eastAsia="Times New Roman" w:cs="宋体"/>
                <w:color w:val="auto"/>
                <w:kern w:val="0"/>
                <w:sz w:val="20"/>
                <w:szCs w:val="20"/>
                <w:highlight w:val="none"/>
              </w:rPr>
              <w:t>A0201060401液晶显示器</w:t>
            </w:r>
          </w:p>
        </w:tc>
        <w:tc>
          <w:tcPr>
            <w:tcW w:w="4584" w:type="dxa"/>
            <w:tcBorders>
              <w:top w:val="nil"/>
              <w:left w:val="nil"/>
              <w:bottom w:val="single" w:color="000000" w:sz="8" w:space="0"/>
              <w:right w:val="single" w:color="000000" w:sz="8" w:space="0"/>
            </w:tcBorders>
            <w:noWrap w:val="0"/>
            <w:vAlign w:val="center"/>
          </w:tcPr>
          <w:p w14:paraId="1D0D3571">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《计算机显示器能效限定值及能效等级》（</w:t>
            </w:r>
            <w:r>
              <w:rPr>
                <w:rFonts w:ascii="宋体" w:hAnsi="宋体" w:eastAsia="Times New Roman" w:cs="宋体"/>
                <w:color w:val="auto"/>
                <w:kern w:val="0"/>
                <w:sz w:val="20"/>
                <w:szCs w:val="20"/>
                <w:highlight w:val="none"/>
              </w:rPr>
              <w:t>GB21520）</w:t>
            </w:r>
          </w:p>
        </w:tc>
      </w:tr>
      <w:tr w14:paraId="00F8804F">
        <w:tblPrEx>
          <w:tblCellMar>
            <w:top w:w="0" w:type="dxa"/>
            <w:left w:w="108" w:type="dxa"/>
            <w:bottom w:w="0" w:type="dxa"/>
            <w:right w:w="108" w:type="dxa"/>
          </w:tblCellMar>
        </w:tblPrEx>
        <w:trPr>
          <w:trHeight w:val="97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3FAA24DC">
            <w:pPr>
              <w:widowControl/>
              <w:jc w:val="left"/>
              <w:rPr>
                <w:rFonts w:asci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7167BBCD">
            <w:pPr>
              <w:widowControl/>
              <w:jc w:val="left"/>
              <w:rPr>
                <w:rFonts w:ascii="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7963CC0A">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A02010609图形图像输入设备</w:t>
            </w:r>
          </w:p>
        </w:tc>
        <w:tc>
          <w:tcPr>
            <w:tcW w:w="1612" w:type="dxa"/>
            <w:tcBorders>
              <w:top w:val="nil"/>
              <w:left w:val="nil"/>
              <w:bottom w:val="single" w:color="000000" w:sz="8" w:space="0"/>
              <w:right w:val="single" w:color="000000" w:sz="8" w:space="0"/>
            </w:tcBorders>
            <w:noWrap w:val="0"/>
            <w:vAlign w:val="center"/>
          </w:tcPr>
          <w:p w14:paraId="519A0471">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A0201060901扫描仪</w:t>
            </w:r>
          </w:p>
        </w:tc>
        <w:tc>
          <w:tcPr>
            <w:tcW w:w="4584" w:type="dxa"/>
            <w:tcBorders>
              <w:top w:val="nil"/>
              <w:left w:val="nil"/>
              <w:bottom w:val="single" w:color="000000" w:sz="8" w:space="0"/>
              <w:right w:val="single" w:color="000000" w:sz="8" w:space="0"/>
            </w:tcBorders>
            <w:noWrap w:val="0"/>
            <w:vAlign w:val="center"/>
          </w:tcPr>
          <w:p w14:paraId="006544E1">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参照《复印机、打印机和传真机能效限定值及能效等级》（</w:t>
            </w:r>
            <w:r>
              <w:rPr>
                <w:rFonts w:ascii="宋体" w:hAnsi="宋体" w:eastAsia="Times New Roman" w:cs="宋体"/>
                <w:color w:val="auto"/>
                <w:kern w:val="0"/>
                <w:sz w:val="20"/>
                <w:szCs w:val="20"/>
                <w:highlight w:val="none"/>
              </w:rPr>
              <w:t>GB21521中打印速度为15页/分的针式打印机相关要求中打印速度为15页/分的针式打印机相关要求</w:t>
            </w:r>
          </w:p>
        </w:tc>
      </w:tr>
      <w:tr w14:paraId="53BA7769">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14:paraId="338FF7DC">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3</w:t>
            </w:r>
          </w:p>
        </w:tc>
        <w:tc>
          <w:tcPr>
            <w:tcW w:w="1116" w:type="dxa"/>
            <w:tcBorders>
              <w:top w:val="nil"/>
              <w:left w:val="nil"/>
              <w:bottom w:val="single" w:color="000000" w:sz="8" w:space="0"/>
              <w:right w:val="single" w:color="000000" w:sz="8" w:space="0"/>
            </w:tcBorders>
            <w:noWrap w:val="0"/>
            <w:vAlign w:val="center"/>
          </w:tcPr>
          <w:p w14:paraId="2E5E3467">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A020202投影仪</w:t>
            </w:r>
          </w:p>
        </w:tc>
        <w:tc>
          <w:tcPr>
            <w:tcW w:w="1516" w:type="dxa"/>
            <w:tcBorders>
              <w:top w:val="nil"/>
              <w:left w:val="nil"/>
              <w:bottom w:val="single" w:color="000000" w:sz="8" w:space="0"/>
              <w:right w:val="single" w:color="000000" w:sz="8" w:space="0"/>
            </w:tcBorders>
            <w:noWrap w:val="0"/>
            <w:vAlign w:val="center"/>
          </w:tcPr>
          <w:p w14:paraId="06CBC909">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1612" w:type="dxa"/>
            <w:tcBorders>
              <w:top w:val="nil"/>
              <w:left w:val="nil"/>
              <w:bottom w:val="single" w:color="000000" w:sz="8" w:space="0"/>
              <w:right w:val="single" w:color="000000" w:sz="8" w:space="0"/>
            </w:tcBorders>
            <w:noWrap w:val="0"/>
            <w:vAlign w:val="center"/>
          </w:tcPr>
          <w:p w14:paraId="4087CC39">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2448F2F2">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《投影机能效限定值及能效等级》（</w:t>
            </w:r>
            <w:r>
              <w:rPr>
                <w:rFonts w:ascii="宋体" w:hAnsi="宋体" w:eastAsia="Times New Roman" w:cs="宋体"/>
                <w:color w:val="auto"/>
                <w:kern w:val="0"/>
                <w:sz w:val="20"/>
                <w:szCs w:val="20"/>
                <w:highlight w:val="none"/>
              </w:rPr>
              <w:t>GB32028）</w:t>
            </w:r>
          </w:p>
        </w:tc>
      </w:tr>
      <w:tr w14:paraId="41763E79">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14:paraId="5340CCC5">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4</w:t>
            </w:r>
          </w:p>
        </w:tc>
        <w:tc>
          <w:tcPr>
            <w:tcW w:w="1116" w:type="dxa"/>
            <w:tcBorders>
              <w:top w:val="nil"/>
              <w:left w:val="nil"/>
              <w:bottom w:val="single" w:color="000000" w:sz="8" w:space="0"/>
              <w:right w:val="single" w:color="000000" w:sz="8" w:space="0"/>
            </w:tcBorders>
            <w:noWrap w:val="0"/>
            <w:vAlign w:val="center"/>
          </w:tcPr>
          <w:p w14:paraId="3F67ED6A">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A020204多功能一体机</w:t>
            </w:r>
          </w:p>
        </w:tc>
        <w:tc>
          <w:tcPr>
            <w:tcW w:w="1516" w:type="dxa"/>
            <w:tcBorders>
              <w:top w:val="nil"/>
              <w:left w:val="nil"/>
              <w:bottom w:val="single" w:color="000000" w:sz="8" w:space="0"/>
              <w:right w:val="single" w:color="000000" w:sz="8" w:space="0"/>
            </w:tcBorders>
            <w:noWrap w:val="0"/>
            <w:vAlign w:val="center"/>
          </w:tcPr>
          <w:p w14:paraId="54C96AFA">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1612" w:type="dxa"/>
            <w:tcBorders>
              <w:top w:val="nil"/>
              <w:left w:val="nil"/>
              <w:bottom w:val="single" w:color="000000" w:sz="8" w:space="0"/>
              <w:right w:val="single" w:color="000000" w:sz="8" w:space="0"/>
            </w:tcBorders>
            <w:noWrap w:val="0"/>
            <w:vAlign w:val="center"/>
          </w:tcPr>
          <w:p w14:paraId="1500CAEE">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33469391">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《复印机、打印机和传真机能效限定值及能效等级》（</w:t>
            </w:r>
            <w:r>
              <w:rPr>
                <w:rFonts w:ascii="宋体" w:hAnsi="宋体" w:eastAsia="Times New Roman" w:cs="宋体"/>
                <w:color w:val="auto"/>
                <w:kern w:val="0"/>
                <w:sz w:val="20"/>
                <w:szCs w:val="20"/>
                <w:highlight w:val="none"/>
              </w:rPr>
              <w:t>GB21521）</w:t>
            </w:r>
          </w:p>
        </w:tc>
      </w:tr>
      <w:tr w14:paraId="5B54C8D4">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14:paraId="3FE0B985">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5</w:t>
            </w:r>
          </w:p>
        </w:tc>
        <w:tc>
          <w:tcPr>
            <w:tcW w:w="1116" w:type="dxa"/>
            <w:tcBorders>
              <w:top w:val="nil"/>
              <w:left w:val="nil"/>
              <w:bottom w:val="single" w:color="000000" w:sz="8" w:space="0"/>
              <w:right w:val="single" w:color="000000" w:sz="8" w:space="0"/>
            </w:tcBorders>
            <w:noWrap w:val="0"/>
            <w:vAlign w:val="center"/>
          </w:tcPr>
          <w:p w14:paraId="7471DCC7">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A020519泵</w:t>
            </w:r>
          </w:p>
        </w:tc>
        <w:tc>
          <w:tcPr>
            <w:tcW w:w="1516" w:type="dxa"/>
            <w:tcBorders>
              <w:top w:val="nil"/>
              <w:left w:val="nil"/>
              <w:bottom w:val="single" w:color="000000" w:sz="8" w:space="0"/>
              <w:right w:val="single" w:color="000000" w:sz="8" w:space="0"/>
            </w:tcBorders>
            <w:noWrap w:val="0"/>
            <w:vAlign w:val="center"/>
          </w:tcPr>
          <w:p w14:paraId="00A3418A">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A02051901离心泵</w:t>
            </w:r>
          </w:p>
        </w:tc>
        <w:tc>
          <w:tcPr>
            <w:tcW w:w="1612" w:type="dxa"/>
            <w:tcBorders>
              <w:top w:val="nil"/>
              <w:left w:val="nil"/>
              <w:bottom w:val="single" w:color="000000" w:sz="8" w:space="0"/>
              <w:right w:val="single" w:color="000000" w:sz="8" w:space="0"/>
            </w:tcBorders>
            <w:noWrap w:val="0"/>
            <w:vAlign w:val="center"/>
          </w:tcPr>
          <w:p w14:paraId="2FD8368A">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4CBF1A14">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《清水离心泵能效限定值及节能评价值》（</w:t>
            </w:r>
            <w:r>
              <w:rPr>
                <w:rFonts w:ascii="宋体" w:hAnsi="宋体" w:eastAsia="Times New Roman" w:cs="宋体"/>
                <w:color w:val="auto"/>
                <w:kern w:val="0"/>
                <w:sz w:val="20"/>
                <w:szCs w:val="20"/>
                <w:highlight w:val="none"/>
              </w:rPr>
              <w:t>GB19762）</w:t>
            </w:r>
          </w:p>
        </w:tc>
      </w:tr>
      <w:tr w14:paraId="40148088">
        <w:tblPrEx>
          <w:tblCellMar>
            <w:top w:w="0" w:type="dxa"/>
            <w:left w:w="108" w:type="dxa"/>
            <w:bottom w:w="0" w:type="dxa"/>
            <w:right w:w="108" w:type="dxa"/>
          </w:tblCellMar>
        </w:tblPrEx>
        <w:trPr>
          <w:trHeight w:val="735" w:hRule="atLeast"/>
        </w:trPr>
        <w:tc>
          <w:tcPr>
            <w:tcW w:w="641" w:type="dxa"/>
            <w:vMerge w:val="restart"/>
            <w:tcBorders>
              <w:top w:val="nil"/>
              <w:left w:val="single" w:color="000000" w:sz="8" w:space="0"/>
              <w:bottom w:val="single" w:color="000000" w:sz="8" w:space="0"/>
              <w:right w:val="single" w:color="000000" w:sz="8" w:space="0"/>
            </w:tcBorders>
            <w:noWrap w:val="0"/>
            <w:vAlign w:val="center"/>
          </w:tcPr>
          <w:p w14:paraId="7FFA80E8">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6</w:t>
            </w:r>
          </w:p>
        </w:tc>
        <w:tc>
          <w:tcPr>
            <w:tcW w:w="1116" w:type="dxa"/>
            <w:vMerge w:val="restart"/>
            <w:tcBorders>
              <w:top w:val="nil"/>
              <w:left w:val="single" w:color="000000" w:sz="8" w:space="0"/>
              <w:bottom w:val="single" w:color="000000" w:sz="8" w:space="0"/>
              <w:right w:val="single" w:color="000000" w:sz="8" w:space="0"/>
            </w:tcBorders>
            <w:noWrap w:val="0"/>
            <w:vAlign w:val="center"/>
          </w:tcPr>
          <w:p w14:paraId="66E95D60">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A020523制冷空调设备</w:t>
            </w:r>
          </w:p>
        </w:tc>
        <w:tc>
          <w:tcPr>
            <w:tcW w:w="1516" w:type="dxa"/>
            <w:vMerge w:val="restart"/>
            <w:tcBorders>
              <w:top w:val="nil"/>
              <w:left w:val="single" w:color="000000" w:sz="8" w:space="0"/>
              <w:bottom w:val="single" w:color="000000" w:sz="8" w:space="0"/>
              <w:right w:val="single" w:color="000000" w:sz="8" w:space="0"/>
            </w:tcBorders>
            <w:noWrap w:val="0"/>
            <w:vAlign w:val="center"/>
          </w:tcPr>
          <w:p w14:paraId="6B78280D">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w:t>
            </w:r>
            <w:r>
              <w:rPr>
                <w:rFonts w:ascii="宋体" w:hAnsi="宋体" w:eastAsia="Times New Roman" w:cs="宋体"/>
                <w:color w:val="auto"/>
                <w:kern w:val="0"/>
                <w:sz w:val="20"/>
                <w:szCs w:val="20"/>
                <w:highlight w:val="none"/>
              </w:rPr>
              <w:t>A02052301制冷压缩机</w:t>
            </w:r>
          </w:p>
        </w:tc>
        <w:tc>
          <w:tcPr>
            <w:tcW w:w="1612" w:type="dxa"/>
            <w:tcBorders>
              <w:top w:val="nil"/>
              <w:left w:val="nil"/>
              <w:bottom w:val="single" w:color="000000" w:sz="8" w:space="0"/>
              <w:right w:val="single" w:color="000000" w:sz="8" w:space="0"/>
            </w:tcBorders>
            <w:noWrap w:val="0"/>
            <w:vAlign w:val="center"/>
          </w:tcPr>
          <w:p w14:paraId="0F9EDC3D">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冷水机组</w:t>
            </w:r>
          </w:p>
        </w:tc>
        <w:tc>
          <w:tcPr>
            <w:tcW w:w="4584" w:type="dxa"/>
            <w:tcBorders>
              <w:top w:val="nil"/>
              <w:left w:val="nil"/>
              <w:bottom w:val="single" w:color="000000" w:sz="8" w:space="0"/>
              <w:right w:val="single" w:color="000000" w:sz="8" w:space="0"/>
            </w:tcBorders>
            <w:noWrap w:val="0"/>
            <w:vAlign w:val="center"/>
          </w:tcPr>
          <w:p w14:paraId="5E5BE32F">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《冷水机组能效限定值及能效等级》（</w:t>
            </w:r>
            <w:r>
              <w:rPr>
                <w:rFonts w:ascii="宋体" w:hAnsi="宋体" w:eastAsia="Times New Roman" w:cs="宋体"/>
                <w:color w:val="auto"/>
                <w:kern w:val="0"/>
                <w:sz w:val="20"/>
                <w:szCs w:val="20"/>
                <w:highlight w:val="none"/>
              </w:rPr>
              <w:t>GB19577），《低环境温度空气源热泵（冷水）机组能效限定值及能效等级》（GB37480）</w:t>
            </w:r>
          </w:p>
        </w:tc>
      </w:tr>
      <w:tr w14:paraId="5FB4196D">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6E4F4F95">
            <w:pPr>
              <w:widowControl/>
              <w:jc w:val="left"/>
              <w:rPr>
                <w:rFonts w:asci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1AAB4A07">
            <w:pPr>
              <w:widowControl/>
              <w:jc w:val="left"/>
              <w:rPr>
                <w:rFonts w:ascii="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6132AB73">
            <w:pPr>
              <w:widowControl/>
              <w:jc w:val="left"/>
              <w:rPr>
                <w:rFonts w:ascii="宋体" w:cs="宋体"/>
                <w:color w:val="auto"/>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14:paraId="4AE5AF16">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水源热泵机组</w:t>
            </w:r>
          </w:p>
        </w:tc>
        <w:tc>
          <w:tcPr>
            <w:tcW w:w="4584" w:type="dxa"/>
            <w:tcBorders>
              <w:top w:val="nil"/>
              <w:left w:val="nil"/>
              <w:bottom w:val="single" w:color="000000" w:sz="8" w:space="0"/>
              <w:right w:val="single" w:color="000000" w:sz="8" w:space="0"/>
            </w:tcBorders>
            <w:noWrap w:val="0"/>
            <w:vAlign w:val="center"/>
          </w:tcPr>
          <w:p w14:paraId="1D3D2216">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《水（地）源热泵机组能效限定值及能效等级》（</w:t>
            </w:r>
            <w:r>
              <w:rPr>
                <w:rFonts w:ascii="宋体" w:hAnsi="宋体" w:eastAsia="Times New Roman" w:cs="宋体"/>
                <w:color w:val="auto"/>
                <w:kern w:val="0"/>
                <w:sz w:val="20"/>
                <w:szCs w:val="20"/>
                <w:highlight w:val="none"/>
              </w:rPr>
              <w:t>GB30721）</w:t>
            </w:r>
          </w:p>
        </w:tc>
      </w:tr>
      <w:tr w14:paraId="12EE5441">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1CC12AD4">
            <w:pPr>
              <w:widowControl/>
              <w:jc w:val="left"/>
              <w:rPr>
                <w:rFonts w:asci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7DAB446A">
            <w:pPr>
              <w:widowControl/>
              <w:jc w:val="left"/>
              <w:rPr>
                <w:rFonts w:ascii="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24C0D5DF">
            <w:pPr>
              <w:widowControl/>
              <w:jc w:val="left"/>
              <w:rPr>
                <w:rFonts w:ascii="宋体" w:cs="宋体"/>
                <w:color w:val="auto"/>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14:paraId="207902F9">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溴化锂吸收式冷水机组</w:t>
            </w:r>
          </w:p>
        </w:tc>
        <w:tc>
          <w:tcPr>
            <w:tcW w:w="4584" w:type="dxa"/>
            <w:tcBorders>
              <w:top w:val="nil"/>
              <w:left w:val="nil"/>
              <w:bottom w:val="single" w:color="000000" w:sz="8" w:space="0"/>
              <w:right w:val="single" w:color="000000" w:sz="8" w:space="0"/>
            </w:tcBorders>
            <w:noWrap w:val="0"/>
            <w:vAlign w:val="center"/>
          </w:tcPr>
          <w:p w14:paraId="77F8A4EC">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《溴化锂吸收式冷水机组能效限定值及能效等级》（</w:t>
            </w:r>
            <w:r>
              <w:rPr>
                <w:rFonts w:ascii="宋体" w:hAnsi="宋体" w:eastAsia="Times New Roman" w:cs="宋体"/>
                <w:color w:val="auto"/>
                <w:kern w:val="0"/>
                <w:sz w:val="20"/>
                <w:szCs w:val="20"/>
                <w:highlight w:val="none"/>
              </w:rPr>
              <w:t>GB29540）</w:t>
            </w:r>
          </w:p>
        </w:tc>
      </w:tr>
      <w:tr w14:paraId="7383C3C1">
        <w:tblPrEx>
          <w:tblCellMar>
            <w:top w:w="0" w:type="dxa"/>
            <w:left w:w="108" w:type="dxa"/>
            <w:bottom w:w="0" w:type="dxa"/>
            <w:right w:w="108" w:type="dxa"/>
          </w:tblCellMar>
        </w:tblPrEx>
        <w:trPr>
          <w:trHeight w:val="73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7FE86DEB">
            <w:pPr>
              <w:widowControl/>
              <w:jc w:val="left"/>
              <w:rPr>
                <w:rFonts w:asci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795DEA2C">
            <w:pPr>
              <w:widowControl/>
              <w:jc w:val="left"/>
              <w:rPr>
                <w:rFonts w:ascii="宋体" w:cs="宋体"/>
                <w:color w:val="auto"/>
                <w:kern w:val="0"/>
                <w:sz w:val="20"/>
                <w:szCs w:val="20"/>
                <w:highlight w:val="none"/>
              </w:rPr>
            </w:pPr>
          </w:p>
        </w:tc>
        <w:tc>
          <w:tcPr>
            <w:tcW w:w="1516" w:type="dxa"/>
            <w:vMerge w:val="restart"/>
            <w:tcBorders>
              <w:top w:val="nil"/>
              <w:left w:val="single" w:color="000000" w:sz="8" w:space="0"/>
              <w:bottom w:val="single" w:color="000000" w:sz="8" w:space="0"/>
              <w:right w:val="single" w:color="000000" w:sz="8" w:space="0"/>
            </w:tcBorders>
            <w:noWrap w:val="0"/>
            <w:vAlign w:val="center"/>
          </w:tcPr>
          <w:p w14:paraId="789DF408">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w:t>
            </w:r>
            <w:r>
              <w:rPr>
                <w:rFonts w:ascii="宋体" w:hAnsi="宋体" w:eastAsia="Times New Roman" w:cs="宋体"/>
                <w:color w:val="auto"/>
                <w:kern w:val="0"/>
                <w:sz w:val="20"/>
                <w:szCs w:val="20"/>
                <w:highlight w:val="none"/>
              </w:rPr>
              <w:t>A02052305空调机组</w:t>
            </w:r>
          </w:p>
        </w:tc>
        <w:tc>
          <w:tcPr>
            <w:tcW w:w="1612" w:type="dxa"/>
            <w:tcBorders>
              <w:top w:val="nil"/>
              <w:left w:val="nil"/>
              <w:bottom w:val="single" w:color="000000" w:sz="8" w:space="0"/>
              <w:right w:val="single" w:color="000000" w:sz="8" w:space="0"/>
            </w:tcBorders>
            <w:noWrap w:val="0"/>
            <w:vAlign w:val="center"/>
          </w:tcPr>
          <w:p w14:paraId="333FFEC1">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多联式空调（热泵）机组</w:t>
            </w:r>
            <w:r>
              <w:rPr>
                <w:rFonts w:ascii="宋体" w:hAnsi="宋体" w:eastAsia="Times New Roman" w:cs="宋体"/>
                <w:color w:val="auto"/>
                <w:kern w:val="0"/>
                <w:sz w:val="20"/>
                <w:szCs w:val="20"/>
                <w:highlight w:val="none"/>
              </w:rPr>
              <w:t>(制冷量&gt;14000W)</w:t>
            </w:r>
          </w:p>
        </w:tc>
        <w:tc>
          <w:tcPr>
            <w:tcW w:w="4584" w:type="dxa"/>
            <w:tcBorders>
              <w:top w:val="nil"/>
              <w:left w:val="nil"/>
              <w:bottom w:val="single" w:color="000000" w:sz="8" w:space="0"/>
              <w:right w:val="single" w:color="000000" w:sz="8" w:space="0"/>
            </w:tcBorders>
            <w:noWrap w:val="0"/>
            <w:vAlign w:val="center"/>
          </w:tcPr>
          <w:p w14:paraId="0A0F0FFB">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《多联式空调（热泵）机组能效限定值及能源效率等级》（</w:t>
            </w:r>
            <w:r>
              <w:rPr>
                <w:rFonts w:ascii="宋体" w:hAnsi="宋体" w:eastAsia="Times New Roman" w:cs="宋体"/>
                <w:color w:val="auto"/>
                <w:kern w:val="0"/>
                <w:sz w:val="20"/>
                <w:szCs w:val="20"/>
                <w:highlight w:val="none"/>
              </w:rPr>
              <w:t>GB21454）</w:t>
            </w:r>
          </w:p>
        </w:tc>
      </w:tr>
      <w:tr w14:paraId="2CA2985A">
        <w:tblPrEx>
          <w:tblCellMar>
            <w:top w:w="0" w:type="dxa"/>
            <w:left w:w="108" w:type="dxa"/>
            <w:bottom w:w="0" w:type="dxa"/>
            <w:right w:w="108" w:type="dxa"/>
          </w:tblCellMar>
        </w:tblPrEx>
        <w:trPr>
          <w:trHeight w:val="73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314A73C8">
            <w:pPr>
              <w:widowControl/>
              <w:jc w:val="left"/>
              <w:rPr>
                <w:rFonts w:asci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37F2CFAC">
            <w:pPr>
              <w:widowControl/>
              <w:jc w:val="left"/>
              <w:rPr>
                <w:rFonts w:ascii="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0E659E31">
            <w:pPr>
              <w:widowControl/>
              <w:jc w:val="left"/>
              <w:rPr>
                <w:rFonts w:ascii="宋体" w:cs="宋体"/>
                <w:color w:val="auto"/>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14:paraId="0E79B173">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单元式空气调节机</w:t>
            </w:r>
            <w:r>
              <w:rPr>
                <w:rFonts w:ascii="宋体" w:hAnsi="宋体" w:eastAsia="Times New Roman" w:cs="宋体"/>
                <w:color w:val="auto"/>
                <w:kern w:val="0"/>
                <w:sz w:val="20"/>
                <w:szCs w:val="20"/>
                <w:highlight w:val="none"/>
              </w:rPr>
              <w:t>(制冷量&gt;14000W</w:t>
            </w:r>
          </w:p>
        </w:tc>
        <w:tc>
          <w:tcPr>
            <w:tcW w:w="4584" w:type="dxa"/>
            <w:tcBorders>
              <w:top w:val="nil"/>
              <w:left w:val="nil"/>
              <w:bottom w:val="single" w:color="000000" w:sz="8" w:space="0"/>
              <w:right w:val="single" w:color="000000" w:sz="8" w:space="0"/>
            </w:tcBorders>
            <w:noWrap w:val="0"/>
            <w:vAlign w:val="center"/>
          </w:tcPr>
          <w:p w14:paraId="67B0669A">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《单元式空气调节机能效限定值及能效等级》（</w:t>
            </w:r>
            <w:r>
              <w:rPr>
                <w:rFonts w:ascii="宋体" w:hAnsi="宋体" w:eastAsia="Times New Roman" w:cs="宋体"/>
                <w:color w:val="auto"/>
                <w:kern w:val="0"/>
                <w:sz w:val="20"/>
                <w:szCs w:val="20"/>
                <w:highlight w:val="none"/>
              </w:rPr>
              <w:t>GB19576）《风管送风式空调机组能效限定值及能效等级》（GB37479）</w:t>
            </w:r>
          </w:p>
        </w:tc>
      </w:tr>
      <w:tr w14:paraId="66521F65">
        <w:tblPrEx>
          <w:tblCellMar>
            <w:top w:w="0" w:type="dxa"/>
            <w:left w:w="108" w:type="dxa"/>
            <w:bottom w:w="0" w:type="dxa"/>
            <w:right w:w="108" w:type="dxa"/>
          </w:tblCellMar>
        </w:tblPrEx>
        <w:trPr>
          <w:trHeight w:val="73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45D938C1">
            <w:pPr>
              <w:widowControl/>
              <w:jc w:val="left"/>
              <w:rPr>
                <w:rFonts w:asci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5CCCA2E3">
            <w:pPr>
              <w:widowControl/>
              <w:jc w:val="left"/>
              <w:rPr>
                <w:rFonts w:ascii="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3132EB8B">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w:t>
            </w:r>
            <w:r>
              <w:rPr>
                <w:rFonts w:ascii="宋体" w:hAnsi="宋体" w:eastAsia="Times New Roman" w:cs="宋体"/>
                <w:color w:val="auto"/>
                <w:kern w:val="0"/>
                <w:sz w:val="20"/>
                <w:szCs w:val="20"/>
                <w:highlight w:val="none"/>
              </w:rPr>
              <w:t>A02052309专用制冷、空调设备</w:t>
            </w:r>
          </w:p>
        </w:tc>
        <w:tc>
          <w:tcPr>
            <w:tcW w:w="1612" w:type="dxa"/>
            <w:tcBorders>
              <w:top w:val="nil"/>
              <w:left w:val="nil"/>
              <w:bottom w:val="single" w:color="000000" w:sz="8" w:space="0"/>
              <w:right w:val="single" w:color="000000" w:sz="8" w:space="0"/>
            </w:tcBorders>
            <w:noWrap w:val="0"/>
            <w:vAlign w:val="center"/>
          </w:tcPr>
          <w:p w14:paraId="31A9C258">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机房空调</w:t>
            </w:r>
          </w:p>
        </w:tc>
        <w:tc>
          <w:tcPr>
            <w:tcW w:w="4584" w:type="dxa"/>
            <w:tcBorders>
              <w:top w:val="nil"/>
              <w:left w:val="nil"/>
              <w:bottom w:val="single" w:color="000000" w:sz="8" w:space="0"/>
              <w:right w:val="single" w:color="000000" w:sz="8" w:space="0"/>
            </w:tcBorders>
            <w:noWrap w:val="0"/>
            <w:vAlign w:val="center"/>
          </w:tcPr>
          <w:p w14:paraId="23EDB52A">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《单元式空气调节机能效限定值及能效等级》（</w:t>
            </w:r>
            <w:r>
              <w:rPr>
                <w:rFonts w:ascii="宋体" w:hAnsi="宋体" w:eastAsia="Times New Roman" w:cs="宋体"/>
                <w:color w:val="auto"/>
                <w:kern w:val="0"/>
                <w:sz w:val="20"/>
                <w:szCs w:val="20"/>
                <w:highlight w:val="none"/>
              </w:rPr>
              <w:t>GB19576）</w:t>
            </w:r>
          </w:p>
        </w:tc>
      </w:tr>
      <w:tr w14:paraId="0BCE3B76">
        <w:tblPrEx>
          <w:tblCellMar>
            <w:top w:w="0" w:type="dxa"/>
            <w:left w:w="108" w:type="dxa"/>
            <w:bottom w:w="0" w:type="dxa"/>
            <w:right w:w="108" w:type="dxa"/>
          </w:tblCellMar>
        </w:tblPrEx>
        <w:trPr>
          <w:trHeight w:val="73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3831D82B">
            <w:pPr>
              <w:widowControl/>
              <w:jc w:val="left"/>
              <w:rPr>
                <w:rFonts w:asci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5E13004C">
            <w:pPr>
              <w:widowControl/>
              <w:jc w:val="left"/>
              <w:rPr>
                <w:rFonts w:ascii="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2A9AC25D">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A02052399其他制冷空调设备</w:t>
            </w:r>
          </w:p>
        </w:tc>
        <w:tc>
          <w:tcPr>
            <w:tcW w:w="1612" w:type="dxa"/>
            <w:tcBorders>
              <w:top w:val="nil"/>
              <w:left w:val="nil"/>
              <w:bottom w:val="single" w:color="000000" w:sz="8" w:space="0"/>
              <w:right w:val="single" w:color="000000" w:sz="8" w:space="0"/>
            </w:tcBorders>
            <w:noWrap w:val="0"/>
            <w:vAlign w:val="center"/>
          </w:tcPr>
          <w:p w14:paraId="67909649">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冷却塔</w:t>
            </w:r>
          </w:p>
        </w:tc>
        <w:tc>
          <w:tcPr>
            <w:tcW w:w="4584" w:type="dxa"/>
            <w:tcBorders>
              <w:top w:val="nil"/>
              <w:left w:val="nil"/>
              <w:bottom w:val="single" w:color="000000" w:sz="8" w:space="0"/>
              <w:right w:val="single" w:color="000000" w:sz="8" w:space="0"/>
            </w:tcBorders>
            <w:noWrap w:val="0"/>
            <w:vAlign w:val="center"/>
          </w:tcPr>
          <w:p w14:paraId="12117FD0">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《机械通风冷却塔第</w:t>
            </w:r>
            <w:r>
              <w:rPr>
                <w:rFonts w:ascii="宋体" w:hAnsi="宋体" w:eastAsia="Times New Roman" w:cs="宋体"/>
                <w:color w:val="auto"/>
                <w:kern w:val="0"/>
                <w:sz w:val="20"/>
                <w:szCs w:val="20"/>
                <w:highlight w:val="none"/>
              </w:rPr>
              <w:t>1部分：中小型开式冷却塔》（GB/T7190.1）；《机械通风冷却塔第2部分：大型开式冷却塔》（GB/T7190.2）</w:t>
            </w:r>
          </w:p>
        </w:tc>
      </w:tr>
      <w:tr w14:paraId="497890F7">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14:paraId="49CA06A7">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7</w:t>
            </w:r>
          </w:p>
        </w:tc>
        <w:tc>
          <w:tcPr>
            <w:tcW w:w="1116" w:type="dxa"/>
            <w:tcBorders>
              <w:top w:val="nil"/>
              <w:left w:val="nil"/>
              <w:bottom w:val="single" w:color="000000" w:sz="8" w:space="0"/>
              <w:right w:val="single" w:color="000000" w:sz="8" w:space="0"/>
            </w:tcBorders>
            <w:noWrap w:val="0"/>
            <w:vAlign w:val="center"/>
          </w:tcPr>
          <w:p w14:paraId="6087417A">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A020601电机</w:t>
            </w:r>
          </w:p>
        </w:tc>
        <w:tc>
          <w:tcPr>
            <w:tcW w:w="1516" w:type="dxa"/>
            <w:tcBorders>
              <w:top w:val="nil"/>
              <w:left w:val="nil"/>
              <w:bottom w:val="single" w:color="000000" w:sz="8" w:space="0"/>
              <w:right w:val="single" w:color="000000" w:sz="8" w:space="0"/>
            </w:tcBorders>
            <w:noWrap w:val="0"/>
            <w:vAlign w:val="center"/>
          </w:tcPr>
          <w:p w14:paraId="01E36AA0">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1612" w:type="dxa"/>
            <w:tcBorders>
              <w:top w:val="nil"/>
              <w:left w:val="nil"/>
              <w:bottom w:val="single" w:color="000000" w:sz="8" w:space="0"/>
              <w:right w:val="single" w:color="000000" w:sz="8" w:space="0"/>
            </w:tcBorders>
            <w:noWrap w:val="0"/>
            <w:vAlign w:val="center"/>
          </w:tcPr>
          <w:p w14:paraId="29BB34F2">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7E8B2DD3">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《中小型三相异步电动机能效限定值及能效等级》（</w:t>
            </w:r>
            <w:r>
              <w:rPr>
                <w:rFonts w:ascii="宋体" w:hAnsi="宋体" w:eastAsia="Times New Roman" w:cs="宋体"/>
                <w:color w:val="auto"/>
                <w:kern w:val="0"/>
                <w:sz w:val="20"/>
                <w:szCs w:val="20"/>
                <w:highlight w:val="none"/>
              </w:rPr>
              <w:t>GB18613）</w:t>
            </w:r>
          </w:p>
        </w:tc>
      </w:tr>
      <w:tr w14:paraId="65A0BBD9">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14:paraId="3236CA56">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8</w:t>
            </w:r>
          </w:p>
        </w:tc>
        <w:tc>
          <w:tcPr>
            <w:tcW w:w="1116" w:type="dxa"/>
            <w:tcBorders>
              <w:top w:val="nil"/>
              <w:left w:val="nil"/>
              <w:bottom w:val="single" w:color="000000" w:sz="8" w:space="0"/>
              <w:right w:val="single" w:color="000000" w:sz="8" w:space="0"/>
            </w:tcBorders>
            <w:noWrap w:val="0"/>
            <w:vAlign w:val="center"/>
          </w:tcPr>
          <w:p w14:paraId="7E11AA0A">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A020602变压器</w:t>
            </w:r>
          </w:p>
        </w:tc>
        <w:tc>
          <w:tcPr>
            <w:tcW w:w="1516" w:type="dxa"/>
            <w:tcBorders>
              <w:top w:val="nil"/>
              <w:left w:val="nil"/>
              <w:bottom w:val="single" w:color="000000" w:sz="8" w:space="0"/>
              <w:right w:val="single" w:color="000000" w:sz="8" w:space="0"/>
            </w:tcBorders>
            <w:noWrap w:val="0"/>
            <w:vAlign w:val="center"/>
          </w:tcPr>
          <w:p w14:paraId="103CDC27">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配电变压器</w:t>
            </w:r>
          </w:p>
        </w:tc>
        <w:tc>
          <w:tcPr>
            <w:tcW w:w="1612" w:type="dxa"/>
            <w:tcBorders>
              <w:top w:val="nil"/>
              <w:left w:val="nil"/>
              <w:bottom w:val="single" w:color="000000" w:sz="8" w:space="0"/>
              <w:right w:val="single" w:color="000000" w:sz="8" w:space="0"/>
            </w:tcBorders>
            <w:noWrap w:val="0"/>
            <w:vAlign w:val="center"/>
          </w:tcPr>
          <w:p w14:paraId="58BA90A3">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61E56378">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《三相配电变压器能效限定值及能效等级》（</w:t>
            </w:r>
            <w:r>
              <w:rPr>
                <w:rFonts w:ascii="宋体" w:hAnsi="宋体" w:eastAsia="Times New Roman" w:cs="宋体"/>
                <w:color w:val="auto"/>
                <w:kern w:val="0"/>
                <w:sz w:val="20"/>
                <w:szCs w:val="20"/>
                <w:highlight w:val="none"/>
              </w:rPr>
              <w:t>GB20052）</w:t>
            </w:r>
          </w:p>
        </w:tc>
      </w:tr>
      <w:tr w14:paraId="1B02BC72">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14:paraId="5111B9AA">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9</w:t>
            </w:r>
          </w:p>
        </w:tc>
        <w:tc>
          <w:tcPr>
            <w:tcW w:w="1116" w:type="dxa"/>
            <w:tcBorders>
              <w:top w:val="nil"/>
              <w:left w:val="nil"/>
              <w:bottom w:val="single" w:color="000000" w:sz="8" w:space="0"/>
              <w:right w:val="single" w:color="000000" w:sz="8" w:space="0"/>
            </w:tcBorders>
            <w:noWrap w:val="0"/>
            <w:vAlign w:val="center"/>
          </w:tcPr>
          <w:p w14:paraId="63C870A5">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w:t>
            </w:r>
            <w:r>
              <w:rPr>
                <w:rFonts w:ascii="宋体" w:hAnsi="宋体" w:eastAsia="Times New Roman" w:cs="宋体"/>
                <w:color w:val="auto"/>
                <w:kern w:val="0"/>
                <w:sz w:val="20"/>
                <w:szCs w:val="20"/>
                <w:highlight w:val="none"/>
              </w:rPr>
              <w:t>A020609镇流器</w:t>
            </w:r>
          </w:p>
        </w:tc>
        <w:tc>
          <w:tcPr>
            <w:tcW w:w="1516" w:type="dxa"/>
            <w:tcBorders>
              <w:top w:val="nil"/>
              <w:left w:val="nil"/>
              <w:bottom w:val="single" w:color="000000" w:sz="8" w:space="0"/>
              <w:right w:val="single" w:color="000000" w:sz="8" w:space="0"/>
            </w:tcBorders>
            <w:noWrap w:val="0"/>
            <w:vAlign w:val="center"/>
          </w:tcPr>
          <w:p w14:paraId="4E27D0D3">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管型荧光灯镇流器</w:t>
            </w:r>
          </w:p>
        </w:tc>
        <w:tc>
          <w:tcPr>
            <w:tcW w:w="1612" w:type="dxa"/>
            <w:tcBorders>
              <w:top w:val="nil"/>
              <w:left w:val="nil"/>
              <w:bottom w:val="single" w:color="000000" w:sz="8" w:space="0"/>
              <w:right w:val="single" w:color="000000" w:sz="8" w:space="0"/>
            </w:tcBorders>
            <w:noWrap w:val="0"/>
            <w:vAlign w:val="center"/>
          </w:tcPr>
          <w:p w14:paraId="613AB011">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31B1E195">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《管形荧光灯镇流器能效限定值及能效等级》（</w:t>
            </w:r>
            <w:r>
              <w:rPr>
                <w:rFonts w:ascii="宋体" w:hAnsi="宋体" w:eastAsia="Times New Roman" w:cs="宋体"/>
                <w:color w:val="auto"/>
                <w:kern w:val="0"/>
                <w:sz w:val="20"/>
                <w:szCs w:val="20"/>
                <w:highlight w:val="none"/>
              </w:rPr>
              <w:t>GB17896）</w:t>
            </w:r>
          </w:p>
        </w:tc>
      </w:tr>
      <w:tr w14:paraId="74BF8190">
        <w:tblPrEx>
          <w:tblCellMar>
            <w:top w:w="0" w:type="dxa"/>
            <w:left w:w="108" w:type="dxa"/>
            <w:bottom w:w="0" w:type="dxa"/>
            <w:right w:w="108" w:type="dxa"/>
          </w:tblCellMar>
        </w:tblPrEx>
        <w:trPr>
          <w:trHeight w:val="495" w:hRule="atLeast"/>
        </w:trPr>
        <w:tc>
          <w:tcPr>
            <w:tcW w:w="641" w:type="dxa"/>
            <w:vMerge w:val="restart"/>
            <w:tcBorders>
              <w:top w:val="nil"/>
              <w:left w:val="single" w:color="000000" w:sz="8" w:space="0"/>
              <w:bottom w:val="single" w:color="000000" w:sz="8" w:space="0"/>
              <w:right w:val="single" w:color="000000" w:sz="8" w:space="0"/>
            </w:tcBorders>
            <w:noWrap w:val="0"/>
            <w:vAlign w:val="center"/>
          </w:tcPr>
          <w:p w14:paraId="3A2F5D31">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10</w:t>
            </w:r>
          </w:p>
        </w:tc>
        <w:tc>
          <w:tcPr>
            <w:tcW w:w="1116" w:type="dxa"/>
            <w:vMerge w:val="restart"/>
            <w:tcBorders>
              <w:top w:val="nil"/>
              <w:left w:val="single" w:color="000000" w:sz="8" w:space="0"/>
              <w:bottom w:val="single" w:color="000000" w:sz="8" w:space="0"/>
              <w:right w:val="single" w:color="000000" w:sz="8" w:space="0"/>
            </w:tcBorders>
            <w:noWrap w:val="0"/>
            <w:vAlign w:val="center"/>
          </w:tcPr>
          <w:p w14:paraId="1072D71C">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A020618生活用电器</w:t>
            </w:r>
          </w:p>
        </w:tc>
        <w:tc>
          <w:tcPr>
            <w:tcW w:w="1516" w:type="dxa"/>
            <w:tcBorders>
              <w:top w:val="nil"/>
              <w:left w:val="nil"/>
              <w:bottom w:val="single" w:color="000000" w:sz="8" w:space="0"/>
              <w:right w:val="single" w:color="000000" w:sz="8" w:space="0"/>
            </w:tcBorders>
            <w:noWrap w:val="0"/>
            <w:vAlign w:val="center"/>
          </w:tcPr>
          <w:p w14:paraId="1FC245AF">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A0206180101电冰箱</w:t>
            </w:r>
          </w:p>
        </w:tc>
        <w:tc>
          <w:tcPr>
            <w:tcW w:w="1612" w:type="dxa"/>
            <w:tcBorders>
              <w:top w:val="nil"/>
              <w:left w:val="nil"/>
              <w:bottom w:val="single" w:color="000000" w:sz="8" w:space="0"/>
              <w:right w:val="single" w:color="000000" w:sz="8" w:space="0"/>
            </w:tcBorders>
            <w:noWrap w:val="0"/>
            <w:vAlign w:val="center"/>
          </w:tcPr>
          <w:p w14:paraId="501192B9">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177DE1F2">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《家用电冰箱耗电量限定值及能效等级》（</w:t>
            </w:r>
            <w:r>
              <w:rPr>
                <w:rFonts w:ascii="宋体" w:hAnsi="宋体" w:eastAsia="Times New Roman" w:cs="宋体"/>
                <w:color w:val="auto"/>
                <w:kern w:val="0"/>
                <w:sz w:val="20"/>
                <w:szCs w:val="20"/>
                <w:highlight w:val="none"/>
              </w:rPr>
              <w:t>GB 12021.2）</w:t>
            </w:r>
          </w:p>
        </w:tc>
      </w:tr>
      <w:tr w14:paraId="29D8338D">
        <w:tblPrEx>
          <w:tblCellMar>
            <w:top w:w="0" w:type="dxa"/>
            <w:left w:w="108" w:type="dxa"/>
            <w:bottom w:w="0" w:type="dxa"/>
            <w:right w:w="108" w:type="dxa"/>
          </w:tblCellMar>
        </w:tblPrEx>
        <w:trPr>
          <w:trHeight w:val="97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6B99DEEB">
            <w:pPr>
              <w:widowControl/>
              <w:jc w:val="left"/>
              <w:rPr>
                <w:rFonts w:asci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491E6403">
            <w:pPr>
              <w:widowControl/>
              <w:jc w:val="left"/>
              <w:rPr>
                <w:rFonts w:ascii="宋体" w:cs="宋体"/>
                <w:color w:val="auto"/>
                <w:kern w:val="0"/>
                <w:sz w:val="20"/>
                <w:szCs w:val="20"/>
                <w:highlight w:val="none"/>
              </w:rPr>
            </w:pPr>
          </w:p>
        </w:tc>
        <w:tc>
          <w:tcPr>
            <w:tcW w:w="1516" w:type="dxa"/>
            <w:vMerge w:val="restart"/>
            <w:tcBorders>
              <w:top w:val="nil"/>
              <w:left w:val="single" w:color="000000" w:sz="8" w:space="0"/>
              <w:bottom w:val="single" w:color="000000" w:sz="8" w:space="0"/>
              <w:right w:val="single" w:color="000000" w:sz="8" w:space="0"/>
            </w:tcBorders>
            <w:noWrap w:val="0"/>
            <w:vAlign w:val="center"/>
          </w:tcPr>
          <w:p w14:paraId="76D5C01B">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w:t>
            </w:r>
            <w:r>
              <w:rPr>
                <w:rFonts w:ascii="宋体" w:hAnsi="宋体" w:eastAsia="Times New Roman" w:cs="宋体"/>
                <w:color w:val="auto"/>
                <w:kern w:val="0"/>
                <w:sz w:val="20"/>
                <w:szCs w:val="20"/>
                <w:highlight w:val="none"/>
              </w:rPr>
              <w:t>A0206180203空调机</w:t>
            </w:r>
          </w:p>
        </w:tc>
        <w:tc>
          <w:tcPr>
            <w:tcW w:w="1612" w:type="dxa"/>
            <w:tcBorders>
              <w:top w:val="nil"/>
              <w:left w:val="nil"/>
              <w:bottom w:val="single" w:color="000000" w:sz="8" w:space="0"/>
              <w:right w:val="single" w:color="000000" w:sz="8" w:space="0"/>
            </w:tcBorders>
            <w:noWrap w:val="0"/>
            <w:vAlign w:val="center"/>
          </w:tcPr>
          <w:p w14:paraId="304B3E22">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房间空气调节器</w:t>
            </w:r>
          </w:p>
        </w:tc>
        <w:tc>
          <w:tcPr>
            <w:tcW w:w="4584" w:type="dxa"/>
            <w:tcBorders>
              <w:top w:val="nil"/>
              <w:left w:val="nil"/>
              <w:bottom w:val="single" w:color="000000" w:sz="8" w:space="0"/>
              <w:right w:val="single" w:color="000000" w:sz="8" w:space="0"/>
            </w:tcBorders>
            <w:noWrap w:val="0"/>
            <w:vAlign w:val="center"/>
          </w:tcPr>
          <w:p w14:paraId="147470B2">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《转速可控型房间空气调节器能效限定值及能效等级》（</w:t>
            </w:r>
            <w:r>
              <w:rPr>
                <w:rFonts w:ascii="宋体" w:hAnsi="宋体" w:eastAsia="Times New Roman" w:cs="宋体"/>
                <w:color w:val="auto"/>
                <w:kern w:val="0"/>
                <w:sz w:val="20"/>
                <w:szCs w:val="20"/>
                <w:highlight w:val="none"/>
              </w:rPr>
              <w:t>GB21455-2013），待2019年修订发布后，按《房间空气调节器能效限定值及能效等级》（GB21455-2019实施。</w:t>
            </w:r>
          </w:p>
        </w:tc>
      </w:tr>
      <w:tr w14:paraId="6C2FB614">
        <w:tblPrEx>
          <w:tblCellMar>
            <w:top w:w="0" w:type="dxa"/>
            <w:left w:w="108" w:type="dxa"/>
            <w:bottom w:w="0" w:type="dxa"/>
            <w:right w:w="108" w:type="dxa"/>
          </w:tblCellMar>
        </w:tblPrEx>
        <w:trPr>
          <w:trHeight w:val="73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6BF0B773">
            <w:pPr>
              <w:widowControl/>
              <w:jc w:val="left"/>
              <w:rPr>
                <w:rFonts w:asci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1529CACF">
            <w:pPr>
              <w:widowControl/>
              <w:jc w:val="left"/>
              <w:rPr>
                <w:rFonts w:ascii="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13C489E3">
            <w:pPr>
              <w:widowControl/>
              <w:jc w:val="left"/>
              <w:rPr>
                <w:rFonts w:ascii="宋体" w:cs="宋体"/>
                <w:color w:val="auto"/>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14:paraId="7B684988">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多联式空调（热泵）机组（制冷量≤</w:t>
            </w:r>
            <w:r>
              <w:rPr>
                <w:rFonts w:ascii="宋体" w:hAnsi="宋体" w:eastAsia="Times New Roman" w:cs="宋体"/>
                <w:color w:val="auto"/>
                <w:kern w:val="0"/>
                <w:sz w:val="20"/>
                <w:szCs w:val="20"/>
                <w:highlight w:val="none"/>
              </w:rPr>
              <w:t xml:space="preserve"> 14000W）</w:t>
            </w:r>
          </w:p>
        </w:tc>
        <w:tc>
          <w:tcPr>
            <w:tcW w:w="4584" w:type="dxa"/>
            <w:tcBorders>
              <w:top w:val="nil"/>
              <w:left w:val="nil"/>
              <w:bottom w:val="single" w:color="000000" w:sz="8" w:space="0"/>
              <w:right w:val="single" w:color="000000" w:sz="8" w:space="0"/>
            </w:tcBorders>
            <w:noWrap w:val="0"/>
            <w:vAlign w:val="center"/>
          </w:tcPr>
          <w:p w14:paraId="6C69402E">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《多联式空调（热泵）机组能效限定值及能源效率等级》（</w:t>
            </w:r>
            <w:r>
              <w:rPr>
                <w:rFonts w:ascii="宋体" w:hAnsi="宋体" w:eastAsia="Times New Roman" w:cs="宋体"/>
                <w:color w:val="auto"/>
                <w:kern w:val="0"/>
                <w:sz w:val="20"/>
                <w:szCs w:val="20"/>
                <w:highlight w:val="none"/>
              </w:rPr>
              <w:t>GB21454）</w:t>
            </w:r>
          </w:p>
        </w:tc>
      </w:tr>
      <w:tr w14:paraId="57EA6314">
        <w:tblPrEx>
          <w:tblCellMar>
            <w:top w:w="0" w:type="dxa"/>
            <w:left w:w="108" w:type="dxa"/>
            <w:bottom w:w="0" w:type="dxa"/>
            <w:right w:w="108" w:type="dxa"/>
          </w:tblCellMar>
        </w:tblPrEx>
        <w:trPr>
          <w:trHeight w:val="73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55EFBC68">
            <w:pPr>
              <w:widowControl/>
              <w:jc w:val="left"/>
              <w:rPr>
                <w:rFonts w:asci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482F6A77">
            <w:pPr>
              <w:widowControl/>
              <w:jc w:val="left"/>
              <w:rPr>
                <w:rFonts w:ascii="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06A0AFED">
            <w:pPr>
              <w:widowControl/>
              <w:jc w:val="left"/>
              <w:rPr>
                <w:rFonts w:ascii="宋体" w:cs="宋体"/>
                <w:color w:val="auto"/>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14:paraId="6C1E878A">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单元式空气调节机</w:t>
            </w:r>
            <w:r>
              <w:rPr>
                <w:rFonts w:ascii="宋体" w:hAnsi="宋体" w:eastAsia="Times New Roman" w:cs="宋体"/>
                <w:color w:val="auto"/>
                <w:kern w:val="0"/>
                <w:sz w:val="20"/>
                <w:szCs w:val="20"/>
                <w:highlight w:val="none"/>
              </w:rPr>
              <w:t>(制冷量≤14000W)</w:t>
            </w:r>
          </w:p>
        </w:tc>
        <w:tc>
          <w:tcPr>
            <w:tcW w:w="4584" w:type="dxa"/>
            <w:tcBorders>
              <w:top w:val="nil"/>
              <w:left w:val="nil"/>
              <w:bottom w:val="single" w:color="000000" w:sz="8" w:space="0"/>
              <w:right w:val="single" w:color="000000" w:sz="8" w:space="0"/>
            </w:tcBorders>
            <w:noWrap w:val="0"/>
            <w:vAlign w:val="center"/>
          </w:tcPr>
          <w:p w14:paraId="4B1CD9DB">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《单元式空气调节机能效限定值及能源效率等级》（</w:t>
            </w:r>
            <w:r>
              <w:rPr>
                <w:rFonts w:ascii="宋体" w:hAnsi="宋体" w:eastAsia="Times New Roman" w:cs="宋体"/>
                <w:color w:val="auto"/>
                <w:kern w:val="0"/>
                <w:sz w:val="20"/>
                <w:szCs w:val="20"/>
                <w:highlight w:val="none"/>
              </w:rPr>
              <w:t>GB19576）《风管送风式空调机组能效限定值及能效等级》（GB37479）</w:t>
            </w:r>
          </w:p>
        </w:tc>
      </w:tr>
      <w:tr w14:paraId="5938D708">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12F85062">
            <w:pPr>
              <w:widowControl/>
              <w:jc w:val="left"/>
              <w:rPr>
                <w:rFonts w:asci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67092F7A">
            <w:pPr>
              <w:widowControl/>
              <w:jc w:val="left"/>
              <w:rPr>
                <w:rFonts w:ascii="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3D440DC1">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A0206180301洗衣机</w:t>
            </w:r>
          </w:p>
        </w:tc>
        <w:tc>
          <w:tcPr>
            <w:tcW w:w="1612" w:type="dxa"/>
            <w:tcBorders>
              <w:top w:val="nil"/>
              <w:left w:val="nil"/>
              <w:bottom w:val="single" w:color="000000" w:sz="8" w:space="0"/>
              <w:right w:val="single" w:color="000000" w:sz="8" w:space="0"/>
            </w:tcBorders>
            <w:noWrap w:val="0"/>
            <w:vAlign w:val="center"/>
          </w:tcPr>
          <w:p w14:paraId="23AF2A4B">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645AE368">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《电动洗衣机能效水效限定值及等级》（</w:t>
            </w:r>
            <w:r>
              <w:rPr>
                <w:rFonts w:ascii="宋体" w:hAnsi="宋体" w:eastAsia="Times New Roman" w:cs="宋体"/>
                <w:color w:val="auto"/>
                <w:kern w:val="0"/>
                <w:sz w:val="20"/>
                <w:szCs w:val="20"/>
                <w:highlight w:val="none"/>
              </w:rPr>
              <w:t>GB12021.4）</w:t>
            </w:r>
          </w:p>
        </w:tc>
      </w:tr>
      <w:tr w14:paraId="3C7EE00E">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5C9B78DC">
            <w:pPr>
              <w:widowControl/>
              <w:jc w:val="left"/>
              <w:rPr>
                <w:rFonts w:asci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390FF7D2">
            <w:pPr>
              <w:widowControl/>
              <w:jc w:val="left"/>
              <w:rPr>
                <w:rFonts w:ascii="宋体" w:cs="宋体"/>
                <w:color w:val="auto"/>
                <w:kern w:val="0"/>
                <w:sz w:val="20"/>
                <w:szCs w:val="20"/>
                <w:highlight w:val="none"/>
              </w:rPr>
            </w:pPr>
          </w:p>
        </w:tc>
        <w:tc>
          <w:tcPr>
            <w:tcW w:w="1516" w:type="dxa"/>
            <w:vMerge w:val="restart"/>
            <w:tcBorders>
              <w:top w:val="nil"/>
              <w:left w:val="single" w:color="000000" w:sz="8" w:space="0"/>
              <w:bottom w:val="single" w:color="000000" w:sz="8" w:space="0"/>
              <w:right w:val="single" w:color="000000" w:sz="8" w:space="0"/>
            </w:tcBorders>
            <w:noWrap w:val="0"/>
            <w:vAlign w:val="center"/>
          </w:tcPr>
          <w:p w14:paraId="74CD6E00">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A02061808热水器</w:t>
            </w:r>
          </w:p>
        </w:tc>
        <w:tc>
          <w:tcPr>
            <w:tcW w:w="1612" w:type="dxa"/>
            <w:tcBorders>
              <w:top w:val="nil"/>
              <w:left w:val="nil"/>
              <w:bottom w:val="single" w:color="000000" w:sz="8" w:space="0"/>
              <w:right w:val="single" w:color="000000" w:sz="8" w:space="0"/>
            </w:tcBorders>
            <w:noWrap w:val="0"/>
            <w:vAlign w:val="center"/>
          </w:tcPr>
          <w:p w14:paraId="6465B209">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★电热水器</w:t>
            </w:r>
          </w:p>
        </w:tc>
        <w:tc>
          <w:tcPr>
            <w:tcW w:w="4584" w:type="dxa"/>
            <w:tcBorders>
              <w:top w:val="nil"/>
              <w:left w:val="nil"/>
              <w:bottom w:val="single" w:color="000000" w:sz="8" w:space="0"/>
              <w:right w:val="single" w:color="000000" w:sz="8" w:space="0"/>
            </w:tcBorders>
            <w:noWrap w:val="0"/>
            <w:vAlign w:val="center"/>
          </w:tcPr>
          <w:p w14:paraId="7D9587D4">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《储水式电热水器能效限定值及能效等级》（</w:t>
            </w:r>
            <w:r>
              <w:rPr>
                <w:rFonts w:ascii="宋体" w:hAnsi="宋体" w:eastAsia="Times New Roman" w:cs="宋体"/>
                <w:color w:val="auto"/>
                <w:kern w:val="0"/>
                <w:sz w:val="20"/>
                <w:szCs w:val="20"/>
                <w:highlight w:val="none"/>
              </w:rPr>
              <w:t>GB21519）</w:t>
            </w:r>
          </w:p>
        </w:tc>
      </w:tr>
      <w:tr w14:paraId="3A065019">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7B6AECDE">
            <w:pPr>
              <w:widowControl/>
              <w:jc w:val="left"/>
              <w:rPr>
                <w:rFonts w:asci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30C15A97">
            <w:pPr>
              <w:widowControl/>
              <w:jc w:val="left"/>
              <w:rPr>
                <w:rFonts w:ascii="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6720F839">
            <w:pPr>
              <w:widowControl/>
              <w:jc w:val="left"/>
              <w:rPr>
                <w:rFonts w:ascii="宋体" w:cs="宋体"/>
                <w:color w:val="auto"/>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14:paraId="55A67B0F">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燃气热水器</w:t>
            </w:r>
          </w:p>
        </w:tc>
        <w:tc>
          <w:tcPr>
            <w:tcW w:w="4584" w:type="dxa"/>
            <w:tcBorders>
              <w:top w:val="nil"/>
              <w:left w:val="nil"/>
              <w:bottom w:val="single" w:color="000000" w:sz="8" w:space="0"/>
              <w:right w:val="single" w:color="000000" w:sz="8" w:space="0"/>
            </w:tcBorders>
            <w:noWrap w:val="0"/>
            <w:vAlign w:val="center"/>
          </w:tcPr>
          <w:p w14:paraId="1DC07B6D">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《家用燃气快速热水器和燃气采暖热水炉能效限定值及能效等级》（</w:t>
            </w:r>
            <w:r>
              <w:rPr>
                <w:rFonts w:ascii="宋体" w:hAnsi="宋体" w:eastAsia="Times New Roman" w:cs="宋体"/>
                <w:color w:val="auto"/>
                <w:kern w:val="0"/>
                <w:sz w:val="20"/>
                <w:szCs w:val="20"/>
                <w:highlight w:val="none"/>
              </w:rPr>
              <w:t>GB20665）</w:t>
            </w:r>
          </w:p>
        </w:tc>
      </w:tr>
      <w:tr w14:paraId="1C968FBD">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632AF7B4">
            <w:pPr>
              <w:widowControl/>
              <w:jc w:val="left"/>
              <w:rPr>
                <w:rFonts w:asci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162CBDA6">
            <w:pPr>
              <w:widowControl/>
              <w:jc w:val="left"/>
              <w:rPr>
                <w:rFonts w:ascii="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38E635BD">
            <w:pPr>
              <w:widowControl/>
              <w:jc w:val="left"/>
              <w:rPr>
                <w:rFonts w:ascii="宋体" w:cs="宋体"/>
                <w:color w:val="auto"/>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14:paraId="31FC57FC">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热泵热水器</w:t>
            </w:r>
          </w:p>
        </w:tc>
        <w:tc>
          <w:tcPr>
            <w:tcW w:w="4584" w:type="dxa"/>
            <w:tcBorders>
              <w:top w:val="nil"/>
              <w:left w:val="nil"/>
              <w:bottom w:val="single" w:color="000000" w:sz="8" w:space="0"/>
              <w:right w:val="single" w:color="000000" w:sz="8" w:space="0"/>
            </w:tcBorders>
            <w:noWrap w:val="0"/>
            <w:vAlign w:val="center"/>
          </w:tcPr>
          <w:p w14:paraId="0BEC9836">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《热泵热水机（器）能效限定值及能效等级》（</w:t>
            </w:r>
            <w:r>
              <w:rPr>
                <w:rFonts w:ascii="宋体" w:hAnsi="宋体" w:eastAsia="Times New Roman" w:cs="宋体"/>
                <w:color w:val="auto"/>
                <w:kern w:val="0"/>
                <w:sz w:val="20"/>
                <w:szCs w:val="20"/>
                <w:highlight w:val="none"/>
              </w:rPr>
              <w:t>GB29541）</w:t>
            </w:r>
          </w:p>
        </w:tc>
      </w:tr>
      <w:tr w14:paraId="1073DB3C">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1CA2F456">
            <w:pPr>
              <w:widowControl/>
              <w:jc w:val="left"/>
              <w:rPr>
                <w:rFonts w:asci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09088F16">
            <w:pPr>
              <w:widowControl/>
              <w:jc w:val="left"/>
              <w:rPr>
                <w:rFonts w:ascii="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2AB1F680">
            <w:pPr>
              <w:widowControl/>
              <w:jc w:val="left"/>
              <w:rPr>
                <w:rFonts w:ascii="宋体" w:cs="宋体"/>
                <w:color w:val="auto"/>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14:paraId="7664A929">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太阳能热水系统</w:t>
            </w:r>
          </w:p>
        </w:tc>
        <w:tc>
          <w:tcPr>
            <w:tcW w:w="4584" w:type="dxa"/>
            <w:tcBorders>
              <w:top w:val="nil"/>
              <w:left w:val="nil"/>
              <w:bottom w:val="single" w:color="000000" w:sz="8" w:space="0"/>
              <w:right w:val="single" w:color="000000" w:sz="8" w:space="0"/>
            </w:tcBorders>
            <w:noWrap w:val="0"/>
            <w:vAlign w:val="center"/>
          </w:tcPr>
          <w:p w14:paraId="1ED460FF">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《家用太阳能热水系统能效限定值及能效等级》（</w:t>
            </w:r>
            <w:r>
              <w:rPr>
                <w:rFonts w:ascii="宋体" w:hAnsi="宋体" w:eastAsia="Times New Roman" w:cs="宋体"/>
                <w:color w:val="auto"/>
                <w:kern w:val="0"/>
                <w:sz w:val="20"/>
                <w:szCs w:val="20"/>
                <w:highlight w:val="none"/>
              </w:rPr>
              <w:t>GB26969）</w:t>
            </w:r>
          </w:p>
        </w:tc>
      </w:tr>
      <w:tr w14:paraId="5AA0F852">
        <w:tblPrEx>
          <w:tblCellMar>
            <w:top w:w="0" w:type="dxa"/>
            <w:left w:w="108" w:type="dxa"/>
            <w:bottom w:w="0" w:type="dxa"/>
            <w:right w:w="108" w:type="dxa"/>
          </w:tblCellMar>
        </w:tblPrEx>
        <w:trPr>
          <w:trHeight w:val="495" w:hRule="atLeast"/>
        </w:trPr>
        <w:tc>
          <w:tcPr>
            <w:tcW w:w="641" w:type="dxa"/>
            <w:vMerge w:val="restart"/>
            <w:tcBorders>
              <w:top w:val="nil"/>
              <w:left w:val="single" w:color="000000" w:sz="8" w:space="0"/>
              <w:bottom w:val="single" w:color="000000" w:sz="8" w:space="0"/>
              <w:right w:val="single" w:color="000000" w:sz="8" w:space="0"/>
            </w:tcBorders>
            <w:noWrap w:val="0"/>
            <w:vAlign w:val="center"/>
          </w:tcPr>
          <w:p w14:paraId="4B42F710">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11</w:t>
            </w:r>
          </w:p>
        </w:tc>
        <w:tc>
          <w:tcPr>
            <w:tcW w:w="1116" w:type="dxa"/>
            <w:vMerge w:val="restart"/>
            <w:tcBorders>
              <w:top w:val="nil"/>
              <w:left w:val="single" w:color="000000" w:sz="8" w:space="0"/>
              <w:bottom w:val="single" w:color="000000" w:sz="8" w:space="0"/>
              <w:right w:val="single" w:color="000000" w:sz="8" w:space="0"/>
            </w:tcBorders>
            <w:noWrap w:val="0"/>
            <w:vAlign w:val="center"/>
          </w:tcPr>
          <w:p w14:paraId="621E7456">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A020619照明设备</w:t>
            </w:r>
          </w:p>
        </w:tc>
        <w:tc>
          <w:tcPr>
            <w:tcW w:w="1516" w:type="dxa"/>
            <w:tcBorders>
              <w:top w:val="nil"/>
              <w:left w:val="nil"/>
              <w:bottom w:val="single" w:color="000000" w:sz="8" w:space="0"/>
              <w:right w:val="single" w:color="000000" w:sz="8" w:space="0"/>
            </w:tcBorders>
            <w:noWrap w:val="0"/>
            <w:vAlign w:val="center"/>
          </w:tcPr>
          <w:p w14:paraId="655CE50B">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★普通照明用双端荧光灯</w:t>
            </w:r>
          </w:p>
        </w:tc>
        <w:tc>
          <w:tcPr>
            <w:tcW w:w="1612" w:type="dxa"/>
            <w:tcBorders>
              <w:top w:val="nil"/>
              <w:left w:val="nil"/>
              <w:bottom w:val="single" w:color="000000" w:sz="8" w:space="0"/>
              <w:right w:val="single" w:color="000000" w:sz="8" w:space="0"/>
            </w:tcBorders>
            <w:noWrap w:val="0"/>
            <w:vAlign w:val="center"/>
          </w:tcPr>
          <w:p w14:paraId="354DE902">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295C4F99">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《普通照明用双端荧光灯能效限定值及能效等级》（</w:t>
            </w:r>
            <w:r>
              <w:rPr>
                <w:rFonts w:ascii="宋体" w:hAnsi="宋体" w:eastAsia="Times New Roman" w:cs="宋体"/>
                <w:color w:val="auto"/>
                <w:kern w:val="0"/>
                <w:sz w:val="20"/>
                <w:szCs w:val="20"/>
                <w:highlight w:val="none"/>
              </w:rPr>
              <w:t>GB19043）</w:t>
            </w:r>
          </w:p>
        </w:tc>
      </w:tr>
      <w:tr w14:paraId="367791F7">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2753C2A6">
            <w:pPr>
              <w:widowControl/>
              <w:jc w:val="left"/>
              <w:rPr>
                <w:rFonts w:asci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30FF1F6C">
            <w:pPr>
              <w:widowControl/>
              <w:jc w:val="left"/>
              <w:rPr>
                <w:rFonts w:ascii="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51F9DBE0">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LED道路/隧道照明产品</w:t>
            </w:r>
          </w:p>
        </w:tc>
        <w:tc>
          <w:tcPr>
            <w:tcW w:w="1612" w:type="dxa"/>
            <w:tcBorders>
              <w:top w:val="nil"/>
              <w:left w:val="nil"/>
              <w:bottom w:val="single" w:color="000000" w:sz="8" w:space="0"/>
              <w:right w:val="single" w:color="000000" w:sz="8" w:space="0"/>
            </w:tcBorders>
            <w:noWrap w:val="0"/>
            <w:vAlign w:val="center"/>
          </w:tcPr>
          <w:p w14:paraId="7A2E1B6E">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6D86F08B">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《道路和隧道照明用</w:t>
            </w:r>
            <w:r>
              <w:rPr>
                <w:rFonts w:ascii="宋体" w:hAnsi="宋体" w:eastAsia="Times New Roman" w:cs="宋体"/>
                <w:color w:val="auto"/>
                <w:kern w:val="0"/>
                <w:sz w:val="20"/>
                <w:szCs w:val="20"/>
                <w:highlight w:val="none"/>
              </w:rPr>
              <w:t>LED灯具能效限定值及能效等级》（GB37478）</w:t>
            </w:r>
          </w:p>
        </w:tc>
      </w:tr>
      <w:tr w14:paraId="525FFCAD">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13BD7AB3">
            <w:pPr>
              <w:widowControl/>
              <w:jc w:val="left"/>
              <w:rPr>
                <w:rFonts w:asci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3582646A">
            <w:pPr>
              <w:widowControl/>
              <w:jc w:val="left"/>
              <w:rPr>
                <w:rFonts w:ascii="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298E5C0E">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LED筒灯</w:t>
            </w:r>
          </w:p>
        </w:tc>
        <w:tc>
          <w:tcPr>
            <w:tcW w:w="1612" w:type="dxa"/>
            <w:tcBorders>
              <w:top w:val="nil"/>
              <w:left w:val="nil"/>
              <w:bottom w:val="single" w:color="000000" w:sz="8" w:space="0"/>
              <w:right w:val="single" w:color="000000" w:sz="8" w:space="0"/>
            </w:tcBorders>
            <w:noWrap w:val="0"/>
            <w:vAlign w:val="center"/>
          </w:tcPr>
          <w:p w14:paraId="28EF853E">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30E67218">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《室内照明用</w:t>
            </w:r>
            <w:r>
              <w:rPr>
                <w:rFonts w:ascii="宋体" w:hAnsi="宋体" w:eastAsia="Times New Roman" w:cs="宋体"/>
                <w:color w:val="auto"/>
                <w:kern w:val="0"/>
                <w:sz w:val="20"/>
                <w:szCs w:val="20"/>
                <w:highlight w:val="none"/>
              </w:rPr>
              <w:t>LED产品能效限定值及能效等级》（GB30255）</w:t>
            </w:r>
          </w:p>
        </w:tc>
      </w:tr>
      <w:tr w14:paraId="38B11692">
        <w:tblPrEx>
          <w:tblCellMar>
            <w:top w:w="0" w:type="dxa"/>
            <w:left w:w="108" w:type="dxa"/>
            <w:bottom w:w="0" w:type="dxa"/>
            <w:right w:w="108" w:type="dxa"/>
          </w:tblCellMar>
        </w:tblPrEx>
        <w:trPr>
          <w:trHeight w:val="73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04C8BE31">
            <w:pPr>
              <w:widowControl/>
              <w:jc w:val="left"/>
              <w:rPr>
                <w:rFonts w:asci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6ECB0A64">
            <w:pPr>
              <w:widowControl/>
              <w:jc w:val="left"/>
              <w:rPr>
                <w:rFonts w:ascii="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522B31F1">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普通照明用非定向自镇流</w:t>
            </w:r>
            <w:r>
              <w:rPr>
                <w:rFonts w:ascii="宋体" w:hAnsi="宋体" w:eastAsia="Times New Roman" w:cs="宋体"/>
                <w:color w:val="auto"/>
                <w:kern w:val="0"/>
                <w:sz w:val="20"/>
                <w:szCs w:val="20"/>
                <w:highlight w:val="none"/>
              </w:rPr>
              <w:t>LED灯</w:t>
            </w:r>
          </w:p>
        </w:tc>
        <w:tc>
          <w:tcPr>
            <w:tcW w:w="1612" w:type="dxa"/>
            <w:tcBorders>
              <w:top w:val="nil"/>
              <w:left w:val="nil"/>
              <w:bottom w:val="single" w:color="000000" w:sz="8" w:space="0"/>
              <w:right w:val="single" w:color="000000" w:sz="8" w:space="0"/>
            </w:tcBorders>
            <w:noWrap w:val="0"/>
            <w:vAlign w:val="center"/>
          </w:tcPr>
          <w:p w14:paraId="42992808">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48A94ECC">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《室内照明用</w:t>
            </w:r>
            <w:r>
              <w:rPr>
                <w:rFonts w:ascii="宋体" w:hAnsi="宋体" w:eastAsia="Times New Roman" w:cs="宋体"/>
                <w:color w:val="auto"/>
                <w:kern w:val="0"/>
                <w:sz w:val="20"/>
                <w:szCs w:val="20"/>
                <w:highlight w:val="none"/>
              </w:rPr>
              <w:t>LED产品能效限定值及能效等级》（GB30255）</w:t>
            </w:r>
          </w:p>
        </w:tc>
      </w:tr>
      <w:tr w14:paraId="4B516644">
        <w:tblPrEx>
          <w:tblCellMar>
            <w:top w:w="0" w:type="dxa"/>
            <w:left w:w="108" w:type="dxa"/>
            <w:bottom w:w="0" w:type="dxa"/>
            <w:right w:w="108" w:type="dxa"/>
          </w:tblCellMar>
        </w:tblPrEx>
        <w:trPr>
          <w:trHeight w:val="735" w:hRule="atLeast"/>
        </w:trPr>
        <w:tc>
          <w:tcPr>
            <w:tcW w:w="641" w:type="dxa"/>
            <w:tcBorders>
              <w:top w:val="nil"/>
              <w:left w:val="single" w:color="000000" w:sz="8" w:space="0"/>
              <w:bottom w:val="single" w:color="000000" w:sz="8" w:space="0"/>
              <w:right w:val="single" w:color="000000" w:sz="8" w:space="0"/>
            </w:tcBorders>
            <w:noWrap w:val="0"/>
            <w:vAlign w:val="center"/>
          </w:tcPr>
          <w:p w14:paraId="2929619A">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12</w:t>
            </w:r>
          </w:p>
        </w:tc>
        <w:tc>
          <w:tcPr>
            <w:tcW w:w="1116" w:type="dxa"/>
            <w:tcBorders>
              <w:top w:val="nil"/>
              <w:left w:val="nil"/>
              <w:bottom w:val="single" w:color="000000" w:sz="8" w:space="0"/>
              <w:right w:val="single" w:color="000000" w:sz="8" w:space="0"/>
            </w:tcBorders>
            <w:noWrap w:val="0"/>
            <w:vAlign w:val="center"/>
          </w:tcPr>
          <w:p w14:paraId="7B0D8A89">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w:t>
            </w:r>
            <w:r>
              <w:rPr>
                <w:rFonts w:ascii="宋体" w:hAnsi="宋体" w:eastAsia="Times New Roman" w:cs="宋体"/>
                <w:color w:val="auto"/>
                <w:kern w:val="0"/>
                <w:sz w:val="20"/>
                <w:szCs w:val="20"/>
                <w:highlight w:val="none"/>
              </w:rPr>
              <w:t>A020910电视设备</w:t>
            </w:r>
          </w:p>
        </w:tc>
        <w:tc>
          <w:tcPr>
            <w:tcW w:w="1516" w:type="dxa"/>
            <w:tcBorders>
              <w:top w:val="nil"/>
              <w:left w:val="nil"/>
              <w:bottom w:val="single" w:color="000000" w:sz="8" w:space="0"/>
              <w:right w:val="single" w:color="000000" w:sz="8" w:space="0"/>
            </w:tcBorders>
            <w:noWrap w:val="0"/>
            <w:vAlign w:val="center"/>
          </w:tcPr>
          <w:p w14:paraId="4E938A69">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A02091001普通电视设备（电视机）</w:t>
            </w:r>
          </w:p>
        </w:tc>
        <w:tc>
          <w:tcPr>
            <w:tcW w:w="1612" w:type="dxa"/>
            <w:tcBorders>
              <w:top w:val="nil"/>
              <w:left w:val="nil"/>
              <w:bottom w:val="single" w:color="000000" w:sz="8" w:space="0"/>
              <w:right w:val="single" w:color="000000" w:sz="8" w:space="0"/>
            </w:tcBorders>
            <w:noWrap w:val="0"/>
            <w:vAlign w:val="center"/>
          </w:tcPr>
          <w:p w14:paraId="1CBCA184">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1892C524">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《平板电视能效限定值及能效等级》（</w:t>
            </w:r>
            <w:r>
              <w:rPr>
                <w:rFonts w:ascii="宋体" w:hAnsi="宋体" w:eastAsia="Times New Roman" w:cs="宋体"/>
                <w:color w:val="auto"/>
                <w:kern w:val="0"/>
                <w:sz w:val="20"/>
                <w:szCs w:val="20"/>
                <w:highlight w:val="none"/>
              </w:rPr>
              <w:t>GB24850）</w:t>
            </w:r>
          </w:p>
        </w:tc>
      </w:tr>
      <w:tr w14:paraId="08957626">
        <w:tblPrEx>
          <w:tblCellMar>
            <w:top w:w="0" w:type="dxa"/>
            <w:left w:w="108" w:type="dxa"/>
            <w:bottom w:w="0" w:type="dxa"/>
            <w:right w:w="108" w:type="dxa"/>
          </w:tblCellMar>
        </w:tblPrEx>
        <w:trPr>
          <w:trHeight w:val="975" w:hRule="atLeast"/>
        </w:trPr>
        <w:tc>
          <w:tcPr>
            <w:tcW w:w="641" w:type="dxa"/>
            <w:tcBorders>
              <w:top w:val="nil"/>
              <w:left w:val="single" w:color="000000" w:sz="8" w:space="0"/>
              <w:bottom w:val="single" w:color="000000" w:sz="8" w:space="0"/>
              <w:right w:val="single" w:color="000000" w:sz="8" w:space="0"/>
            </w:tcBorders>
            <w:noWrap w:val="0"/>
            <w:vAlign w:val="center"/>
          </w:tcPr>
          <w:p w14:paraId="347BB3ED">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13</w:t>
            </w:r>
          </w:p>
        </w:tc>
        <w:tc>
          <w:tcPr>
            <w:tcW w:w="1116" w:type="dxa"/>
            <w:tcBorders>
              <w:top w:val="nil"/>
              <w:left w:val="nil"/>
              <w:bottom w:val="single" w:color="000000" w:sz="8" w:space="0"/>
              <w:right w:val="single" w:color="000000" w:sz="8" w:space="0"/>
            </w:tcBorders>
            <w:noWrap w:val="0"/>
            <w:vAlign w:val="center"/>
          </w:tcPr>
          <w:p w14:paraId="14B30156">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w:t>
            </w:r>
            <w:r>
              <w:rPr>
                <w:rFonts w:ascii="宋体" w:hAnsi="宋体" w:eastAsia="Times New Roman" w:cs="宋体"/>
                <w:color w:val="auto"/>
                <w:kern w:val="0"/>
                <w:sz w:val="20"/>
                <w:szCs w:val="20"/>
                <w:highlight w:val="none"/>
              </w:rPr>
              <w:t>A020911视频设备</w:t>
            </w:r>
          </w:p>
        </w:tc>
        <w:tc>
          <w:tcPr>
            <w:tcW w:w="1516" w:type="dxa"/>
            <w:tcBorders>
              <w:top w:val="nil"/>
              <w:left w:val="nil"/>
              <w:bottom w:val="single" w:color="000000" w:sz="8" w:space="0"/>
              <w:right w:val="single" w:color="000000" w:sz="8" w:space="0"/>
            </w:tcBorders>
            <w:noWrap w:val="0"/>
            <w:vAlign w:val="center"/>
          </w:tcPr>
          <w:p w14:paraId="7B422F88">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A02091107视频监控设备</w:t>
            </w:r>
          </w:p>
        </w:tc>
        <w:tc>
          <w:tcPr>
            <w:tcW w:w="1612" w:type="dxa"/>
            <w:tcBorders>
              <w:top w:val="nil"/>
              <w:left w:val="nil"/>
              <w:bottom w:val="single" w:color="000000" w:sz="8" w:space="0"/>
              <w:right w:val="single" w:color="000000" w:sz="8" w:space="0"/>
            </w:tcBorders>
            <w:noWrap w:val="0"/>
            <w:vAlign w:val="center"/>
          </w:tcPr>
          <w:p w14:paraId="0D2FE2BD">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监视器</w:t>
            </w:r>
          </w:p>
        </w:tc>
        <w:tc>
          <w:tcPr>
            <w:tcW w:w="4584" w:type="dxa"/>
            <w:tcBorders>
              <w:top w:val="nil"/>
              <w:left w:val="nil"/>
              <w:bottom w:val="single" w:color="000000" w:sz="8" w:space="0"/>
              <w:right w:val="single" w:color="000000" w:sz="8" w:space="0"/>
            </w:tcBorders>
            <w:noWrap w:val="0"/>
            <w:vAlign w:val="center"/>
          </w:tcPr>
          <w:p w14:paraId="6A71B4D9">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以射频信号为主要信号输入的监视器应符合《平板电视能效限定值及能效等级》（</w:t>
            </w:r>
            <w:r>
              <w:rPr>
                <w:rFonts w:ascii="宋体" w:hAnsi="宋体" w:eastAsia="Times New Roman" w:cs="宋体"/>
                <w:color w:val="auto"/>
                <w:kern w:val="0"/>
                <w:sz w:val="20"/>
                <w:szCs w:val="20"/>
                <w:highlight w:val="none"/>
              </w:rPr>
              <w:t>GB24850），以数字信号为主要信号输入的监视器应符合《计算机显示器能效限定值及能效等级》（GB21520）</w:t>
            </w:r>
          </w:p>
        </w:tc>
      </w:tr>
      <w:tr w14:paraId="1A2584F0">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14:paraId="33C3FE9D">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14</w:t>
            </w:r>
          </w:p>
        </w:tc>
        <w:tc>
          <w:tcPr>
            <w:tcW w:w="1116" w:type="dxa"/>
            <w:tcBorders>
              <w:top w:val="nil"/>
              <w:left w:val="nil"/>
              <w:bottom w:val="single" w:color="000000" w:sz="8" w:space="0"/>
              <w:right w:val="single" w:color="000000" w:sz="8" w:space="0"/>
            </w:tcBorders>
            <w:noWrap w:val="0"/>
            <w:vAlign w:val="center"/>
          </w:tcPr>
          <w:p w14:paraId="79415C4F">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A031210饮食炊事机械</w:t>
            </w:r>
          </w:p>
        </w:tc>
        <w:tc>
          <w:tcPr>
            <w:tcW w:w="1516" w:type="dxa"/>
            <w:tcBorders>
              <w:top w:val="nil"/>
              <w:left w:val="nil"/>
              <w:bottom w:val="single" w:color="000000" w:sz="8" w:space="0"/>
              <w:right w:val="single" w:color="000000" w:sz="8" w:space="0"/>
            </w:tcBorders>
            <w:noWrap w:val="0"/>
            <w:vAlign w:val="center"/>
          </w:tcPr>
          <w:p w14:paraId="555104CC">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商用燃气灶具</w:t>
            </w:r>
          </w:p>
        </w:tc>
        <w:tc>
          <w:tcPr>
            <w:tcW w:w="1612" w:type="dxa"/>
            <w:tcBorders>
              <w:top w:val="nil"/>
              <w:left w:val="nil"/>
              <w:bottom w:val="single" w:color="000000" w:sz="8" w:space="0"/>
              <w:right w:val="single" w:color="000000" w:sz="8" w:space="0"/>
            </w:tcBorders>
            <w:noWrap w:val="0"/>
            <w:vAlign w:val="center"/>
          </w:tcPr>
          <w:p w14:paraId="714B35B7">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4866C9C6">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《商用燃气灶具能效限定值及能效等级》（</w:t>
            </w:r>
            <w:r>
              <w:rPr>
                <w:rFonts w:ascii="宋体" w:hAnsi="宋体" w:eastAsia="Times New Roman" w:cs="宋体"/>
                <w:color w:val="auto"/>
                <w:kern w:val="0"/>
                <w:sz w:val="20"/>
                <w:szCs w:val="20"/>
                <w:highlight w:val="none"/>
              </w:rPr>
              <w:t>GB30531）</w:t>
            </w:r>
          </w:p>
        </w:tc>
      </w:tr>
      <w:tr w14:paraId="24950DB2">
        <w:tblPrEx>
          <w:tblCellMar>
            <w:top w:w="0" w:type="dxa"/>
            <w:left w:w="108" w:type="dxa"/>
            <w:bottom w:w="0" w:type="dxa"/>
            <w:right w:w="108" w:type="dxa"/>
          </w:tblCellMar>
        </w:tblPrEx>
        <w:trPr>
          <w:trHeight w:val="285" w:hRule="atLeast"/>
        </w:trPr>
        <w:tc>
          <w:tcPr>
            <w:tcW w:w="641" w:type="dxa"/>
            <w:vMerge w:val="restart"/>
            <w:tcBorders>
              <w:top w:val="nil"/>
              <w:left w:val="single" w:color="000000" w:sz="8" w:space="0"/>
              <w:bottom w:val="single" w:color="000000" w:sz="8" w:space="0"/>
              <w:right w:val="single" w:color="000000" w:sz="8" w:space="0"/>
            </w:tcBorders>
            <w:noWrap w:val="0"/>
            <w:vAlign w:val="center"/>
          </w:tcPr>
          <w:p w14:paraId="7FDFCE01">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15</w:t>
            </w:r>
          </w:p>
        </w:tc>
        <w:tc>
          <w:tcPr>
            <w:tcW w:w="1116" w:type="dxa"/>
            <w:vMerge w:val="restart"/>
            <w:tcBorders>
              <w:top w:val="nil"/>
              <w:left w:val="single" w:color="000000" w:sz="8" w:space="0"/>
              <w:bottom w:val="single" w:color="000000" w:sz="8" w:space="0"/>
              <w:right w:val="single" w:color="000000" w:sz="8" w:space="0"/>
            </w:tcBorders>
            <w:noWrap w:val="0"/>
            <w:vAlign w:val="center"/>
          </w:tcPr>
          <w:p w14:paraId="3E60F6BA">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w:t>
            </w:r>
            <w:r>
              <w:rPr>
                <w:rFonts w:ascii="宋体" w:hAnsi="宋体" w:eastAsia="Times New Roman" w:cs="宋体"/>
                <w:color w:val="auto"/>
                <w:kern w:val="0"/>
                <w:sz w:val="20"/>
                <w:szCs w:val="20"/>
                <w:highlight w:val="none"/>
              </w:rPr>
              <w:t>A060805便器</w:t>
            </w:r>
          </w:p>
        </w:tc>
        <w:tc>
          <w:tcPr>
            <w:tcW w:w="1516" w:type="dxa"/>
            <w:tcBorders>
              <w:top w:val="nil"/>
              <w:left w:val="nil"/>
              <w:bottom w:val="single" w:color="000000" w:sz="8" w:space="0"/>
              <w:right w:val="single" w:color="000000" w:sz="8" w:space="0"/>
            </w:tcBorders>
            <w:noWrap w:val="0"/>
            <w:vAlign w:val="center"/>
          </w:tcPr>
          <w:p w14:paraId="46476E85">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坐便器</w:t>
            </w:r>
          </w:p>
        </w:tc>
        <w:tc>
          <w:tcPr>
            <w:tcW w:w="1612" w:type="dxa"/>
            <w:tcBorders>
              <w:top w:val="nil"/>
              <w:left w:val="nil"/>
              <w:bottom w:val="single" w:color="000000" w:sz="8" w:space="0"/>
              <w:right w:val="single" w:color="000000" w:sz="8" w:space="0"/>
            </w:tcBorders>
            <w:noWrap w:val="0"/>
            <w:vAlign w:val="center"/>
          </w:tcPr>
          <w:p w14:paraId="33CF6918">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064EC7EB">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《坐便器水效限定值及水效等级》（</w:t>
            </w:r>
            <w:r>
              <w:rPr>
                <w:rFonts w:ascii="宋体" w:hAnsi="宋体" w:eastAsia="Times New Roman" w:cs="宋体"/>
                <w:color w:val="auto"/>
                <w:kern w:val="0"/>
                <w:sz w:val="20"/>
                <w:szCs w:val="20"/>
                <w:highlight w:val="none"/>
              </w:rPr>
              <w:t>GB25502）</w:t>
            </w:r>
          </w:p>
        </w:tc>
      </w:tr>
      <w:tr w14:paraId="5FF2BF47">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432F6C39">
            <w:pPr>
              <w:widowControl/>
              <w:jc w:val="left"/>
              <w:rPr>
                <w:rFonts w:asci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0C7C7232">
            <w:pPr>
              <w:widowControl/>
              <w:jc w:val="left"/>
              <w:rPr>
                <w:rFonts w:ascii="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3CF98B44">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蹲便器</w:t>
            </w:r>
          </w:p>
        </w:tc>
        <w:tc>
          <w:tcPr>
            <w:tcW w:w="1612" w:type="dxa"/>
            <w:tcBorders>
              <w:top w:val="nil"/>
              <w:left w:val="nil"/>
              <w:bottom w:val="single" w:color="000000" w:sz="8" w:space="0"/>
              <w:right w:val="single" w:color="000000" w:sz="8" w:space="0"/>
            </w:tcBorders>
            <w:noWrap w:val="0"/>
            <w:vAlign w:val="center"/>
          </w:tcPr>
          <w:p w14:paraId="07C847E0">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635C46BA">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《蹲便器用水效率限定值及用水效率等级》（</w:t>
            </w:r>
            <w:r>
              <w:rPr>
                <w:rFonts w:ascii="宋体" w:hAnsi="宋体" w:eastAsia="Times New Roman" w:cs="宋体"/>
                <w:color w:val="auto"/>
                <w:kern w:val="0"/>
                <w:sz w:val="20"/>
                <w:szCs w:val="20"/>
                <w:highlight w:val="none"/>
              </w:rPr>
              <w:t>GB30717）</w:t>
            </w:r>
          </w:p>
        </w:tc>
      </w:tr>
      <w:tr w14:paraId="1CA0D966">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5B251A6D">
            <w:pPr>
              <w:widowControl/>
              <w:jc w:val="left"/>
              <w:rPr>
                <w:rFonts w:asci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4406DF52">
            <w:pPr>
              <w:widowControl/>
              <w:jc w:val="left"/>
              <w:rPr>
                <w:rFonts w:ascii="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210F82EC">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小便器</w:t>
            </w:r>
          </w:p>
        </w:tc>
        <w:tc>
          <w:tcPr>
            <w:tcW w:w="1612" w:type="dxa"/>
            <w:tcBorders>
              <w:top w:val="nil"/>
              <w:left w:val="nil"/>
              <w:bottom w:val="single" w:color="000000" w:sz="8" w:space="0"/>
              <w:right w:val="single" w:color="000000" w:sz="8" w:space="0"/>
            </w:tcBorders>
            <w:noWrap w:val="0"/>
            <w:vAlign w:val="center"/>
          </w:tcPr>
          <w:p w14:paraId="1444822A">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23C7789B">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《小便器用水效率限定值及用水效率等级》（</w:t>
            </w:r>
            <w:r>
              <w:rPr>
                <w:rFonts w:ascii="宋体" w:hAnsi="宋体" w:eastAsia="Times New Roman" w:cs="宋体"/>
                <w:color w:val="auto"/>
                <w:kern w:val="0"/>
                <w:sz w:val="20"/>
                <w:szCs w:val="20"/>
                <w:highlight w:val="none"/>
              </w:rPr>
              <w:t>GB28377）</w:t>
            </w:r>
          </w:p>
        </w:tc>
      </w:tr>
      <w:tr w14:paraId="7EB488F7">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14:paraId="0E9BD420">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16</w:t>
            </w:r>
          </w:p>
        </w:tc>
        <w:tc>
          <w:tcPr>
            <w:tcW w:w="1116" w:type="dxa"/>
            <w:tcBorders>
              <w:top w:val="nil"/>
              <w:left w:val="nil"/>
              <w:bottom w:val="single" w:color="000000" w:sz="8" w:space="0"/>
              <w:right w:val="single" w:color="000000" w:sz="8" w:space="0"/>
            </w:tcBorders>
            <w:noWrap w:val="0"/>
            <w:vAlign w:val="center"/>
          </w:tcPr>
          <w:p w14:paraId="4986CDB9">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w:t>
            </w:r>
            <w:r>
              <w:rPr>
                <w:rFonts w:ascii="宋体" w:hAnsi="宋体" w:eastAsia="Times New Roman" w:cs="宋体"/>
                <w:color w:val="auto"/>
                <w:kern w:val="0"/>
                <w:sz w:val="20"/>
                <w:szCs w:val="20"/>
                <w:highlight w:val="none"/>
              </w:rPr>
              <w:t>A060806水嘴</w:t>
            </w:r>
          </w:p>
        </w:tc>
        <w:tc>
          <w:tcPr>
            <w:tcW w:w="1516" w:type="dxa"/>
            <w:tcBorders>
              <w:top w:val="nil"/>
              <w:left w:val="nil"/>
              <w:bottom w:val="single" w:color="000000" w:sz="8" w:space="0"/>
              <w:right w:val="single" w:color="000000" w:sz="8" w:space="0"/>
            </w:tcBorders>
            <w:noWrap w:val="0"/>
            <w:vAlign w:val="center"/>
          </w:tcPr>
          <w:p w14:paraId="7E5C75E0">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1612" w:type="dxa"/>
            <w:tcBorders>
              <w:top w:val="nil"/>
              <w:left w:val="nil"/>
              <w:bottom w:val="single" w:color="000000" w:sz="8" w:space="0"/>
              <w:right w:val="single" w:color="000000" w:sz="8" w:space="0"/>
            </w:tcBorders>
            <w:noWrap w:val="0"/>
            <w:vAlign w:val="center"/>
          </w:tcPr>
          <w:p w14:paraId="27C35B89">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4E059FD9">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《水嘴用水效率限定值及用水效率等级》（</w:t>
            </w:r>
            <w:r>
              <w:rPr>
                <w:rFonts w:ascii="宋体" w:hAnsi="宋体" w:eastAsia="Times New Roman" w:cs="宋体"/>
                <w:color w:val="auto"/>
                <w:kern w:val="0"/>
                <w:sz w:val="20"/>
                <w:szCs w:val="20"/>
                <w:highlight w:val="none"/>
              </w:rPr>
              <w:t>GB 25501）</w:t>
            </w:r>
          </w:p>
        </w:tc>
      </w:tr>
      <w:tr w14:paraId="3DAEB7AF">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14:paraId="0BB37705">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17</w:t>
            </w:r>
          </w:p>
        </w:tc>
        <w:tc>
          <w:tcPr>
            <w:tcW w:w="1116" w:type="dxa"/>
            <w:tcBorders>
              <w:top w:val="nil"/>
              <w:left w:val="nil"/>
              <w:bottom w:val="single" w:color="000000" w:sz="8" w:space="0"/>
              <w:right w:val="single" w:color="000000" w:sz="8" w:space="0"/>
            </w:tcBorders>
            <w:noWrap w:val="0"/>
            <w:vAlign w:val="center"/>
          </w:tcPr>
          <w:p w14:paraId="6DDAE223">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A060807便器冲洗阀</w:t>
            </w:r>
          </w:p>
        </w:tc>
        <w:tc>
          <w:tcPr>
            <w:tcW w:w="1516" w:type="dxa"/>
            <w:tcBorders>
              <w:top w:val="nil"/>
              <w:left w:val="nil"/>
              <w:bottom w:val="single" w:color="000000" w:sz="8" w:space="0"/>
              <w:right w:val="single" w:color="000000" w:sz="8" w:space="0"/>
            </w:tcBorders>
            <w:noWrap w:val="0"/>
            <w:vAlign w:val="center"/>
          </w:tcPr>
          <w:p w14:paraId="294B475A">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1612" w:type="dxa"/>
            <w:tcBorders>
              <w:top w:val="nil"/>
              <w:left w:val="nil"/>
              <w:bottom w:val="single" w:color="000000" w:sz="8" w:space="0"/>
              <w:right w:val="single" w:color="000000" w:sz="8" w:space="0"/>
            </w:tcBorders>
            <w:noWrap w:val="0"/>
            <w:vAlign w:val="center"/>
          </w:tcPr>
          <w:p w14:paraId="4677E348">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28B58A41">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《便器冲洗阀用水效率限定值及用水效率等级》（</w:t>
            </w:r>
            <w:r>
              <w:rPr>
                <w:rFonts w:ascii="宋体" w:hAnsi="宋体" w:eastAsia="Times New Roman" w:cs="宋体"/>
                <w:color w:val="auto"/>
                <w:kern w:val="0"/>
                <w:sz w:val="20"/>
                <w:szCs w:val="20"/>
                <w:highlight w:val="none"/>
              </w:rPr>
              <w:t>GB28379）</w:t>
            </w:r>
          </w:p>
        </w:tc>
      </w:tr>
      <w:tr w14:paraId="12BC85DF">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14:paraId="4BD1C3A9">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18</w:t>
            </w:r>
          </w:p>
        </w:tc>
        <w:tc>
          <w:tcPr>
            <w:tcW w:w="1116" w:type="dxa"/>
            <w:tcBorders>
              <w:top w:val="nil"/>
              <w:left w:val="nil"/>
              <w:bottom w:val="single" w:color="000000" w:sz="8" w:space="0"/>
              <w:right w:val="single" w:color="000000" w:sz="8" w:space="0"/>
            </w:tcBorders>
            <w:noWrap w:val="0"/>
            <w:vAlign w:val="center"/>
          </w:tcPr>
          <w:p w14:paraId="5AA2B863">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A060810淋浴器</w:t>
            </w:r>
          </w:p>
        </w:tc>
        <w:tc>
          <w:tcPr>
            <w:tcW w:w="1516" w:type="dxa"/>
            <w:tcBorders>
              <w:top w:val="nil"/>
              <w:left w:val="nil"/>
              <w:bottom w:val="single" w:color="000000" w:sz="8" w:space="0"/>
              <w:right w:val="single" w:color="000000" w:sz="8" w:space="0"/>
            </w:tcBorders>
            <w:noWrap w:val="0"/>
            <w:vAlign w:val="center"/>
          </w:tcPr>
          <w:p w14:paraId="0155DA4B">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1612" w:type="dxa"/>
            <w:tcBorders>
              <w:top w:val="nil"/>
              <w:left w:val="nil"/>
              <w:bottom w:val="single" w:color="000000" w:sz="8" w:space="0"/>
              <w:right w:val="single" w:color="000000" w:sz="8" w:space="0"/>
            </w:tcBorders>
            <w:noWrap w:val="0"/>
            <w:vAlign w:val="center"/>
          </w:tcPr>
          <w:p w14:paraId="667A8637">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10E987D9">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《淋浴器用水效率限定值及用水效率等级》（</w:t>
            </w:r>
            <w:r>
              <w:rPr>
                <w:rFonts w:ascii="宋体" w:hAnsi="宋体" w:eastAsia="Times New Roman" w:cs="宋体"/>
                <w:color w:val="auto"/>
                <w:kern w:val="0"/>
                <w:sz w:val="20"/>
                <w:szCs w:val="20"/>
                <w:highlight w:val="none"/>
              </w:rPr>
              <w:t>GB28378）</w:t>
            </w:r>
          </w:p>
        </w:tc>
      </w:tr>
    </w:tbl>
    <w:p w14:paraId="2A7DB89C">
      <w:pPr>
        <w:pStyle w:val="12"/>
        <w:spacing w:line="360" w:lineRule="auto"/>
        <w:rPr>
          <w:rFonts w:ascii="宋体"/>
          <w:color w:val="auto"/>
          <w:szCs w:val="21"/>
          <w:highlight w:val="none"/>
        </w:rPr>
      </w:pPr>
      <w:r>
        <w:rPr>
          <w:rFonts w:hint="eastAsia"/>
          <w:color w:val="auto"/>
          <w:spacing w:val="-3"/>
          <w:szCs w:val="21"/>
          <w:highlight w:val="none"/>
        </w:rPr>
        <w:t>注：</w:t>
      </w:r>
      <w:r>
        <w:rPr>
          <w:color w:val="auto"/>
          <w:spacing w:val="-3"/>
          <w:szCs w:val="21"/>
          <w:highlight w:val="none"/>
        </w:rPr>
        <w:t>1.</w:t>
      </w:r>
      <w:r>
        <w:rPr>
          <w:rFonts w:hint="eastAsia"/>
          <w:color w:val="auto"/>
          <w:spacing w:val="-3"/>
          <w:szCs w:val="21"/>
          <w:highlight w:val="none"/>
        </w:rPr>
        <w:t>节能产品认证应依据相关国家标准的最新版本，依据国家标准中二级能效（水效）</w:t>
      </w:r>
      <w:r>
        <w:rPr>
          <w:rFonts w:hint="eastAsia"/>
          <w:color w:val="auto"/>
          <w:szCs w:val="21"/>
          <w:highlight w:val="none"/>
        </w:rPr>
        <w:t>指标。</w:t>
      </w:r>
    </w:p>
    <w:p w14:paraId="47BDE7FA">
      <w:pPr>
        <w:pStyle w:val="16"/>
        <w:jc w:val="left"/>
        <w:rPr>
          <w:rFonts w:ascii="Arial Unicode MS" w:hAnsi="Arial Unicode MS" w:eastAsia="Times New Roman" w:cs="Arial Unicode MS"/>
          <w:color w:val="auto"/>
          <w:sz w:val="32"/>
          <w:szCs w:val="32"/>
          <w:highlight w:val="none"/>
        </w:rPr>
      </w:pPr>
      <w:r>
        <w:rPr>
          <w:rFonts w:hAnsi="宋体"/>
          <w:color w:val="auto"/>
          <w:highlight w:val="none"/>
        </w:rPr>
        <w:t xml:space="preserve">    </w:t>
      </w:r>
      <w:r>
        <w:rPr>
          <w:color w:val="auto"/>
          <w:highlight w:val="none"/>
        </w:rPr>
        <w:t>2.</w:t>
      </w:r>
      <w:r>
        <w:rPr>
          <w:rFonts w:hint="eastAsia"/>
          <w:color w:val="auto"/>
          <w:highlight w:val="none"/>
        </w:rPr>
        <w:t>以</w:t>
      </w:r>
      <w:r>
        <w:rPr>
          <w:color w:val="auto"/>
          <w:highlight w:val="none"/>
        </w:rPr>
        <w:t>“</w:t>
      </w:r>
      <w:r>
        <w:rPr>
          <w:rFonts w:hint="eastAsia"/>
          <w:color w:val="auto"/>
          <w:highlight w:val="none"/>
        </w:rPr>
        <w:t>★</w:t>
      </w:r>
      <w:r>
        <w:rPr>
          <w:color w:val="auto"/>
          <w:highlight w:val="none"/>
        </w:rPr>
        <w:t>”</w:t>
      </w:r>
      <w:r>
        <w:rPr>
          <w:rFonts w:hint="eastAsia"/>
          <w:color w:val="auto"/>
          <w:highlight w:val="none"/>
        </w:rPr>
        <w:t>标注的为政府强制采购产品。</w:t>
      </w:r>
      <w:r>
        <w:rPr>
          <w:color w:val="auto"/>
          <w:highlight w:val="none"/>
        </w:rPr>
        <w:br w:type="page"/>
      </w:r>
      <w:r>
        <w:rPr>
          <w:rFonts w:hint="eastAsia" w:ascii="微软雅黑" w:hAnsi="微软雅黑" w:eastAsia="微软雅黑" w:cs="微软雅黑"/>
          <w:color w:val="auto"/>
          <w:sz w:val="32"/>
          <w:szCs w:val="32"/>
          <w:highlight w:val="none"/>
        </w:rPr>
        <w:t>附件</w:t>
      </w:r>
      <w:r>
        <w:rPr>
          <w:rFonts w:ascii="Arial Unicode MS" w:hAnsi="Arial Unicode MS" w:eastAsia="Times New Roman" w:cs="Arial Unicode MS"/>
          <w:color w:val="auto"/>
          <w:sz w:val="32"/>
          <w:szCs w:val="32"/>
          <w:highlight w:val="none"/>
        </w:rPr>
        <w:t>2</w:t>
      </w:r>
      <w:r>
        <w:rPr>
          <w:rFonts w:hint="eastAsia" w:ascii="微软雅黑" w:hAnsi="微软雅黑" w:eastAsia="微软雅黑" w:cs="微软雅黑"/>
          <w:color w:val="auto"/>
          <w:sz w:val="32"/>
          <w:szCs w:val="32"/>
          <w:highlight w:val="none"/>
        </w:rPr>
        <w:t>：</w:t>
      </w:r>
    </w:p>
    <w:p w14:paraId="4AAE6006">
      <w:pPr>
        <w:spacing w:line="528" w:lineRule="exact"/>
        <w:jc w:val="center"/>
        <w:rPr>
          <w:rFonts w:ascii="Arial Unicode MS" w:hAnsi="Arial Unicode MS" w:eastAsia="Times New Roman" w:cs="Arial Unicode MS"/>
          <w:color w:val="auto"/>
          <w:sz w:val="40"/>
          <w:szCs w:val="40"/>
          <w:highlight w:val="none"/>
        </w:rPr>
      </w:pPr>
      <w:r>
        <w:rPr>
          <w:rFonts w:hint="eastAsia" w:ascii="微软雅黑" w:hAnsi="微软雅黑" w:eastAsia="微软雅黑" w:cs="微软雅黑"/>
          <w:color w:val="auto"/>
          <w:sz w:val="40"/>
          <w:szCs w:val="40"/>
          <w:highlight w:val="none"/>
        </w:rPr>
        <w:t>中小微企业划型标准</w:t>
      </w:r>
    </w:p>
    <w:tbl>
      <w:tblPr>
        <w:tblStyle w:val="27"/>
        <w:tblW w:w="9500" w:type="dxa"/>
        <w:tblInd w:w="250" w:type="dxa"/>
        <w:tblLayout w:type="fixed"/>
        <w:tblCellMar>
          <w:top w:w="0" w:type="dxa"/>
          <w:left w:w="108" w:type="dxa"/>
          <w:bottom w:w="0" w:type="dxa"/>
          <w:right w:w="108" w:type="dxa"/>
        </w:tblCellMar>
      </w:tblPr>
      <w:tblGrid>
        <w:gridCol w:w="1985"/>
        <w:gridCol w:w="1985"/>
        <w:gridCol w:w="851"/>
        <w:gridCol w:w="1836"/>
        <w:gridCol w:w="1709"/>
        <w:gridCol w:w="1134"/>
      </w:tblGrid>
      <w:tr w14:paraId="484D9308">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14:paraId="59CCC8D8">
            <w:pPr>
              <w:widowControl/>
              <w:jc w:val="left"/>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行业名称</w:t>
            </w:r>
          </w:p>
        </w:tc>
        <w:tc>
          <w:tcPr>
            <w:tcW w:w="1985" w:type="dxa"/>
            <w:tcBorders>
              <w:top w:val="single" w:color="auto" w:sz="4" w:space="0"/>
              <w:left w:val="nil"/>
              <w:bottom w:val="single" w:color="auto" w:sz="4" w:space="0"/>
              <w:right w:val="single" w:color="auto" w:sz="4" w:space="0"/>
            </w:tcBorders>
            <w:noWrap w:val="0"/>
            <w:vAlign w:val="center"/>
          </w:tcPr>
          <w:p w14:paraId="0B446596">
            <w:pPr>
              <w:widowControl/>
              <w:jc w:val="left"/>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noWrap w:val="0"/>
            <w:vAlign w:val="center"/>
          </w:tcPr>
          <w:p w14:paraId="27BCBBE1">
            <w:pPr>
              <w:widowControl/>
              <w:jc w:val="left"/>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计量单位</w:t>
            </w:r>
          </w:p>
        </w:tc>
        <w:tc>
          <w:tcPr>
            <w:tcW w:w="1836" w:type="dxa"/>
            <w:tcBorders>
              <w:top w:val="single" w:color="auto" w:sz="4" w:space="0"/>
              <w:left w:val="nil"/>
              <w:bottom w:val="single" w:color="auto" w:sz="4" w:space="0"/>
              <w:right w:val="single" w:color="auto" w:sz="4" w:space="0"/>
            </w:tcBorders>
            <w:noWrap w:val="0"/>
            <w:vAlign w:val="center"/>
          </w:tcPr>
          <w:p w14:paraId="68978207">
            <w:pPr>
              <w:widowControl/>
              <w:jc w:val="left"/>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中型</w:t>
            </w:r>
          </w:p>
        </w:tc>
        <w:tc>
          <w:tcPr>
            <w:tcW w:w="1709" w:type="dxa"/>
            <w:tcBorders>
              <w:top w:val="single" w:color="auto" w:sz="4" w:space="0"/>
              <w:left w:val="nil"/>
              <w:bottom w:val="single" w:color="auto" w:sz="4" w:space="0"/>
              <w:right w:val="single" w:color="auto" w:sz="4" w:space="0"/>
            </w:tcBorders>
            <w:noWrap w:val="0"/>
            <w:vAlign w:val="center"/>
          </w:tcPr>
          <w:p w14:paraId="76C2A9E8">
            <w:pPr>
              <w:widowControl/>
              <w:jc w:val="left"/>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14:paraId="6870552E">
            <w:pPr>
              <w:widowControl/>
              <w:jc w:val="left"/>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微型</w:t>
            </w:r>
          </w:p>
        </w:tc>
      </w:tr>
      <w:tr w14:paraId="485EE6E9">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273F5538">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农、林、牧、渔</w:t>
            </w:r>
          </w:p>
        </w:tc>
        <w:tc>
          <w:tcPr>
            <w:tcW w:w="1985" w:type="dxa"/>
            <w:tcBorders>
              <w:top w:val="nil"/>
              <w:left w:val="nil"/>
              <w:bottom w:val="single" w:color="auto" w:sz="4" w:space="0"/>
              <w:right w:val="single" w:color="auto" w:sz="4" w:space="0"/>
            </w:tcBorders>
            <w:noWrap w:val="0"/>
            <w:vAlign w:val="center"/>
          </w:tcPr>
          <w:p w14:paraId="06E1BEFD">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B0B47DE">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3414AB20">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500≤Y＜20000</w:t>
            </w:r>
          </w:p>
        </w:tc>
        <w:tc>
          <w:tcPr>
            <w:tcW w:w="1709" w:type="dxa"/>
            <w:tcBorders>
              <w:top w:val="nil"/>
              <w:left w:val="nil"/>
              <w:bottom w:val="single" w:color="auto" w:sz="4" w:space="0"/>
              <w:right w:val="single" w:color="auto" w:sz="4" w:space="0"/>
            </w:tcBorders>
            <w:noWrap w:val="0"/>
            <w:vAlign w:val="center"/>
          </w:tcPr>
          <w:p w14:paraId="36861155">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50≤Y＜500</w:t>
            </w:r>
          </w:p>
        </w:tc>
        <w:tc>
          <w:tcPr>
            <w:tcW w:w="1134" w:type="dxa"/>
            <w:tcBorders>
              <w:top w:val="nil"/>
              <w:left w:val="nil"/>
              <w:bottom w:val="single" w:color="auto" w:sz="4" w:space="0"/>
              <w:right w:val="single" w:color="auto" w:sz="4" w:space="0"/>
            </w:tcBorders>
            <w:noWrap w:val="0"/>
            <w:vAlign w:val="center"/>
          </w:tcPr>
          <w:p w14:paraId="07002BFB">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Y＜50</w:t>
            </w:r>
          </w:p>
        </w:tc>
      </w:tr>
      <w:tr w14:paraId="0540A6D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7D66D50">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工业</w:t>
            </w:r>
          </w:p>
        </w:tc>
        <w:tc>
          <w:tcPr>
            <w:tcW w:w="1985" w:type="dxa"/>
            <w:tcBorders>
              <w:top w:val="nil"/>
              <w:left w:val="nil"/>
              <w:bottom w:val="single" w:color="auto" w:sz="4" w:space="0"/>
              <w:right w:val="single" w:color="auto" w:sz="4" w:space="0"/>
            </w:tcBorders>
            <w:noWrap w:val="0"/>
            <w:vAlign w:val="center"/>
          </w:tcPr>
          <w:p w14:paraId="1DFC0F83">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CC42F21">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36" w:type="dxa"/>
            <w:tcBorders>
              <w:top w:val="nil"/>
              <w:left w:val="nil"/>
              <w:bottom w:val="single" w:color="auto" w:sz="4" w:space="0"/>
              <w:right w:val="single" w:color="auto" w:sz="4" w:space="0"/>
            </w:tcBorders>
            <w:noWrap w:val="0"/>
            <w:vAlign w:val="center"/>
          </w:tcPr>
          <w:p w14:paraId="3AA5824B">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300≤X＜1000</w:t>
            </w:r>
          </w:p>
        </w:tc>
        <w:tc>
          <w:tcPr>
            <w:tcW w:w="1709" w:type="dxa"/>
            <w:tcBorders>
              <w:top w:val="nil"/>
              <w:left w:val="nil"/>
              <w:bottom w:val="single" w:color="auto" w:sz="4" w:space="0"/>
              <w:right w:val="single" w:color="auto" w:sz="4" w:space="0"/>
            </w:tcBorders>
            <w:noWrap w:val="0"/>
            <w:vAlign w:val="center"/>
          </w:tcPr>
          <w:p w14:paraId="03426C4E">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5A5AE29B">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X＜20</w:t>
            </w:r>
          </w:p>
        </w:tc>
      </w:tr>
      <w:tr w14:paraId="11811654">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77FFDFE">
            <w:pPr>
              <w:widowControl/>
              <w:jc w:val="left"/>
              <w:rPr>
                <w:rFonts w:hint="eastAsia" w:ascii="仿宋" w:hAnsi="仿宋" w:eastAsia="仿宋" w:cs="仿宋"/>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2DEC5BF3">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0B29162">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6AA11D8F">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2000≤Y＜40000</w:t>
            </w:r>
          </w:p>
        </w:tc>
        <w:tc>
          <w:tcPr>
            <w:tcW w:w="1709" w:type="dxa"/>
            <w:tcBorders>
              <w:top w:val="nil"/>
              <w:left w:val="nil"/>
              <w:bottom w:val="single" w:color="auto" w:sz="4" w:space="0"/>
              <w:right w:val="single" w:color="auto" w:sz="4" w:space="0"/>
            </w:tcBorders>
            <w:noWrap w:val="0"/>
            <w:vAlign w:val="center"/>
          </w:tcPr>
          <w:p w14:paraId="4997CC3C">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300≤Y＜2000</w:t>
            </w:r>
          </w:p>
        </w:tc>
        <w:tc>
          <w:tcPr>
            <w:tcW w:w="1134" w:type="dxa"/>
            <w:tcBorders>
              <w:top w:val="nil"/>
              <w:left w:val="nil"/>
              <w:bottom w:val="single" w:color="auto" w:sz="4" w:space="0"/>
              <w:right w:val="single" w:color="auto" w:sz="4" w:space="0"/>
            </w:tcBorders>
            <w:noWrap w:val="0"/>
            <w:vAlign w:val="center"/>
          </w:tcPr>
          <w:p w14:paraId="658BAE76">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Y＜300</w:t>
            </w:r>
          </w:p>
        </w:tc>
      </w:tr>
      <w:tr w14:paraId="6CAE630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9DCBF62">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建筑业</w:t>
            </w:r>
          </w:p>
        </w:tc>
        <w:tc>
          <w:tcPr>
            <w:tcW w:w="1985" w:type="dxa"/>
            <w:tcBorders>
              <w:top w:val="nil"/>
              <w:left w:val="nil"/>
              <w:bottom w:val="single" w:color="auto" w:sz="4" w:space="0"/>
              <w:right w:val="single" w:color="auto" w:sz="4" w:space="0"/>
            </w:tcBorders>
            <w:noWrap w:val="0"/>
            <w:vAlign w:val="center"/>
          </w:tcPr>
          <w:p w14:paraId="60A696F5">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67FA232">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797B737A">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6000≤Y＜80000</w:t>
            </w:r>
          </w:p>
        </w:tc>
        <w:tc>
          <w:tcPr>
            <w:tcW w:w="1709" w:type="dxa"/>
            <w:tcBorders>
              <w:top w:val="nil"/>
              <w:left w:val="nil"/>
              <w:bottom w:val="single" w:color="auto" w:sz="4" w:space="0"/>
              <w:right w:val="single" w:color="auto" w:sz="4" w:space="0"/>
            </w:tcBorders>
            <w:noWrap w:val="0"/>
            <w:vAlign w:val="center"/>
          </w:tcPr>
          <w:p w14:paraId="32416592">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300≤Y＜6000</w:t>
            </w:r>
          </w:p>
        </w:tc>
        <w:tc>
          <w:tcPr>
            <w:tcW w:w="1134" w:type="dxa"/>
            <w:tcBorders>
              <w:top w:val="nil"/>
              <w:left w:val="nil"/>
              <w:bottom w:val="single" w:color="auto" w:sz="4" w:space="0"/>
              <w:right w:val="single" w:color="auto" w:sz="4" w:space="0"/>
            </w:tcBorders>
            <w:noWrap w:val="0"/>
            <w:vAlign w:val="center"/>
          </w:tcPr>
          <w:p w14:paraId="6BE7DB29">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Y＜300</w:t>
            </w:r>
          </w:p>
        </w:tc>
      </w:tr>
      <w:tr w14:paraId="0A0EC0A4">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568CD88">
            <w:pPr>
              <w:widowControl/>
              <w:jc w:val="left"/>
              <w:rPr>
                <w:rFonts w:hint="eastAsia" w:ascii="仿宋" w:hAnsi="仿宋" w:eastAsia="仿宋" w:cs="仿宋"/>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5AE998D7">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4BEF9510">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028E4CE7">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5000≤Z＜80000</w:t>
            </w:r>
          </w:p>
        </w:tc>
        <w:tc>
          <w:tcPr>
            <w:tcW w:w="1709" w:type="dxa"/>
            <w:tcBorders>
              <w:top w:val="nil"/>
              <w:left w:val="nil"/>
              <w:bottom w:val="single" w:color="auto" w:sz="4" w:space="0"/>
              <w:right w:val="single" w:color="auto" w:sz="4" w:space="0"/>
            </w:tcBorders>
            <w:noWrap w:val="0"/>
            <w:vAlign w:val="center"/>
          </w:tcPr>
          <w:p w14:paraId="665D1E01">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300≤Z＜5000</w:t>
            </w:r>
          </w:p>
        </w:tc>
        <w:tc>
          <w:tcPr>
            <w:tcW w:w="1134" w:type="dxa"/>
            <w:tcBorders>
              <w:top w:val="nil"/>
              <w:left w:val="nil"/>
              <w:bottom w:val="single" w:color="auto" w:sz="4" w:space="0"/>
              <w:right w:val="single" w:color="auto" w:sz="4" w:space="0"/>
            </w:tcBorders>
            <w:noWrap w:val="0"/>
            <w:vAlign w:val="center"/>
          </w:tcPr>
          <w:p w14:paraId="62B6416E">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Z＜300</w:t>
            </w:r>
          </w:p>
        </w:tc>
      </w:tr>
      <w:tr w14:paraId="11F1B98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A1F7EEE">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批发业</w:t>
            </w:r>
          </w:p>
        </w:tc>
        <w:tc>
          <w:tcPr>
            <w:tcW w:w="1985" w:type="dxa"/>
            <w:tcBorders>
              <w:top w:val="nil"/>
              <w:left w:val="nil"/>
              <w:bottom w:val="single" w:color="auto" w:sz="4" w:space="0"/>
              <w:right w:val="single" w:color="auto" w:sz="4" w:space="0"/>
            </w:tcBorders>
            <w:noWrap w:val="0"/>
            <w:vAlign w:val="center"/>
          </w:tcPr>
          <w:p w14:paraId="15BFEFA1">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9011994">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36" w:type="dxa"/>
            <w:tcBorders>
              <w:top w:val="nil"/>
              <w:left w:val="nil"/>
              <w:bottom w:val="single" w:color="auto" w:sz="4" w:space="0"/>
              <w:right w:val="single" w:color="auto" w:sz="4" w:space="0"/>
            </w:tcBorders>
            <w:noWrap w:val="0"/>
            <w:vAlign w:val="center"/>
          </w:tcPr>
          <w:p w14:paraId="0A037B85">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20≤X＜200</w:t>
            </w:r>
          </w:p>
        </w:tc>
        <w:tc>
          <w:tcPr>
            <w:tcW w:w="1709" w:type="dxa"/>
            <w:tcBorders>
              <w:top w:val="nil"/>
              <w:left w:val="nil"/>
              <w:bottom w:val="single" w:color="auto" w:sz="4" w:space="0"/>
              <w:right w:val="single" w:color="auto" w:sz="4" w:space="0"/>
            </w:tcBorders>
            <w:noWrap w:val="0"/>
            <w:vAlign w:val="center"/>
          </w:tcPr>
          <w:p w14:paraId="3F35B4B5">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5≤X＜20</w:t>
            </w:r>
          </w:p>
        </w:tc>
        <w:tc>
          <w:tcPr>
            <w:tcW w:w="1134" w:type="dxa"/>
            <w:tcBorders>
              <w:top w:val="nil"/>
              <w:left w:val="nil"/>
              <w:bottom w:val="single" w:color="auto" w:sz="4" w:space="0"/>
              <w:right w:val="single" w:color="auto" w:sz="4" w:space="0"/>
            </w:tcBorders>
            <w:noWrap w:val="0"/>
            <w:vAlign w:val="center"/>
          </w:tcPr>
          <w:p w14:paraId="6B7CE9A8">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X＜5</w:t>
            </w:r>
          </w:p>
        </w:tc>
      </w:tr>
      <w:tr w14:paraId="3B09EA1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87BC544">
            <w:pPr>
              <w:widowControl/>
              <w:jc w:val="left"/>
              <w:rPr>
                <w:rFonts w:hint="eastAsia" w:ascii="仿宋" w:hAnsi="仿宋" w:eastAsia="仿宋" w:cs="仿宋"/>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0C848073">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F2CFCAD">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14C2BBD8">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5000≤Y＜40000</w:t>
            </w:r>
          </w:p>
        </w:tc>
        <w:tc>
          <w:tcPr>
            <w:tcW w:w="1709" w:type="dxa"/>
            <w:tcBorders>
              <w:top w:val="nil"/>
              <w:left w:val="nil"/>
              <w:bottom w:val="single" w:color="auto" w:sz="4" w:space="0"/>
              <w:right w:val="single" w:color="auto" w:sz="4" w:space="0"/>
            </w:tcBorders>
            <w:noWrap w:val="0"/>
            <w:vAlign w:val="center"/>
          </w:tcPr>
          <w:p w14:paraId="4315AD18">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1000≤Y＜5000</w:t>
            </w:r>
          </w:p>
        </w:tc>
        <w:tc>
          <w:tcPr>
            <w:tcW w:w="1134" w:type="dxa"/>
            <w:tcBorders>
              <w:top w:val="nil"/>
              <w:left w:val="nil"/>
              <w:bottom w:val="single" w:color="auto" w:sz="4" w:space="0"/>
              <w:right w:val="single" w:color="auto" w:sz="4" w:space="0"/>
            </w:tcBorders>
            <w:noWrap w:val="0"/>
            <w:vAlign w:val="center"/>
          </w:tcPr>
          <w:p w14:paraId="4B25DE9C">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Y＜1000</w:t>
            </w:r>
          </w:p>
        </w:tc>
      </w:tr>
      <w:tr w14:paraId="61B48B2C">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3228B7B">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零售业</w:t>
            </w:r>
          </w:p>
        </w:tc>
        <w:tc>
          <w:tcPr>
            <w:tcW w:w="1985" w:type="dxa"/>
            <w:tcBorders>
              <w:top w:val="nil"/>
              <w:left w:val="nil"/>
              <w:bottom w:val="single" w:color="auto" w:sz="4" w:space="0"/>
              <w:right w:val="single" w:color="auto" w:sz="4" w:space="0"/>
            </w:tcBorders>
            <w:noWrap w:val="0"/>
            <w:vAlign w:val="center"/>
          </w:tcPr>
          <w:p w14:paraId="0C6F9F1B">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B36A89F">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36" w:type="dxa"/>
            <w:tcBorders>
              <w:top w:val="nil"/>
              <w:left w:val="nil"/>
              <w:bottom w:val="single" w:color="auto" w:sz="4" w:space="0"/>
              <w:right w:val="single" w:color="auto" w:sz="4" w:space="0"/>
            </w:tcBorders>
            <w:noWrap w:val="0"/>
            <w:vAlign w:val="center"/>
          </w:tcPr>
          <w:p w14:paraId="04ED5E06">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50≤X＜300</w:t>
            </w:r>
          </w:p>
        </w:tc>
        <w:tc>
          <w:tcPr>
            <w:tcW w:w="1709" w:type="dxa"/>
            <w:tcBorders>
              <w:top w:val="nil"/>
              <w:left w:val="nil"/>
              <w:bottom w:val="single" w:color="auto" w:sz="4" w:space="0"/>
              <w:right w:val="single" w:color="auto" w:sz="4" w:space="0"/>
            </w:tcBorders>
            <w:noWrap w:val="0"/>
            <w:vAlign w:val="center"/>
          </w:tcPr>
          <w:p w14:paraId="41AB23A8">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10≤X＜50</w:t>
            </w:r>
          </w:p>
        </w:tc>
        <w:tc>
          <w:tcPr>
            <w:tcW w:w="1134" w:type="dxa"/>
            <w:tcBorders>
              <w:top w:val="nil"/>
              <w:left w:val="nil"/>
              <w:bottom w:val="single" w:color="auto" w:sz="4" w:space="0"/>
              <w:right w:val="single" w:color="auto" w:sz="4" w:space="0"/>
            </w:tcBorders>
            <w:noWrap w:val="0"/>
            <w:vAlign w:val="center"/>
          </w:tcPr>
          <w:p w14:paraId="3D5568A3">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14:paraId="0487EC5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C637911">
            <w:pPr>
              <w:widowControl/>
              <w:jc w:val="left"/>
              <w:rPr>
                <w:rFonts w:hint="eastAsia" w:ascii="仿宋" w:hAnsi="仿宋" w:eastAsia="仿宋" w:cs="仿宋"/>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50F8EF0A">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38A8B2E">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484B5227">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500≤Y＜20000</w:t>
            </w:r>
          </w:p>
        </w:tc>
        <w:tc>
          <w:tcPr>
            <w:tcW w:w="1709" w:type="dxa"/>
            <w:tcBorders>
              <w:top w:val="nil"/>
              <w:left w:val="nil"/>
              <w:bottom w:val="single" w:color="auto" w:sz="4" w:space="0"/>
              <w:right w:val="single" w:color="auto" w:sz="4" w:space="0"/>
            </w:tcBorders>
            <w:noWrap w:val="0"/>
            <w:vAlign w:val="center"/>
          </w:tcPr>
          <w:p w14:paraId="4DEBDF26">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100≤Y＜500</w:t>
            </w:r>
          </w:p>
        </w:tc>
        <w:tc>
          <w:tcPr>
            <w:tcW w:w="1134" w:type="dxa"/>
            <w:tcBorders>
              <w:top w:val="nil"/>
              <w:left w:val="nil"/>
              <w:bottom w:val="single" w:color="auto" w:sz="4" w:space="0"/>
              <w:right w:val="single" w:color="auto" w:sz="4" w:space="0"/>
            </w:tcBorders>
            <w:noWrap w:val="0"/>
            <w:vAlign w:val="center"/>
          </w:tcPr>
          <w:p w14:paraId="7225384B">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5007534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0398E0E">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交通运输业</w:t>
            </w:r>
          </w:p>
        </w:tc>
        <w:tc>
          <w:tcPr>
            <w:tcW w:w="1985" w:type="dxa"/>
            <w:tcBorders>
              <w:top w:val="nil"/>
              <w:left w:val="nil"/>
              <w:bottom w:val="single" w:color="auto" w:sz="4" w:space="0"/>
              <w:right w:val="single" w:color="auto" w:sz="4" w:space="0"/>
            </w:tcBorders>
            <w:noWrap w:val="0"/>
            <w:vAlign w:val="center"/>
          </w:tcPr>
          <w:p w14:paraId="62B70C1B">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0F209BD">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36" w:type="dxa"/>
            <w:tcBorders>
              <w:top w:val="nil"/>
              <w:left w:val="nil"/>
              <w:bottom w:val="single" w:color="auto" w:sz="4" w:space="0"/>
              <w:right w:val="single" w:color="auto" w:sz="4" w:space="0"/>
            </w:tcBorders>
            <w:noWrap w:val="0"/>
            <w:vAlign w:val="center"/>
          </w:tcPr>
          <w:p w14:paraId="02C24A43">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300≤X＜1000</w:t>
            </w:r>
          </w:p>
        </w:tc>
        <w:tc>
          <w:tcPr>
            <w:tcW w:w="1709" w:type="dxa"/>
            <w:tcBorders>
              <w:top w:val="nil"/>
              <w:left w:val="nil"/>
              <w:bottom w:val="single" w:color="auto" w:sz="4" w:space="0"/>
              <w:right w:val="single" w:color="auto" w:sz="4" w:space="0"/>
            </w:tcBorders>
            <w:noWrap w:val="0"/>
            <w:vAlign w:val="center"/>
          </w:tcPr>
          <w:p w14:paraId="5B56BD4C">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771AADAB">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X＜20</w:t>
            </w:r>
          </w:p>
        </w:tc>
      </w:tr>
      <w:tr w14:paraId="52E141F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21C8156">
            <w:pPr>
              <w:widowControl/>
              <w:jc w:val="left"/>
              <w:rPr>
                <w:rFonts w:hint="eastAsia" w:ascii="仿宋" w:hAnsi="仿宋" w:eastAsia="仿宋" w:cs="仿宋"/>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5358F72A">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F8A3A7D">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2CBB5BDC">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3000≤Y＜30000</w:t>
            </w:r>
          </w:p>
        </w:tc>
        <w:tc>
          <w:tcPr>
            <w:tcW w:w="1709" w:type="dxa"/>
            <w:tcBorders>
              <w:top w:val="nil"/>
              <w:left w:val="nil"/>
              <w:bottom w:val="single" w:color="auto" w:sz="4" w:space="0"/>
              <w:right w:val="single" w:color="auto" w:sz="4" w:space="0"/>
            </w:tcBorders>
            <w:noWrap w:val="0"/>
            <w:vAlign w:val="center"/>
          </w:tcPr>
          <w:p w14:paraId="28770293">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200≤Y＜3000</w:t>
            </w:r>
          </w:p>
        </w:tc>
        <w:tc>
          <w:tcPr>
            <w:tcW w:w="1134" w:type="dxa"/>
            <w:tcBorders>
              <w:top w:val="nil"/>
              <w:left w:val="nil"/>
              <w:bottom w:val="single" w:color="auto" w:sz="4" w:space="0"/>
              <w:right w:val="single" w:color="auto" w:sz="4" w:space="0"/>
            </w:tcBorders>
            <w:noWrap w:val="0"/>
            <w:vAlign w:val="center"/>
          </w:tcPr>
          <w:p w14:paraId="07BB424A">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Y＜200</w:t>
            </w:r>
          </w:p>
        </w:tc>
      </w:tr>
      <w:tr w14:paraId="1E507C1B">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D322C35">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仓储业</w:t>
            </w:r>
          </w:p>
        </w:tc>
        <w:tc>
          <w:tcPr>
            <w:tcW w:w="1985" w:type="dxa"/>
            <w:tcBorders>
              <w:top w:val="nil"/>
              <w:left w:val="nil"/>
              <w:bottom w:val="single" w:color="auto" w:sz="4" w:space="0"/>
              <w:right w:val="single" w:color="auto" w:sz="4" w:space="0"/>
            </w:tcBorders>
            <w:noWrap w:val="0"/>
            <w:vAlign w:val="center"/>
          </w:tcPr>
          <w:p w14:paraId="1D798371">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D5BB6D6">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36" w:type="dxa"/>
            <w:tcBorders>
              <w:top w:val="nil"/>
              <w:left w:val="nil"/>
              <w:bottom w:val="single" w:color="auto" w:sz="4" w:space="0"/>
              <w:right w:val="single" w:color="auto" w:sz="4" w:space="0"/>
            </w:tcBorders>
            <w:noWrap w:val="0"/>
            <w:vAlign w:val="center"/>
          </w:tcPr>
          <w:p w14:paraId="49571413">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100≤X＜200</w:t>
            </w:r>
          </w:p>
        </w:tc>
        <w:tc>
          <w:tcPr>
            <w:tcW w:w="1709" w:type="dxa"/>
            <w:tcBorders>
              <w:top w:val="nil"/>
              <w:left w:val="nil"/>
              <w:bottom w:val="single" w:color="auto" w:sz="4" w:space="0"/>
              <w:right w:val="single" w:color="auto" w:sz="4" w:space="0"/>
            </w:tcBorders>
            <w:noWrap w:val="0"/>
            <w:vAlign w:val="center"/>
          </w:tcPr>
          <w:p w14:paraId="414C2391">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20≤X＜100</w:t>
            </w:r>
          </w:p>
        </w:tc>
        <w:tc>
          <w:tcPr>
            <w:tcW w:w="1134" w:type="dxa"/>
            <w:tcBorders>
              <w:top w:val="nil"/>
              <w:left w:val="nil"/>
              <w:bottom w:val="single" w:color="auto" w:sz="4" w:space="0"/>
              <w:right w:val="single" w:color="auto" w:sz="4" w:space="0"/>
            </w:tcBorders>
            <w:noWrap w:val="0"/>
            <w:vAlign w:val="center"/>
          </w:tcPr>
          <w:p w14:paraId="15A6377D">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X＜20</w:t>
            </w:r>
          </w:p>
        </w:tc>
      </w:tr>
      <w:tr w14:paraId="376FE69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5D03254">
            <w:pPr>
              <w:widowControl/>
              <w:jc w:val="left"/>
              <w:rPr>
                <w:rFonts w:hint="eastAsia" w:ascii="仿宋" w:hAnsi="仿宋" w:eastAsia="仿宋" w:cs="仿宋"/>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513EAF65">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E8D9B67">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0113A070">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1000≤Y＜30000</w:t>
            </w:r>
          </w:p>
        </w:tc>
        <w:tc>
          <w:tcPr>
            <w:tcW w:w="1709" w:type="dxa"/>
            <w:tcBorders>
              <w:top w:val="nil"/>
              <w:left w:val="nil"/>
              <w:bottom w:val="single" w:color="auto" w:sz="4" w:space="0"/>
              <w:right w:val="single" w:color="auto" w:sz="4" w:space="0"/>
            </w:tcBorders>
            <w:noWrap w:val="0"/>
            <w:vAlign w:val="center"/>
          </w:tcPr>
          <w:p w14:paraId="392E35AD">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100≤Y＜1000</w:t>
            </w:r>
          </w:p>
        </w:tc>
        <w:tc>
          <w:tcPr>
            <w:tcW w:w="1134" w:type="dxa"/>
            <w:tcBorders>
              <w:top w:val="nil"/>
              <w:left w:val="nil"/>
              <w:bottom w:val="single" w:color="auto" w:sz="4" w:space="0"/>
              <w:right w:val="single" w:color="auto" w:sz="4" w:space="0"/>
            </w:tcBorders>
            <w:noWrap w:val="0"/>
            <w:vAlign w:val="center"/>
          </w:tcPr>
          <w:p w14:paraId="69660B45">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6240A82C">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937F36D">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邮政业</w:t>
            </w:r>
          </w:p>
        </w:tc>
        <w:tc>
          <w:tcPr>
            <w:tcW w:w="1985" w:type="dxa"/>
            <w:tcBorders>
              <w:top w:val="nil"/>
              <w:left w:val="nil"/>
              <w:bottom w:val="single" w:color="auto" w:sz="4" w:space="0"/>
              <w:right w:val="single" w:color="auto" w:sz="4" w:space="0"/>
            </w:tcBorders>
            <w:noWrap w:val="0"/>
            <w:vAlign w:val="center"/>
          </w:tcPr>
          <w:p w14:paraId="19BCA460">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CAC66F4">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36" w:type="dxa"/>
            <w:tcBorders>
              <w:top w:val="nil"/>
              <w:left w:val="nil"/>
              <w:bottom w:val="single" w:color="auto" w:sz="4" w:space="0"/>
              <w:right w:val="single" w:color="auto" w:sz="4" w:space="0"/>
            </w:tcBorders>
            <w:noWrap w:val="0"/>
            <w:vAlign w:val="center"/>
          </w:tcPr>
          <w:p w14:paraId="0CFBB448">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300≤X＜1000</w:t>
            </w:r>
          </w:p>
        </w:tc>
        <w:tc>
          <w:tcPr>
            <w:tcW w:w="1709" w:type="dxa"/>
            <w:tcBorders>
              <w:top w:val="nil"/>
              <w:left w:val="nil"/>
              <w:bottom w:val="single" w:color="auto" w:sz="4" w:space="0"/>
              <w:right w:val="single" w:color="auto" w:sz="4" w:space="0"/>
            </w:tcBorders>
            <w:noWrap w:val="0"/>
            <w:vAlign w:val="center"/>
          </w:tcPr>
          <w:p w14:paraId="16861966">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74C362F1">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X＜20</w:t>
            </w:r>
          </w:p>
        </w:tc>
      </w:tr>
      <w:tr w14:paraId="65CCEF6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CC570B8">
            <w:pPr>
              <w:widowControl/>
              <w:jc w:val="left"/>
              <w:rPr>
                <w:rFonts w:hint="eastAsia" w:ascii="仿宋" w:hAnsi="仿宋" w:eastAsia="仿宋" w:cs="仿宋"/>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06258DF1">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C73927C">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07B185DF">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2000≤Y＜30000</w:t>
            </w:r>
          </w:p>
        </w:tc>
        <w:tc>
          <w:tcPr>
            <w:tcW w:w="1709" w:type="dxa"/>
            <w:tcBorders>
              <w:top w:val="nil"/>
              <w:left w:val="nil"/>
              <w:bottom w:val="single" w:color="auto" w:sz="4" w:space="0"/>
              <w:right w:val="single" w:color="auto" w:sz="4" w:space="0"/>
            </w:tcBorders>
            <w:noWrap w:val="0"/>
            <w:vAlign w:val="center"/>
          </w:tcPr>
          <w:p w14:paraId="28D67F32">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718D7125">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57B31A18">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FC58149">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住宿业</w:t>
            </w:r>
          </w:p>
        </w:tc>
        <w:tc>
          <w:tcPr>
            <w:tcW w:w="1985" w:type="dxa"/>
            <w:tcBorders>
              <w:top w:val="nil"/>
              <w:left w:val="nil"/>
              <w:bottom w:val="single" w:color="auto" w:sz="4" w:space="0"/>
              <w:right w:val="single" w:color="auto" w:sz="4" w:space="0"/>
            </w:tcBorders>
            <w:noWrap w:val="0"/>
            <w:vAlign w:val="center"/>
          </w:tcPr>
          <w:p w14:paraId="22DE585C">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E613FC7">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36" w:type="dxa"/>
            <w:tcBorders>
              <w:top w:val="nil"/>
              <w:left w:val="nil"/>
              <w:bottom w:val="single" w:color="auto" w:sz="4" w:space="0"/>
              <w:right w:val="single" w:color="auto" w:sz="4" w:space="0"/>
            </w:tcBorders>
            <w:noWrap w:val="0"/>
            <w:vAlign w:val="center"/>
          </w:tcPr>
          <w:p w14:paraId="5D7F1A82">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100≤X＜300</w:t>
            </w:r>
          </w:p>
        </w:tc>
        <w:tc>
          <w:tcPr>
            <w:tcW w:w="1709" w:type="dxa"/>
            <w:tcBorders>
              <w:top w:val="nil"/>
              <w:left w:val="nil"/>
              <w:bottom w:val="single" w:color="auto" w:sz="4" w:space="0"/>
              <w:right w:val="single" w:color="auto" w:sz="4" w:space="0"/>
            </w:tcBorders>
            <w:noWrap w:val="0"/>
            <w:vAlign w:val="center"/>
          </w:tcPr>
          <w:p w14:paraId="7893BF93">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48739BDE">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14:paraId="0A8A3D3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8B2C9C4">
            <w:pPr>
              <w:widowControl/>
              <w:jc w:val="left"/>
              <w:rPr>
                <w:rFonts w:hint="eastAsia" w:ascii="仿宋" w:hAnsi="仿宋" w:eastAsia="仿宋" w:cs="仿宋"/>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0D47AB90">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ECAA809">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29C2FCC1">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2000≤Y＜10000</w:t>
            </w:r>
          </w:p>
        </w:tc>
        <w:tc>
          <w:tcPr>
            <w:tcW w:w="1709" w:type="dxa"/>
            <w:tcBorders>
              <w:top w:val="nil"/>
              <w:left w:val="nil"/>
              <w:bottom w:val="single" w:color="auto" w:sz="4" w:space="0"/>
              <w:right w:val="single" w:color="auto" w:sz="4" w:space="0"/>
            </w:tcBorders>
            <w:noWrap w:val="0"/>
            <w:vAlign w:val="center"/>
          </w:tcPr>
          <w:p w14:paraId="340F403A">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1A9BDAE2">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7D20B74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B09568D">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餐饮业</w:t>
            </w:r>
          </w:p>
        </w:tc>
        <w:tc>
          <w:tcPr>
            <w:tcW w:w="1985" w:type="dxa"/>
            <w:tcBorders>
              <w:top w:val="nil"/>
              <w:left w:val="nil"/>
              <w:bottom w:val="single" w:color="auto" w:sz="4" w:space="0"/>
              <w:right w:val="single" w:color="auto" w:sz="4" w:space="0"/>
            </w:tcBorders>
            <w:noWrap w:val="0"/>
            <w:vAlign w:val="center"/>
          </w:tcPr>
          <w:p w14:paraId="6F725133">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24C360C8">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36" w:type="dxa"/>
            <w:tcBorders>
              <w:top w:val="nil"/>
              <w:left w:val="nil"/>
              <w:bottom w:val="single" w:color="auto" w:sz="4" w:space="0"/>
              <w:right w:val="single" w:color="auto" w:sz="4" w:space="0"/>
            </w:tcBorders>
            <w:noWrap w:val="0"/>
            <w:vAlign w:val="center"/>
          </w:tcPr>
          <w:p w14:paraId="5CAC829C">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100≤X＜300</w:t>
            </w:r>
          </w:p>
        </w:tc>
        <w:tc>
          <w:tcPr>
            <w:tcW w:w="1709" w:type="dxa"/>
            <w:tcBorders>
              <w:top w:val="nil"/>
              <w:left w:val="nil"/>
              <w:bottom w:val="single" w:color="auto" w:sz="4" w:space="0"/>
              <w:right w:val="single" w:color="auto" w:sz="4" w:space="0"/>
            </w:tcBorders>
            <w:noWrap w:val="0"/>
            <w:vAlign w:val="center"/>
          </w:tcPr>
          <w:p w14:paraId="6AB13DE7">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3BF1A1EC">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14:paraId="22DE51A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E093BC1">
            <w:pPr>
              <w:widowControl/>
              <w:jc w:val="left"/>
              <w:rPr>
                <w:rFonts w:hint="eastAsia" w:ascii="仿宋" w:hAnsi="仿宋" w:eastAsia="仿宋" w:cs="仿宋"/>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0866161A">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F6C7900">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295760A1">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2000≤Y＜10000</w:t>
            </w:r>
          </w:p>
        </w:tc>
        <w:tc>
          <w:tcPr>
            <w:tcW w:w="1709" w:type="dxa"/>
            <w:tcBorders>
              <w:top w:val="nil"/>
              <w:left w:val="nil"/>
              <w:bottom w:val="single" w:color="auto" w:sz="4" w:space="0"/>
              <w:right w:val="single" w:color="auto" w:sz="4" w:space="0"/>
            </w:tcBorders>
            <w:noWrap w:val="0"/>
            <w:vAlign w:val="center"/>
          </w:tcPr>
          <w:p w14:paraId="397F7FC5">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2DD3ABBB">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51276F14">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E4365A4">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信息传输业</w:t>
            </w:r>
          </w:p>
        </w:tc>
        <w:tc>
          <w:tcPr>
            <w:tcW w:w="1985" w:type="dxa"/>
            <w:tcBorders>
              <w:top w:val="nil"/>
              <w:left w:val="nil"/>
              <w:bottom w:val="single" w:color="auto" w:sz="4" w:space="0"/>
              <w:right w:val="single" w:color="auto" w:sz="4" w:space="0"/>
            </w:tcBorders>
            <w:noWrap w:val="0"/>
            <w:vAlign w:val="center"/>
          </w:tcPr>
          <w:p w14:paraId="09310DBF">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6C60395">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36" w:type="dxa"/>
            <w:tcBorders>
              <w:top w:val="nil"/>
              <w:left w:val="nil"/>
              <w:bottom w:val="single" w:color="auto" w:sz="4" w:space="0"/>
              <w:right w:val="single" w:color="auto" w:sz="4" w:space="0"/>
            </w:tcBorders>
            <w:noWrap w:val="0"/>
            <w:vAlign w:val="center"/>
          </w:tcPr>
          <w:p w14:paraId="377803AC">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100≤X＜2000</w:t>
            </w:r>
          </w:p>
        </w:tc>
        <w:tc>
          <w:tcPr>
            <w:tcW w:w="1709" w:type="dxa"/>
            <w:tcBorders>
              <w:top w:val="nil"/>
              <w:left w:val="nil"/>
              <w:bottom w:val="single" w:color="auto" w:sz="4" w:space="0"/>
              <w:right w:val="single" w:color="auto" w:sz="4" w:space="0"/>
            </w:tcBorders>
            <w:noWrap w:val="0"/>
            <w:vAlign w:val="center"/>
          </w:tcPr>
          <w:p w14:paraId="6231181A">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7D4C83C3">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14:paraId="01BDAA1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356051B">
            <w:pPr>
              <w:widowControl/>
              <w:jc w:val="left"/>
              <w:rPr>
                <w:rFonts w:hint="eastAsia" w:ascii="仿宋" w:hAnsi="仿宋" w:eastAsia="仿宋" w:cs="仿宋"/>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2F719197">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55BB328">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083929F1">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1000≤Y＜100000</w:t>
            </w:r>
          </w:p>
        </w:tc>
        <w:tc>
          <w:tcPr>
            <w:tcW w:w="1709" w:type="dxa"/>
            <w:tcBorders>
              <w:top w:val="nil"/>
              <w:left w:val="nil"/>
              <w:bottom w:val="single" w:color="auto" w:sz="4" w:space="0"/>
              <w:right w:val="single" w:color="auto" w:sz="4" w:space="0"/>
            </w:tcBorders>
            <w:noWrap w:val="0"/>
            <w:vAlign w:val="center"/>
          </w:tcPr>
          <w:p w14:paraId="31A3B88F">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100≤Y＜1000</w:t>
            </w:r>
          </w:p>
        </w:tc>
        <w:tc>
          <w:tcPr>
            <w:tcW w:w="1134" w:type="dxa"/>
            <w:tcBorders>
              <w:top w:val="nil"/>
              <w:left w:val="nil"/>
              <w:bottom w:val="single" w:color="auto" w:sz="4" w:space="0"/>
              <w:right w:val="single" w:color="auto" w:sz="4" w:space="0"/>
            </w:tcBorders>
            <w:noWrap w:val="0"/>
            <w:vAlign w:val="center"/>
          </w:tcPr>
          <w:p w14:paraId="36173456">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622CD97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851EED2">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软件和信息技术服务业</w:t>
            </w:r>
          </w:p>
        </w:tc>
        <w:tc>
          <w:tcPr>
            <w:tcW w:w="1985" w:type="dxa"/>
            <w:tcBorders>
              <w:top w:val="nil"/>
              <w:left w:val="nil"/>
              <w:bottom w:val="single" w:color="auto" w:sz="4" w:space="0"/>
              <w:right w:val="single" w:color="auto" w:sz="4" w:space="0"/>
            </w:tcBorders>
            <w:noWrap w:val="0"/>
            <w:vAlign w:val="center"/>
          </w:tcPr>
          <w:p w14:paraId="1EFE0FE1">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D4F0191">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36" w:type="dxa"/>
            <w:tcBorders>
              <w:top w:val="nil"/>
              <w:left w:val="nil"/>
              <w:bottom w:val="single" w:color="auto" w:sz="4" w:space="0"/>
              <w:right w:val="single" w:color="auto" w:sz="4" w:space="0"/>
            </w:tcBorders>
            <w:noWrap w:val="0"/>
            <w:vAlign w:val="center"/>
          </w:tcPr>
          <w:p w14:paraId="219CA52A">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100≤X＜300</w:t>
            </w:r>
          </w:p>
        </w:tc>
        <w:tc>
          <w:tcPr>
            <w:tcW w:w="1709" w:type="dxa"/>
            <w:tcBorders>
              <w:top w:val="nil"/>
              <w:left w:val="nil"/>
              <w:bottom w:val="single" w:color="auto" w:sz="4" w:space="0"/>
              <w:right w:val="single" w:color="auto" w:sz="4" w:space="0"/>
            </w:tcBorders>
            <w:noWrap w:val="0"/>
            <w:vAlign w:val="center"/>
          </w:tcPr>
          <w:p w14:paraId="5D007076">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61FCB658">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14:paraId="12EE79D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971FEF1">
            <w:pPr>
              <w:widowControl/>
              <w:jc w:val="left"/>
              <w:rPr>
                <w:rFonts w:hint="eastAsia" w:ascii="仿宋" w:hAnsi="仿宋" w:eastAsia="仿宋" w:cs="仿宋"/>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21B3416F">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D2D4083">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4BCD01CC">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1000≤Y＜10000</w:t>
            </w:r>
          </w:p>
        </w:tc>
        <w:tc>
          <w:tcPr>
            <w:tcW w:w="1709" w:type="dxa"/>
            <w:tcBorders>
              <w:top w:val="nil"/>
              <w:left w:val="nil"/>
              <w:bottom w:val="single" w:color="auto" w:sz="4" w:space="0"/>
              <w:right w:val="single" w:color="auto" w:sz="4" w:space="0"/>
            </w:tcBorders>
            <w:noWrap w:val="0"/>
            <w:vAlign w:val="center"/>
          </w:tcPr>
          <w:p w14:paraId="25B7886A">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50≤Y＜1000</w:t>
            </w:r>
          </w:p>
        </w:tc>
        <w:tc>
          <w:tcPr>
            <w:tcW w:w="1134" w:type="dxa"/>
            <w:tcBorders>
              <w:top w:val="nil"/>
              <w:left w:val="nil"/>
              <w:bottom w:val="single" w:color="auto" w:sz="4" w:space="0"/>
              <w:right w:val="single" w:color="auto" w:sz="4" w:space="0"/>
            </w:tcBorders>
            <w:noWrap w:val="0"/>
            <w:vAlign w:val="center"/>
          </w:tcPr>
          <w:p w14:paraId="6577FE07">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Y＜50</w:t>
            </w:r>
          </w:p>
        </w:tc>
      </w:tr>
      <w:tr w14:paraId="599BD694">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CFB19D7">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房地产开发经营</w:t>
            </w:r>
          </w:p>
        </w:tc>
        <w:tc>
          <w:tcPr>
            <w:tcW w:w="1985" w:type="dxa"/>
            <w:tcBorders>
              <w:top w:val="nil"/>
              <w:left w:val="nil"/>
              <w:bottom w:val="single" w:color="auto" w:sz="4" w:space="0"/>
              <w:right w:val="single" w:color="auto" w:sz="4" w:space="0"/>
            </w:tcBorders>
            <w:noWrap w:val="0"/>
            <w:vAlign w:val="center"/>
          </w:tcPr>
          <w:p w14:paraId="0AD3769F">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DC56DBD">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1F06B226">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1000≤Y＜200000</w:t>
            </w:r>
          </w:p>
        </w:tc>
        <w:tc>
          <w:tcPr>
            <w:tcW w:w="1709" w:type="dxa"/>
            <w:tcBorders>
              <w:top w:val="nil"/>
              <w:left w:val="nil"/>
              <w:bottom w:val="single" w:color="auto" w:sz="4" w:space="0"/>
              <w:right w:val="single" w:color="auto" w:sz="4" w:space="0"/>
            </w:tcBorders>
            <w:noWrap w:val="0"/>
            <w:vAlign w:val="center"/>
          </w:tcPr>
          <w:p w14:paraId="305DE5FE">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100≤X＜1000</w:t>
            </w:r>
          </w:p>
        </w:tc>
        <w:tc>
          <w:tcPr>
            <w:tcW w:w="1134" w:type="dxa"/>
            <w:tcBorders>
              <w:top w:val="nil"/>
              <w:left w:val="nil"/>
              <w:bottom w:val="single" w:color="auto" w:sz="4" w:space="0"/>
              <w:right w:val="single" w:color="auto" w:sz="4" w:space="0"/>
            </w:tcBorders>
            <w:noWrap w:val="0"/>
            <w:vAlign w:val="center"/>
          </w:tcPr>
          <w:p w14:paraId="3BB8BEBD">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X＜100</w:t>
            </w:r>
          </w:p>
        </w:tc>
      </w:tr>
      <w:tr w14:paraId="1463CD8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AC22423">
            <w:pPr>
              <w:widowControl/>
              <w:jc w:val="left"/>
              <w:rPr>
                <w:rFonts w:hint="eastAsia" w:ascii="仿宋" w:hAnsi="仿宋" w:eastAsia="仿宋" w:cs="仿宋"/>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521F01D8">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08B15049">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1F5AE771">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5000≤Z＜10000</w:t>
            </w:r>
          </w:p>
        </w:tc>
        <w:tc>
          <w:tcPr>
            <w:tcW w:w="1709" w:type="dxa"/>
            <w:tcBorders>
              <w:top w:val="nil"/>
              <w:left w:val="nil"/>
              <w:bottom w:val="single" w:color="auto" w:sz="4" w:space="0"/>
              <w:right w:val="single" w:color="auto" w:sz="4" w:space="0"/>
            </w:tcBorders>
            <w:noWrap w:val="0"/>
            <w:vAlign w:val="center"/>
          </w:tcPr>
          <w:p w14:paraId="1838B575">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2000≤Y＜5000</w:t>
            </w:r>
          </w:p>
        </w:tc>
        <w:tc>
          <w:tcPr>
            <w:tcW w:w="1134" w:type="dxa"/>
            <w:tcBorders>
              <w:top w:val="nil"/>
              <w:left w:val="nil"/>
              <w:bottom w:val="single" w:color="auto" w:sz="4" w:space="0"/>
              <w:right w:val="single" w:color="auto" w:sz="4" w:space="0"/>
            </w:tcBorders>
            <w:noWrap w:val="0"/>
            <w:vAlign w:val="center"/>
          </w:tcPr>
          <w:p w14:paraId="4B6E4277">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Y＜2000</w:t>
            </w:r>
          </w:p>
        </w:tc>
      </w:tr>
      <w:tr w14:paraId="28528239">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52402C4">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物业管理</w:t>
            </w:r>
          </w:p>
        </w:tc>
        <w:tc>
          <w:tcPr>
            <w:tcW w:w="1985" w:type="dxa"/>
            <w:tcBorders>
              <w:top w:val="nil"/>
              <w:left w:val="nil"/>
              <w:bottom w:val="single" w:color="auto" w:sz="4" w:space="0"/>
              <w:right w:val="single" w:color="auto" w:sz="4" w:space="0"/>
            </w:tcBorders>
            <w:noWrap w:val="0"/>
            <w:vAlign w:val="center"/>
          </w:tcPr>
          <w:p w14:paraId="35368983">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8596695">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36" w:type="dxa"/>
            <w:tcBorders>
              <w:top w:val="nil"/>
              <w:left w:val="nil"/>
              <w:bottom w:val="single" w:color="auto" w:sz="4" w:space="0"/>
              <w:right w:val="single" w:color="auto" w:sz="4" w:space="0"/>
            </w:tcBorders>
            <w:noWrap w:val="0"/>
            <w:vAlign w:val="center"/>
          </w:tcPr>
          <w:p w14:paraId="634E2A47">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300≤X＜1000</w:t>
            </w:r>
          </w:p>
        </w:tc>
        <w:tc>
          <w:tcPr>
            <w:tcW w:w="1709" w:type="dxa"/>
            <w:tcBorders>
              <w:top w:val="nil"/>
              <w:left w:val="nil"/>
              <w:bottom w:val="single" w:color="auto" w:sz="4" w:space="0"/>
              <w:right w:val="single" w:color="auto" w:sz="4" w:space="0"/>
            </w:tcBorders>
            <w:noWrap w:val="0"/>
            <w:vAlign w:val="center"/>
          </w:tcPr>
          <w:p w14:paraId="0A542707">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100≤X＜300</w:t>
            </w:r>
          </w:p>
        </w:tc>
        <w:tc>
          <w:tcPr>
            <w:tcW w:w="1134" w:type="dxa"/>
            <w:tcBorders>
              <w:top w:val="nil"/>
              <w:left w:val="nil"/>
              <w:bottom w:val="single" w:color="auto" w:sz="4" w:space="0"/>
              <w:right w:val="single" w:color="auto" w:sz="4" w:space="0"/>
            </w:tcBorders>
            <w:noWrap w:val="0"/>
            <w:vAlign w:val="center"/>
          </w:tcPr>
          <w:p w14:paraId="4F49F1BC">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X＜100</w:t>
            </w:r>
          </w:p>
        </w:tc>
      </w:tr>
      <w:tr w14:paraId="1FFF339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4E9D9D2">
            <w:pPr>
              <w:widowControl/>
              <w:jc w:val="left"/>
              <w:rPr>
                <w:rFonts w:hint="eastAsia" w:ascii="仿宋" w:hAnsi="仿宋" w:eastAsia="仿宋" w:cs="仿宋"/>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79033421">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269A5C3">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531F74E9">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1000≤Y＜5000</w:t>
            </w:r>
          </w:p>
        </w:tc>
        <w:tc>
          <w:tcPr>
            <w:tcW w:w="1709" w:type="dxa"/>
            <w:tcBorders>
              <w:top w:val="nil"/>
              <w:left w:val="nil"/>
              <w:bottom w:val="single" w:color="auto" w:sz="4" w:space="0"/>
              <w:right w:val="single" w:color="auto" w:sz="4" w:space="0"/>
            </w:tcBorders>
            <w:noWrap w:val="0"/>
            <w:vAlign w:val="center"/>
          </w:tcPr>
          <w:p w14:paraId="35CD981D">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500≤Y＜1000</w:t>
            </w:r>
          </w:p>
        </w:tc>
        <w:tc>
          <w:tcPr>
            <w:tcW w:w="1134" w:type="dxa"/>
            <w:tcBorders>
              <w:top w:val="nil"/>
              <w:left w:val="nil"/>
              <w:bottom w:val="single" w:color="auto" w:sz="4" w:space="0"/>
              <w:right w:val="single" w:color="auto" w:sz="4" w:space="0"/>
            </w:tcBorders>
            <w:noWrap w:val="0"/>
            <w:vAlign w:val="center"/>
          </w:tcPr>
          <w:p w14:paraId="530BE9FE">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Y＜500</w:t>
            </w:r>
          </w:p>
        </w:tc>
      </w:tr>
      <w:tr w14:paraId="7D29716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center"/>
          </w:tcPr>
          <w:p w14:paraId="4B657B8B">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租赁和商务服务业</w:t>
            </w:r>
          </w:p>
        </w:tc>
        <w:tc>
          <w:tcPr>
            <w:tcW w:w="1985" w:type="dxa"/>
            <w:tcBorders>
              <w:top w:val="nil"/>
              <w:left w:val="nil"/>
              <w:bottom w:val="single" w:color="auto" w:sz="4" w:space="0"/>
              <w:right w:val="single" w:color="auto" w:sz="4" w:space="0"/>
            </w:tcBorders>
            <w:noWrap w:val="0"/>
            <w:vAlign w:val="center"/>
          </w:tcPr>
          <w:p w14:paraId="527E720F">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81167CE">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36" w:type="dxa"/>
            <w:tcBorders>
              <w:top w:val="nil"/>
              <w:left w:val="nil"/>
              <w:bottom w:val="single" w:color="auto" w:sz="4" w:space="0"/>
              <w:right w:val="single" w:color="auto" w:sz="4" w:space="0"/>
            </w:tcBorders>
            <w:noWrap w:val="0"/>
            <w:vAlign w:val="center"/>
          </w:tcPr>
          <w:p w14:paraId="7DB3C36E">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100≤X＜300</w:t>
            </w:r>
          </w:p>
        </w:tc>
        <w:tc>
          <w:tcPr>
            <w:tcW w:w="1709" w:type="dxa"/>
            <w:tcBorders>
              <w:top w:val="nil"/>
              <w:left w:val="nil"/>
              <w:bottom w:val="single" w:color="auto" w:sz="4" w:space="0"/>
              <w:right w:val="single" w:color="auto" w:sz="4" w:space="0"/>
            </w:tcBorders>
            <w:noWrap w:val="0"/>
            <w:vAlign w:val="center"/>
          </w:tcPr>
          <w:p w14:paraId="5046772D">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387C0A38">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14:paraId="74C0250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B2B7A08">
            <w:pPr>
              <w:widowControl/>
              <w:jc w:val="center"/>
              <w:rPr>
                <w:rFonts w:hint="eastAsia" w:ascii="仿宋" w:hAnsi="仿宋" w:eastAsia="仿宋" w:cs="仿宋"/>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6E1D7A4D">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4ABEE871">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43C10526">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8000≤Z＜120000</w:t>
            </w:r>
          </w:p>
        </w:tc>
        <w:tc>
          <w:tcPr>
            <w:tcW w:w="1709" w:type="dxa"/>
            <w:tcBorders>
              <w:top w:val="nil"/>
              <w:left w:val="nil"/>
              <w:bottom w:val="single" w:color="auto" w:sz="4" w:space="0"/>
              <w:right w:val="single" w:color="auto" w:sz="4" w:space="0"/>
            </w:tcBorders>
            <w:noWrap w:val="0"/>
            <w:vAlign w:val="center"/>
          </w:tcPr>
          <w:p w14:paraId="0652046C">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100≤Z＜8000</w:t>
            </w:r>
          </w:p>
        </w:tc>
        <w:tc>
          <w:tcPr>
            <w:tcW w:w="1134" w:type="dxa"/>
            <w:tcBorders>
              <w:top w:val="nil"/>
              <w:left w:val="nil"/>
              <w:bottom w:val="single" w:color="auto" w:sz="4" w:space="0"/>
              <w:right w:val="single" w:color="auto" w:sz="4" w:space="0"/>
            </w:tcBorders>
            <w:noWrap w:val="0"/>
            <w:vAlign w:val="center"/>
          </w:tcPr>
          <w:p w14:paraId="0DB2F2A1">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6C24E639">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center"/>
          </w:tcPr>
          <w:p w14:paraId="0288B5C3">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其他未列明行业</w:t>
            </w:r>
          </w:p>
        </w:tc>
        <w:tc>
          <w:tcPr>
            <w:tcW w:w="1985" w:type="dxa"/>
            <w:tcBorders>
              <w:top w:val="nil"/>
              <w:left w:val="nil"/>
              <w:bottom w:val="single" w:color="auto" w:sz="4" w:space="0"/>
              <w:right w:val="single" w:color="auto" w:sz="4" w:space="0"/>
            </w:tcBorders>
            <w:noWrap w:val="0"/>
            <w:vAlign w:val="center"/>
          </w:tcPr>
          <w:p w14:paraId="3F8331F3">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87A7945">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36" w:type="dxa"/>
            <w:tcBorders>
              <w:top w:val="nil"/>
              <w:left w:val="nil"/>
              <w:bottom w:val="single" w:color="auto" w:sz="4" w:space="0"/>
              <w:right w:val="single" w:color="auto" w:sz="4" w:space="0"/>
            </w:tcBorders>
            <w:noWrap w:val="0"/>
            <w:vAlign w:val="center"/>
          </w:tcPr>
          <w:p w14:paraId="58C30699">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100≤X＜300</w:t>
            </w:r>
          </w:p>
        </w:tc>
        <w:tc>
          <w:tcPr>
            <w:tcW w:w="1709" w:type="dxa"/>
            <w:tcBorders>
              <w:top w:val="nil"/>
              <w:left w:val="nil"/>
              <w:bottom w:val="single" w:color="auto" w:sz="4" w:space="0"/>
              <w:right w:val="single" w:color="auto" w:sz="4" w:space="0"/>
            </w:tcBorders>
            <w:noWrap w:val="0"/>
            <w:vAlign w:val="center"/>
          </w:tcPr>
          <w:p w14:paraId="5F6C5A6C">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5D9DF619">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bl>
    <w:p w14:paraId="5F406069">
      <w:pPr>
        <w:spacing w:line="560" w:lineRule="exact"/>
        <w:rPr>
          <w:rFonts w:hint="eastAsia" w:ascii="仿宋" w:hAnsi="仿宋" w:eastAsia="仿宋" w:cs="仿宋"/>
          <w:color w:val="auto"/>
          <w:kern w:val="0"/>
          <w:sz w:val="20"/>
          <w:szCs w:val="21"/>
          <w:highlight w:val="none"/>
        </w:rPr>
        <w:sectPr>
          <w:footerReference r:id="rId11" w:type="default"/>
          <w:pgSz w:w="11906" w:h="16838"/>
          <w:pgMar w:top="1134" w:right="1134" w:bottom="1134" w:left="1134" w:header="720" w:footer="720" w:gutter="0"/>
          <w:cols w:space="720" w:num="1"/>
          <w:docGrid w:type="lines" w:linePitch="331" w:charSpace="0"/>
        </w:sectPr>
      </w:pPr>
      <w:r>
        <w:rPr>
          <w:rFonts w:hint="eastAsia" w:ascii="仿宋" w:hAnsi="仿宋" w:eastAsia="仿宋" w:cs="仿宋"/>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59CD34A3">
      <w:pPr>
        <w:pStyle w:val="2"/>
        <w:spacing w:line="360" w:lineRule="auto"/>
        <w:jc w:val="center"/>
        <w:rPr>
          <w:rFonts w:hint="eastAsia" w:ascii="宋体" w:hAnsi="宋体" w:eastAsia="宋体" w:cs="宋体"/>
          <w:b/>
          <w:bCs/>
          <w:color w:val="auto"/>
          <w:highlight w:val="none"/>
        </w:rPr>
      </w:pPr>
      <w:bookmarkStart w:id="47" w:name="_Toc14404"/>
      <w:bookmarkStart w:id="48" w:name="_Toc680"/>
      <w:bookmarkStart w:id="49" w:name="_Toc13594"/>
      <w:bookmarkStart w:id="50" w:name="_Toc12766"/>
      <w:r>
        <w:rPr>
          <w:rFonts w:hint="eastAsia" w:ascii="宋体" w:hAnsi="宋体" w:eastAsia="宋体" w:cs="宋体"/>
          <w:b/>
          <w:bCs/>
          <w:color w:val="auto"/>
          <w:highlight w:val="none"/>
        </w:rPr>
        <w:t>第三章 供应商须知</w:t>
      </w:r>
      <w:bookmarkEnd w:id="44"/>
      <w:bookmarkEnd w:id="45"/>
      <w:bookmarkEnd w:id="46"/>
      <w:bookmarkEnd w:id="47"/>
      <w:bookmarkEnd w:id="48"/>
      <w:bookmarkEnd w:id="49"/>
      <w:bookmarkEnd w:id="50"/>
    </w:p>
    <w:p w14:paraId="4D88E0AF">
      <w:pPr>
        <w:pStyle w:val="3"/>
        <w:spacing w:line="360" w:lineRule="auto"/>
        <w:jc w:val="center"/>
        <w:rPr>
          <w:rFonts w:hint="eastAsia" w:ascii="宋体" w:hAnsi="宋体" w:eastAsia="宋体" w:cs="宋体"/>
          <w:b w:val="0"/>
          <w:color w:val="auto"/>
          <w:highlight w:val="none"/>
        </w:rPr>
      </w:pPr>
      <w:bookmarkStart w:id="51" w:name="_Toc1315"/>
      <w:bookmarkStart w:id="52" w:name="_Toc23393"/>
      <w:bookmarkStart w:id="53" w:name="_Toc28335"/>
      <w:bookmarkStart w:id="54" w:name="_Toc23940"/>
      <w:bookmarkStart w:id="55" w:name="_Toc2403"/>
      <w:bookmarkStart w:id="56" w:name="_Toc24946"/>
      <w:bookmarkStart w:id="57" w:name="_Toc3531"/>
      <w:r>
        <w:rPr>
          <w:rFonts w:hint="eastAsia" w:ascii="宋体" w:hAnsi="宋体" w:eastAsia="宋体" w:cs="宋体"/>
          <w:b w:val="0"/>
          <w:color w:val="auto"/>
          <w:highlight w:val="none"/>
          <w:lang w:eastAsia="zh-CN"/>
        </w:rPr>
        <w:t xml:space="preserve">第一节 </w:t>
      </w:r>
      <w:r>
        <w:rPr>
          <w:rFonts w:hint="eastAsia" w:ascii="宋体" w:hAnsi="宋体" w:eastAsia="宋体" w:cs="宋体"/>
          <w:b w:val="0"/>
          <w:color w:val="auto"/>
          <w:highlight w:val="none"/>
        </w:rPr>
        <w:t>供应商须知前附表</w:t>
      </w:r>
      <w:bookmarkEnd w:id="51"/>
      <w:bookmarkEnd w:id="52"/>
      <w:bookmarkEnd w:id="53"/>
      <w:bookmarkEnd w:id="54"/>
      <w:bookmarkEnd w:id="55"/>
      <w:bookmarkEnd w:id="56"/>
      <w:bookmarkEnd w:id="57"/>
    </w:p>
    <w:tbl>
      <w:tblPr>
        <w:tblStyle w:val="27"/>
        <w:tblW w:w="990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3"/>
        <w:gridCol w:w="2371"/>
        <w:gridCol w:w="6633"/>
      </w:tblGrid>
      <w:tr w14:paraId="3CC695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903" w:type="dxa"/>
            <w:noWrap w:val="0"/>
            <w:vAlign w:val="center"/>
          </w:tcPr>
          <w:p w14:paraId="7F5C39BC">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2371" w:type="dxa"/>
            <w:noWrap w:val="0"/>
            <w:vAlign w:val="center"/>
          </w:tcPr>
          <w:p w14:paraId="3440EFB1">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条款内容</w:t>
            </w:r>
          </w:p>
        </w:tc>
        <w:tc>
          <w:tcPr>
            <w:tcW w:w="6633" w:type="dxa"/>
            <w:noWrap w:val="0"/>
            <w:vAlign w:val="center"/>
          </w:tcPr>
          <w:p w14:paraId="1D4DECDE">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具体要求</w:t>
            </w:r>
          </w:p>
        </w:tc>
      </w:tr>
      <w:tr w14:paraId="558F9F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6CD9F03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2371" w:type="dxa"/>
            <w:noWrap w:val="0"/>
            <w:vAlign w:val="center"/>
          </w:tcPr>
          <w:p w14:paraId="6707A9B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w:t>
            </w:r>
          </w:p>
        </w:tc>
        <w:tc>
          <w:tcPr>
            <w:tcW w:w="6633" w:type="dxa"/>
            <w:noWrap w:val="0"/>
            <w:vAlign w:val="center"/>
          </w:tcPr>
          <w:p w14:paraId="21E9B28A">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供应商资格条件要求详见公告。</w:t>
            </w:r>
          </w:p>
        </w:tc>
      </w:tr>
      <w:tr w14:paraId="2F504D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76C085D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2371" w:type="dxa"/>
            <w:noWrap w:val="0"/>
            <w:vAlign w:val="center"/>
          </w:tcPr>
          <w:p w14:paraId="07765E3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是否接受联合体竞标</w:t>
            </w:r>
          </w:p>
        </w:tc>
        <w:tc>
          <w:tcPr>
            <w:tcW w:w="6633" w:type="dxa"/>
            <w:noWrap w:val="0"/>
            <w:vAlign w:val="center"/>
          </w:tcPr>
          <w:p w14:paraId="1E903FEE">
            <w:pPr>
              <w:spacing w:line="360" w:lineRule="auto"/>
              <w:jc w:val="left"/>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lang w:val="en-US" w:eastAsia="zh-CN"/>
              </w:rPr>
              <w:t>□是/☑否</w:t>
            </w:r>
          </w:p>
        </w:tc>
      </w:tr>
      <w:tr w14:paraId="4D9CE1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79EDAB4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p>
        </w:tc>
        <w:tc>
          <w:tcPr>
            <w:tcW w:w="2371" w:type="dxa"/>
            <w:noWrap w:val="0"/>
            <w:vAlign w:val="center"/>
          </w:tcPr>
          <w:p w14:paraId="7E0A9C8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联合体竞标要求</w:t>
            </w:r>
          </w:p>
        </w:tc>
        <w:tc>
          <w:tcPr>
            <w:tcW w:w="6633" w:type="dxa"/>
            <w:noWrap w:val="0"/>
            <w:vAlign w:val="center"/>
          </w:tcPr>
          <w:p w14:paraId="23457435">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无</w:t>
            </w:r>
          </w:p>
        </w:tc>
      </w:tr>
      <w:tr w14:paraId="24E638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2311E26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6.1</w:t>
            </w:r>
          </w:p>
        </w:tc>
        <w:tc>
          <w:tcPr>
            <w:tcW w:w="2371" w:type="dxa"/>
            <w:noWrap w:val="0"/>
            <w:vAlign w:val="center"/>
          </w:tcPr>
          <w:p w14:paraId="04732AD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是否允许分包</w:t>
            </w:r>
          </w:p>
        </w:tc>
        <w:tc>
          <w:tcPr>
            <w:tcW w:w="6633" w:type="dxa"/>
            <w:noWrap w:val="0"/>
            <w:vAlign w:val="center"/>
          </w:tcPr>
          <w:p w14:paraId="256DEA54">
            <w:pPr>
              <w:pStyle w:val="1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☑不允许分包</w:t>
            </w:r>
          </w:p>
          <w:p w14:paraId="4A2BE6AD">
            <w:pPr>
              <w:pStyle w:val="1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□允许分包</w:t>
            </w:r>
          </w:p>
          <w:p w14:paraId="72EA1A3D">
            <w:pPr>
              <w:pStyle w:val="10"/>
              <w:spacing w:line="360" w:lineRule="auto"/>
              <w:jc w:val="left"/>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分包内容：</w:t>
            </w:r>
            <w:r>
              <w:rPr>
                <w:rFonts w:hint="eastAsia" w:ascii="宋体" w:hAnsi="宋体" w:eastAsia="宋体" w:cs="宋体"/>
                <w:color w:val="auto"/>
                <w:szCs w:val="21"/>
                <w:highlight w:val="none"/>
                <w:u w:val="single"/>
                <w:lang w:val="en-US" w:eastAsia="zh-CN"/>
              </w:rPr>
              <w:t xml:space="preserve">      </w:t>
            </w:r>
            <w:r>
              <w:rPr>
                <w:rFonts w:hint="eastAsia" w:asciiTheme="minorEastAsia" w:hAnsiTheme="minorEastAsia" w:eastAsiaTheme="minorEastAsia"/>
                <w:color w:val="auto"/>
                <w:kern w:val="2"/>
                <w:sz w:val="21"/>
                <w:szCs w:val="21"/>
                <w:highlight w:val="none"/>
                <w:u w:val="single"/>
              </w:rPr>
              <w:t xml:space="preserve"> </w:t>
            </w:r>
            <w:r>
              <w:rPr>
                <w:rFonts w:hint="eastAsia" w:asciiTheme="minorEastAsia" w:hAnsiTheme="minorEastAsia" w:eastAsiaTheme="minorEastAsia"/>
                <w:color w:val="auto"/>
                <w:kern w:val="2"/>
                <w:sz w:val="21"/>
                <w:szCs w:val="21"/>
                <w:highlight w:val="none"/>
                <w:u w:val="single"/>
                <w:lang w:val="en-US" w:eastAsia="zh-CN"/>
              </w:rPr>
              <w:t>/</w:t>
            </w:r>
            <w:r>
              <w:rPr>
                <w:rFonts w:hint="eastAsia" w:asciiTheme="minorEastAsia" w:hAnsiTheme="minorEastAsia" w:eastAsiaTheme="minorEastAsia"/>
                <w:color w:val="auto"/>
                <w:kern w:val="2"/>
                <w:sz w:val="21"/>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p>
          <w:p w14:paraId="70A73A7D">
            <w:pPr>
              <w:pStyle w:val="1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分包金额或者比例：</w:t>
            </w:r>
            <w:r>
              <w:rPr>
                <w:rFonts w:hint="eastAsia" w:ascii="宋体" w:hAnsi="宋体" w:eastAsia="宋体" w:cs="宋体"/>
                <w:color w:val="auto"/>
                <w:szCs w:val="21"/>
                <w:highlight w:val="none"/>
                <w:u w:val="single"/>
                <w:lang w:val="en-US" w:eastAsia="zh-CN"/>
              </w:rPr>
              <w:t xml:space="preserve">   </w:t>
            </w:r>
            <w:r>
              <w:rPr>
                <w:rFonts w:hint="eastAsia" w:asciiTheme="minorEastAsia" w:hAnsiTheme="minorEastAsia" w:eastAsiaTheme="minorEastAsia"/>
                <w:color w:val="auto"/>
                <w:kern w:val="2"/>
                <w:sz w:val="21"/>
                <w:szCs w:val="21"/>
                <w:highlight w:val="none"/>
                <w:u w:val="single"/>
              </w:rPr>
              <w:t xml:space="preserve"> </w:t>
            </w:r>
            <w:r>
              <w:rPr>
                <w:rFonts w:hint="eastAsia" w:asciiTheme="minorEastAsia" w:hAnsiTheme="minorEastAsia" w:eastAsiaTheme="minorEastAsia"/>
                <w:color w:val="auto"/>
                <w:kern w:val="2"/>
                <w:sz w:val="21"/>
                <w:szCs w:val="21"/>
                <w:highlight w:val="none"/>
                <w:u w:val="single"/>
                <w:lang w:val="en-US" w:eastAsia="zh-CN"/>
              </w:rPr>
              <w:t>/</w:t>
            </w:r>
            <w:r>
              <w:rPr>
                <w:rFonts w:hint="eastAsia" w:asciiTheme="minorEastAsia" w:hAnsiTheme="minorEastAsia" w:eastAsiaTheme="minorEastAsia"/>
                <w:color w:val="auto"/>
                <w:kern w:val="2"/>
                <w:sz w:val="21"/>
                <w:szCs w:val="21"/>
                <w:highlight w:val="none"/>
                <w:u w:val="single"/>
              </w:rPr>
              <w:t xml:space="preserve"> </w:t>
            </w:r>
            <w:r>
              <w:rPr>
                <w:rFonts w:hint="eastAsia" w:asciiTheme="minorEastAsia" w:hAnsiTheme="minorEastAsia" w:eastAsiaTheme="minorEastAsia"/>
                <w:color w:val="auto"/>
                <w:kern w:val="2"/>
                <w:sz w:val="21"/>
                <w:szCs w:val="21"/>
                <w:highlight w:val="none"/>
                <w:u w:val="single"/>
                <w:lang w:val="en-US" w:eastAsia="zh-CN"/>
              </w:rPr>
              <w:t xml:space="preserve"> </w:t>
            </w:r>
            <w:r>
              <w:rPr>
                <w:rFonts w:hint="eastAsia" w:ascii="宋体" w:hAnsi="宋体" w:eastAsia="宋体" w:cs="宋体"/>
                <w:color w:val="auto"/>
                <w:szCs w:val="21"/>
                <w:highlight w:val="none"/>
                <w:u w:val="single"/>
                <w:lang w:val="en-US" w:eastAsia="zh-CN"/>
              </w:rPr>
              <w:t xml:space="preserve">     。</w:t>
            </w:r>
          </w:p>
        </w:tc>
      </w:tr>
      <w:tr w14:paraId="20C278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70A326F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w:t>
            </w:r>
          </w:p>
        </w:tc>
        <w:tc>
          <w:tcPr>
            <w:tcW w:w="2371" w:type="dxa"/>
            <w:noWrap w:val="0"/>
            <w:vAlign w:val="center"/>
          </w:tcPr>
          <w:p w14:paraId="23F9A4E2">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资格证明文件组成</w:t>
            </w:r>
          </w:p>
        </w:tc>
        <w:tc>
          <w:tcPr>
            <w:tcW w:w="6633" w:type="dxa"/>
            <w:noWrap w:val="0"/>
            <w:vAlign w:val="center"/>
          </w:tcPr>
          <w:p w14:paraId="3B1E38E3">
            <w:pPr>
              <w:pStyle w:val="1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供应商为法人或者其他组织的提供其营业执照等证明文件（如营业执照或者事业单位法人证书或者执业许可证等）复印件，供应商为自然人的提供其身份证复印件；（</w:t>
            </w:r>
            <w:r>
              <w:rPr>
                <w:rFonts w:hint="eastAsia" w:ascii="宋体" w:hAnsi="宋体" w:eastAsia="宋体" w:cs="宋体"/>
                <w:b/>
                <w:color w:val="auto"/>
                <w:szCs w:val="21"/>
                <w:highlight w:val="none"/>
                <w:lang w:val="en-US" w:eastAsia="zh-CN"/>
              </w:rPr>
              <w:t>必须提供，否则响应文件按无效响应处理</w:t>
            </w:r>
            <w:r>
              <w:rPr>
                <w:rFonts w:hint="eastAsia" w:ascii="宋体" w:hAnsi="宋体" w:eastAsia="宋体" w:cs="宋体"/>
                <w:color w:val="auto"/>
                <w:szCs w:val="21"/>
                <w:highlight w:val="none"/>
                <w:lang w:val="en-US" w:eastAsia="zh-CN"/>
              </w:rPr>
              <w:t>）</w:t>
            </w:r>
          </w:p>
          <w:p w14:paraId="1BD7B769">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供应商依法缴纳税收的相关材料</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eastAsia="宋体" w:cs="宋体"/>
                <w:color w:val="auto"/>
                <w:szCs w:val="21"/>
                <w:highlight w:val="none"/>
                <w:u w:val="single"/>
              </w:rPr>
              <w:t>年</w:t>
            </w:r>
            <w:r>
              <w:rPr>
                <w:rFonts w:hint="eastAsia" w:ascii="宋体" w:hAnsi="宋体" w:cs="宋体"/>
                <w:color w:val="auto"/>
                <w:szCs w:val="21"/>
                <w:highlight w:val="none"/>
                <w:u w:val="single"/>
                <w:lang w:val="en-US" w:eastAsia="zh-CN"/>
              </w:rPr>
              <w:t>11</w:t>
            </w:r>
            <w:r>
              <w:rPr>
                <w:rFonts w:hint="eastAsia" w:ascii="宋体" w:hAnsi="宋体" w:eastAsia="宋体" w:cs="宋体"/>
                <w:color w:val="auto"/>
                <w:szCs w:val="21"/>
                <w:highlight w:val="none"/>
                <w:u w:val="single"/>
              </w:rPr>
              <w:t>月至</w:t>
            </w:r>
            <w:r>
              <w:rPr>
                <w:rFonts w:hint="eastAsia" w:ascii="宋体" w:hAnsi="宋体" w:eastAsia="宋体" w:cs="宋体"/>
                <w:color w:val="auto"/>
                <w:szCs w:val="21"/>
                <w:highlight w:val="none"/>
                <w:u w:val="single"/>
                <w:lang w:val="en-US" w:eastAsia="zh-CN"/>
              </w:rPr>
              <w:t>202</w:t>
            </w:r>
            <w:r>
              <w:rPr>
                <w:rFonts w:hint="eastAsia" w:ascii="宋体" w:hAnsi="宋体" w:cs="宋体"/>
                <w:color w:val="auto"/>
                <w:szCs w:val="21"/>
                <w:highlight w:val="none"/>
                <w:u w:val="single"/>
                <w:lang w:val="en-US" w:eastAsia="zh-CN"/>
              </w:rPr>
              <w:t>6</w:t>
            </w:r>
            <w:r>
              <w:rPr>
                <w:rFonts w:hint="eastAsia" w:ascii="宋体" w:hAnsi="宋体" w:eastAsia="宋体" w:cs="宋体"/>
                <w:color w:val="auto"/>
                <w:szCs w:val="21"/>
                <w:highlight w:val="none"/>
                <w:u w:val="single"/>
              </w:rPr>
              <w:t>年</w:t>
            </w:r>
            <w:r>
              <w:rPr>
                <w:rFonts w:hint="eastAsia" w:ascii="宋体" w:hAnsi="宋体" w:cs="宋体"/>
                <w:color w:val="auto"/>
                <w:szCs w:val="21"/>
                <w:highlight w:val="none"/>
                <w:u w:val="single"/>
                <w:lang w:val="en-US" w:eastAsia="zh-CN"/>
              </w:rPr>
              <w:t>04</w:t>
            </w:r>
            <w:r>
              <w:rPr>
                <w:rFonts w:hint="eastAsia" w:ascii="宋体" w:hAnsi="宋体" w:eastAsia="宋体" w:cs="宋体"/>
                <w:color w:val="auto"/>
                <w:szCs w:val="21"/>
                <w:highlight w:val="none"/>
                <w:u w:val="single"/>
              </w:rPr>
              <w:t>月</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期间</w:t>
            </w:r>
            <w:r>
              <w:rPr>
                <w:rFonts w:hint="eastAsia" w:ascii="宋体" w:hAnsi="宋体" w:cs="宋体"/>
                <w:color w:val="auto"/>
                <w:szCs w:val="21"/>
                <w:highlight w:val="none"/>
                <w:lang w:val="en-US" w:eastAsia="zh-CN"/>
              </w:rPr>
              <w:t>连续</w:t>
            </w:r>
            <w:r>
              <w:rPr>
                <w:rFonts w:hint="eastAsia" w:ascii="宋体" w:hAnsi="宋体" w:cs="宋体"/>
                <w:color w:val="auto"/>
                <w:szCs w:val="21"/>
                <w:highlight w:val="none"/>
                <w:u w:val="single"/>
                <w:lang w:val="en-US" w:eastAsia="zh-CN"/>
              </w:rPr>
              <w:t xml:space="preserve"> 3</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个月的</w:t>
            </w:r>
            <w:r>
              <w:rPr>
                <w:rFonts w:hint="eastAsia" w:ascii="宋体" w:hAnsi="宋体" w:eastAsia="宋体" w:cs="宋体"/>
                <w:color w:val="auto"/>
                <w:szCs w:val="21"/>
                <w:highlight w:val="none"/>
              </w:rPr>
              <w:t>依法缴纳税收的凭据复印件；</w:t>
            </w:r>
            <w:r>
              <w:rPr>
                <w:rFonts w:hint="eastAsia" w:ascii="宋体" w:hAnsi="宋体" w:cs="宋体"/>
                <w:color w:val="auto"/>
                <w:szCs w:val="21"/>
                <w:highlight w:val="none"/>
              </w:rPr>
              <w:t>依</w:t>
            </w:r>
            <w:r>
              <w:rPr>
                <w:rFonts w:hint="eastAsia" w:ascii="宋体" w:hAnsi="宋体"/>
                <w:color w:val="auto"/>
                <w:szCs w:val="21"/>
                <w:highlight w:val="none"/>
              </w:rPr>
              <w:t>法免税的供应商，必须提供相应文件证明其依法免税。</w:t>
            </w:r>
            <w:r>
              <w:rPr>
                <w:rFonts w:hint="eastAsia" w:ascii="宋体" w:hAnsi="宋体" w:cs="宋体"/>
                <w:color w:val="auto"/>
                <w:szCs w:val="21"/>
                <w:highlight w:val="none"/>
              </w:rPr>
              <w:t>从取得营业执照时间起到投标文件提交截止时间为止不足要求月数的，只需提供从取得营业执照起的依法缴纳税收</w:t>
            </w:r>
            <w:r>
              <w:rPr>
                <w:rFonts w:hint="eastAsia" w:ascii="宋体" w:hAnsi="宋体"/>
                <w:color w:val="auto"/>
                <w:szCs w:val="21"/>
                <w:highlight w:val="none"/>
              </w:rPr>
              <w:t>相应证明文件</w:t>
            </w:r>
            <w:r>
              <w:rPr>
                <w:rFonts w:hint="eastAsia" w:ascii="宋体" w:hAnsi="宋体" w:cs="宋体"/>
                <w:color w:val="auto"/>
                <w:szCs w:val="21"/>
                <w:highlight w:val="none"/>
              </w:rPr>
              <w:t>）</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必须提供，否则作无效竞标处理</w:t>
            </w:r>
            <w:r>
              <w:rPr>
                <w:rFonts w:hint="eastAsia" w:ascii="宋体" w:hAnsi="宋体" w:eastAsia="宋体" w:cs="宋体"/>
                <w:color w:val="auto"/>
                <w:szCs w:val="21"/>
                <w:highlight w:val="none"/>
              </w:rPr>
              <w:t>）</w:t>
            </w:r>
          </w:p>
          <w:p w14:paraId="31EFC8A7">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供应商依法缴纳社会保障资金的相关材料</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eastAsia="宋体" w:cs="宋体"/>
                <w:color w:val="auto"/>
                <w:szCs w:val="21"/>
                <w:highlight w:val="none"/>
                <w:u w:val="single"/>
              </w:rPr>
              <w:t>年</w:t>
            </w:r>
            <w:r>
              <w:rPr>
                <w:rFonts w:hint="eastAsia" w:ascii="宋体" w:hAnsi="宋体" w:cs="宋体"/>
                <w:color w:val="auto"/>
                <w:szCs w:val="21"/>
                <w:highlight w:val="none"/>
                <w:u w:val="single"/>
                <w:lang w:val="en-US" w:eastAsia="zh-CN"/>
              </w:rPr>
              <w:t>11</w:t>
            </w:r>
            <w:r>
              <w:rPr>
                <w:rFonts w:hint="eastAsia" w:ascii="宋体" w:hAnsi="宋体" w:eastAsia="宋体" w:cs="宋体"/>
                <w:color w:val="auto"/>
                <w:szCs w:val="21"/>
                <w:highlight w:val="none"/>
                <w:u w:val="single"/>
              </w:rPr>
              <w:t>月至</w:t>
            </w:r>
            <w:r>
              <w:rPr>
                <w:rFonts w:hint="eastAsia" w:ascii="宋体" w:hAnsi="宋体" w:eastAsia="宋体" w:cs="宋体"/>
                <w:color w:val="auto"/>
                <w:szCs w:val="21"/>
                <w:highlight w:val="none"/>
                <w:u w:val="single"/>
                <w:lang w:val="en-US" w:eastAsia="zh-CN"/>
              </w:rPr>
              <w:t>202</w:t>
            </w:r>
            <w:r>
              <w:rPr>
                <w:rFonts w:hint="eastAsia" w:ascii="宋体" w:hAnsi="宋体" w:cs="宋体"/>
                <w:color w:val="auto"/>
                <w:szCs w:val="21"/>
                <w:highlight w:val="none"/>
                <w:u w:val="single"/>
                <w:lang w:val="en-US" w:eastAsia="zh-CN"/>
              </w:rPr>
              <w:t>6</w:t>
            </w:r>
            <w:r>
              <w:rPr>
                <w:rFonts w:hint="eastAsia" w:ascii="宋体" w:hAnsi="宋体" w:eastAsia="宋体" w:cs="宋体"/>
                <w:color w:val="auto"/>
                <w:szCs w:val="21"/>
                <w:highlight w:val="none"/>
                <w:u w:val="single"/>
              </w:rPr>
              <w:t>年</w:t>
            </w:r>
            <w:r>
              <w:rPr>
                <w:rFonts w:hint="eastAsia" w:ascii="宋体" w:hAnsi="宋体" w:cs="宋体"/>
                <w:color w:val="auto"/>
                <w:szCs w:val="21"/>
                <w:highlight w:val="none"/>
                <w:u w:val="single"/>
                <w:lang w:val="en-US" w:eastAsia="zh-CN"/>
              </w:rPr>
              <w:t>04</w:t>
            </w:r>
            <w:r>
              <w:rPr>
                <w:rFonts w:hint="eastAsia" w:ascii="宋体" w:hAnsi="宋体" w:eastAsia="宋体" w:cs="宋体"/>
                <w:color w:val="auto"/>
                <w:szCs w:val="21"/>
                <w:highlight w:val="none"/>
                <w:u w:val="single"/>
              </w:rPr>
              <w:t>月</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期间</w:t>
            </w:r>
            <w:r>
              <w:rPr>
                <w:rFonts w:hint="eastAsia" w:ascii="宋体" w:hAnsi="宋体" w:cs="宋体"/>
                <w:color w:val="auto"/>
                <w:szCs w:val="21"/>
                <w:highlight w:val="none"/>
                <w:lang w:val="en-US" w:eastAsia="zh-CN"/>
              </w:rPr>
              <w:t>连续</w:t>
            </w:r>
            <w:r>
              <w:rPr>
                <w:rFonts w:hint="eastAsia" w:ascii="宋体" w:hAnsi="宋体" w:cs="宋体"/>
                <w:color w:val="auto"/>
                <w:szCs w:val="21"/>
                <w:highlight w:val="none"/>
                <w:u w:val="single"/>
                <w:lang w:val="en-US" w:eastAsia="zh-CN"/>
              </w:rPr>
              <w:t xml:space="preserve"> 3</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个月</w:t>
            </w:r>
            <w:r>
              <w:rPr>
                <w:rFonts w:hint="eastAsia" w:ascii="宋体" w:hAnsi="宋体" w:eastAsia="宋体" w:cs="宋体"/>
                <w:color w:val="auto"/>
                <w:szCs w:val="21"/>
                <w:highlight w:val="none"/>
              </w:rPr>
              <w:t>的依法缴纳社会保障资金的缴费凭证（专用收据或者社会保险缴纳清单）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r>
              <w:rPr>
                <w:rFonts w:hint="eastAsia" w:ascii="宋体" w:hAnsi="宋体" w:eastAsia="宋体" w:cs="宋体"/>
                <w:b/>
                <w:color w:val="auto"/>
                <w:szCs w:val="21"/>
                <w:highlight w:val="none"/>
              </w:rPr>
              <w:t>必须提供，否则作无效竞标处理</w:t>
            </w:r>
            <w:r>
              <w:rPr>
                <w:rFonts w:hint="eastAsia" w:ascii="宋体" w:hAnsi="宋体" w:eastAsia="宋体" w:cs="宋体"/>
                <w:color w:val="auto"/>
                <w:szCs w:val="21"/>
                <w:highlight w:val="none"/>
              </w:rPr>
              <w:t>）</w:t>
            </w:r>
          </w:p>
          <w:p w14:paraId="47E81EB8">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供应商财务状况报告</w:t>
            </w:r>
            <w:r>
              <w:rPr>
                <w:rFonts w:hint="eastAsia" w:asciiTheme="minorEastAsia" w:hAnsiTheme="minorEastAsia" w:eastAsiaTheme="minorEastAsia"/>
                <w:color w:val="auto"/>
                <w:szCs w:val="21"/>
                <w:highlight w:val="none"/>
              </w:rPr>
              <w:t>[</w:t>
            </w:r>
            <w:r>
              <w:rPr>
                <w:rFonts w:hint="eastAsia" w:ascii="宋体" w:hAnsi="宋体" w:cs="宋体"/>
                <w:color w:val="auto"/>
                <w:szCs w:val="21"/>
                <w:highlight w:val="none"/>
                <w:u w:val="single"/>
                <w:lang w:val="en-US" w:eastAsia="zh-CN"/>
              </w:rPr>
              <w:t>2024年</w:t>
            </w:r>
            <w:r>
              <w:rPr>
                <w:rFonts w:hint="eastAsia" w:asciiTheme="minorEastAsia" w:hAnsiTheme="minorEastAsia" w:eastAsiaTheme="minorEastAsia"/>
                <w:color w:val="auto"/>
                <w:szCs w:val="21"/>
                <w:highlight w:val="none"/>
              </w:rPr>
              <w:t>]财务状况报告复印件；供应商成立不满一年的应按提供首次响应文件提交截止时间上一个月的财务状况报告复印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cs="宋体" w:asciiTheme="minorEastAsia" w:hAnsiTheme="minorEastAsia" w:eastAsiaTheme="minorEastAsia"/>
                <w:color w:val="auto"/>
                <w:szCs w:val="21"/>
                <w:highlight w:val="none"/>
              </w:rPr>
              <w:t>（</w:t>
            </w:r>
            <w:r>
              <w:rPr>
                <w:rFonts w:hint="eastAsia" w:cs="宋体" w:asciiTheme="minorEastAsia" w:hAnsiTheme="minorEastAsia" w:eastAsiaTheme="minorEastAsia"/>
                <w:b/>
                <w:color w:val="auto"/>
                <w:szCs w:val="21"/>
                <w:highlight w:val="none"/>
              </w:rPr>
              <w:t>必须提供，否则响应文件按无效响应处理</w:t>
            </w:r>
            <w:r>
              <w:rPr>
                <w:rFonts w:hint="eastAsia" w:cs="宋体" w:asciiTheme="minorEastAsia" w:hAnsiTheme="minorEastAsia" w:eastAsiaTheme="minorEastAsia"/>
                <w:color w:val="auto"/>
                <w:szCs w:val="21"/>
                <w:highlight w:val="none"/>
              </w:rPr>
              <w:t>）</w:t>
            </w:r>
          </w:p>
          <w:p w14:paraId="751B0D5A">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供应商直接控股、管理关系信息表；（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1EDFBD03">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资格声明</w:t>
            </w:r>
            <w:r>
              <w:rPr>
                <w:rFonts w:hint="eastAsia" w:ascii="宋体" w:hAnsi="宋体" w:eastAsia="宋体" w:cs="宋体"/>
                <w:color w:val="auto"/>
                <w:szCs w:val="21"/>
                <w:highlight w:val="none"/>
                <w:lang w:eastAsia="zh-CN"/>
              </w:rPr>
              <w:t>函</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042FB232">
            <w:pPr>
              <w:snapToGrid w:val="0"/>
              <w:spacing w:line="360"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7</w:t>
            </w:r>
            <w:r>
              <w:rPr>
                <w:rFonts w:hint="eastAsia" w:ascii="宋体" w:hAnsi="宋体" w:cs="宋体"/>
                <w:color w:val="auto"/>
                <w:szCs w:val="21"/>
                <w:highlight w:val="none"/>
                <w:lang w:val="en-US" w:eastAsia="zh-CN"/>
              </w:rPr>
              <w:t>.</w:t>
            </w:r>
            <w:r>
              <w:rPr>
                <w:rFonts w:hint="eastAsia" w:ascii="宋体" w:hAnsi="宋体"/>
                <w:color w:val="auto"/>
                <w:szCs w:val="21"/>
                <w:highlight w:val="none"/>
                <w:lang w:eastAsia="zh-CN"/>
              </w:rPr>
              <w:t>中小</w:t>
            </w:r>
            <w:r>
              <w:rPr>
                <w:rFonts w:hint="eastAsia" w:ascii="宋体" w:hAnsi="宋体"/>
                <w:color w:val="auto"/>
                <w:szCs w:val="21"/>
                <w:highlight w:val="none"/>
              </w:rPr>
              <w:t>企业声明函或残疾人福利性单位声明函或供应商属于监狱企业的证明材料</w:t>
            </w:r>
            <w:r>
              <w:rPr>
                <w:rFonts w:hint="eastAsia" w:ascii="宋体" w:hAnsi="宋体" w:cs="宋体"/>
                <w:color w:val="auto"/>
                <w:szCs w:val="21"/>
                <w:highlight w:val="none"/>
              </w:rPr>
              <w:t>；（</w:t>
            </w:r>
            <w:r>
              <w:rPr>
                <w:rFonts w:hint="eastAsia" w:ascii="宋体" w:hAnsi="宋体" w:cs="宋体"/>
                <w:b/>
                <w:bCs/>
                <w:color w:val="auto"/>
                <w:szCs w:val="21"/>
                <w:highlight w:val="none"/>
                <w:lang w:val="en-US" w:eastAsia="zh-CN"/>
              </w:rPr>
              <w:t>本项目</w:t>
            </w:r>
            <w:r>
              <w:rPr>
                <w:rFonts w:hint="eastAsia" w:ascii="宋体" w:hAnsi="宋体" w:eastAsia="宋体" w:cs="宋体"/>
                <w:b/>
                <w:color w:val="auto"/>
                <w:szCs w:val="21"/>
                <w:highlight w:val="none"/>
              </w:rPr>
              <w:t>专门面向</w:t>
            </w:r>
            <w:r>
              <w:rPr>
                <w:rFonts w:hint="eastAsia" w:ascii="宋体" w:hAnsi="宋体" w:eastAsia="宋体" w:cs="宋体"/>
                <w:b/>
                <w:color w:val="auto"/>
                <w:szCs w:val="21"/>
                <w:highlight w:val="none"/>
                <w:lang w:val="en-US" w:eastAsia="zh-CN"/>
              </w:rPr>
              <w:t>小微</w:t>
            </w:r>
            <w:r>
              <w:rPr>
                <w:rFonts w:hint="eastAsia" w:ascii="宋体" w:hAnsi="宋体" w:eastAsia="宋体" w:cs="宋体"/>
                <w:b/>
                <w:color w:val="auto"/>
                <w:szCs w:val="21"/>
                <w:highlight w:val="none"/>
              </w:rPr>
              <w:t>企业采购的项目</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rPr>
              <w:t>必</w:t>
            </w:r>
            <w:r>
              <w:rPr>
                <w:rFonts w:hint="eastAsia" w:ascii="宋体" w:hAnsi="宋体" w:cs="宋体"/>
                <w:b/>
                <w:color w:val="auto"/>
                <w:szCs w:val="21"/>
                <w:highlight w:val="none"/>
              </w:rPr>
              <w:t>须提供，否则响应文件按无效响应处理</w:t>
            </w:r>
            <w:r>
              <w:rPr>
                <w:rFonts w:hint="eastAsia" w:ascii="宋体" w:hAnsi="宋体" w:cs="宋体"/>
                <w:color w:val="auto"/>
                <w:szCs w:val="21"/>
                <w:highlight w:val="none"/>
              </w:rPr>
              <w:t>）</w:t>
            </w:r>
          </w:p>
          <w:p w14:paraId="0C3E97E2">
            <w:pPr>
              <w:snapToGrid w:val="0"/>
              <w:spacing w:line="360" w:lineRule="auto"/>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特定资格要求的资格证明材料</w:t>
            </w:r>
            <w:r>
              <w:rPr>
                <w:rFonts w:hint="eastAsia" w:ascii="宋体" w:hAnsi="宋体" w:cs="宋体"/>
                <w:color w:val="auto"/>
                <w:szCs w:val="21"/>
                <w:highlight w:val="none"/>
                <w:lang w:eastAsia="zh-CN"/>
              </w:rPr>
              <w:t>：（1）</w:t>
            </w:r>
            <w:r>
              <w:rPr>
                <w:rFonts w:hint="eastAsia" w:ascii="宋体" w:hAnsi="宋体" w:eastAsia="宋体" w:cs="宋体"/>
                <w:color w:val="auto"/>
                <w:szCs w:val="21"/>
                <w:highlight w:val="none"/>
              </w:rPr>
              <w:t>须具备独立的法人资格，具有水利水电工程施工总承包叁级或叁级以上资质；具有省级及以上建设行政主管部门颁发的安全生产许可证</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在人员、设备、资金等方面具备相应的施工能力。</w:t>
            </w:r>
            <w:r>
              <w:rPr>
                <w:rFonts w:hint="eastAsia" w:ascii="宋体" w:hAnsi="宋体" w:cs="宋体"/>
                <w:color w:val="auto"/>
                <w:szCs w:val="21"/>
                <w:highlight w:val="none"/>
                <w:lang w:eastAsia="zh-CN"/>
              </w:rPr>
              <w:t>（2）拟派项目经理须具备水利水电工程专业贰级以上（含贰级）注册建造师执业资格，具备有效的安全生产考核合格证书（B类）。本项目不接受有在建、已中标未开工或其他项目中标候选人第一名的建造师作为项目经理</w:t>
            </w:r>
            <w:r>
              <w:rPr>
                <w:rFonts w:hint="eastAsia" w:ascii="宋体" w:hAnsi="宋体" w:eastAsia="宋体" w:cs="宋体"/>
                <w:color w:val="auto"/>
                <w:szCs w:val="21"/>
                <w:highlight w:val="none"/>
              </w:rPr>
              <w:t>；</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b/>
                <w:color w:val="auto"/>
                <w:spacing w:val="0"/>
                <w:w w:val="100"/>
                <w:position w:val="0"/>
                <w:sz w:val="21"/>
                <w:szCs w:val="21"/>
                <w:highlight w:val="none"/>
              </w:rPr>
              <w:t>必须提供，否则响应文件按无效响应处理</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zCs w:val="21"/>
                <w:highlight w:val="none"/>
              </w:rPr>
              <w:t>；</w:t>
            </w:r>
          </w:p>
          <w:p w14:paraId="0D9DEC79">
            <w:pPr>
              <w:snapToGrid w:val="0"/>
              <w:spacing w:line="360" w:lineRule="auto"/>
              <w:jc w:val="left"/>
              <w:rPr>
                <w:rFonts w:hint="eastAsia" w:ascii="宋体" w:hAnsi="宋体" w:cs="宋体"/>
                <w:b/>
                <w:bCs/>
                <w:color w:val="auto"/>
                <w:szCs w:val="21"/>
                <w:highlight w:val="none"/>
                <w:lang w:val="en-US" w:eastAsia="zh-CN"/>
              </w:rPr>
            </w:pPr>
            <w:r>
              <w:rPr>
                <w:rFonts w:hint="eastAsia" w:ascii="宋体" w:hAnsi="宋体" w:cs="宋体"/>
                <w:color w:val="auto"/>
                <w:szCs w:val="21"/>
                <w:highlight w:val="none"/>
                <w:lang w:val="en-US" w:eastAsia="zh-CN"/>
              </w:rPr>
              <w:t>9.项目经理无在建项目承诺书</w:t>
            </w:r>
            <w:r>
              <w:rPr>
                <w:rFonts w:hint="eastAsia" w:ascii="宋体" w:hAnsi="宋体" w:cs="宋体"/>
                <w:b/>
                <w:bCs/>
                <w:color w:val="auto"/>
                <w:szCs w:val="21"/>
                <w:highlight w:val="none"/>
                <w:lang w:val="en-US" w:eastAsia="zh-CN"/>
              </w:rPr>
              <w:t>（必须提供，否则作无效响应处理）</w:t>
            </w:r>
          </w:p>
          <w:p w14:paraId="14C845BF">
            <w:pPr>
              <w:snapToGrid w:val="0"/>
              <w:spacing w:line="360" w:lineRule="auto"/>
              <w:jc w:val="left"/>
              <w:rPr>
                <w:rFonts w:hint="eastAsia" w:ascii="宋体" w:hAnsi="宋体" w:eastAsia="宋体" w:cs="宋体"/>
                <w:b/>
                <w:color w:val="auto"/>
                <w:szCs w:val="21"/>
                <w:highlight w:val="none"/>
              </w:rPr>
            </w:pP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rPr>
              <w:t>除磋商文件规定必须提供以外，供应商认为需要提供的其他证明材料。</w:t>
            </w:r>
            <w:r>
              <w:rPr>
                <w:rFonts w:hint="eastAsia" w:ascii="宋体" w:hAnsi="宋体" w:eastAsia="宋体" w:cs="宋体"/>
                <w:b/>
                <w:bCs/>
                <w:color w:val="auto"/>
                <w:szCs w:val="21"/>
                <w:highlight w:val="none"/>
              </w:rPr>
              <w:t>（如有请提</w:t>
            </w:r>
            <w:r>
              <w:rPr>
                <w:rFonts w:hint="eastAsia" w:ascii="宋体" w:hAnsi="宋体" w:eastAsia="宋体" w:cs="宋体"/>
                <w:b/>
                <w:bCs/>
                <w:color w:val="auto"/>
                <w:szCs w:val="21"/>
                <w:highlight w:val="none"/>
                <w:lang w:val="en-US" w:eastAsia="zh-CN"/>
              </w:rPr>
              <w:t>供</w:t>
            </w:r>
            <w:r>
              <w:rPr>
                <w:rFonts w:hint="eastAsia" w:ascii="宋体" w:hAnsi="宋体" w:eastAsia="宋体" w:cs="宋体"/>
                <w:b/>
                <w:bCs/>
                <w:color w:val="auto"/>
                <w:szCs w:val="21"/>
                <w:highlight w:val="none"/>
              </w:rPr>
              <w:t>）</w:t>
            </w:r>
          </w:p>
          <w:p w14:paraId="506C0B3B">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w:t>
            </w:r>
          </w:p>
          <w:p w14:paraId="3266620E">
            <w:pPr>
              <w:snapToGrid w:val="0"/>
              <w:spacing w:line="360" w:lineRule="auto"/>
              <w:ind w:firstLine="413" w:firstLineChars="196"/>
              <w:jc w:val="left"/>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1.以上标明“必须提供”的材料属于复印件的扫描件的，必须加盖供应商电子公章，否则响应文件按无效响应处理。</w:t>
            </w:r>
          </w:p>
        </w:tc>
      </w:tr>
      <w:tr w14:paraId="11919B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vMerge w:val="restart"/>
            <w:noWrap w:val="0"/>
            <w:vAlign w:val="center"/>
          </w:tcPr>
          <w:p w14:paraId="2CB0DBA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p>
        </w:tc>
        <w:tc>
          <w:tcPr>
            <w:tcW w:w="2371" w:type="dxa"/>
            <w:noWrap w:val="0"/>
            <w:vAlign w:val="center"/>
          </w:tcPr>
          <w:p w14:paraId="4F0D041E">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商务文件组成</w:t>
            </w:r>
          </w:p>
        </w:tc>
        <w:tc>
          <w:tcPr>
            <w:tcW w:w="6633" w:type="dxa"/>
            <w:noWrap w:val="0"/>
            <w:vAlign w:val="center"/>
          </w:tcPr>
          <w:p w14:paraId="319E16CE">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1.无串通竞标行为的承诺函；（</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6459E0FF">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2.法定代表人身份证明书及法定代表人有效身份证正反面复印件；</w:t>
            </w:r>
            <w:r>
              <w:rPr>
                <w:rFonts w:hint="eastAsia" w:ascii="宋体" w:hAnsi="宋体" w:cs="宋体"/>
                <w:color w:val="auto"/>
                <w:szCs w:val="21"/>
                <w:highlight w:val="none"/>
              </w:rPr>
              <w:t>（</w:t>
            </w:r>
            <w:r>
              <w:rPr>
                <w:rFonts w:hint="eastAsia" w:ascii="宋体" w:hAnsi="宋体" w:cs="宋体"/>
                <w:b/>
                <w:bCs/>
                <w:color w:val="auto"/>
                <w:szCs w:val="21"/>
                <w:highlight w:val="none"/>
              </w:rPr>
              <w:t>除自然人竞标外</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2B51A06">
            <w:pPr>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3.法定代表人授权委托书及委托代理人有效身份证正反面复印件；（</w:t>
            </w:r>
            <w:r>
              <w:rPr>
                <w:rFonts w:hint="eastAsia" w:ascii="宋体" w:hAnsi="宋体" w:eastAsia="宋体" w:cs="宋体"/>
                <w:b/>
                <w:color w:val="auto"/>
                <w:szCs w:val="21"/>
                <w:highlight w:val="none"/>
              </w:rPr>
              <w:t>委托时必须提供，否则响应文件按无效响应处理</w:t>
            </w:r>
            <w:r>
              <w:rPr>
                <w:rFonts w:hint="eastAsia" w:ascii="宋体" w:hAnsi="宋体" w:eastAsia="宋体" w:cs="宋体"/>
                <w:color w:val="auto"/>
                <w:szCs w:val="21"/>
                <w:highlight w:val="none"/>
              </w:rPr>
              <w:t>）</w:t>
            </w:r>
          </w:p>
          <w:p w14:paraId="2904E453">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4.商务条款偏离表；（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38947637">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5.竞标人情况介绍；</w:t>
            </w:r>
            <w:r>
              <w:rPr>
                <w:rFonts w:hint="eastAsia" w:ascii="宋体" w:hAnsi="宋体" w:eastAsia="宋体" w:cs="宋体"/>
                <w:b/>
                <w:bCs/>
                <w:color w:val="auto"/>
                <w:szCs w:val="21"/>
                <w:highlight w:val="none"/>
              </w:rPr>
              <w:t>（如有请提</w:t>
            </w:r>
            <w:r>
              <w:rPr>
                <w:rFonts w:hint="eastAsia" w:ascii="宋体" w:hAnsi="宋体" w:eastAsia="宋体" w:cs="宋体"/>
                <w:b/>
                <w:bCs/>
                <w:color w:val="auto"/>
                <w:szCs w:val="21"/>
                <w:highlight w:val="none"/>
                <w:lang w:val="en-US" w:eastAsia="zh-CN"/>
              </w:rPr>
              <w:t>供</w:t>
            </w:r>
            <w:r>
              <w:rPr>
                <w:rFonts w:hint="eastAsia" w:ascii="宋体" w:hAnsi="宋体" w:eastAsia="宋体" w:cs="宋体"/>
                <w:b/>
                <w:bCs/>
                <w:color w:val="auto"/>
                <w:szCs w:val="21"/>
                <w:highlight w:val="none"/>
              </w:rPr>
              <w:t>）</w:t>
            </w:r>
          </w:p>
          <w:p w14:paraId="7B8508AE">
            <w:pPr>
              <w:spacing w:line="360" w:lineRule="auto"/>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.建设工程项目管理承诺书；</w:t>
            </w:r>
            <w:r>
              <w:rPr>
                <w:rFonts w:hint="eastAsia" w:ascii="宋体" w:hAnsi="宋体" w:eastAsia="宋体" w:cs="宋体"/>
                <w:b/>
                <w:color w:val="auto"/>
                <w:szCs w:val="21"/>
                <w:highlight w:val="none"/>
              </w:rPr>
              <w:t>（必须提供，否则响应文件按无效响应处理）</w:t>
            </w:r>
          </w:p>
          <w:p w14:paraId="1ADEA9E8">
            <w:pPr>
              <w:spacing w:line="360" w:lineRule="auto"/>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供应商类似业绩的证明文件；</w:t>
            </w:r>
            <w:r>
              <w:rPr>
                <w:rFonts w:hint="eastAsia" w:ascii="宋体" w:hAnsi="宋体" w:eastAsia="宋体" w:cs="宋体"/>
                <w:b/>
                <w:bCs/>
                <w:color w:val="auto"/>
                <w:szCs w:val="21"/>
                <w:highlight w:val="none"/>
              </w:rPr>
              <w:t>（如有请提</w:t>
            </w:r>
            <w:r>
              <w:rPr>
                <w:rFonts w:hint="eastAsia" w:ascii="宋体" w:hAnsi="宋体" w:eastAsia="宋体" w:cs="宋体"/>
                <w:b/>
                <w:bCs/>
                <w:color w:val="auto"/>
                <w:szCs w:val="21"/>
                <w:highlight w:val="none"/>
                <w:lang w:val="en-US" w:eastAsia="zh-CN"/>
              </w:rPr>
              <w:t>供</w:t>
            </w:r>
            <w:r>
              <w:rPr>
                <w:rFonts w:hint="eastAsia" w:ascii="宋体" w:hAnsi="宋体" w:eastAsia="宋体" w:cs="宋体"/>
                <w:b/>
                <w:bCs/>
                <w:color w:val="auto"/>
                <w:szCs w:val="21"/>
                <w:highlight w:val="none"/>
              </w:rPr>
              <w:t>）</w:t>
            </w:r>
          </w:p>
          <w:p w14:paraId="4EC0F14C">
            <w:pPr>
              <w:spacing w:line="360" w:lineRule="auto"/>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.供应商认为需要提供的其他有关资料。</w:t>
            </w:r>
            <w:r>
              <w:rPr>
                <w:rFonts w:hint="eastAsia" w:ascii="宋体" w:hAnsi="宋体" w:eastAsia="宋体" w:cs="宋体"/>
                <w:b/>
                <w:bCs/>
                <w:color w:val="auto"/>
                <w:szCs w:val="21"/>
                <w:highlight w:val="none"/>
              </w:rPr>
              <w:t>（如有请提</w:t>
            </w:r>
            <w:r>
              <w:rPr>
                <w:rFonts w:hint="eastAsia" w:ascii="宋体" w:hAnsi="宋体" w:eastAsia="宋体" w:cs="宋体"/>
                <w:b/>
                <w:bCs/>
                <w:color w:val="auto"/>
                <w:szCs w:val="21"/>
                <w:highlight w:val="none"/>
                <w:lang w:val="en-US" w:eastAsia="zh-CN"/>
              </w:rPr>
              <w:t>供</w:t>
            </w:r>
            <w:r>
              <w:rPr>
                <w:rFonts w:hint="eastAsia" w:ascii="宋体" w:hAnsi="宋体" w:eastAsia="宋体" w:cs="宋体"/>
                <w:b/>
                <w:bCs/>
                <w:color w:val="auto"/>
                <w:szCs w:val="21"/>
                <w:highlight w:val="none"/>
              </w:rPr>
              <w:t>）</w:t>
            </w:r>
          </w:p>
          <w:p w14:paraId="1D31F663">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w:t>
            </w:r>
          </w:p>
          <w:p w14:paraId="706F11F6">
            <w:pPr>
              <w:snapToGrid w:val="0"/>
              <w:spacing w:line="360" w:lineRule="auto"/>
              <w:ind w:firstLine="413" w:firstLineChars="196"/>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1.法定代表人授权委托书必须由法定代表人及委托代理人签字，并加盖供应商公章，否则响应文件按无效响应处理。</w:t>
            </w:r>
          </w:p>
          <w:p w14:paraId="3E13E931">
            <w:pPr>
              <w:spacing w:line="360" w:lineRule="auto"/>
              <w:ind w:firstLine="413" w:firstLineChars="196"/>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2.以上标明“必须提供”的材料属于复印件的扫描件的，必须加盖供应商电子公章，否则响应文件按无效响应处理。</w:t>
            </w:r>
          </w:p>
        </w:tc>
      </w:tr>
      <w:tr w14:paraId="5792BE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vMerge w:val="continue"/>
            <w:noWrap w:val="0"/>
            <w:vAlign w:val="center"/>
          </w:tcPr>
          <w:p w14:paraId="4301E315">
            <w:pPr>
              <w:spacing w:line="360" w:lineRule="auto"/>
              <w:jc w:val="center"/>
              <w:rPr>
                <w:rFonts w:hint="eastAsia" w:ascii="宋体" w:hAnsi="宋体" w:eastAsia="宋体" w:cs="宋体"/>
                <w:color w:val="auto"/>
                <w:szCs w:val="21"/>
                <w:highlight w:val="none"/>
              </w:rPr>
            </w:pPr>
          </w:p>
        </w:tc>
        <w:tc>
          <w:tcPr>
            <w:tcW w:w="2371" w:type="dxa"/>
            <w:noWrap w:val="0"/>
            <w:vAlign w:val="center"/>
          </w:tcPr>
          <w:p w14:paraId="7A5494C9">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技术文件组成</w:t>
            </w:r>
          </w:p>
        </w:tc>
        <w:tc>
          <w:tcPr>
            <w:tcW w:w="6633" w:type="dxa"/>
            <w:noWrap w:val="0"/>
            <w:vAlign w:val="center"/>
          </w:tcPr>
          <w:p w14:paraId="7D05DCF7">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1.技术需求偏离表；（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672FFA64">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.施工组织设计；（</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F9BD236">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ascii="宋体" w:hAnsi="宋体" w:cs="宋体"/>
                <w:color w:val="auto"/>
                <w:szCs w:val="21"/>
                <w:highlight w:val="none"/>
              </w:rPr>
              <w:t>.</w:t>
            </w:r>
            <w:r>
              <w:rPr>
                <w:rFonts w:hint="eastAsia" w:ascii="宋体" w:hAnsi="宋体" w:cs="宋体"/>
                <w:color w:val="auto"/>
                <w:szCs w:val="21"/>
                <w:highlight w:val="none"/>
              </w:rPr>
              <w:t>项目管理机构配备情况表；（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5679A1CA">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4</w:t>
            </w:r>
            <w:r>
              <w:rPr>
                <w:rFonts w:ascii="宋体" w:hAnsi="宋体" w:cs="宋体"/>
                <w:color w:val="auto"/>
                <w:szCs w:val="21"/>
                <w:highlight w:val="none"/>
              </w:rPr>
              <w:t>.</w:t>
            </w:r>
            <w:r>
              <w:rPr>
                <w:rFonts w:hint="eastAsia" w:ascii="宋体" w:hAnsi="宋体" w:cs="宋体"/>
                <w:color w:val="auto"/>
                <w:szCs w:val="21"/>
                <w:highlight w:val="none"/>
              </w:rPr>
              <w:t>项目经理简历表；（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2A6F80B9">
            <w:pPr>
              <w:numPr>
                <w:ilvl w:val="0"/>
                <w:numId w:val="0"/>
              </w:numPr>
              <w:spacing w:line="360" w:lineRule="auto"/>
              <w:ind w:left="0" w:leftChars="0" w:firstLine="0" w:firstLineChars="0"/>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供应商认为需要提供的其他有关资料。</w:t>
            </w:r>
            <w:r>
              <w:rPr>
                <w:rFonts w:hint="eastAsia" w:ascii="宋体" w:hAnsi="宋体" w:eastAsia="宋体" w:cs="宋体"/>
                <w:b/>
                <w:bCs/>
                <w:color w:val="auto"/>
                <w:szCs w:val="21"/>
                <w:highlight w:val="none"/>
              </w:rPr>
              <w:t>（如有请提</w:t>
            </w:r>
            <w:r>
              <w:rPr>
                <w:rFonts w:hint="eastAsia" w:ascii="宋体" w:hAnsi="宋体" w:eastAsia="宋体" w:cs="宋体"/>
                <w:b/>
                <w:bCs/>
                <w:color w:val="auto"/>
                <w:szCs w:val="21"/>
                <w:highlight w:val="none"/>
                <w:lang w:val="en-US" w:eastAsia="zh-CN"/>
              </w:rPr>
              <w:t>供</w:t>
            </w:r>
            <w:r>
              <w:rPr>
                <w:rFonts w:hint="eastAsia" w:ascii="宋体" w:hAnsi="宋体" w:eastAsia="宋体" w:cs="宋体"/>
                <w:b/>
                <w:bCs/>
                <w:color w:val="auto"/>
                <w:szCs w:val="21"/>
                <w:highlight w:val="none"/>
              </w:rPr>
              <w:t>）</w:t>
            </w:r>
          </w:p>
          <w:p w14:paraId="6D021761">
            <w:pPr>
              <w:numPr>
                <w:ilvl w:val="0"/>
                <w:numId w:val="0"/>
              </w:numPr>
              <w:spacing w:line="360" w:lineRule="auto"/>
              <w:ind w:leftChars="0"/>
              <w:jc w:val="left"/>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注：1.以上标明“必须提供”的材料属于复印件的扫描件的，必须加盖供应商电子公章，否则响应文件按无效响应处理。</w:t>
            </w:r>
          </w:p>
        </w:tc>
      </w:tr>
      <w:tr w14:paraId="55CCA7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693C4E8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p>
        </w:tc>
        <w:tc>
          <w:tcPr>
            <w:tcW w:w="2371" w:type="dxa"/>
            <w:noWrap w:val="0"/>
            <w:vAlign w:val="center"/>
          </w:tcPr>
          <w:p w14:paraId="096ABA7E">
            <w:pPr>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报价文件组成</w:t>
            </w:r>
          </w:p>
        </w:tc>
        <w:tc>
          <w:tcPr>
            <w:tcW w:w="6633" w:type="dxa"/>
            <w:noWrap w:val="0"/>
            <w:vAlign w:val="center"/>
          </w:tcPr>
          <w:p w14:paraId="6C112224">
            <w:pPr>
              <w:tabs>
                <w:tab w:val="left" w:pos="459"/>
              </w:tabs>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1.响应函；</w:t>
            </w:r>
            <w:r>
              <w:rPr>
                <w:rFonts w:hint="eastAsia" w:ascii="宋体" w:hAnsi="宋体" w:eastAsia="宋体" w:cs="宋体"/>
                <w:b/>
                <w:color w:val="auto"/>
                <w:szCs w:val="21"/>
                <w:highlight w:val="none"/>
              </w:rPr>
              <w:t>（必须提供，否则作无效响应处理）</w:t>
            </w:r>
          </w:p>
          <w:p w14:paraId="7924F82F">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2.响应报价表；（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5450FCFC">
            <w:pPr>
              <w:spacing w:line="360" w:lineRule="auto"/>
              <w:jc w:val="left"/>
              <w:rPr>
                <w:rFonts w:hint="default" w:ascii="宋体" w:hAnsi="宋体" w:eastAsia="宋体" w:cs="宋体"/>
                <w:color w:val="auto"/>
                <w:szCs w:val="21"/>
                <w:highlight w:val="none"/>
                <w:lang w:val="en-US"/>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已标价工程量清单</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4B436455">
            <w:pPr>
              <w:spacing w:line="360" w:lineRule="auto"/>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供应商认为需要提供的其他有关资料。</w:t>
            </w:r>
            <w:r>
              <w:rPr>
                <w:rFonts w:hint="eastAsia" w:ascii="宋体" w:hAnsi="宋体" w:eastAsia="宋体" w:cs="宋体"/>
                <w:b/>
                <w:bCs/>
                <w:color w:val="auto"/>
                <w:szCs w:val="21"/>
                <w:highlight w:val="none"/>
              </w:rPr>
              <w:t>（如有请提</w:t>
            </w:r>
            <w:r>
              <w:rPr>
                <w:rFonts w:hint="eastAsia" w:ascii="宋体" w:hAnsi="宋体" w:eastAsia="宋体" w:cs="宋体"/>
                <w:b/>
                <w:bCs/>
                <w:color w:val="auto"/>
                <w:szCs w:val="21"/>
                <w:highlight w:val="none"/>
                <w:lang w:val="en-US" w:eastAsia="zh-CN"/>
              </w:rPr>
              <w:t>供</w:t>
            </w:r>
            <w:r>
              <w:rPr>
                <w:rFonts w:hint="eastAsia" w:ascii="宋体" w:hAnsi="宋体" w:eastAsia="宋体" w:cs="宋体"/>
                <w:b/>
                <w:bCs/>
                <w:color w:val="auto"/>
                <w:szCs w:val="21"/>
                <w:highlight w:val="none"/>
              </w:rPr>
              <w:t>）</w:t>
            </w:r>
          </w:p>
        </w:tc>
      </w:tr>
      <w:tr w14:paraId="627951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0AB4CFF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w:t>
            </w:r>
          </w:p>
        </w:tc>
        <w:tc>
          <w:tcPr>
            <w:tcW w:w="2371" w:type="dxa"/>
            <w:noWrap w:val="0"/>
            <w:vAlign w:val="center"/>
          </w:tcPr>
          <w:p w14:paraId="0C64AA7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响应文件电子版要求</w:t>
            </w:r>
          </w:p>
        </w:tc>
        <w:tc>
          <w:tcPr>
            <w:tcW w:w="6633" w:type="dxa"/>
            <w:noWrap w:val="0"/>
            <w:vAlign w:val="center"/>
          </w:tcPr>
          <w:p w14:paraId="1DDC3E49">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1.响应文件电子版要求：按照本采购文件“第五章 响应文件格式”编写（第五章未附格式的，由供应商自行拟定），不可涂改并在规定加盖公章处加盖电子公章，</w:t>
            </w:r>
            <w:r>
              <w:rPr>
                <w:rFonts w:hint="eastAsia" w:ascii="宋体" w:hAnsi="宋体" w:eastAsia="宋体" w:cs="宋体"/>
                <w:b/>
                <w:color w:val="auto"/>
                <w:szCs w:val="21"/>
                <w:highlight w:val="none"/>
              </w:rPr>
              <w:t>否则响应文件按无效响应处理</w:t>
            </w:r>
            <w:r>
              <w:rPr>
                <w:rFonts w:hint="eastAsia" w:ascii="宋体" w:hAnsi="宋体" w:eastAsia="宋体" w:cs="宋体"/>
                <w:color w:val="auto"/>
                <w:szCs w:val="21"/>
                <w:highlight w:val="none"/>
              </w:rPr>
              <w:t>。</w:t>
            </w:r>
          </w:p>
          <w:p w14:paraId="6B655198">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2.响应文件电子版密封方式：电子响应文件通过平台有效CA加密后在</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投送。（操作方式见公告附件“电子响应文件制作与投送教程”）</w:t>
            </w:r>
          </w:p>
        </w:tc>
      </w:tr>
      <w:tr w14:paraId="07D9A8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2B19FD5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w:t>
            </w:r>
          </w:p>
        </w:tc>
        <w:tc>
          <w:tcPr>
            <w:tcW w:w="2371" w:type="dxa"/>
            <w:noWrap w:val="0"/>
            <w:vAlign w:val="center"/>
          </w:tcPr>
          <w:p w14:paraId="7545079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响应报价要求</w:t>
            </w:r>
          </w:p>
        </w:tc>
        <w:tc>
          <w:tcPr>
            <w:tcW w:w="6633" w:type="dxa"/>
            <w:noWrap w:val="0"/>
            <w:vAlign w:val="center"/>
          </w:tcPr>
          <w:p w14:paraId="3AF0D396">
            <w:pPr>
              <w:snapToGrid w:val="0"/>
              <w:spacing w:line="360" w:lineRule="auto"/>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eastAsia="zh-CN"/>
              </w:rPr>
              <w:t>报价必须包含：</w:t>
            </w:r>
          </w:p>
          <w:p w14:paraId="7CF6FE37">
            <w:pPr>
              <w:snapToGrid w:val="0"/>
              <w:spacing w:line="360"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①满足本项目全部采购需求，包含投标服务、货物、工程的成本、运输（含保险）、安装（如有）、调试、检验、技术服务、培训等所有费用。</w:t>
            </w:r>
          </w:p>
          <w:p w14:paraId="754AB797">
            <w:pPr>
              <w:snapToGrid w:val="0"/>
              <w:spacing w:line="360"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②必要的保险费和各项税金（成交供应商需为该工程购买工程一切险）。</w:t>
            </w:r>
          </w:p>
          <w:p w14:paraId="1E65FFE7">
            <w:pPr>
              <w:snapToGrid w:val="0"/>
              <w:spacing w:line="360" w:lineRule="auto"/>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val="en-US" w:eastAsia="zh-CN"/>
              </w:rPr>
              <w:t>报价属于采购文件规定异常低价情况之一，未能按要求提供书面说明或者提交相关证明材料证明其报价合理性的，</w:t>
            </w:r>
            <w:r>
              <w:rPr>
                <w:rFonts w:hint="eastAsia" w:ascii="宋体" w:hAnsi="宋体" w:cs="宋体"/>
                <w:color w:val="auto"/>
                <w:szCs w:val="21"/>
                <w:highlight w:val="none"/>
                <w:lang w:val="en-US" w:eastAsia="zh-CN"/>
              </w:rPr>
              <w:t>竞标</w:t>
            </w:r>
            <w:r>
              <w:rPr>
                <w:rFonts w:hint="eastAsia" w:ascii="宋体" w:hAnsi="宋体" w:eastAsia="宋体" w:cs="宋体"/>
                <w:color w:val="auto"/>
                <w:szCs w:val="21"/>
                <w:highlight w:val="none"/>
                <w:lang w:val="en-US" w:eastAsia="zh-CN"/>
              </w:rPr>
              <w:t>无效。</w:t>
            </w:r>
          </w:p>
        </w:tc>
      </w:tr>
      <w:tr w14:paraId="28422F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705AA11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w:t>
            </w:r>
          </w:p>
        </w:tc>
        <w:tc>
          <w:tcPr>
            <w:tcW w:w="2371" w:type="dxa"/>
            <w:noWrap w:val="0"/>
            <w:vAlign w:val="center"/>
          </w:tcPr>
          <w:p w14:paraId="4B0EBC8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竞标有效期</w:t>
            </w:r>
          </w:p>
        </w:tc>
        <w:tc>
          <w:tcPr>
            <w:tcW w:w="6633" w:type="dxa"/>
            <w:noWrap w:val="0"/>
            <w:vAlign w:val="center"/>
          </w:tcPr>
          <w:p w14:paraId="05E31668">
            <w:pPr>
              <w:pStyle w:val="9"/>
              <w:widowControl w:val="0"/>
              <w:numPr>
                <w:ilvl w:val="0"/>
                <w:numId w:val="0"/>
              </w:numPr>
              <w:tabs>
                <w:tab w:val="left" w:pos="720"/>
                <w:tab w:val="left" w:pos="840"/>
              </w:tabs>
              <w:snapToGrid w:val="0"/>
              <w:spacing w:afterLines="0" w:line="360" w:lineRule="auto"/>
              <w:ind w:left="-283" w:leftChars="-135" w:firstLine="0" w:firstLineChars="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自</w:t>
            </w:r>
            <w:r>
              <w:rPr>
                <w:rFonts w:hint="eastAsia" w:cs="宋体" w:asciiTheme="minorEastAsia" w:hAnsiTheme="minorEastAsia" w:eastAsiaTheme="minorEastAsia"/>
                <w:color w:val="auto"/>
                <w:kern w:val="2"/>
                <w:sz w:val="21"/>
                <w:szCs w:val="21"/>
                <w:highlight w:val="none"/>
              </w:rPr>
              <w:t>自</w:t>
            </w:r>
            <w:r>
              <w:rPr>
                <w:rFonts w:hint="eastAsia" w:cs="宋体" w:asciiTheme="minorEastAsia" w:hAnsiTheme="minorEastAsia" w:eastAsiaTheme="minorEastAsia"/>
                <w:color w:val="auto"/>
                <w:kern w:val="2"/>
                <w:sz w:val="21"/>
                <w:szCs w:val="21"/>
                <w:highlight w:val="none"/>
                <w:lang w:eastAsia="zh-CN"/>
              </w:rPr>
              <w:t>首</w:t>
            </w:r>
            <w:r>
              <w:rPr>
                <w:rFonts w:hint="eastAsia" w:ascii="宋体" w:hAnsi="宋体" w:eastAsia="宋体" w:cs="宋体"/>
                <w:color w:val="auto"/>
                <w:kern w:val="2"/>
                <w:sz w:val="21"/>
                <w:szCs w:val="21"/>
                <w:highlight w:val="none"/>
              </w:rPr>
              <w:t>次响应文件提交截止之日起</w:t>
            </w:r>
            <w:r>
              <w:rPr>
                <w:rFonts w:hint="eastAsia" w:ascii="宋体" w:hAnsi="宋体" w:eastAsia="宋体" w:cs="宋体"/>
                <w:color w:val="auto"/>
                <w:kern w:val="2"/>
                <w:sz w:val="21"/>
                <w:szCs w:val="21"/>
                <w:highlight w:val="none"/>
                <w:u w:val="single"/>
              </w:rPr>
              <w:t xml:space="preserve"> </w:t>
            </w:r>
            <w:r>
              <w:rPr>
                <w:rFonts w:hint="eastAsia" w:ascii="宋体" w:hAnsi="宋体" w:cs="宋体"/>
                <w:color w:val="auto"/>
                <w:kern w:val="2"/>
                <w:sz w:val="21"/>
                <w:szCs w:val="21"/>
                <w:highlight w:val="none"/>
                <w:u w:val="single"/>
                <w:lang w:val="en-US" w:eastAsia="zh-CN"/>
              </w:rPr>
              <w:t>60</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日。</w:t>
            </w:r>
          </w:p>
        </w:tc>
      </w:tr>
      <w:tr w14:paraId="79C2DF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53EE467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w:t>
            </w:r>
          </w:p>
        </w:tc>
        <w:tc>
          <w:tcPr>
            <w:tcW w:w="2371" w:type="dxa"/>
            <w:noWrap w:val="0"/>
            <w:vAlign w:val="center"/>
          </w:tcPr>
          <w:p w14:paraId="37A3905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磋商保证金</w:t>
            </w:r>
          </w:p>
        </w:tc>
        <w:tc>
          <w:tcPr>
            <w:tcW w:w="6633" w:type="dxa"/>
            <w:noWrap w:val="0"/>
            <w:vAlign w:val="center"/>
          </w:tcPr>
          <w:p w14:paraId="3E24EFC7">
            <w:pPr>
              <w:autoSpaceDE w:val="0"/>
              <w:autoSpaceDN w:val="0"/>
              <w:snapToGrid w:val="0"/>
              <w:spacing w:line="360" w:lineRule="auto"/>
              <w:jc w:val="lef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w:t>
            </w:r>
          </w:p>
        </w:tc>
      </w:tr>
      <w:tr w14:paraId="7E972A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6" w:hRule="atLeast"/>
          <w:jc w:val="center"/>
        </w:trPr>
        <w:tc>
          <w:tcPr>
            <w:tcW w:w="903" w:type="dxa"/>
            <w:vMerge w:val="restart"/>
            <w:noWrap w:val="0"/>
            <w:vAlign w:val="center"/>
          </w:tcPr>
          <w:p w14:paraId="314DF74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p>
        </w:tc>
        <w:tc>
          <w:tcPr>
            <w:tcW w:w="2371" w:type="dxa"/>
            <w:noWrap w:val="0"/>
            <w:vAlign w:val="center"/>
          </w:tcPr>
          <w:p w14:paraId="5933BD1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首次响应文件提交起止时间</w:t>
            </w:r>
          </w:p>
        </w:tc>
        <w:tc>
          <w:tcPr>
            <w:tcW w:w="6633" w:type="dxa"/>
            <w:noWrap w:val="0"/>
            <w:vAlign w:val="center"/>
          </w:tcPr>
          <w:p w14:paraId="1AB8E6FF">
            <w:pPr>
              <w:snapToGrid w:val="0"/>
              <w:spacing w:line="360" w:lineRule="auto"/>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1F048D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03" w:type="dxa"/>
            <w:vMerge w:val="continue"/>
            <w:noWrap w:val="0"/>
            <w:vAlign w:val="center"/>
          </w:tcPr>
          <w:p w14:paraId="068BC3E2">
            <w:pPr>
              <w:spacing w:line="360" w:lineRule="auto"/>
              <w:jc w:val="center"/>
              <w:rPr>
                <w:rFonts w:hint="eastAsia" w:ascii="宋体" w:hAnsi="宋体" w:eastAsia="宋体" w:cs="宋体"/>
                <w:color w:val="auto"/>
                <w:szCs w:val="21"/>
                <w:highlight w:val="none"/>
              </w:rPr>
            </w:pPr>
          </w:p>
        </w:tc>
        <w:tc>
          <w:tcPr>
            <w:tcW w:w="2371" w:type="dxa"/>
            <w:noWrap w:val="0"/>
            <w:vAlign w:val="center"/>
          </w:tcPr>
          <w:p w14:paraId="69A6012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首次响应文件提交地点</w:t>
            </w:r>
          </w:p>
        </w:tc>
        <w:tc>
          <w:tcPr>
            <w:tcW w:w="6633" w:type="dxa"/>
            <w:noWrap w:val="0"/>
            <w:vAlign w:val="center"/>
          </w:tcPr>
          <w:p w14:paraId="043E5070">
            <w:pPr>
              <w:snapToGrid w:val="0"/>
              <w:spacing w:line="360" w:lineRule="auto"/>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43D7B1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03" w:type="dxa"/>
            <w:noWrap w:val="0"/>
            <w:vAlign w:val="center"/>
          </w:tcPr>
          <w:p w14:paraId="400A048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20.6</w:t>
            </w:r>
          </w:p>
        </w:tc>
        <w:tc>
          <w:tcPr>
            <w:tcW w:w="2371" w:type="dxa"/>
            <w:noWrap w:val="0"/>
            <w:vAlign w:val="center"/>
          </w:tcPr>
          <w:p w14:paraId="61AAF0A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备份响应文件</w:t>
            </w:r>
          </w:p>
        </w:tc>
        <w:tc>
          <w:tcPr>
            <w:tcW w:w="6633" w:type="dxa"/>
            <w:noWrap w:val="0"/>
            <w:vAlign w:val="center"/>
          </w:tcPr>
          <w:p w14:paraId="68BEC3AC">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本项目不接受备份响应文件。</w:t>
            </w:r>
          </w:p>
        </w:tc>
      </w:tr>
      <w:tr w14:paraId="59F09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03" w:type="dxa"/>
            <w:noWrap w:val="0"/>
            <w:vAlign w:val="center"/>
          </w:tcPr>
          <w:p w14:paraId="2AD7DE4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2371" w:type="dxa"/>
            <w:noWrap w:val="0"/>
            <w:vAlign w:val="center"/>
          </w:tcPr>
          <w:p w14:paraId="4C6E6AE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首次响应文件的退回</w:t>
            </w:r>
          </w:p>
        </w:tc>
        <w:tc>
          <w:tcPr>
            <w:tcW w:w="6633" w:type="dxa"/>
            <w:noWrap w:val="0"/>
            <w:vAlign w:val="center"/>
          </w:tcPr>
          <w:p w14:paraId="294D6031">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详见竞争性磋商公告。</w:t>
            </w:r>
          </w:p>
        </w:tc>
      </w:tr>
      <w:tr w14:paraId="348C65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03" w:type="dxa"/>
            <w:vMerge w:val="restart"/>
            <w:noWrap w:val="0"/>
            <w:vAlign w:val="center"/>
          </w:tcPr>
          <w:p w14:paraId="17F3623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w:t>
            </w:r>
          </w:p>
        </w:tc>
        <w:tc>
          <w:tcPr>
            <w:tcW w:w="2371" w:type="dxa"/>
            <w:noWrap w:val="0"/>
            <w:vAlign w:val="center"/>
          </w:tcPr>
          <w:p w14:paraId="67792F2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负偏离要求</w:t>
            </w:r>
          </w:p>
        </w:tc>
        <w:tc>
          <w:tcPr>
            <w:tcW w:w="6633" w:type="dxa"/>
            <w:noWrap w:val="0"/>
            <w:vAlign w:val="center"/>
          </w:tcPr>
          <w:p w14:paraId="1E274183">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商务条款评审中允许负偏离的条款数为</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p w14:paraId="30CEFB78">
            <w:pPr>
              <w:snapToGrid w:val="0"/>
              <w:spacing w:line="360" w:lineRule="auto"/>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技术</w:t>
            </w:r>
            <w:r>
              <w:rPr>
                <w:rFonts w:hint="eastAsia" w:ascii="宋体" w:hAnsi="宋体" w:eastAsia="宋体" w:cs="宋体"/>
                <w:color w:val="auto"/>
                <w:szCs w:val="21"/>
                <w:highlight w:val="none"/>
              </w:rPr>
              <w:t>需求评审中允许负偏离的条款数为</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tc>
      </w:tr>
      <w:tr w14:paraId="4D0C0F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vMerge w:val="continue"/>
            <w:noWrap w:val="0"/>
            <w:vAlign w:val="center"/>
          </w:tcPr>
          <w:p w14:paraId="12D29D40">
            <w:pPr>
              <w:spacing w:line="360" w:lineRule="auto"/>
              <w:jc w:val="center"/>
              <w:rPr>
                <w:rFonts w:hint="eastAsia" w:ascii="宋体" w:hAnsi="宋体" w:eastAsia="宋体" w:cs="宋体"/>
                <w:color w:val="auto"/>
                <w:szCs w:val="21"/>
                <w:highlight w:val="none"/>
              </w:rPr>
            </w:pPr>
          </w:p>
        </w:tc>
        <w:tc>
          <w:tcPr>
            <w:tcW w:w="2371" w:type="dxa"/>
            <w:noWrap w:val="0"/>
            <w:vAlign w:val="center"/>
          </w:tcPr>
          <w:p w14:paraId="0D605CF0">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磋商的顺序</w:t>
            </w:r>
          </w:p>
        </w:tc>
        <w:tc>
          <w:tcPr>
            <w:tcW w:w="6633" w:type="dxa"/>
            <w:noWrap w:val="0"/>
            <w:vAlign w:val="center"/>
          </w:tcPr>
          <w:p w14:paraId="29473EC4">
            <w:pPr>
              <w:pStyle w:val="1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按照提交首次响应文件的顺序，通知磋商时，若某供应商不在通知现场时，该供应商排序到最后磋商，按照签到的顺序由其下一位供应商先参与磋商。</w:t>
            </w:r>
          </w:p>
          <w:p w14:paraId="4B8F2438">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随机排序。</w:t>
            </w:r>
          </w:p>
          <w:p w14:paraId="7E3550A6">
            <w:pPr>
              <w:pStyle w:val="10"/>
              <w:spacing w:line="360" w:lineRule="auto"/>
              <w:jc w:val="left"/>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参与磋商前，供应商法定代表人或者委托代理人必须向磋商小组出示本人有效证件原件[有效证件可以是身份证（含临时身份证明）、机动车驾驶证、社会保障卡或者护照的其中一项]，若参与磋商的委托代理人不是响应文件中授权的委托代理人时，必须同时出示有效的法定代表人授权委托书原件，否则磋商小组将拒绝其参与磋商。</w:t>
            </w:r>
          </w:p>
        </w:tc>
      </w:tr>
      <w:tr w14:paraId="1FD9D3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443C2F6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28</w:t>
            </w:r>
          </w:p>
        </w:tc>
        <w:tc>
          <w:tcPr>
            <w:tcW w:w="2371" w:type="dxa"/>
            <w:noWrap w:val="0"/>
            <w:vAlign w:val="center"/>
          </w:tcPr>
          <w:p w14:paraId="7B419B0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6633" w:type="dxa"/>
            <w:noWrap w:val="0"/>
            <w:vAlign w:val="center"/>
          </w:tcPr>
          <w:p w14:paraId="2DB82E6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color w:val="auto"/>
                <w:kern w:val="0"/>
                <w:sz w:val="21"/>
                <w:szCs w:val="21"/>
                <w:highlight w:val="none"/>
                <w:lang w:val="zh-CN" w:eastAsia="zh-CN"/>
              </w:rPr>
            </w:pPr>
            <w:r>
              <w:rPr>
                <w:rFonts w:hint="eastAsia" w:ascii="宋体" w:hAnsi="宋体" w:cs="宋体"/>
                <w:color w:val="auto"/>
                <w:kern w:val="0"/>
                <w:sz w:val="21"/>
                <w:szCs w:val="21"/>
                <w:highlight w:val="none"/>
                <w:lang w:val="zh-CN" w:eastAsia="zh-CN"/>
              </w:rPr>
              <w:t>履约保证金金额：合同金额的2%。</w:t>
            </w:r>
          </w:p>
          <w:p w14:paraId="6BEEB47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color w:val="auto"/>
                <w:kern w:val="0"/>
                <w:sz w:val="21"/>
                <w:szCs w:val="21"/>
                <w:highlight w:val="none"/>
                <w:lang w:val="zh-CN" w:eastAsia="zh-CN"/>
              </w:rPr>
            </w:pPr>
            <w:r>
              <w:rPr>
                <w:rFonts w:hint="eastAsia" w:ascii="宋体" w:hAnsi="宋体" w:cs="宋体"/>
                <w:color w:val="auto"/>
                <w:kern w:val="0"/>
                <w:sz w:val="21"/>
                <w:szCs w:val="21"/>
                <w:highlight w:val="none"/>
                <w:lang w:val="zh-CN" w:eastAsia="zh-CN"/>
              </w:rPr>
              <w:t>履约保证金提交方式：转帐、网上银行支付等非现金形式。</w:t>
            </w:r>
          </w:p>
          <w:p w14:paraId="5381418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color w:val="auto"/>
                <w:kern w:val="0"/>
                <w:sz w:val="21"/>
                <w:szCs w:val="21"/>
                <w:highlight w:val="none"/>
                <w:lang w:val="zh-CN" w:eastAsia="zh-CN"/>
              </w:rPr>
            </w:pPr>
            <w:r>
              <w:rPr>
                <w:rFonts w:hint="eastAsia" w:ascii="宋体" w:hAnsi="宋体" w:cs="宋体"/>
                <w:color w:val="auto"/>
                <w:kern w:val="0"/>
                <w:sz w:val="21"/>
                <w:szCs w:val="21"/>
                <w:highlight w:val="none"/>
                <w:lang w:val="zh-CN" w:eastAsia="zh-CN"/>
              </w:rPr>
              <w:t>履约保证金退付方式、时间及条件：在合同工程完工证书颁发且缺陷责任期届满无质量问题后，经承包人申请将履约担保无息退还给承包人。</w:t>
            </w:r>
          </w:p>
          <w:p w14:paraId="7440D03A">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color w:val="auto"/>
                <w:highlight w:val="none"/>
                <w:lang w:val="en-US"/>
              </w:rPr>
            </w:pPr>
            <w:r>
              <w:rPr>
                <w:rFonts w:hint="eastAsia" w:ascii="宋体" w:hAnsi="宋体" w:cs="宋体"/>
                <w:b/>
                <w:bCs/>
                <w:color w:val="auto"/>
                <w:kern w:val="0"/>
                <w:sz w:val="21"/>
                <w:szCs w:val="21"/>
                <w:highlight w:val="none"/>
                <w:lang w:val="en-US" w:eastAsia="zh-CN"/>
              </w:rPr>
              <w:t>注：承包人应在合同签订前提交采购人认可的履约保证金，否则不予签订合同并取消其中标资格。</w:t>
            </w:r>
          </w:p>
        </w:tc>
      </w:tr>
      <w:tr w14:paraId="0D2FEC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5438152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29.5</w:t>
            </w:r>
          </w:p>
        </w:tc>
        <w:tc>
          <w:tcPr>
            <w:tcW w:w="2371" w:type="dxa"/>
            <w:noWrap w:val="0"/>
            <w:vAlign w:val="center"/>
          </w:tcPr>
          <w:p w14:paraId="03959E1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签订合同携带的材料</w:t>
            </w:r>
          </w:p>
        </w:tc>
        <w:tc>
          <w:tcPr>
            <w:tcW w:w="6633" w:type="dxa"/>
            <w:noWrap w:val="0"/>
            <w:vAlign w:val="center"/>
          </w:tcPr>
          <w:p w14:paraId="1C1C5CFF">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使用的有效CA证书加盖单位电子公章</w:t>
            </w:r>
          </w:p>
        </w:tc>
      </w:tr>
      <w:tr w14:paraId="7F9461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vMerge w:val="restart"/>
            <w:noWrap w:val="0"/>
            <w:vAlign w:val="center"/>
          </w:tcPr>
          <w:p w14:paraId="297187C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w:t>
            </w:r>
          </w:p>
        </w:tc>
        <w:tc>
          <w:tcPr>
            <w:tcW w:w="2371" w:type="dxa"/>
            <w:noWrap w:val="0"/>
            <w:vAlign w:val="center"/>
          </w:tcPr>
          <w:p w14:paraId="5CD3F72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接收质疑函方式</w:t>
            </w:r>
          </w:p>
        </w:tc>
        <w:tc>
          <w:tcPr>
            <w:tcW w:w="6633" w:type="dxa"/>
            <w:noWrap w:val="0"/>
            <w:vAlign w:val="center"/>
          </w:tcPr>
          <w:p w14:paraId="5C010638">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以书面形式</w:t>
            </w:r>
          </w:p>
        </w:tc>
      </w:tr>
      <w:tr w14:paraId="26329E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vMerge w:val="continue"/>
            <w:noWrap w:val="0"/>
            <w:vAlign w:val="center"/>
          </w:tcPr>
          <w:p w14:paraId="758CA71F">
            <w:pPr>
              <w:spacing w:line="360" w:lineRule="auto"/>
              <w:jc w:val="center"/>
              <w:rPr>
                <w:rFonts w:hint="eastAsia" w:ascii="宋体" w:hAnsi="宋体" w:eastAsia="宋体" w:cs="宋体"/>
                <w:color w:val="auto"/>
                <w:szCs w:val="21"/>
                <w:highlight w:val="none"/>
              </w:rPr>
            </w:pPr>
          </w:p>
        </w:tc>
        <w:tc>
          <w:tcPr>
            <w:tcW w:w="2371" w:type="dxa"/>
            <w:noWrap w:val="0"/>
            <w:vAlign w:val="center"/>
          </w:tcPr>
          <w:p w14:paraId="67FA9C6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质疑联系部门及联系方式</w:t>
            </w:r>
          </w:p>
        </w:tc>
        <w:tc>
          <w:tcPr>
            <w:tcW w:w="6633" w:type="dxa"/>
            <w:noWrap w:val="0"/>
            <w:vAlign w:val="center"/>
          </w:tcPr>
          <w:p w14:paraId="2E7C2C54">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u w:val="none"/>
              </w:rPr>
              <w:t>（1）</w:t>
            </w:r>
            <w:r>
              <w:rPr>
                <w:rFonts w:hint="eastAsia" w:ascii="宋体" w:hAnsi="宋体" w:cs="宋体"/>
                <w:color w:val="auto"/>
                <w:szCs w:val="21"/>
                <w:highlight w:val="none"/>
                <w:u w:val="single"/>
                <w:lang w:eastAsia="zh-CN"/>
              </w:rPr>
              <w:t>广西佳鸿工程技术有限公司</w:t>
            </w:r>
            <w:r>
              <w:rPr>
                <w:rFonts w:hint="eastAsia" w:ascii="宋体" w:hAnsi="宋体" w:eastAsia="宋体" w:cs="宋体"/>
                <w:color w:val="auto"/>
                <w:szCs w:val="21"/>
                <w:highlight w:val="none"/>
              </w:rPr>
              <w:t>；</w:t>
            </w:r>
          </w:p>
          <w:p w14:paraId="7DF9F23C">
            <w:pPr>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联系电话：</w:t>
            </w:r>
            <w:r>
              <w:rPr>
                <w:rFonts w:hint="eastAsia" w:ascii="宋体" w:hAnsi="宋体" w:cs="宋体"/>
                <w:color w:val="auto"/>
                <w:szCs w:val="21"/>
                <w:highlight w:val="none"/>
                <w:lang w:val="en-US" w:eastAsia="zh-CN"/>
              </w:rPr>
              <w:t>0771-6509080</w:t>
            </w:r>
          </w:p>
          <w:p w14:paraId="7A243E75">
            <w:pPr>
              <w:snapToGrid w:val="0"/>
              <w:spacing w:line="360"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通讯地址：</w:t>
            </w:r>
            <w:r>
              <w:rPr>
                <w:rFonts w:hint="eastAsia" w:ascii="宋体" w:hAnsi="宋体" w:cs="宋体"/>
                <w:color w:val="auto"/>
                <w:szCs w:val="21"/>
                <w:highlight w:val="none"/>
                <w:lang w:eastAsia="zh-CN"/>
              </w:rPr>
              <w:t>南宁市隆安县那桐镇侨康路6号06栋整栋</w:t>
            </w:r>
          </w:p>
          <w:p w14:paraId="64BBCBA0">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u w:val="none"/>
              </w:rPr>
              <w:t>（2）</w:t>
            </w:r>
            <w:r>
              <w:rPr>
                <w:rFonts w:hint="eastAsia" w:ascii="宋体" w:hAnsi="宋体" w:cs="宋体"/>
                <w:color w:val="auto"/>
                <w:szCs w:val="21"/>
                <w:highlight w:val="none"/>
                <w:u w:val="single"/>
                <w:lang w:eastAsia="zh-CN"/>
              </w:rPr>
              <w:t>隆安县屏山乡人民政府</w:t>
            </w:r>
            <w:r>
              <w:rPr>
                <w:rFonts w:hint="eastAsia" w:ascii="宋体" w:hAnsi="宋体" w:eastAsia="宋体" w:cs="宋体"/>
                <w:color w:val="auto"/>
                <w:szCs w:val="21"/>
                <w:highlight w:val="none"/>
              </w:rPr>
              <w:t>；</w:t>
            </w:r>
          </w:p>
          <w:p w14:paraId="6AAA1B27">
            <w:pPr>
              <w:snapToGrid w:val="0"/>
              <w:spacing w:line="360"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联系电话：</w:t>
            </w:r>
            <w:r>
              <w:rPr>
                <w:rFonts w:hint="eastAsia" w:ascii="宋体" w:hAnsi="宋体" w:cs="宋体"/>
                <w:color w:val="auto"/>
                <w:szCs w:val="21"/>
                <w:highlight w:val="none"/>
                <w:lang w:eastAsia="zh-CN"/>
              </w:rPr>
              <w:t>0771-6650025</w:t>
            </w:r>
          </w:p>
          <w:p w14:paraId="74387E31">
            <w:pPr>
              <w:snapToGrid w:val="0"/>
              <w:spacing w:line="360"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通讯地址：</w:t>
            </w:r>
            <w:r>
              <w:rPr>
                <w:rFonts w:hint="eastAsia" w:ascii="宋体" w:hAnsi="宋体" w:cs="宋体"/>
                <w:color w:val="auto"/>
                <w:szCs w:val="21"/>
                <w:highlight w:val="none"/>
                <w:lang w:eastAsia="zh-CN"/>
              </w:rPr>
              <w:t>南宁市隆安县屏山乡屏山街50号</w:t>
            </w:r>
          </w:p>
        </w:tc>
      </w:tr>
      <w:tr w14:paraId="42971E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vMerge w:val="continue"/>
            <w:noWrap w:val="0"/>
            <w:vAlign w:val="center"/>
          </w:tcPr>
          <w:p w14:paraId="1D9CB560">
            <w:pPr>
              <w:spacing w:line="360" w:lineRule="auto"/>
              <w:jc w:val="center"/>
              <w:rPr>
                <w:rFonts w:hint="eastAsia" w:ascii="宋体" w:hAnsi="宋体" w:eastAsia="宋体" w:cs="宋体"/>
                <w:color w:val="auto"/>
                <w:szCs w:val="21"/>
                <w:highlight w:val="none"/>
              </w:rPr>
            </w:pPr>
          </w:p>
        </w:tc>
        <w:tc>
          <w:tcPr>
            <w:tcW w:w="2371" w:type="dxa"/>
            <w:noWrap w:val="0"/>
            <w:vAlign w:val="center"/>
          </w:tcPr>
          <w:p w14:paraId="2BC5899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highlight w:val="none"/>
              </w:rPr>
              <w:t>现场提交质疑办理业务时间</w:t>
            </w:r>
          </w:p>
        </w:tc>
        <w:tc>
          <w:tcPr>
            <w:tcW w:w="6633" w:type="dxa"/>
            <w:noWrap w:val="0"/>
            <w:vAlign w:val="center"/>
          </w:tcPr>
          <w:p w14:paraId="6325C4EA">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highlight w:val="none"/>
              </w:rPr>
              <w:t>质疑期内每个工作日</w:t>
            </w:r>
            <w:r>
              <w:rPr>
                <w:rFonts w:hint="eastAsia" w:ascii="宋体" w:hAnsi="宋体" w:eastAsia="宋体" w:cs="宋体"/>
                <w:color w:val="auto"/>
                <w:highlight w:val="none"/>
                <w:u w:val="single"/>
                <w:lang w:val="en-US" w:eastAsia="zh-CN"/>
              </w:rPr>
              <w:t>9</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12</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w:t>
            </w:r>
            <w:r>
              <w:rPr>
                <w:rFonts w:hint="eastAsia" w:ascii="宋体" w:hAnsi="宋体" w:eastAsia="宋体" w:cs="宋体"/>
                <w:color w:val="auto"/>
                <w:highlight w:val="none"/>
                <w:u w:val="single"/>
              </w:rPr>
              <w:t>15</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分到</w:t>
            </w:r>
            <w:r>
              <w:rPr>
                <w:rFonts w:hint="eastAsia" w:ascii="宋体" w:hAnsi="宋体" w:eastAsia="宋体" w:cs="宋体"/>
                <w:color w:val="auto"/>
                <w:highlight w:val="none"/>
                <w:u w:val="single"/>
                <w:lang w:val="en-US" w:eastAsia="zh-CN"/>
              </w:rPr>
              <w:t>17</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eastAsia="zh-CN"/>
              </w:rPr>
              <w:t>3</w:t>
            </w:r>
            <w:r>
              <w:rPr>
                <w:rFonts w:hint="eastAsia" w:ascii="宋体" w:hAnsi="宋体" w:eastAsia="宋体" w:cs="宋体"/>
                <w:color w:val="auto"/>
                <w:highlight w:val="none"/>
                <w:u w:val="single"/>
              </w:rPr>
              <w:t>0</w:t>
            </w:r>
            <w:r>
              <w:rPr>
                <w:rFonts w:hint="eastAsia" w:ascii="宋体" w:hAnsi="宋体" w:eastAsia="宋体" w:cs="宋体"/>
                <w:color w:val="auto"/>
                <w:highlight w:val="none"/>
              </w:rPr>
              <w:t>分</w:t>
            </w:r>
          </w:p>
        </w:tc>
      </w:tr>
      <w:tr w14:paraId="4A6C11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4EE6FB1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31.6</w:t>
            </w:r>
          </w:p>
        </w:tc>
        <w:tc>
          <w:tcPr>
            <w:tcW w:w="2371" w:type="dxa"/>
            <w:noWrap w:val="0"/>
            <w:vAlign w:val="center"/>
          </w:tcPr>
          <w:p w14:paraId="0DFE795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受理投诉方式</w:t>
            </w:r>
          </w:p>
        </w:tc>
        <w:tc>
          <w:tcPr>
            <w:tcW w:w="6633" w:type="dxa"/>
            <w:noWrap w:val="0"/>
            <w:vAlign w:val="center"/>
          </w:tcPr>
          <w:p w14:paraId="545E5B9F">
            <w:pPr>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1、受理方式：纸质方式受理，投诉书正、副本（经过质疑的事项才可投诉）。</w:t>
            </w:r>
          </w:p>
          <w:p w14:paraId="6EF8E84D">
            <w:pPr>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2、邮寄地址：</w:t>
            </w:r>
          </w:p>
          <w:p w14:paraId="311BFBBD">
            <w:pPr>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名称：隆安县财政局</w:t>
            </w:r>
          </w:p>
          <w:p w14:paraId="56428598">
            <w:pPr>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lang w:bidi="ar"/>
              </w:rPr>
              <w:t>隆安县广场路8号</w:t>
            </w:r>
            <w:r>
              <w:rPr>
                <w:rFonts w:hint="eastAsia" w:ascii="宋体" w:hAnsi="宋体" w:eastAsia="宋体" w:cs="宋体"/>
                <w:color w:val="auto"/>
                <w:szCs w:val="21"/>
                <w:highlight w:val="none"/>
                <w:lang w:eastAsia="zh-CN"/>
              </w:rPr>
              <w:t xml:space="preserve"> </w:t>
            </w:r>
            <w:r>
              <w:rPr>
                <w:rFonts w:hint="eastAsia" w:ascii="宋体" w:hAnsi="宋体" w:eastAsia="宋体" w:cs="宋体"/>
                <w:color w:val="auto"/>
                <w:szCs w:val="21"/>
                <w:highlight w:val="none"/>
              </w:rPr>
              <w:t xml:space="preserve"> </w:t>
            </w:r>
          </w:p>
          <w:p w14:paraId="20834EF2">
            <w:pPr>
              <w:snapToGrid w:val="0"/>
              <w:spacing w:line="360" w:lineRule="auto"/>
              <w:jc w:val="both"/>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 xml:space="preserve">联系电话：0771-6531019 </w:t>
            </w:r>
          </w:p>
        </w:tc>
      </w:tr>
      <w:tr w14:paraId="583356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38C8CF7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w:t>
            </w:r>
          </w:p>
        </w:tc>
        <w:tc>
          <w:tcPr>
            <w:tcW w:w="2371" w:type="dxa"/>
            <w:noWrap w:val="0"/>
            <w:vAlign w:val="center"/>
          </w:tcPr>
          <w:p w14:paraId="2265872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采购代理费</w:t>
            </w:r>
          </w:p>
        </w:tc>
        <w:tc>
          <w:tcPr>
            <w:tcW w:w="6633" w:type="dxa"/>
            <w:noWrap w:val="0"/>
            <w:vAlign w:val="center"/>
          </w:tcPr>
          <w:p w14:paraId="51187C58">
            <w:pPr>
              <w:pStyle w:val="16"/>
              <w:snapToGrid w:val="0"/>
              <w:spacing w:line="360" w:lineRule="auto"/>
              <w:rPr>
                <w:rFonts w:hAnsi="宋体" w:eastAsia="Times New Roman" w:cs="宋体"/>
                <w:color w:val="auto"/>
                <w:sz w:val="21"/>
                <w:szCs w:val="21"/>
                <w:highlight w:val="none"/>
              </w:rPr>
            </w:pPr>
            <w:r>
              <w:rPr>
                <w:rFonts w:hAnsi="宋体" w:eastAsia="Times New Roman" w:cs="宋体"/>
                <w:color w:val="auto"/>
                <w:sz w:val="21"/>
                <w:szCs w:val="21"/>
                <w:highlight w:val="none"/>
              </w:rPr>
              <w:t>1. 是否收取采购代理费：</w:t>
            </w:r>
          </w:p>
          <w:p w14:paraId="0BBD84BA">
            <w:pPr>
              <w:pStyle w:val="16"/>
              <w:snapToGrid w:val="0"/>
              <w:spacing w:line="360" w:lineRule="auto"/>
              <w:rPr>
                <w:rFonts w:hAnsi="宋体" w:eastAsia="Times New Roman" w:cs="宋体"/>
                <w:color w:val="auto"/>
                <w:sz w:val="21"/>
                <w:szCs w:val="21"/>
                <w:highlight w:val="none"/>
              </w:rPr>
            </w:pPr>
            <w:r>
              <w:rPr>
                <w:rFonts w:hint="eastAsia" w:ascii="MS Mincho" w:hAnsi="MS Mincho" w:eastAsia="宋体" w:cs="MS Mincho"/>
                <w:color w:val="auto"/>
                <w:sz w:val="21"/>
                <w:szCs w:val="21"/>
                <w:highlight w:val="none"/>
                <w:lang w:eastAsia="zh-CN"/>
              </w:rPr>
              <w:t>☑</w:t>
            </w:r>
            <w:r>
              <w:rPr>
                <w:rFonts w:hAnsi="宋体" w:eastAsia="Times New Roman" w:cs="宋体"/>
                <w:color w:val="auto"/>
                <w:sz w:val="21"/>
                <w:szCs w:val="21"/>
                <w:highlight w:val="none"/>
              </w:rPr>
              <w:t>是    □ 否</w:t>
            </w:r>
          </w:p>
          <w:p w14:paraId="76201864">
            <w:pPr>
              <w:pStyle w:val="16"/>
              <w:snapToGrid w:val="0"/>
              <w:spacing w:line="360" w:lineRule="auto"/>
              <w:rPr>
                <w:rFonts w:hAnsi="宋体" w:eastAsia="Times New Roman" w:cs="宋体"/>
                <w:color w:val="auto"/>
                <w:sz w:val="21"/>
                <w:szCs w:val="21"/>
                <w:highlight w:val="none"/>
              </w:rPr>
            </w:pPr>
            <w:r>
              <w:rPr>
                <w:rFonts w:hAnsi="宋体" w:eastAsia="Times New Roman" w:cs="宋体"/>
                <w:color w:val="auto"/>
                <w:sz w:val="21"/>
                <w:szCs w:val="21"/>
                <w:highlight w:val="none"/>
              </w:rPr>
              <w:t>2.采购代理费支付方式：</w:t>
            </w:r>
          </w:p>
          <w:p w14:paraId="17A45C5F">
            <w:pPr>
              <w:pStyle w:val="16"/>
              <w:snapToGrid w:val="0"/>
              <w:spacing w:line="360" w:lineRule="auto"/>
              <w:rPr>
                <w:rFonts w:hAnsi="宋体" w:eastAsia="Times New Roman" w:cs="宋体"/>
                <w:color w:val="auto"/>
                <w:sz w:val="21"/>
                <w:szCs w:val="21"/>
                <w:highlight w:val="none"/>
              </w:rPr>
            </w:pPr>
            <w:r>
              <w:rPr>
                <w:rFonts w:hint="eastAsia" w:ascii="MS Mincho" w:hAnsi="MS Mincho" w:cs="MS Mincho"/>
                <w:color w:val="auto"/>
                <w:sz w:val="21"/>
                <w:szCs w:val="21"/>
                <w:highlight w:val="none"/>
                <w:lang w:eastAsia="zh-CN"/>
              </w:rPr>
              <w:t>□</w:t>
            </w:r>
            <w:r>
              <w:rPr>
                <w:rFonts w:hAnsi="宋体" w:eastAsia="Times New Roman" w:cs="宋体"/>
                <w:color w:val="auto"/>
                <w:sz w:val="21"/>
                <w:szCs w:val="21"/>
                <w:highlight w:val="none"/>
              </w:rPr>
              <w:t>本项目代理服务费由</w:t>
            </w:r>
            <w:r>
              <w:rPr>
                <w:rFonts w:hAnsi="宋体" w:eastAsia="Times New Roman" w:cs="宋体"/>
                <w:color w:val="auto"/>
                <w:sz w:val="21"/>
                <w:szCs w:val="21"/>
                <w:highlight w:val="none"/>
                <w:u w:val="single"/>
              </w:rPr>
              <w:t>成交供应商</w:t>
            </w:r>
            <w:r>
              <w:rPr>
                <w:rFonts w:hAnsi="宋体" w:eastAsia="Times New Roman" w:cs="宋体"/>
                <w:color w:val="auto"/>
                <w:sz w:val="21"/>
                <w:szCs w:val="21"/>
                <w:highlight w:val="none"/>
              </w:rPr>
              <w:t>领取成交通知书前，一次性向采购代理机构支付。</w:t>
            </w:r>
          </w:p>
          <w:p w14:paraId="7D27ED7D">
            <w:pPr>
              <w:pStyle w:val="16"/>
              <w:snapToGrid w:val="0"/>
              <w:spacing w:line="360" w:lineRule="auto"/>
              <w:rPr>
                <w:rFonts w:hAnsi="宋体" w:eastAsia="Times New Roman" w:cs="宋体"/>
                <w:color w:val="auto"/>
                <w:sz w:val="21"/>
                <w:szCs w:val="21"/>
                <w:highlight w:val="none"/>
              </w:rPr>
            </w:pPr>
            <w:r>
              <w:rPr>
                <w:rFonts w:hint="eastAsia" w:hAnsi="宋体" w:cs="宋体"/>
                <w:color w:val="auto"/>
                <w:sz w:val="21"/>
                <w:szCs w:val="21"/>
                <w:highlight w:val="none"/>
                <w:lang w:eastAsia="zh-CN"/>
              </w:rPr>
              <w:t>☑</w:t>
            </w:r>
            <w:r>
              <w:rPr>
                <w:rFonts w:hAnsi="宋体" w:eastAsia="Times New Roman" w:cs="宋体"/>
                <w:color w:val="auto"/>
                <w:sz w:val="21"/>
                <w:szCs w:val="21"/>
                <w:highlight w:val="none"/>
              </w:rPr>
              <w:t>采购人支付。</w:t>
            </w:r>
          </w:p>
          <w:p w14:paraId="0B04A8D8">
            <w:pPr>
              <w:pStyle w:val="16"/>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采购代理费收取标准：</w:t>
            </w:r>
            <w:r>
              <w:rPr>
                <w:rFonts w:hint="eastAsia" w:ascii="宋体" w:hAnsi="宋体" w:eastAsia="宋体" w:cs="宋体"/>
                <w:color w:val="auto"/>
                <w:sz w:val="21"/>
                <w:szCs w:val="21"/>
                <w:highlight w:val="none"/>
                <w:lang w:val="en-US" w:eastAsia="zh-CN"/>
              </w:rPr>
              <w:t>以项目中标金额为计费基数，按照国家发展计划委员会计价格[2002]1980号《招标代理服务费管理暂行办法》收费标准及发改价格[2011]534号文规定的（工程类）标准下浮</w:t>
            </w:r>
            <w:r>
              <w:rPr>
                <w:rFonts w:hint="eastAsia" w:hAnsi="宋体" w:cs="宋体"/>
                <w:color w:val="auto"/>
                <w:sz w:val="21"/>
                <w:szCs w:val="21"/>
                <w:highlight w:val="none"/>
                <w:lang w:val="en-US" w:eastAsia="zh-CN"/>
              </w:rPr>
              <w:t>50</w:t>
            </w:r>
            <w:r>
              <w:rPr>
                <w:rFonts w:hint="eastAsia" w:ascii="宋体" w:hAnsi="宋体" w:eastAsia="宋体" w:cs="宋体"/>
                <w:color w:val="auto"/>
                <w:sz w:val="21"/>
                <w:szCs w:val="21"/>
                <w:highlight w:val="none"/>
                <w:lang w:val="en-US" w:eastAsia="zh-CN"/>
              </w:rPr>
              <w:t>%计取</w:t>
            </w:r>
            <w:r>
              <w:rPr>
                <w:rFonts w:hint="eastAsia" w:ascii="宋体" w:hAnsi="宋体" w:eastAsia="宋体" w:cs="宋体"/>
                <w:color w:val="auto"/>
                <w:sz w:val="21"/>
                <w:szCs w:val="21"/>
                <w:highlight w:val="none"/>
              </w:rPr>
              <w:t>。</w:t>
            </w:r>
          </w:p>
          <w:p w14:paraId="1AECFA67">
            <w:pPr>
              <w:pStyle w:val="16"/>
              <w:snapToGrid w:val="0"/>
              <w:spacing w:line="360" w:lineRule="auto"/>
              <w:rPr>
                <w:rFonts w:hAnsi="宋体" w:eastAsia="Times New Roman" w:cs="宋体"/>
                <w:color w:val="auto"/>
                <w:sz w:val="21"/>
                <w:szCs w:val="21"/>
                <w:highlight w:val="none"/>
              </w:rPr>
            </w:pPr>
            <w:r>
              <w:rPr>
                <w:rFonts w:hAnsi="宋体" w:eastAsia="Times New Roman" w:cs="宋体"/>
                <w:color w:val="auto"/>
                <w:sz w:val="21"/>
                <w:szCs w:val="21"/>
                <w:highlight w:val="none"/>
              </w:rPr>
              <w:t>4.采购代理费收取银行账户</w:t>
            </w:r>
          </w:p>
          <w:p w14:paraId="37E02404">
            <w:pPr>
              <w:pStyle w:val="16"/>
              <w:snapToGrid w:val="0"/>
              <w:spacing w:line="360" w:lineRule="auto"/>
              <w:rPr>
                <w:rFonts w:hint="eastAsia" w:ascii="宋体" w:hAnsi="宋体" w:eastAsia="Times New Roman" w:cs="宋体"/>
                <w:color w:val="auto"/>
                <w:sz w:val="21"/>
                <w:szCs w:val="21"/>
                <w:highlight w:val="none"/>
                <w:lang w:val="en-US" w:eastAsia="zh-CN"/>
              </w:rPr>
            </w:pPr>
            <w:r>
              <w:rPr>
                <w:rFonts w:hint="eastAsia" w:ascii="宋体" w:hAnsi="宋体" w:eastAsia="Times New Roman" w:cs="宋体"/>
                <w:color w:val="auto"/>
                <w:sz w:val="21"/>
                <w:szCs w:val="21"/>
                <w:highlight w:val="none"/>
                <w:lang w:val="en-US" w:eastAsia="zh-CN"/>
              </w:rPr>
              <w:t>开户名称：</w:t>
            </w:r>
            <w:r>
              <w:rPr>
                <w:rFonts w:hint="eastAsia" w:hAnsi="宋体" w:eastAsia="Times New Roman" w:cs="宋体"/>
                <w:color w:val="auto"/>
                <w:sz w:val="21"/>
                <w:szCs w:val="21"/>
                <w:highlight w:val="none"/>
                <w:lang w:val="en-US" w:eastAsia="zh-CN"/>
              </w:rPr>
              <w:t>广西佳鸿工程技术有限公司</w:t>
            </w:r>
            <w:r>
              <w:rPr>
                <w:rFonts w:hint="eastAsia" w:ascii="宋体" w:hAnsi="宋体" w:eastAsia="Times New Roman" w:cs="宋体"/>
                <w:color w:val="auto"/>
                <w:sz w:val="21"/>
                <w:szCs w:val="21"/>
                <w:highlight w:val="none"/>
                <w:lang w:val="en-US" w:eastAsia="zh-CN"/>
              </w:rPr>
              <w:t xml:space="preserve">      </w:t>
            </w:r>
          </w:p>
          <w:p w14:paraId="548496A6">
            <w:pPr>
              <w:pStyle w:val="16"/>
              <w:snapToGrid w:val="0"/>
              <w:spacing w:line="360" w:lineRule="auto"/>
              <w:rPr>
                <w:rFonts w:hint="eastAsia" w:ascii="宋体" w:hAnsi="宋体" w:eastAsia="Times New Roman" w:cs="宋体"/>
                <w:color w:val="auto"/>
                <w:sz w:val="21"/>
                <w:szCs w:val="21"/>
                <w:highlight w:val="none"/>
                <w:lang w:val="en-US" w:eastAsia="zh-CN"/>
              </w:rPr>
            </w:pPr>
            <w:r>
              <w:rPr>
                <w:rFonts w:hint="eastAsia" w:ascii="宋体" w:hAnsi="宋体" w:eastAsia="Times New Roman" w:cs="宋体"/>
                <w:color w:val="auto"/>
                <w:sz w:val="21"/>
                <w:szCs w:val="21"/>
                <w:highlight w:val="none"/>
                <w:lang w:val="en-US" w:eastAsia="zh-CN"/>
              </w:rPr>
              <w:t xml:space="preserve">开户银行：中国建设银行股份有限公司南宁翡翠园支行 </w:t>
            </w:r>
          </w:p>
          <w:p w14:paraId="02D2A261">
            <w:pPr>
              <w:pStyle w:val="16"/>
              <w:snapToGrid w:val="0"/>
              <w:spacing w:line="360" w:lineRule="auto"/>
              <w:rPr>
                <w:rFonts w:hint="default" w:ascii="宋体" w:hAnsi="宋体" w:eastAsia="宋体" w:cs="宋体"/>
                <w:color w:val="auto"/>
                <w:sz w:val="21"/>
                <w:highlight w:val="none"/>
                <w:lang w:val="en-US" w:eastAsia="zh-CN"/>
              </w:rPr>
            </w:pPr>
            <w:r>
              <w:rPr>
                <w:rFonts w:hint="eastAsia" w:ascii="宋体" w:hAnsi="宋体" w:eastAsia="Times New Roman" w:cs="宋体"/>
                <w:color w:val="auto"/>
                <w:sz w:val="21"/>
                <w:szCs w:val="21"/>
                <w:highlight w:val="none"/>
                <w:lang w:val="en-US" w:eastAsia="zh-CN"/>
              </w:rPr>
              <w:t>银行账号：</w:t>
            </w:r>
            <w:r>
              <w:rPr>
                <w:rFonts w:hint="eastAsia" w:hAnsi="宋体" w:eastAsia="Times New Roman" w:cs="宋体"/>
                <w:color w:val="auto"/>
                <w:sz w:val="21"/>
                <w:szCs w:val="21"/>
                <w:highlight w:val="none"/>
                <w:lang w:val="en-US" w:eastAsia="zh-CN"/>
              </w:rPr>
              <w:t>45050160484209666888</w:t>
            </w:r>
          </w:p>
        </w:tc>
      </w:tr>
      <w:tr w14:paraId="536587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7496AB4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w:t>
            </w:r>
          </w:p>
        </w:tc>
        <w:tc>
          <w:tcPr>
            <w:tcW w:w="2371" w:type="dxa"/>
            <w:noWrap w:val="0"/>
            <w:vAlign w:val="center"/>
          </w:tcPr>
          <w:p w14:paraId="6AF42F0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highlight w:val="none"/>
              </w:rPr>
              <w:t>解释</w:t>
            </w:r>
          </w:p>
        </w:tc>
        <w:tc>
          <w:tcPr>
            <w:tcW w:w="6633" w:type="dxa"/>
            <w:noWrap w:val="0"/>
            <w:vAlign w:val="center"/>
          </w:tcPr>
          <w:p w14:paraId="415E0FC2">
            <w:pPr>
              <w:pStyle w:val="16"/>
              <w:snapToGrid w:val="0"/>
              <w:spacing w:line="360" w:lineRule="auto"/>
              <w:jc w:val="left"/>
              <w:rPr>
                <w:rFonts w:hint="eastAsia" w:ascii="宋体" w:hAnsi="宋体" w:eastAsia="宋体" w:cs="宋体"/>
                <w:b/>
                <w:color w:val="auto"/>
                <w:sz w:val="21"/>
                <w:highlight w:val="none"/>
                <w:lang w:val="en-US" w:eastAsia="zh-CN"/>
              </w:rPr>
            </w:pPr>
            <w:r>
              <w:rPr>
                <w:rFonts w:hint="eastAsia" w:ascii="宋体" w:hAnsi="宋体" w:eastAsia="宋体" w:cs="宋体"/>
                <w:b/>
                <w:color w:val="auto"/>
                <w:sz w:val="21"/>
                <w:highlight w:val="none"/>
                <w:lang w:val="en-US" w:eastAsia="zh-CN"/>
              </w:rPr>
              <w:t>解释权：</w:t>
            </w:r>
            <w:r>
              <w:rPr>
                <w:rFonts w:hint="eastAsia" w:ascii="宋体" w:hAnsi="宋体" w:eastAsia="宋体" w:cs="宋体"/>
                <w:color w:val="auto"/>
                <w:sz w:val="21"/>
                <w:highlight w:val="none"/>
                <w:lang w:val="en-US" w:eastAsia="zh-CN"/>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ascii="宋体" w:hAnsi="宋体" w:eastAsia="宋体" w:cs="宋体"/>
                <w:b/>
                <w:color w:val="auto"/>
                <w:sz w:val="21"/>
                <w:highlight w:val="none"/>
                <w:lang w:val="en-US" w:eastAsia="zh-CN"/>
              </w:rPr>
              <w:t>由采购人或者采购代理机构负责解释。</w:t>
            </w:r>
          </w:p>
          <w:p w14:paraId="28CDD0B8">
            <w:pPr>
              <w:pStyle w:val="16"/>
              <w:snapToGrid w:val="0"/>
              <w:spacing w:line="360" w:lineRule="auto"/>
              <w:jc w:val="left"/>
              <w:rPr>
                <w:rFonts w:hint="eastAsia" w:ascii="宋体" w:hAnsi="宋体" w:eastAsia="宋体" w:cs="宋体"/>
                <w:color w:val="auto"/>
                <w:sz w:val="21"/>
                <w:highlight w:val="none"/>
                <w:lang w:val="en-US" w:eastAsia="zh-CN"/>
              </w:rPr>
            </w:pPr>
            <w:r>
              <w:rPr>
                <w:rFonts w:hint="eastAsia" w:ascii="宋体" w:hAnsi="宋体" w:eastAsia="宋体" w:cs="宋体"/>
                <w:b/>
                <w:color w:val="auto"/>
                <w:sz w:val="21"/>
                <w:highlight w:val="none"/>
                <w:lang w:val="en-US" w:eastAsia="zh-CN"/>
              </w:rPr>
              <w:t>法律责任：</w:t>
            </w:r>
            <w:r>
              <w:rPr>
                <w:rFonts w:hint="eastAsia" w:ascii="宋体" w:hAnsi="宋体" w:eastAsia="宋体" w:cs="宋体"/>
                <w:color w:val="auto"/>
                <w:sz w:val="21"/>
                <w:highlight w:val="none"/>
                <w:lang w:val="en-US" w:eastAsia="zh-CN"/>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p w14:paraId="4C99E8C8">
            <w:pPr>
              <w:pStyle w:val="16"/>
              <w:snapToGrid w:val="0"/>
              <w:spacing w:line="360" w:lineRule="auto"/>
              <w:jc w:val="left"/>
              <w:rPr>
                <w:rFonts w:hint="eastAsia" w:ascii="宋体" w:hAnsi="宋体" w:eastAsia="宋体" w:cs="宋体"/>
                <w:color w:val="auto"/>
                <w:kern w:val="2"/>
                <w:sz w:val="21"/>
                <w:highlight w:val="none"/>
                <w:lang w:val="en-US" w:eastAsia="zh-CN"/>
              </w:rPr>
            </w:pPr>
            <w:r>
              <w:rPr>
                <w:rFonts w:hint="eastAsia" w:ascii="宋体" w:hAnsi="宋体" w:eastAsia="宋体" w:cs="宋体"/>
                <w:b/>
                <w:bCs/>
                <w:color w:val="auto"/>
                <w:sz w:val="21"/>
                <w:highlight w:val="none"/>
                <w:lang w:val="en-US" w:eastAsia="zh-CN"/>
              </w:rPr>
              <w:t>2.本项目采购代理机构应严格按照</w:t>
            </w:r>
            <w:r>
              <w:rPr>
                <w:rFonts w:hint="eastAsia" w:hAnsi="宋体" w:cs="宋体"/>
                <w:b/>
                <w:bCs/>
                <w:color w:val="auto"/>
                <w:sz w:val="21"/>
                <w:highlight w:val="none"/>
                <w:lang w:val="en-US" w:eastAsia="zh-CN"/>
              </w:rPr>
              <w:t>“广西政府采购云平台”</w:t>
            </w:r>
            <w:r>
              <w:rPr>
                <w:rFonts w:hint="eastAsia" w:ascii="宋体" w:hAnsi="宋体" w:eastAsia="宋体" w:cs="宋体"/>
                <w:b/>
                <w:bCs/>
                <w:color w:val="auto"/>
                <w:sz w:val="21"/>
                <w:highlight w:val="none"/>
                <w:lang w:val="en-US" w:eastAsia="zh-CN"/>
              </w:rPr>
              <w:t>项目采购全流程电子化电子开评标规程执行项目采购活动，代理机构在</w:t>
            </w:r>
            <w:r>
              <w:rPr>
                <w:rFonts w:hint="eastAsia" w:hAnsi="宋体" w:cs="宋体"/>
                <w:b/>
                <w:bCs/>
                <w:color w:val="auto"/>
                <w:sz w:val="21"/>
                <w:highlight w:val="none"/>
                <w:lang w:val="en-US" w:eastAsia="zh-CN"/>
              </w:rPr>
              <w:t>“广西政府采购云平台”</w:t>
            </w:r>
            <w:r>
              <w:rPr>
                <w:rFonts w:hint="eastAsia" w:ascii="宋体" w:hAnsi="宋体" w:eastAsia="宋体" w:cs="宋体"/>
                <w:b/>
                <w:bCs/>
                <w:color w:val="auto"/>
                <w:sz w:val="21"/>
                <w:highlight w:val="none"/>
                <w:lang w:val="en-US" w:eastAsia="zh-CN"/>
              </w:rPr>
              <w:t>的“项目管理”—“采购文件管理”内开评标规则设置作为本采购文件的组成部分，截标之后不可更改，因代理机构开评标规则设置错误导致采购活动无法开展下去的情况，由代理机构负责解释并承担其后果。</w:t>
            </w:r>
          </w:p>
        </w:tc>
      </w:tr>
      <w:tr w14:paraId="6491F0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7896090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w:t>
            </w:r>
          </w:p>
        </w:tc>
        <w:tc>
          <w:tcPr>
            <w:tcW w:w="2371" w:type="dxa"/>
            <w:noWrap w:val="0"/>
            <w:vAlign w:val="center"/>
          </w:tcPr>
          <w:p w14:paraId="065EBCB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6633" w:type="dxa"/>
            <w:noWrap w:val="0"/>
            <w:vAlign w:val="center"/>
          </w:tcPr>
          <w:p w14:paraId="490ED29B">
            <w:pPr>
              <w:pStyle w:val="16"/>
              <w:snapToGrid w:val="0"/>
              <w:spacing w:line="360" w:lineRule="auto"/>
              <w:jc w:val="left"/>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591E7112">
            <w:pPr>
              <w:pStyle w:val="16"/>
              <w:snapToGrid w:val="0"/>
              <w:spacing w:line="360" w:lineRule="auto"/>
              <w:jc w:val="left"/>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4A2C6054">
            <w:pPr>
              <w:pStyle w:val="16"/>
              <w:snapToGrid w:val="0"/>
              <w:spacing w:line="360" w:lineRule="auto"/>
              <w:jc w:val="left"/>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3.本磋商文件中描述供应商的“签字”是指供应商的法定代表人或者委托代理人亲自在文件规定签署处亲笔写上个人的名字的行为，私章、签字章、印鉴、影印等其他形式均不能代替亲笔签字。</w:t>
            </w:r>
          </w:p>
          <w:p w14:paraId="35B2B07C">
            <w:pPr>
              <w:pStyle w:val="16"/>
              <w:snapToGrid w:val="0"/>
              <w:spacing w:line="360" w:lineRule="auto"/>
              <w:jc w:val="left"/>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4.自然人竞标的，磋商文件规定盖公章处由自然人摁手指指印。</w:t>
            </w:r>
          </w:p>
          <w:p w14:paraId="6FEBFC94">
            <w:pPr>
              <w:pStyle w:val="16"/>
              <w:snapToGrid w:val="0"/>
              <w:spacing w:line="360" w:lineRule="auto"/>
              <w:jc w:val="left"/>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5.本磋商文件所称的“以上”“以下”“以内”“届满”，包括本数；所称的“不满”“超过”“以外”，不包括本数。</w:t>
            </w:r>
          </w:p>
        </w:tc>
      </w:tr>
    </w:tbl>
    <w:p w14:paraId="5B91ADCC">
      <w:pPr>
        <w:pStyle w:val="3"/>
        <w:spacing w:line="360" w:lineRule="auto"/>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br w:type="page"/>
      </w:r>
      <w:bookmarkStart w:id="58" w:name="_Toc11716"/>
      <w:bookmarkStart w:id="59" w:name="_Toc8980"/>
      <w:bookmarkStart w:id="60" w:name="_Toc18606"/>
      <w:bookmarkStart w:id="61" w:name="_Toc3460"/>
      <w:bookmarkStart w:id="62" w:name="_Toc28698"/>
      <w:bookmarkStart w:id="63" w:name="_Toc31001"/>
      <w:bookmarkStart w:id="64" w:name="_Toc11935"/>
      <w:r>
        <w:rPr>
          <w:rFonts w:hint="eastAsia" w:ascii="宋体" w:hAnsi="宋体" w:eastAsia="宋体" w:cs="宋体"/>
          <w:b w:val="0"/>
          <w:color w:val="auto"/>
          <w:highlight w:val="none"/>
        </w:rPr>
        <w:t>第二节 供应商须知正文</w:t>
      </w:r>
      <w:bookmarkEnd w:id="58"/>
      <w:bookmarkEnd w:id="59"/>
      <w:bookmarkEnd w:id="60"/>
      <w:bookmarkEnd w:id="61"/>
      <w:bookmarkEnd w:id="62"/>
      <w:bookmarkEnd w:id="63"/>
      <w:bookmarkEnd w:id="64"/>
    </w:p>
    <w:p w14:paraId="061E03F0">
      <w:pPr>
        <w:pStyle w:val="4"/>
        <w:spacing w:before="0" w:after="0" w:line="360" w:lineRule="auto"/>
        <w:rPr>
          <w:rFonts w:hint="eastAsia" w:ascii="宋体" w:hAnsi="宋体" w:eastAsia="宋体" w:cs="宋体"/>
          <w:b/>
          <w:bCs w:val="0"/>
          <w:color w:val="auto"/>
          <w:highlight w:val="none"/>
        </w:rPr>
      </w:pPr>
      <w:bookmarkStart w:id="65" w:name="_Toc4242"/>
      <w:bookmarkStart w:id="66" w:name="_Toc4039"/>
      <w:bookmarkStart w:id="67" w:name="_Toc6602"/>
      <w:bookmarkStart w:id="68" w:name="_Toc29628"/>
      <w:bookmarkStart w:id="69" w:name="_Toc5632"/>
      <w:bookmarkStart w:id="70" w:name="_Toc26491"/>
      <w:r>
        <w:rPr>
          <w:rFonts w:hint="eastAsia" w:ascii="宋体" w:hAnsi="宋体" w:eastAsia="宋体" w:cs="宋体"/>
          <w:b/>
          <w:bCs w:val="0"/>
          <w:color w:val="auto"/>
          <w:highlight w:val="none"/>
        </w:rPr>
        <w:t>一、总则</w:t>
      </w:r>
      <w:bookmarkEnd w:id="65"/>
      <w:bookmarkEnd w:id="66"/>
      <w:bookmarkEnd w:id="67"/>
      <w:bookmarkEnd w:id="68"/>
      <w:bookmarkEnd w:id="69"/>
      <w:bookmarkEnd w:id="70"/>
    </w:p>
    <w:p w14:paraId="288DB7A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1.适用范围</w:t>
      </w:r>
    </w:p>
    <w:p w14:paraId="625D480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751D1B5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pacing w:val="-6"/>
          <w:szCs w:val="21"/>
          <w:highlight w:val="none"/>
        </w:rPr>
        <w:t>本竞争性磋商文件（以下简称磋商文件）适用于本项目的所有采购程序和环节（法律、法规另有规定的，从其规定）。</w:t>
      </w:r>
    </w:p>
    <w:p w14:paraId="1BFA705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2.定义</w:t>
      </w:r>
    </w:p>
    <w:p w14:paraId="704B9B0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2.1“采购人”是指依法进行政府采购的国家机关、事业单位、团体组织。</w:t>
      </w:r>
    </w:p>
    <w:p w14:paraId="2B6FBD62">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2.2“采购代理机构”是指政府采购集中采购机构和集中采购机构以外的采购代理机构。</w:t>
      </w:r>
    </w:p>
    <w:p w14:paraId="514D1DD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2.3“供应商”是指向采购人提供货物、工程或者服务的法人、其他组织或者自然人。</w:t>
      </w:r>
    </w:p>
    <w:p w14:paraId="78852EA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w:t>
      </w:r>
      <w:r>
        <w:rPr>
          <w:rFonts w:hint="eastAsia" w:ascii="宋体" w:hAnsi="宋体"/>
          <w:color w:val="auto"/>
          <w:szCs w:val="21"/>
          <w:highlight w:val="none"/>
        </w:rPr>
        <w:t>“工程”是指除货物和服务以外的其他政府采购对象</w:t>
      </w:r>
      <w:r>
        <w:rPr>
          <w:rFonts w:hint="eastAsia" w:ascii="宋体" w:hAnsi="宋体" w:eastAsia="宋体" w:cs="宋体"/>
          <w:color w:val="auto"/>
          <w:szCs w:val="21"/>
          <w:highlight w:val="none"/>
        </w:rPr>
        <w:t>。</w:t>
      </w:r>
    </w:p>
    <w:p w14:paraId="586003D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2.5“竞标”是指供应商按照本项目竞争性磋商公告或者邀请函规定的方式获取磋商文件、提交响应文件并希望获得标的的行为。</w:t>
      </w:r>
    </w:p>
    <w:p w14:paraId="7596CC5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2.6“响应文件”</w:t>
      </w:r>
      <w:r>
        <w:rPr>
          <w:rFonts w:hint="eastAsia" w:ascii="宋体" w:hAnsi="宋体" w:eastAsia="宋体" w:cs="宋体"/>
          <w:color w:val="auto"/>
          <w:spacing w:val="-6"/>
          <w:szCs w:val="21"/>
          <w:highlight w:val="none"/>
        </w:rPr>
        <w:t>是指：供应商根据本磋商文件要求，编制包含资格证明、报价商务技术等所有内容的文件。</w:t>
      </w:r>
    </w:p>
    <w:p w14:paraId="3B00ABF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2.7“实质性要求”是指磋商文件中已经指明不满足则响应文件按无效响应处理的条款，或者不能负偏离的条款，或者采购需求中带“▲”的条款。</w:t>
      </w:r>
    </w:p>
    <w:p w14:paraId="04E4FD1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2.8“正偏离”，是指响应文件对磋商文件“采购需求”中有关条款作出的响应优于条款要求并有利于采购人的情形。</w:t>
      </w:r>
    </w:p>
    <w:p w14:paraId="08E0997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2.9“负偏离”，是指响应文件对磋商文件“采购需求”中有关条款作出的响应不满足条款要求，导致采购人要求不能得到满足的情形。</w:t>
      </w:r>
    </w:p>
    <w:p w14:paraId="12300FF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2.10“允许负偏离的条款”是指采购需求中的不属于“实质性要求”的条款。</w:t>
      </w:r>
    </w:p>
    <w:p w14:paraId="7947D9B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2.11“书面形式”是指合同书、信件和数据电文（包括电报、电传、传真、电子数据交换和电子邮件）等可以有形地表现所载内容的形式。</w:t>
      </w:r>
    </w:p>
    <w:p w14:paraId="4C9129E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2.12“首次报价”是指供应商提交的首次响应文件中的报价。</w:t>
      </w:r>
    </w:p>
    <w:p w14:paraId="3ABA685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2.13“评审报价”是指供应商提交的最后报价并经修正（如有）和政策功能价格扣除（如有）后的价格。</w:t>
      </w:r>
    </w:p>
    <w:p w14:paraId="55B9202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3.供应商的资格条件</w:t>
      </w:r>
    </w:p>
    <w:p w14:paraId="6F1A717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供应商的资格条件详见“供应商须知前附表”。</w:t>
      </w:r>
    </w:p>
    <w:p w14:paraId="2641F70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4.磋商费用</w:t>
      </w:r>
    </w:p>
    <w:p w14:paraId="6D5D4FE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供应商应承担参与本次采购活动有关的所有费用，包括但不限于、勘</w:t>
      </w:r>
      <w:r>
        <w:rPr>
          <w:rFonts w:hint="eastAsia" w:ascii="宋体" w:hAnsi="宋体" w:cs="宋体"/>
          <w:color w:val="auto"/>
          <w:szCs w:val="21"/>
          <w:highlight w:val="none"/>
          <w:lang w:val="en-US" w:eastAsia="zh-CN"/>
        </w:rPr>
        <w:t>察</w:t>
      </w:r>
      <w:r>
        <w:rPr>
          <w:rFonts w:hint="eastAsia" w:ascii="宋体" w:hAnsi="宋体" w:eastAsia="宋体" w:cs="宋体"/>
          <w:color w:val="auto"/>
          <w:szCs w:val="21"/>
          <w:highlight w:val="none"/>
        </w:rPr>
        <w:t>现场、编制和提交响应文件、参加磋商与应答、签订合同等，不论竞标结果如何，均应自行承担。</w:t>
      </w:r>
    </w:p>
    <w:p w14:paraId="0BBC837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5.联合体竞标</w:t>
      </w:r>
    </w:p>
    <w:p w14:paraId="1B8164F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5.1本项目是否接受联合体竞标，详见“供应商须知前附表”。</w:t>
      </w:r>
    </w:p>
    <w:p w14:paraId="3FC5BC1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r>
        <w:rPr>
          <w:rFonts w:hint="eastAsia" w:ascii="宋体" w:hAnsi="宋体" w:eastAsia="宋体" w:cs="宋体"/>
          <w:color w:val="auto"/>
          <w:highlight w:val="none"/>
        </w:rPr>
        <w:t>如接受联合体竞标，</w:t>
      </w:r>
      <w:r>
        <w:rPr>
          <w:rFonts w:hint="eastAsia" w:ascii="宋体" w:hAnsi="宋体" w:eastAsia="宋体" w:cs="宋体"/>
          <w:color w:val="auto"/>
          <w:szCs w:val="21"/>
          <w:highlight w:val="none"/>
        </w:rPr>
        <w:t>联合体竞标要求详见“供应商须知前附表”。</w:t>
      </w:r>
    </w:p>
    <w:p w14:paraId="7E259D5E">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5.3根据《政府采购促进中小企业发展管理办法》（财库[2020]46号）第九条及《广西壮族自治区财政厅关于进一步发挥政府采购政策功能促进企业发展的通知》（桂财采〔2022〕30号）规定，接受大中型企业与小微企业组成联合体的采购项目，对于联合协议约定小微企业的合同份额占到合同总金额 30%以上的，采购人、采购代理机构应当对联合体的报价给予 1%—2%的扣除，用扣除后的价格参加评审。组成联合体的小微企业与联合体内其他企业、分包企业之间存在直接控股、管理关系的，不享受价格扣除优惠政策。</w:t>
      </w:r>
    </w:p>
    <w:p w14:paraId="523F6D9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6.转包与分包             </w:t>
      </w:r>
    </w:p>
    <w:p w14:paraId="5AB1F6B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6.1本项目是否允许分包详见“供应商须知前附表”，本项目不允许违法分包。</w:t>
      </w:r>
    </w:p>
    <w:p w14:paraId="6A114F3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w:t>
      </w:r>
      <w:r>
        <w:rPr>
          <w:rFonts w:hint="eastAsia" w:ascii="宋体" w:hAnsi="宋体"/>
          <w:bCs/>
          <w:color w:val="auto"/>
          <w:szCs w:val="21"/>
          <w:highlight w:val="none"/>
        </w:rPr>
        <w:t>根据《政府采购促进中小企业发展管理办法》（财库[2020]46号）第九条及《广西壮族自治区财政厅关于进一步发挥政府采购政策功能促进企业发展的通知》（桂财采〔2022〕30号</w:t>
      </w:r>
      <w:r>
        <w:rPr>
          <w:rFonts w:hint="eastAsia" w:ascii="仿宋_GB2312" w:hAnsi="Calibri" w:eastAsia="仿宋_GB2312"/>
          <w:color w:val="auto"/>
          <w:sz w:val="24"/>
          <w:highlight w:val="none"/>
        </w:rPr>
        <w:t>）</w:t>
      </w:r>
      <w:r>
        <w:rPr>
          <w:rFonts w:hint="eastAsia" w:ascii="宋体" w:hAnsi="宋体"/>
          <w:bCs/>
          <w:color w:val="auto"/>
          <w:szCs w:val="21"/>
          <w:highlight w:val="none"/>
        </w:rPr>
        <w:t>规定，允许大中型企业向一家或者多家小微企业分包的采购项目，对于分包意向协议约定小微企业的合同份额占到合同总金额 30%以上的，采购人、采购代理机构应当对大中型企业的报价给予 1%-2%的扣除，用扣除后的价格参加评审。接受分包的小微企业与分包企业之间存在直接控股、管理关系的，不享受价格扣除优惠政策</w:t>
      </w:r>
      <w:r>
        <w:rPr>
          <w:rFonts w:hint="eastAsia" w:ascii="宋体" w:hAnsi="宋体" w:eastAsia="宋体" w:cs="宋体"/>
          <w:bCs/>
          <w:color w:val="auto"/>
          <w:szCs w:val="21"/>
          <w:highlight w:val="none"/>
        </w:rPr>
        <w:t>。</w:t>
      </w:r>
    </w:p>
    <w:p w14:paraId="5489EED0">
      <w:pPr>
        <w:spacing w:line="360" w:lineRule="auto"/>
        <w:ind w:firstLine="482" w:firstLineChars="200"/>
        <w:rPr>
          <w:rFonts w:hint="eastAsia" w:ascii="宋体" w:hAnsi="宋体" w:eastAsia="宋体" w:cs="宋体"/>
          <w:b/>
          <w:bCs/>
          <w:color w:val="auto"/>
          <w:sz w:val="24"/>
          <w:highlight w:val="none"/>
        </w:rPr>
      </w:pPr>
      <w:bookmarkStart w:id="71" w:name="_Toc254970532"/>
      <w:bookmarkStart w:id="72" w:name="_Toc254970673"/>
      <w:r>
        <w:rPr>
          <w:rFonts w:hint="eastAsia" w:ascii="宋体" w:hAnsi="宋体" w:eastAsia="宋体" w:cs="宋体"/>
          <w:b/>
          <w:bCs/>
          <w:color w:val="auto"/>
          <w:sz w:val="24"/>
          <w:highlight w:val="none"/>
        </w:rPr>
        <w:t>7.特别说明</w:t>
      </w:r>
      <w:bookmarkEnd w:id="71"/>
      <w:bookmarkEnd w:id="72"/>
    </w:p>
    <w:p w14:paraId="2984EFDC">
      <w:pPr>
        <w:spacing w:line="360" w:lineRule="auto"/>
        <w:ind w:firstLine="420" w:firstLineChars="200"/>
        <w:rPr>
          <w:rFonts w:hint="eastAsia" w:ascii="宋体" w:hAnsi="宋体" w:eastAsia="宋体" w:cs="宋体"/>
          <w:color w:val="auto"/>
          <w:szCs w:val="21"/>
          <w:highlight w:val="none"/>
        </w:rPr>
      </w:pPr>
      <w:bookmarkStart w:id="73" w:name="_8.1提供相同品牌产品且通过资格审查、符合性审查的不同投标人参加同一合"/>
      <w:bookmarkEnd w:id="73"/>
      <w:r>
        <w:rPr>
          <w:rFonts w:hint="eastAsia" w:ascii="宋体" w:hAnsi="宋体" w:eastAsia="宋体" w:cs="宋体"/>
          <w:color w:val="auto"/>
          <w:szCs w:val="21"/>
          <w:highlight w:val="none"/>
        </w:rPr>
        <w:t>7.1</w:t>
      </w:r>
      <w:bookmarkStart w:id="74" w:name="_Hlk65832145"/>
      <w:r>
        <w:rPr>
          <w:rFonts w:hint="eastAsia" w:ascii="宋体" w:hAnsi="宋体" w:eastAsia="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74"/>
    <w:p w14:paraId="64FB762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7.2供应商应仔细阅读磋商文件的所有内容，按照磋商文件的要求提交响应文件，并对所提供的全部资料的真实性承担法律责任。</w:t>
      </w:r>
    </w:p>
    <w:p w14:paraId="13AF23A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1DE080C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7.4在政府采购活动中，采购人员及相关人员与供应商有下列利害关系之一的，应当回避：</w:t>
      </w:r>
    </w:p>
    <w:p w14:paraId="32AE226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（1）参加采购活动前3年内与供应商存在劳动关系；</w:t>
      </w:r>
    </w:p>
    <w:p w14:paraId="75D6B84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（2）参加采购活动前3年内担任供应商的董事、监事；</w:t>
      </w:r>
    </w:p>
    <w:p w14:paraId="36EE5C6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（3）参加采购活动前3年内是供应商的控股股东或者实际控制人；</w:t>
      </w:r>
    </w:p>
    <w:p w14:paraId="53937CD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（4）与供应商的法定代表人或者负责人有夫妻、直系血亲、三代以内旁系血亲或者近姻亲关系；</w:t>
      </w:r>
    </w:p>
    <w:p w14:paraId="0C7923A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（5）与供应商有其他可能影响政府采购活动公平、公正进行的关系。</w:t>
      </w:r>
    </w:p>
    <w:p w14:paraId="1BFE28B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43907B1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7.5有下列情形之一的视为供应商相互串通竞标，响应文件将被视为无效：</w:t>
      </w:r>
    </w:p>
    <w:p w14:paraId="56E490A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（1）不同供应商的响应文件由同一单位或者个人编制； </w:t>
      </w:r>
    </w:p>
    <w:p w14:paraId="4D04EAB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（2）不同供应商委托同一单位或者个人办理竞标事宜；</w:t>
      </w:r>
    </w:p>
    <w:p w14:paraId="48B089D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（3）不同的供应商的响应文件载明的项目管理员为同一个人；</w:t>
      </w:r>
    </w:p>
    <w:p w14:paraId="15722D0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（4）不同供应商的响应文件异常一致或者报价呈规律性差异；</w:t>
      </w:r>
    </w:p>
    <w:p w14:paraId="01DE479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（5）不同供应商的响应文件相互混装；</w:t>
      </w:r>
    </w:p>
    <w:p w14:paraId="428EA225">
      <w:pPr>
        <w:tabs>
          <w:tab w:val="left" w:pos="6931"/>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（6）不同供应商的磋商保证金从同一单位或者个人账户转出。</w:t>
      </w:r>
      <w:r>
        <w:rPr>
          <w:rFonts w:hint="eastAsia" w:ascii="宋体" w:hAnsi="宋体" w:eastAsia="宋体" w:cs="宋体"/>
          <w:color w:val="auto"/>
          <w:szCs w:val="21"/>
          <w:highlight w:val="none"/>
        </w:rPr>
        <w:tab/>
      </w:r>
    </w:p>
    <w:p w14:paraId="0D134E8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7.6供应商有下列情形之一的，属于恶意串通行为，将报同级监督管理部门：</w:t>
      </w:r>
    </w:p>
    <w:p w14:paraId="1933F45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（1）供应商直接或者间接从采购人或者采购代理机构处获得其他供应商的相关信息并修改其响应文件；</w:t>
      </w:r>
    </w:p>
    <w:p w14:paraId="5026C99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（2）供应商按照采购人或者采购代理机构的授意撤换、修改响应文件；</w:t>
      </w:r>
    </w:p>
    <w:p w14:paraId="17B3213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（3）供应商之间协商报价、技术方案等响应文件或者响应文件的实质性内容；</w:t>
      </w:r>
    </w:p>
    <w:p w14:paraId="72B3C6A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（4）属于同一集团、协会、商会等组织成员的供应商按照该组织要求协同参加政府采购活动；</w:t>
      </w:r>
    </w:p>
    <w:p w14:paraId="397F945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02CB9D4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（6）供应商之间商定部分供应商放弃参加政府采购活动或者放弃成交；</w:t>
      </w:r>
    </w:p>
    <w:p w14:paraId="55A5BD2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（7）供应商与采购人或者采购代理机构之间、供应商相互之间，为谋求特定供应商成交或者排斥其他供应商的其他串通行为。</w:t>
      </w:r>
    </w:p>
    <w:p w14:paraId="6E8ED65B">
      <w:pPr>
        <w:bidi w:val="0"/>
        <w:spacing w:line="360" w:lineRule="auto"/>
        <w:rPr>
          <w:rFonts w:hint="eastAsia" w:ascii="宋体" w:hAnsi="宋体" w:eastAsia="宋体" w:cs="宋体"/>
          <w:color w:val="auto"/>
          <w:highlight w:val="none"/>
        </w:rPr>
      </w:pPr>
      <w:bookmarkStart w:id="75" w:name="_Toc254970675"/>
      <w:bookmarkStart w:id="76" w:name="_Toc254970534"/>
    </w:p>
    <w:p w14:paraId="7CD0A1BA">
      <w:pPr>
        <w:pStyle w:val="4"/>
        <w:spacing w:before="0" w:after="0" w:line="360" w:lineRule="auto"/>
        <w:rPr>
          <w:rFonts w:hint="eastAsia" w:ascii="宋体" w:hAnsi="宋体" w:eastAsia="宋体" w:cs="宋体"/>
          <w:b/>
          <w:bCs w:val="0"/>
          <w:color w:val="auto"/>
          <w:highlight w:val="none"/>
        </w:rPr>
      </w:pPr>
      <w:bookmarkStart w:id="77" w:name="_Toc25818"/>
      <w:bookmarkStart w:id="78" w:name="_Toc22797"/>
      <w:bookmarkStart w:id="79" w:name="_Toc16003"/>
      <w:bookmarkStart w:id="80" w:name="_Toc29382"/>
      <w:bookmarkStart w:id="81" w:name="_Toc6695"/>
      <w:bookmarkStart w:id="82" w:name="_Toc27949"/>
      <w:r>
        <w:rPr>
          <w:rFonts w:hint="eastAsia" w:ascii="宋体" w:hAnsi="宋体" w:eastAsia="宋体" w:cs="宋体"/>
          <w:b/>
          <w:bCs w:val="0"/>
          <w:color w:val="auto"/>
          <w:highlight w:val="none"/>
        </w:rPr>
        <w:t>二、磋商文件</w:t>
      </w:r>
      <w:bookmarkEnd w:id="75"/>
      <w:bookmarkEnd w:id="76"/>
      <w:bookmarkEnd w:id="77"/>
      <w:bookmarkEnd w:id="78"/>
      <w:bookmarkEnd w:id="79"/>
      <w:bookmarkEnd w:id="80"/>
      <w:bookmarkEnd w:id="81"/>
      <w:bookmarkEnd w:id="82"/>
    </w:p>
    <w:p w14:paraId="21542F0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8.磋商文件的构成</w:t>
      </w:r>
    </w:p>
    <w:p w14:paraId="62A6F74B">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第一章 竞争性磋商公告；</w:t>
      </w:r>
    </w:p>
    <w:p w14:paraId="6BFC57AA">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 采购需求；</w:t>
      </w:r>
    </w:p>
    <w:p w14:paraId="4A151F06">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第三章 供应商须知； </w:t>
      </w:r>
    </w:p>
    <w:p w14:paraId="642A74EA">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第四章 评审程序、评审方法和评审标准；</w:t>
      </w:r>
    </w:p>
    <w:p w14:paraId="7F6CE0E6">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第五章 响应文件格式；</w:t>
      </w:r>
    </w:p>
    <w:p w14:paraId="64FA5C92">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第六章 合同文本；</w:t>
      </w:r>
    </w:p>
    <w:p w14:paraId="4A8BE3DB">
      <w:pPr>
        <w:spacing w:line="360" w:lineRule="auto"/>
        <w:ind w:firstLine="420" w:firstLineChars="200"/>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 xml:space="preserve">第七章 </w:t>
      </w:r>
      <w:r>
        <w:rPr>
          <w:rFonts w:hint="eastAsia" w:ascii="宋体" w:hAnsi="宋体" w:cs="宋体"/>
          <w:color w:val="auto"/>
          <w:szCs w:val="21"/>
          <w:highlight w:val="none"/>
          <w:lang w:val="en-US" w:eastAsia="zh-CN"/>
        </w:rPr>
        <w:t>工程量清单</w:t>
      </w:r>
    </w:p>
    <w:p w14:paraId="420D7C10">
      <w:pPr>
        <w:spacing w:line="360" w:lineRule="auto"/>
        <w:ind w:firstLine="420" w:firstLineChars="200"/>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第</w:t>
      </w:r>
      <w:r>
        <w:rPr>
          <w:rFonts w:hint="eastAsia" w:ascii="宋体" w:hAnsi="宋体" w:cs="宋体"/>
          <w:color w:val="auto"/>
          <w:szCs w:val="21"/>
          <w:highlight w:val="none"/>
          <w:lang w:val="en-US" w:eastAsia="zh-CN"/>
        </w:rPr>
        <w:t>八</w:t>
      </w:r>
      <w:r>
        <w:rPr>
          <w:rFonts w:hint="eastAsia" w:ascii="宋体" w:hAnsi="宋体" w:eastAsia="宋体" w:cs="宋体"/>
          <w:color w:val="auto"/>
          <w:szCs w:val="21"/>
          <w:highlight w:val="none"/>
        </w:rPr>
        <w:t xml:space="preserve">章 </w:t>
      </w:r>
      <w:r>
        <w:rPr>
          <w:rFonts w:hint="eastAsia" w:ascii="宋体" w:hAnsi="宋体" w:cs="宋体"/>
          <w:color w:val="auto"/>
          <w:szCs w:val="21"/>
          <w:highlight w:val="none"/>
          <w:lang w:val="en-US" w:eastAsia="zh-CN"/>
        </w:rPr>
        <w:t>图纸</w:t>
      </w:r>
    </w:p>
    <w:p w14:paraId="2B2DF065">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 xml:space="preserve">第九章 </w:t>
      </w:r>
      <w:r>
        <w:rPr>
          <w:rFonts w:hint="eastAsia" w:ascii="宋体" w:hAnsi="宋体" w:eastAsia="宋体" w:cs="宋体"/>
          <w:color w:val="auto"/>
          <w:szCs w:val="21"/>
          <w:highlight w:val="none"/>
        </w:rPr>
        <w:t>质疑、投诉材料格式。</w:t>
      </w:r>
    </w:p>
    <w:p w14:paraId="1A4DBDA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9.供应商的询问</w:t>
      </w:r>
    </w:p>
    <w:p w14:paraId="616B833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供应商应认真阅读磋商文件的采购需求，如供应商对磋商文件有疑问的，如要求采购人作出澄清或者修改的，供应商尽应在提交首次响应文件截止之日前，以书面形式向采购人、采购代理机构提出。</w:t>
      </w:r>
    </w:p>
    <w:p w14:paraId="6088C55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10.磋商文件的澄清和修改</w:t>
      </w:r>
    </w:p>
    <w:p w14:paraId="28368C2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7113EAA6">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7E59E8C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目前为网上公告和系统短信等形式）通知所有获取磋商文件的供应商，不足3个工作日的，应当顺延提交首次响应文件截止之日。</w:t>
      </w:r>
    </w:p>
    <w:p w14:paraId="4845477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w:t>
      </w:r>
      <w:r>
        <w:rPr>
          <w:rFonts w:hint="eastAsia" w:ascii="宋体" w:hAnsi="宋体" w:eastAsia="宋体" w:cs="宋体"/>
          <w:color w:val="auto"/>
          <w:highlight w:val="none"/>
          <w:shd w:val="clear" w:color="auto" w:fill="FFFFFF"/>
        </w:rPr>
        <w:t>采购信息更正公告的内容应当包括采购人和采购代理机构名称、地址、联系方式，原</w:t>
      </w:r>
      <w:r>
        <w:rPr>
          <w:rFonts w:hint="eastAsia" w:ascii="宋体" w:hAnsi="宋体" w:eastAsia="宋体" w:cs="宋体"/>
          <w:color w:val="auto"/>
          <w:szCs w:val="21"/>
          <w:highlight w:val="none"/>
        </w:rPr>
        <w:t>公告的采购项目名称及首次公告日期，更正事项、内容及日期，采购项目联系人和电话。</w:t>
      </w:r>
    </w:p>
    <w:p w14:paraId="3FA45B7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10.5 采购人和采购代理机构可以视采购具体情况，变更提交首次响应文件截止时间和竞谈时间，将变更时间将在“采购文件公告”中“七、其他补充事宜3.网上查询地址”规定的政府采购信息发布媒体上发布更正公告。</w:t>
      </w:r>
    </w:p>
    <w:p w14:paraId="1AED88BB">
      <w:pPr>
        <w:spacing w:line="360" w:lineRule="auto"/>
        <w:ind w:firstLine="420" w:firstLineChars="200"/>
        <w:rPr>
          <w:rFonts w:hint="eastAsia" w:ascii="宋体" w:hAnsi="宋体" w:eastAsia="宋体" w:cs="宋体"/>
          <w:b/>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b/>
          <w:color w:val="auto"/>
          <w:kern w:val="0"/>
          <w:szCs w:val="21"/>
          <w:highlight w:val="none"/>
        </w:rPr>
        <w:t>响应文件未按磋商文件的澄清、修改的内容编制，又不符合实质性要求的，其响应文件作无效处理。</w:t>
      </w:r>
    </w:p>
    <w:p w14:paraId="7B874E98">
      <w:pPr>
        <w:pStyle w:val="12"/>
        <w:spacing w:line="360" w:lineRule="auto"/>
        <w:rPr>
          <w:rFonts w:hint="eastAsia" w:ascii="宋体" w:hAnsi="宋体" w:eastAsia="宋体" w:cs="宋体"/>
          <w:color w:val="auto"/>
          <w:highlight w:val="none"/>
        </w:rPr>
      </w:pPr>
    </w:p>
    <w:p w14:paraId="32353D86">
      <w:pPr>
        <w:pStyle w:val="4"/>
        <w:spacing w:before="0" w:after="0" w:line="360" w:lineRule="auto"/>
        <w:rPr>
          <w:rFonts w:hint="eastAsia" w:ascii="宋体" w:hAnsi="宋体" w:eastAsia="宋体" w:cs="宋体"/>
          <w:b/>
          <w:bCs w:val="0"/>
          <w:color w:val="auto"/>
          <w:highlight w:val="none"/>
        </w:rPr>
      </w:pPr>
      <w:bookmarkStart w:id="83" w:name="_Toc10192"/>
      <w:bookmarkStart w:id="84" w:name="_Toc18572"/>
      <w:bookmarkStart w:id="85" w:name="_Toc2622"/>
      <w:bookmarkStart w:id="86" w:name="_Toc19295"/>
      <w:bookmarkStart w:id="87" w:name="_Toc30069"/>
      <w:bookmarkStart w:id="88" w:name="_Toc30454"/>
      <w:r>
        <w:rPr>
          <w:rFonts w:hint="eastAsia" w:ascii="宋体" w:hAnsi="宋体" w:eastAsia="宋体" w:cs="宋体"/>
          <w:b/>
          <w:bCs w:val="0"/>
          <w:color w:val="auto"/>
          <w:highlight w:val="none"/>
        </w:rPr>
        <w:t>三、响应文件的编制</w:t>
      </w:r>
      <w:bookmarkEnd w:id="83"/>
      <w:bookmarkEnd w:id="84"/>
      <w:bookmarkEnd w:id="85"/>
      <w:bookmarkEnd w:id="86"/>
      <w:bookmarkEnd w:id="87"/>
      <w:bookmarkEnd w:id="88"/>
    </w:p>
    <w:p w14:paraId="6BF834B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11.响应文件的编制原则</w:t>
      </w:r>
    </w:p>
    <w:p w14:paraId="452AEC1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供应商必须按照磋商文件的要求编制响应文件，并对其提交的响应文件的真实性、合法性承担法律责任。响应文件必须对磋商文件作出实质性响应。</w:t>
      </w:r>
    </w:p>
    <w:p w14:paraId="5556949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12.响应文件的组成</w:t>
      </w:r>
    </w:p>
    <w:p w14:paraId="1BCADDA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12.1响应文件由资格证明文件、报价文件、商务和技术文件三部分组成。</w:t>
      </w:r>
    </w:p>
    <w:p w14:paraId="71F37346">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12.1.1资格证明文件：详见须知前附表</w:t>
      </w:r>
    </w:p>
    <w:p w14:paraId="6B8A462E">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12.1.2商务技术文件：详见须知前附表</w:t>
      </w:r>
    </w:p>
    <w:p w14:paraId="6835B05B">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12.1.3报价文件：详见须知前附表</w:t>
      </w:r>
    </w:p>
    <w:p w14:paraId="6698927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12.2响应文件电子版：详见须知前附表</w:t>
      </w:r>
    </w:p>
    <w:p w14:paraId="623435E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13.计量单位</w:t>
      </w:r>
    </w:p>
    <w:p w14:paraId="34CA929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213F630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14.竞标的风险</w:t>
      </w:r>
    </w:p>
    <w:p w14:paraId="728A838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0190E84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15.响应报价要求和构成</w:t>
      </w:r>
    </w:p>
    <w:p w14:paraId="0AF7CC1C">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15.1响应报价应按“第五章 响应文件格式”中“响应报价表”格式填写。</w:t>
      </w:r>
    </w:p>
    <w:p w14:paraId="0F47CC45">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15.2响应报价的价格构成见“供应商须知前附表”。</w:t>
      </w:r>
    </w:p>
    <w:p w14:paraId="7795020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15.3响应报价要求</w:t>
      </w:r>
    </w:p>
    <w:p w14:paraId="1B79C73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15.3.1供应商的响应报价应符合以下要求，否则响应文件按无效响应处理：</w:t>
      </w:r>
    </w:p>
    <w:p w14:paraId="7B95D3F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（1）供应商必须就“采购需求”中所竞标的每个分标的全部内容分别作完整唯一总价报价，不得存在漏项报价；</w:t>
      </w:r>
    </w:p>
    <w:p w14:paraId="5949F9A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（2）供应商必须就所竞标的分标的单项内容作唯一报价。</w:t>
      </w:r>
    </w:p>
    <w:p w14:paraId="53C08F90">
      <w:pPr>
        <w:spacing w:line="360" w:lineRule="auto"/>
        <w:ind w:firstLine="420" w:firstLineChars="200"/>
        <w:rPr>
          <w:rFonts w:hint="eastAsia" w:ascii="宋体" w:hAnsi="宋体" w:eastAsia="宋体" w:cs="宋体"/>
          <w:color w:val="0000FF"/>
          <w:szCs w:val="21"/>
          <w:highlight w:val="none"/>
          <w:lang w:eastAsia="zh-CN"/>
        </w:rPr>
      </w:pPr>
      <w:r>
        <w:rPr>
          <w:rFonts w:hint="eastAsia" w:ascii="宋体" w:hAnsi="宋体" w:cs="宋体"/>
          <w:color w:val="0000FF"/>
          <w:szCs w:val="21"/>
          <w:highlight w:val="none"/>
          <w:lang w:eastAsia="zh-CN"/>
        </w:rPr>
        <w:t>（</w:t>
      </w:r>
      <w:r>
        <w:rPr>
          <w:rFonts w:hint="eastAsia" w:ascii="宋体" w:hAnsi="宋体" w:cs="宋体"/>
          <w:color w:val="0000FF"/>
          <w:szCs w:val="21"/>
          <w:highlight w:val="none"/>
          <w:lang w:val="en-US" w:eastAsia="zh-CN"/>
        </w:rPr>
        <w:t>3</w:t>
      </w:r>
      <w:r>
        <w:rPr>
          <w:rFonts w:hint="eastAsia" w:ascii="宋体" w:hAnsi="宋体" w:cs="宋体"/>
          <w:color w:val="0000FF"/>
          <w:szCs w:val="21"/>
          <w:highlight w:val="none"/>
          <w:lang w:eastAsia="zh-CN"/>
        </w:rPr>
        <w:t>）</w:t>
      </w:r>
      <w:r>
        <w:rPr>
          <w:rFonts w:hint="eastAsia" w:ascii="宋体" w:hAnsi="宋体" w:cs="宋体"/>
          <w:color w:val="0000FF"/>
          <w:szCs w:val="21"/>
          <w:highlight w:val="none"/>
          <w:lang w:val="en-US" w:eastAsia="zh-CN"/>
        </w:rPr>
        <w:t>报价属于采购文件规定异常低价情况之一，未能按要求提供书面说明或者提交相关证明材料证明其报价合理性的，竞标无效。</w:t>
      </w:r>
    </w:p>
    <w:p w14:paraId="6861FEF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15.3.2响应报价（包含首次报价、最后报价）超过所竞标分标规定的采购预算金额或者最高限价的，其响应文件将作无效处理。</w:t>
      </w:r>
    </w:p>
    <w:p w14:paraId="6DE71A6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15.3.3</w:t>
      </w:r>
      <w:bookmarkStart w:id="89" w:name="_Hlk42592874"/>
      <w:r>
        <w:rPr>
          <w:rFonts w:hint="eastAsia" w:ascii="宋体" w:hAnsi="宋体" w:eastAsia="宋体" w:cs="宋体"/>
          <w:color w:val="auto"/>
          <w:szCs w:val="21"/>
          <w:highlight w:val="none"/>
        </w:rPr>
        <w:t>响应报价（包含首次报价、最后报价）超过分项采购预算金额或者最高限价的，其响应文件将作无效处理。</w:t>
      </w:r>
    </w:p>
    <w:p w14:paraId="3DC69EBC">
      <w:pPr>
        <w:spacing w:line="360" w:lineRule="auto"/>
        <w:ind w:firstLine="420" w:firstLineChars="200"/>
        <w:rPr>
          <w:rFonts w:hint="eastAsia"/>
          <w:color w:val="auto"/>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.4本工程报价按工程量清单报价，具体信息价等详见工程量清单说明。</w:t>
      </w:r>
    </w:p>
    <w:bookmarkEnd w:id="89"/>
    <w:p w14:paraId="5307F7B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16.竞标有效期</w:t>
      </w:r>
    </w:p>
    <w:p w14:paraId="0CE3856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4C3395F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 竞标有效期应由供应商按“供应商须知前附表”规定的期限作出响应。</w:t>
      </w:r>
    </w:p>
    <w:p w14:paraId="7F3FB41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16.3供应商的响应文件在竞标有效期内均保持有效。</w:t>
      </w:r>
    </w:p>
    <w:p w14:paraId="7A939B8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17.磋商保证金</w:t>
      </w:r>
    </w:p>
    <w:p w14:paraId="011B926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293B492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18.响应文件编制的要求</w:t>
      </w:r>
    </w:p>
    <w:p w14:paraId="31030B1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eastAsia="宋体" w:cs="宋体"/>
          <w:color w:val="auto"/>
          <w:highlight w:val="none"/>
        </w:rPr>
        <w:t>由此引发的</w:t>
      </w:r>
      <w:r>
        <w:rPr>
          <w:rFonts w:hint="eastAsia" w:ascii="宋体" w:hAnsi="宋体" w:eastAsia="宋体" w:cs="宋体"/>
          <w:color w:val="auto"/>
          <w:szCs w:val="21"/>
          <w:highlight w:val="none"/>
        </w:rPr>
        <w:t>后果由供应商承担。</w:t>
      </w:r>
    </w:p>
    <w:p w14:paraId="595B170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18.2响应文件应按资格证明、报价分别编制，商务技术文件合并编制，本磋商只接受电子版响应文件，要求见本章“12.2响应文件电子版要求”。</w:t>
      </w:r>
    </w:p>
    <w:p w14:paraId="1502205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bookmarkStart w:id="90" w:name="_Hlk65832699"/>
      <w:r>
        <w:rPr>
          <w:rFonts w:hint="eastAsia" w:ascii="宋体" w:hAnsi="宋体" w:eastAsia="宋体" w:cs="宋体"/>
          <w:color w:val="auto"/>
          <w:szCs w:val="21"/>
          <w:highlight w:val="none"/>
        </w:rPr>
        <w:t>3响应文件须由供应商在</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rPr>
        <w:t>第五章 响应文件格式</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rPr>
        <w:t>规定位置进行签署、盖章</w:t>
      </w:r>
      <w:bookmarkEnd w:id="90"/>
      <w:r>
        <w:rPr>
          <w:rFonts w:hint="eastAsia" w:ascii="宋体" w:hAnsi="宋体" w:eastAsia="宋体" w:cs="宋体"/>
          <w:color w:val="auto"/>
          <w:szCs w:val="21"/>
          <w:highlight w:val="none"/>
        </w:rPr>
        <w:t>，否则其响应文件按无效响应处理。骑缝盖公章不视为在规定位置盖章。</w:t>
      </w:r>
    </w:p>
    <w:p w14:paraId="62DD6B9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18.4响应文件中标注的供应商名称应与营业执照（事业单位法人证书、执业许可证、自然人身份证）及电子公章一致，否则其响应文件按无效响应处理。</w:t>
      </w:r>
    </w:p>
    <w:p w14:paraId="785C68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18.5响应文件应避免涂改、行间插字或者删除，否则其响应文件按无效响应处理。</w:t>
      </w:r>
    </w:p>
    <w:p w14:paraId="7095923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19.响应文件的密封和标记</w:t>
      </w:r>
    </w:p>
    <w:p w14:paraId="686D227B">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19.1供应商进行电子交易应安装客户端软件—“政采云电子交易客户端”，并按照磋商文件和电子交易平台的要求编制并加密响应文件。供应商未按规定加密的响应文件，电子交易平台将拒收并提示。</w:t>
      </w:r>
    </w:p>
    <w:p w14:paraId="67EA1A78">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19.2使用“政采云电子交易客户端”需要提前申领CA数字证书，申领流程见该项目采购公告附件。</w:t>
      </w:r>
    </w:p>
    <w:p w14:paraId="111CA76E">
      <w:pPr>
        <w:pStyle w:val="16"/>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19</w:t>
      </w: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eastAsia="zh-CN"/>
        </w:rPr>
        <w:t>3</w:t>
      </w:r>
      <w:r>
        <w:rPr>
          <w:rFonts w:hint="eastAsia" w:ascii="宋体" w:hAnsi="宋体" w:eastAsia="宋体" w:cs="宋体"/>
          <w:color w:val="auto"/>
          <w:sz w:val="21"/>
          <w:highlight w:val="none"/>
        </w:rPr>
        <w:t>为确保网上操作合法、有效和安全，供应商应当在响应文件提交截止时间前完成在“政府采购云平台”的身份认证，确保在电子交易过程中能够对相关数据电文进行加密和使用电子签名。</w:t>
      </w:r>
    </w:p>
    <w:p w14:paraId="33E5C92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20.响应文件的提交</w:t>
      </w:r>
    </w:p>
    <w:p w14:paraId="61F2788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20.1供应商必须在“供应商须知前附表”规定的时间和地点提交响应文件。</w:t>
      </w:r>
    </w:p>
    <w:p w14:paraId="58AC167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 在响应文件提交截止时间以后，不能补充、修改响应文件。</w:t>
      </w:r>
    </w:p>
    <w:p w14:paraId="3062EE1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20.3 在提交“最后报价”后，供应商不能退出谈判。</w:t>
      </w:r>
    </w:p>
    <w:p w14:paraId="1A316B8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2B56933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20.5 采购机构不可视情况延长提交响应文件的截止时间。</w:t>
      </w:r>
    </w:p>
    <w:p w14:paraId="21237A03">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szCs w:val="21"/>
          <w:highlight w:val="none"/>
        </w:rPr>
        <w:t>20.6备份响应文件。</w:t>
      </w:r>
      <w:r>
        <w:rPr>
          <w:rFonts w:hint="eastAsia" w:ascii="宋体" w:hAnsi="宋体" w:eastAsia="宋体" w:cs="宋体"/>
          <w:bCs/>
          <w:color w:val="auto"/>
          <w:szCs w:val="21"/>
          <w:highlight w:val="none"/>
        </w:rPr>
        <w:t>详见在“供应商须知前附表”。</w:t>
      </w:r>
    </w:p>
    <w:p w14:paraId="29B92B9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21.首次响应文件的补充、修改与撤回</w:t>
      </w:r>
    </w:p>
    <w:p w14:paraId="2DEA858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632AA4CD">
      <w:pPr>
        <w:spacing w:line="360" w:lineRule="auto"/>
        <w:ind w:firstLine="482" w:firstLineChars="200"/>
        <w:rPr>
          <w:rFonts w:hint="eastAsia" w:ascii="宋体" w:hAnsi="宋体" w:eastAsia="宋体" w:cs="宋体"/>
          <w:b/>
          <w:bCs/>
          <w:color w:val="auto"/>
          <w:sz w:val="24"/>
          <w:highlight w:val="none"/>
        </w:rPr>
      </w:pPr>
      <w:bookmarkStart w:id="91" w:name="_Hlk45702405"/>
      <w:r>
        <w:rPr>
          <w:rFonts w:hint="eastAsia" w:ascii="宋体" w:hAnsi="宋体" w:eastAsia="宋体" w:cs="宋体"/>
          <w:b/>
          <w:bCs/>
          <w:color w:val="auto"/>
          <w:sz w:val="24"/>
          <w:highlight w:val="none"/>
        </w:rPr>
        <w:t>22. 首次响应文件的退回</w:t>
      </w:r>
    </w:p>
    <w:p w14:paraId="4176FC2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在首次响应文件提交截止时间止提交响应文件的供应商不足3家时电子响应文件由代理机构在</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操作退回，除此之外采购人和采购代理机构对已提交的电子响应文件概不退回。</w:t>
      </w:r>
    </w:p>
    <w:p w14:paraId="77842E2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23. 截止时间后的撤回</w:t>
      </w:r>
    </w:p>
    <w:p w14:paraId="6DB373A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本项目不收取磋商保证金，供应商在首次响应文件提交截止时间后可向采购人、采购代理机构书面申请撤回电子响应文件。</w:t>
      </w:r>
      <w:bookmarkEnd w:id="91"/>
    </w:p>
    <w:p w14:paraId="417D7F3F">
      <w:pPr>
        <w:pStyle w:val="12"/>
        <w:spacing w:line="360" w:lineRule="auto"/>
        <w:rPr>
          <w:rFonts w:hint="eastAsia" w:ascii="宋体" w:hAnsi="宋体" w:eastAsia="宋体" w:cs="宋体"/>
          <w:color w:val="auto"/>
          <w:highlight w:val="none"/>
        </w:rPr>
      </w:pPr>
    </w:p>
    <w:p w14:paraId="11E13359">
      <w:pPr>
        <w:pStyle w:val="4"/>
        <w:spacing w:before="0" w:after="0" w:line="360" w:lineRule="auto"/>
        <w:rPr>
          <w:rFonts w:hint="eastAsia" w:ascii="宋体" w:hAnsi="宋体" w:eastAsia="宋体" w:cs="宋体"/>
          <w:b/>
          <w:bCs w:val="0"/>
          <w:color w:val="auto"/>
          <w:highlight w:val="none"/>
        </w:rPr>
      </w:pPr>
      <w:bookmarkStart w:id="92" w:name="_Toc25351"/>
      <w:bookmarkStart w:id="93" w:name="_Toc21487"/>
      <w:bookmarkStart w:id="94" w:name="_Toc12235"/>
      <w:bookmarkStart w:id="95" w:name="_Toc27120"/>
      <w:bookmarkStart w:id="96" w:name="_Toc30168"/>
      <w:bookmarkStart w:id="97" w:name="_Toc1908"/>
      <w:r>
        <w:rPr>
          <w:rFonts w:hint="eastAsia" w:ascii="宋体" w:hAnsi="宋体" w:eastAsia="宋体" w:cs="宋体"/>
          <w:b/>
          <w:bCs w:val="0"/>
          <w:color w:val="auto"/>
          <w:highlight w:val="none"/>
        </w:rPr>
        <w:t>四、评审及磋商</w:t>
      </w:r>
      <w:bookmarkEnd w:id="92"/>
      <w:bookmarkEnd w:id="93"/>
      <w:bookmarkEnd w:id="94"/>
      <w:bookmarkEnd w:id="95"/>
      <w:bookmarkEnd w:id="96"/>
      <w:bookmarkEnd w:id="97"/>
    </w:p>
    <w:p w14:paraId="173454A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24.磋商小组成立</w:t>
      </w:r>
    </w:p>
    <w:p w14:paraId="2D3989D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3226CFF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41A5D9F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25.首次响应文件的开启</w:t>
      </w:r>
    </w:p>
    <w:p w14:paraId="330C9E3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25.1首次响应文件由磋商小组或者采购代理机构在“供应商须知前附表”规定的时间开启。</w:t>
      </w:r>
    </w:p>
    <w:p w14:paraId="66235A72">
      <w:pPr>
        <w:pStyle w:val="16"/>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color w:val="auto"/>
          <w:sz w:val="21"/>
          <w:highlight w:val="none"/>
        </w:rPr>
        <w:t xml:space="preserve">25.2 </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文件解密</w:t>
      </w:r>
    </w:p>
    <w:p w14:paraId="2CA346CB">
      <w:pPr>
        <w:pStyle w:val="16"/>
        <w:snapToGrid w:val="0"/>
        <w:spacing w:line="360" w:lineRule="auto"/>
        <w:ind w:firstLine="420" w:firstLineChars="200"/>
        <w:rPr>
          <w:rFonts w:hint="eastAsia" w:ascii="宋体" w:hAnsi="宋体" w:eastAsia="宋体" w:cs="宋体"/>
          <w:color w:val="auto"/>
          <w:sz w:val="21"/>
          <w:highlight w:val="none"/>
          <w:lang w:eastAsia="zh-CN"/>
        </w:rPr>
      </w:pPr>
      <w:r>
        <w:rPr>
          <w:rFonts w:hint="eastAsia" w:ascii="宋体" w:hAnsi="宋体" w:eastAsia="宋体" w:cs="宋体"/>
          <w:bCs/>
          <w:color w:val="auto"/>
          <w:sz w:val="21"/>
          <w:highlight w:val="none"/>
        </w:rPr>
        <w:t>采购代理机构将在“</w:t>
      </w:r>
      <w:r>
        <w:rPr>
          <w:rFonts w:hint="eastAsia" w:ascii="宋体" w:hAnsi="宋体" w:eastAsia="宋体" w:cs="宋体"/>
          <w:bCs/>
          <w:color w:val="auto"/>
          <w:sz w:val="21"/>
          <w:highlight w:val="none"/>
          <w:lang w:eastAsia="zh-CN"/>
        </w:rPr>
        <w:t>供应商</w:t>
      </w:r>
      <w:r>
        <w:rPr>
          <w:rFonts w:hint="eastAsia" w:ascii="宋体" w:hAnsi="宋体" w:eastAsia="宋体" w:cs="宋体"/>
          <w:bCs/>
          <w:color w:val="auto"/>
          <w:sz w:val="21"/>
          <w:highlight w:val="none"/>
        </w:rPr>
        <w:t>须知前附表”规定的时</w:t>
      </w:r>
      <w:r>
        <w:rPr>
          <w:rFonts w:hint="eastAsia" w:ascii="宋体" w:hAnsi="宋体" w:eastAsia="宋体" w:cs="宋体"/>
          <w:color w:val="auto"/>
          <w:sz w:val="21"/>
          <w:highlight w:val="none"/>
        </w:rPr>
        <w:t>间通过电子交易平台组织响应文件开启，采购机构依托电子交易平台发起开始解密指令，</w:t>
      </w:r>
      <w:r>
        <w:rPr>
          <w:rFonts w:hint="eastAsia" w:ascii="宋体" w:hAnsi="宋体" w:eastAsia="宋体" w:cs="宋体"/>
          <w:color w:val="auto"/>
          <w:sz w:val="21"/>
          <w:highlight w:val="none"/>
          <w:lang w:eastAsia="zh-CN"/>
        </w:rPr>
        <w:t>供应商</w:t>
      </w:r>
      <w:r>
        <w:rPr>
          <w:rFonts w:hint="eastAsia" w:ascii="宋体" w:hAnsi="宋体" w:eastAsia="宋体" w:cs="宋体"/>
          <w:color w:val="auto"/>
          <w:sz w:val="21"/>
          <w:highlight w:val="none"/>
        </w:rPr>
        <w:t>的法定代表人或其委托代理人</w:t>
      </w:r>
      <w:r>
        <w:rPr>
          <w:rFonts w:hint="eastAsia" w:ascii="宋体" w:hAnsi="宋体" w:eastAsia="宋体" w:cs="宋体"/>
          <w:b/>
          <w:color w:val="auto"/>
          <w:sz w:val="21"/>
          <w:highlight w:val="none"/>
        </w:rPr>
        <w:t>须携带加密时所用的CA锁</w:t>
      </w:r>
      <w:r>
        <w:rPr>
          <w:rFonts w:hint="eastAsia" w:ascii="宋体" w:hAnsi="宋体" w:eastAsia="宋体" w:cs="宋体"/>
          <w:b/>
          <w:color w:val="auto"/>
          <w:sz w:val="21"/>
          <w:highlight w:val="none"/>
          <w:lang w:eastAsia="zh-CN"/>
        </w:rPr>
        <w:t>按平台提示和采购文件的规定</w:t>
      </w:r>
      <w:r>
        <w:rPr>
          <w:rFonts w:hint="eastAsia" w:ascii="宋体" w:hAnsi="宋体" w:eastAsia="宋体" w:cs="宋体"/>
          <w:b/>
          <w:color w:val="auto"/>
          <w:sz w:val="21"/>
          <w:highlight w:val="none"/>
        </w:rPr>
        <w:t>登录到</w:t>
      </w:r>
      <w:r>
        <w:rPr>
          <w:rFonts w:hint="eastAsia" w:hAnsi="宋体" w:cs="宋体"/>
          <w:b/>
          <w:color w:val="auto"/>
          <w:sz w:val="21"/>
          <w:highlight w:val="none"/>
          <w:lang w:eastAsia="zh-CN"/>
        </w:rPr>
        <w:t>“广西政府采购云平台”</w:t>
      </w:r>
      <w:r>
        <w:rPr>
          <w:rFonts w:hint="eastAsia" w:ascii="宋体" w:hAnsi="宋体" w:eastAsia="宋体" w:cs="宋体"/>
          <w:b/>
          <w:color w:val="auto"/>
          <w:sz w:val="21"/>
          <w:highlight w:val="none"/>
        </w:rPr>
        <w:t>电子开标大厅签到并</w:t>
      </w:r>
      <w:r>
        <w:rPr>
          <w:rFonts w:hint="eastAsia" w:ascii="宋体" w:hAnsi="宋体" w:eastAsia="宋体" w:cs="宋体"/>
          <w:b/>
          <w:color w:val="auto"/>
          <w:sz w:val="21"/>
          <w:highlight w:val="none"/>
          <w:lang w:eastAsia="zh-CN"/>
        </w:rPr>
        <w:t>在</w:t>
      </w:r>
      <w:r>
        <w:rPr>
          <w:rFonts w:hint="eastAsia" w:ascii="宋体" w:hAnsi="宋体" w:eastAsia="宋体" w:cs="宋体"/>
          <w:b/>
          <w:color w:val="auto"/>
          <w:sz w:val="21"/>
          <w:highlight w:val="none"/>
        </w:rPr>
        <w:t>发起解密指令之时起30分钟</w:t>
      </w:r>
      <w:r>
        <w:rPr>
          <w:rFonts w:hint="eastAsia" w:ascii="宋体" w:hAnsi="宋体" w:eastAsia="宋体" w:cs="宋体"/>
          <w:b/>
          <w:color w:val="auto"/>
          <w:sz w:val="21"/>
          <w:highlight w:val="none"/>
          <w:lang w:eastAsia="zh-CN"/>
        </w:rPr>
        <w:t>内完成</w:t>
      </w:r>
      <w:r>
        <w:rPr>
          <w:rFonts w:hint="eastAsia" w:ascii="宋体" w:hAnsi="宋体" w:eastAsia="宋体" w:cs="宋体"/>
          <w:b/>
          <w:color w:val="auto"/>
          <w:sz w:val="21"/>
          <w:highlight w:val="none"/>
        </w:rPr>
        <w:t>对电子</w:t>
      </w:r>
      <w:r>
        <w:rPr>
          <w:rFonts w:hint="eastAsia" w:ascii="宋体" w:hAnsi="宋体" w:eastAsia="宋体" w:cs="宋体"/>
          <w:b/>
          <w:color w:val="auto"/>
          <w:sz w:val="21"/>
          <w:highlight w:val="none"/>
          <w:lang w:eastAsia="zh-CN"/>
        </w:rPr>
        <w:t>响应</w:t>
      </w:r>
      <w:r>
        <w:rPr>
          <w:rFonts w:hint="eastAsia" w:ascii="宋体" w:hAnsi="宋体" w:eastAsia="宋体" w:cs="宋体"/>
          <w:b/>
          <w:color w:val="auto"/>
          <w:sz w:val="21"/>
          <w:highlight w:val="none"/>
        </w:rPr>
        <w:t>文件</w:t>
      </w:r>
      <w:r>
        <w:rPr>
          <w:rFonts w:hint="eastAsia" w:ascii="宋体" w:hAnsi="宋体" w:eastAsia="宋体" w:cs="宋体"/>
          <w:b/>
          <w:color w:val="auto"/>
          <w:sz w:val="21"/>
          <w:highlight w:val="none"/>
          <w:lang w:eastAsia="zh-CN"/>
        </w:rPr>
        <w:t>在线</w:t>
      </w:r>
      <w:r>
        <w:rPr>
          <w:rFonts w:hint="eastAsia" w:ascii="宋体" w:hAnsi="宋体" w:eastAsia="宋体" w:cs="宋体"/>
          <w:b/>
          <w:color w:val="auto"/>
          <w:sz w:val="21"/>
          <w:highlight w:val="none"/>
        </w:rPr>
        <w:t>解密</w:t>
      </w:r>
      <w:r>
        <w:rPr>
          <w:rFonts w:hint="eastAsia" w:ascii="宋体" w:hAnsi="宋体" w:eastAsia="宋体" w:cs="宋体"/>
          <w:color w:val="auto"/>
          <w:sz w:val="21"/>
          <w:highlight w:val="none"/>
        </w:rPr>
        <w:t>。发起解密指令</w:t>
      </w:r>
      <w:r>
        <w:rPr>
          <w:rFonts w:hint="eastAsia" w:ascii="宋体" w:hAnsi="宋体" w:eastAsia="宋体" w:cs="宋体"/>
          <w:color w:val="auto"/>
          <w:sz w:val="21"/>
          <w:highlight w:val="none"/>
          <w:lang w:val="en-US" w:eastAsia="zh-CN"/>
        </w:rPr>
        <w:t>之时起</w:t>
      </w:r>
      <w:r>
        <w:rPr>
          <w:rFonts w:hint="eastAsia" w:ascii="宋体" w:hAnsi="宋体" w:eastAsia="宋体" w:cs="宋体"/>
          <w:color w:val="auto"/>
          <w:sz w:val="21"/>
          <w:highlight w:val="none"/>
        </w:rPr>
        <w:t>5分钟</w:t>
      </w:r>
      <w:r>
        <w:rPr>
          <w:rFonts w:hint="eastAsia" w:ascii="宋体" w:hAnsi="宋体" w:eastAsia="宋体" w:cs="宋体"/>
          <w:color w:val="auto"/>
          <w:sz w:val="21"/>
          <w:highlight w:val="none"/>
          <w:lang w:eastAsia="zh-CN"/>
        </w:rPr>
        <w:t>内供应商</w:t>
      </w:r>
      <w:r>
        <w:rPr>
          <w:rFonts w:hint="eastAsia" w:ascii="宋体" w:hAnsi="宋体" w:eastAsia="宋体" w:cs="宋体"/>
          <w:color w:val="auto"/>
          <w:sz w:val="21"/>
          <w:highlight w:val="none"/>
        </w:rPr>
        <w:t>还未进行解密的，代理机构要通知</w:t>
      </w:r>
      <w:r>
        <w:rPr>
          <w:rFonts w:hint="eastAsia" w:ascii="宋体" w:hAnsi="宋体" w:eastAsia="宋体" w:cs="宋体"/>
          <w:color w:val="auto"/>
          <w:sz w:val="21"/>
          <w:highlight w:val="none"/>
          <w:lang w:eastAsia="zh-CN"/>
        </w:rPr>
        <w:t>供应商</w:t>
      </w: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eastAsia="zh-CN"/>
        </w:rPr>
        <w:t>供应商</w:t>
      </w:r>
      <w:r>
        <w:rPr>
          <w:rFonts w:hint="eastAsia" w:ascii="宋体" w:hAnsi="宋体" w:eastAsia="宋体" w:cs="宋体"/>
          <w:color w:val="auto"/>
          <w:sz w:val="21"/>
          <w:highlight w:val="none"/>
        </w:rPr>
        <w:t>没预留联系方式或预留联系方式无效，导致代理机构无法联系到</w:t>
      </w:r>
      <w:r>
        <w:rPr>
          <w:rFonts w:hint="eastAsia" w:ascii="宋体" w:hAnsi="宋体" w:eastAsia="宋体" w:cs="宋体"/>
          <w:color w:val="auto"/>
          <w:sz w:val="21"/>
          <w:highlight w:val="none"/>
          <w:lang w:eastAsia="zh-CN"/>
        </w:rPr>
        <w:t>供应商</w:t>
      </w:r>
      <w:r>
        <w:rPr>
          <w:rFonts w:hint="eastAsia" w:ascii="宋体" w:hAnsi="宋体" w:eastAsia="宋体" w:cs="宋体"/>
          <w:color w:val="auto"/>
          <w:sz w:val="21"/>
          <w:highlight w:val="none"/>
        </w:rPr>
        <w:t>进行解密的，</w:t>
      </w:r>
      <w:r>
        <w:rPr>
          <w:rFonts w:hint="eastAsia" w:ascii="宋体" w:hAnsi="宋体" w:eastAsia="宋体" w:cs="宋体"/>
          <w:b/>
          <w:color w:val="auto"/>
          <w:sz w:val="21"/>
          <w:highlight w:val="none"/>
        </w:rPr>
        <w:t>视为</w:t>
      </w:r>
      <w:r>
        <w:rPr>
          <w:rFonts w:hint="eastAsia" w:ascii="宋体" w:hAnsi="宋体" w:eastAsia="宋体" w:cs="宋体"/>
          <w:b/>
          <w:color w:val="auto"/>
          <w:sz w:val="21"/>
          <w:highlight w:val="none"/>
          <w:lang w:eastAsia="zh-CN"/>
        </w:rPr>
        <w:t>响应文件无效</w:t>
      </w:r>
      <w:r>
        <w:rPr>
          <w:rFonts w:hint="eastAsia" w:ascii="宋体" w:hAnsi="宋体" w:eastAsia="宋体" w:cs="宋体"/>
          <w:b/>
          <w:color w:val="auto"/>
          <w:sz w:val="21"/>
          <w:highlight w:val="none"/>
        </w:rPr>
        <w:t>。</w:t>
      </w:r>
      <w:r>
        <w:rPr>
          <w:rFonts w:hint="eastAsia" w:ascii="宋体" w:hAnsi="宋体" w:eastAsia="宋体" w:cs="宋体"/>
          <w:color w:val="auto"/>
          <w:sz w:val="21"/>
          <w:highlight w:val="none"/>
        </w:rPr>
        <w:t>（解密</w:t>
      </w:r>
      <w:r>
        <w:rPr>
          <w:rFonts w:hint="eastAsia" w:ascii="宋体" w:hAnsi="宋体" w:eastAsia="宋体" w:cs="宋体"/>
          <w:bCs/>
          <w:color w:val="auto"/>
          <w:sz w:val="21"/>
          <w:highlight w:val="none"/>
        </w:rPr>
        <w:t>异常情况处理：详见本章</w:t>
      </w:r>
      <w:r>
        <w:rPr>
          <w:rFonts w:hint="eastAsia" w:ascii="宋体" w:hAnsi="宋体" w:eastAsia="宋体" w:cs="宋体"/>
          <w:color w:val="auto"/>
          <w:sz w:val="21"/>
          <w:highlight w:val="none"/>
          <w:lang w:eastAsia="zh-CN"/>
        </w:rPr>
        <w:t>26.3</w:t>
      </w:r>
      <w:r>
        <w:rPr>
          <w:rFonts w:hint="eastAsia" w:ascii="宋体" w:hAnsi="宋体" w:eastAsia="宋体" w:cs="宋体"/>
          <w:color w:val="auto"/>
          <w:sz w:val="21"/>
          <w:highlight w:val="none"/>
        </w:rPr>
        <w:t xml:space="preserve"> </w:t>
      </w:r>
      <w:r>
        <w:rPr>
          <w:rFonts w:hint="eastAsia" w:ascii="宋体" w:hAnsi="宋体" w:eastAsia="宋体" w:cs="宋体"/>
          <w:color w:val="auto"/>
          <w:sz w:val="21"/>
          <w:highlight w:val="none"/>
          <w:lang w:eastAsia="zh-CN"/>
        </w:rPr>
        <w:t>电子交易活动的中止</w:t>
      </w:r>
      <w:r>
        <w:rPr>
          <w:rFonts w:hint="eastAsia" w:ascii="宋体" w:hAnsi="宋体" w:eastAsia="宋体" w:cs="宋体"/>
          <w:color w:val="auto"/>
          <w:sz w:val="21"/>
          <w:highlight w:val="none"/>
        </w:rPr>
        <w:t>。）</w:t>
      </w:r>
    </w:p>
    <w:p w14:paraId="16223AA4">
      <w:pPr>
        <w:pStyle w:val="16"/>
        <w:spacing w:line="360" w:lineRule="auto"/>
        <w:ind w:firstLine="420" w:firstLineChars="200"/>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rPr>
        <w:t>如</w:t>
      </w:r>
      <w:r>
        <w:rPr>
          <w:rFonts w:hint="eastAsia" w:ascii="宋体" w:hAnsi="宋体" w:eastAsia="宋体" w:cs="宋体"/>
          <w:bCs/>
          <w:color w:val="auto"/>
          <w:sz w:val="21"/>
          <w:highlight w:val="none"/>
          <w:lang w:eastAsia="zh-CN"/>
        </w:rPr>
        <w:t>供应商</w:t>
      </w:r>
      <w:r>
        <w:rPr>
          <w:rFonts w:hint="eastAsia" w:ascii="宋体" w:hAnsi="宋体" w:eastAsia="宋体" w:cs="宋体"/>
          <w:bCs/>
          <w:color w:val="auto"/>
          <w:sz w:val="21"/>
          <w:highlight w:val="none"/>
        </w:rPr>
        <w:t>成功解密</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文件，但未在“政采云”电子开标大厅参加</w:t>
      </w:r>
      <w:r>
        <w:rPr>
          <w:rFonts w:hint="eastAsia" w:ascii="宋体" w:hAnsi="宋体" w:eastAsia="宋体" w:cs="宋体"/>
          <w:bCs/>
          <w:color w:val="auto"/>
          <w:sz w:val="21"/>
          <w:highlight w:val="none"/>
          <w:lang w:eastAsia="zh-CN"/>
        </w:rPr>
        <w:t>谈判</w:t>
      </w:r>
      <w:r>
        <w:rPr>
          <w:rFonts w:hint="eastAsia" w:ascii="宋体" w:hAnsi="宋体" w:eastAsia="宋体" w:cs="宋体"/>
          <w:bCs/>
          <w:color w:val="auto"/>
          <w:sz w:val="21"/>
          <w:highlight w:val="none"/>
        </w:rPr>
        <w:t>的，视同认可</w:t>
      </w:r>
      <w:r>
        <w:rPr>
          <w:rFonts w:hint="eastAsia" w:ascii="宋体" w:hAnsi="宋体" w:eastAsia="宋体" w:cs="宋体"/>
          <w:bCs/>
          <w:color w:val="auto"/>
          <w:sz w:val="21"/>
          <w:highlight w:val="none"/>
          <w:lang w:eastAsia="zh-CN"/>
        </w:rPr>
        <w:t>谈判</w:t>
      </w:r>
      <w:r>
        <w:rPr>
          <w:rFonts w:hint="eastAsia" w:ascii="宋体" w:hAnsi="宋体" w:eastAsia="宋体" w:cs="宋体"/>
          <w:bCs/>
          <w:color w:val="auto"/>
          <w:sz w:val="21"/>
          <w:highlight w:val="none"/>
        </w:rPr>
        <w:t>过程和结果，</w:t>
      </w:r>
      <w:r>
        <w:rPr>
          <w:rFonts w:hint="eastAsia" w:ascii="宋体" w:hAnsi="宋体" w:eastAsia="宋体" w:cs="宋体"/>
          <w:color w:val="auto"/>
          <w:sz w:val="21"/>
          <w:highlight w:val="none"/>
        </w:rPr>
        <w:t>由此产生的后果由供应商自行负责。 参与谈判的供应商不足3家的，不得</w:t>
      </w:r>
      <w:r>
        <w:rPr>
          <w:rFonts w:hint="eastAsia" w:ascii="宋体" w:hAnsi="宋体" w:eastAsia="宋体" w:cs="宋体"/>
          <w:color w:val="auto"/>
          <w:sz w:val="21"/>
          <w:highlight w:val="none"/>
          <w:lang w:eastAsia="zh-CN"/>
        </w:rPr>
        <w:t>谈判</w:t>
      </w:r>
      <w:r>
        <w:rPr>
          <w:rFonts w:hint="eastAsia" w:ascii="宋体" w:hAnsi="宋体" w:eastAsia="宋体" w:cs="宋体"/>
          <w:color w:val="auto"/>
          <w:sz w:val="21"/>
          <w:highlight w:val="none"/>
        </w:rPr>
        <w:t>。</w:t>
      </w:r>
    </w:p>
    <w:p w14:paraId="4E187E4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26.评审程序、评审方法和评审标准</w:t>
      </w:r>
    </w:p>
    <w:p w14:paraId="063D777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26.1磋商小组按照“第四章 评审程序、评审方法和评审标准”规定的方法、评审因素、标准和程序对响应文件进行评审。</w:t>
      </w:r>
    </w:p>
    <w:p w14:paraId="1BB6B78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 采购需求负偏离要求及磋商顺序详见 “ 供应商须知前附表”。</w:t>
      </w:r>
    </w:p>
    <w:p w14:paraId="36526B2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26.3电子交易活动的中止。采购过程中出现以下情形，导致电子交易平台无法正常运行，或者无法保证电子交易的公平、公正和安全时，采购机构可中止电子交易活动：</w:t>
      </w:r>
    </w:p>
    <w:p w14:paraId="06A62CF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（1）电子交易平台发生故障而无法登录访问的； </w:t>
      </w:r>
    </w:p>
    <w:p w14:paraId="1B78AC4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（2）电子交易平台应用或数据库出现错误，不能进行正常操作的；</w:t>
      </w:r>
    </w:p>
    <w:p w14:paraId="3735E97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（3）电子交易平台发现严重安全漏洞，有潜在泄密危险的；</w:t>
      </w:r>
    </w:p>
    <w:p w14:paraId="6565E62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（4）病毒发作导致不能进行正常操作的； </w:t>
      </w:r>
    </w:p>
    <w:p w14:paraId="7A47A41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）其他无法保证电子交易的公平、公正和安全的情况。</w:t>
      </w:r>
    </w:p>
    <w:p w14:paraId="3A2B9E4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07D26070">
      <w:pPr>
        <w:pStyle w:val="12"/>
        <w:spacing w:line="360" w:lineRule="auto"/>
        <w:rPr>
          <w:rFonts w:hint="eastAsia" w:ascii="宋体" w:hAnsi="宋体" w:eastAsia="宋体" w:cs="宋体"/>
          <w:color w:val="auto"/>
          <w:highlight w:val="none"/>
        </w:rPr>
      </w:pPr>
    </w:p>
    <w:p w14:paraId="3683A1B6">
      <w:pPr>
        <w:pStyle w:val="4"/>
        <w:spacing w:before="0" w:after="0" w:line="360" w:lineRule="auto"/>
        <w:rPr>
          <w:rFonts w:hint="eastAsia" w:ascii="宋体" w:hAnsi="宋体" w:eastAsia="宋体" w:cs="宋体"/>
          <w:b/>
          <w:bCs w:val="0"/>
          <w:color w:val="auto"/>
          <w:highlight w:val="none"/>
        </w:rPr>
      </w:pPr>
      <w:bookmarkStart w:id="98" w:name="_Toc27792"/>
      <w:bookmarkStart w:id="99" w:name="_Toc26245"/>
      <w:bookmarkStart w:id="100" w:name="_Toc24055"/>
      <w:bookmarkStart w:id="101" w:name="_Toc18614"/>
      <w:bookmarkStart w:id="102" w:name="_Toc24541"/>
      <w:bookmarkStart w:id="103" w:name="_Toc15815"/>
      <w:r>
        <w:rPr>
          <w:rFonts w:hint="eastAsia" w:ascii="宋体" w:hAnsi="宋体" w:eastAsia="宋体" w:cs="宋体"/>
          <w:b/>
          <w:bCs w:val="0"/>
          <w:color w:val="auto"/>
          <w:highlight w:val="none"/>
        </w:rPr>
        <w:t>五、成交及合同</w:t>
      </w:r>
      <w:bookmarkEnd w:id="98"/>
      <w:bookmarkEnd w:id="99"/>
      <w:bookmarkEnd w:id="100"/>
      <w:bookmarkEnd w:id="101"/>
      <w:bookmarkEnd w:id="102"/>
      <w:bookmarkEnd w:id="103"/>
    </w:p>
    <w:p w14:paraId="4C72CE5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27.确定成交供应商及结果公告</w:t>
      </w:r>
    </w:p>
    <w:p w14:paraId="0D778CE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27.1确定成交供应商。</w:t>
      </w:r>
      <w:r>
        <w:rPr>
          <w:rFonts w:hint="eastAsia" w:ascii="宋体" w:hAnsi="宋体" w:eastAsia="宋体" w:cs="宋体"/>
          <w:color w:val="auto"/>
          <w:kern w:val="0"/>
          <w:szCs w:val="21"/>
          <w:highlight w:val="none"/>
          <w:u w:val="single"/>
        </w:rPr>
        <w:t xml:space="preserve"> 由采购人直接委托评审专家确定</w:t>
      </w:r>
      <w:r>
        <w:rPr>
          <w:rFonts w:hint="eastAsia" w:ascii="宋体" w:hAnsi="宋体" w:eastAsia="宋体" w:cs="宋体"/>
          <w:color w:val="auto"/>
          <w:szCs w:val="21"/>
          <w:highlight w:val="none"/>
          <w:u w:val="single"/>
        </w:rPr>
        <w:t>，评审报告提出的排序第一的供应商为成交供应商。</w:t>
      </w:r>
    </w:p>
    <w:p w14:paraId="0563DF5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27.2成交通知及成交结果公告。</w:t>
      </w:r>
      <w:r>
        <w:rPr>
          <w:rFonts w:hint="eastAsia" w:ascii="宋体" w:hAnsi="宋体" w:eastAsia="宋体" w:cs="宋体"/>
          <w:color w:val="auto"/>
          <w:kern w:val="0"/>
          <w:szCs w:val="21"/>
          <w:highlight w:val="none"/>
        </w:rPr>
        <w:t>成交</w:t>
      </w:r>
      <w:r>
        <w:rPr>
          <w:rFonts w:hint="eastAsia" w:ascii="宋体" w:hAnsi="宋体" w:eastAsia="宋体" w:cs="宋体"/>
          <w:color w:val="auto"/>
          <w:szCs w:val="21"/>
          <w:highlight w:val="none"/>
        </w:rPr>
        <w:t>供应商确定后2个工作日内，在省级以上财政部门指定的媒体上公</w:t>
      </w:r>
      <w:r>
        <w:rPr>
          <w:rFonts w:hint="eastAsia" w:ascii="宋体" w:hAnsi="宋体" w:eastAsia="宋体" w:cs="宋体"/>
          <w:color w:val="auto"/>
          <w:kern w:val="0"/>
          <w:szCs w:val="21"/>
          <w:highlight w:val="none"/>
        </w:rPr>
        <w:t>告成交结果（成交通知及成交结果公告应使用南宁市本级模板进行公告，公告内容除包含《政府采购公告和公示信息格式规范（2020年版）》要求内容外，还应包含采购人专门面向中小企业预留份额情况及成交供应商评审价格、优惠率等内容），</w:t>
      </w:r>
      <w:r>
        <w:rPr>
          <w:rFonts w:hint="eastAsia" w:ascii="宋体" w:hAnsi="宋体" w:eastAsia="宋体" w:cs="宋体"/>
          <w:color w:val="auto"/>
          <w:szCs w:val="21"/>
          <w:highlight w:val="none"/>
        </w:rPr>
        <w:t>同时向成交供应商发出成交通知书，成交通知书规定签订合同的时间不得超过25日。</w:t>
      </w:r>
    </w:p>
    <w:p w14:paraId="684EBE2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27.3采购人或者采购代理机构发出成交通知书前，应当对成交供应商信用进行查询核实，对列入失信被执行人、</w:t>
      </w:r>
      <w:r>
        <w:rPr>
          <w:rFonts w:hint="eastAsia" w:ascii="宋体" w:hAnsi="宋体" w:cs="宋体"/>
          <w:color w:val="auto"/>
          <w:szCs w:val="21"/>
          <w:highlight w:val="none"/>
          <w:lang w:eastAsia="zh-CN"/>
        </w:rPr>
        <w:t>重大税收违法失信主体</w:t>
      </w:r>
      <w:r>
        <w:rPr>
          <w:rFonts w:hint="eastAsia" w:ascii="宋体" w:hAnsi="宋体" w:eastAsia="宋体" w:cs="宋体"/>
          <w:color w:val="auto"/>
          <w:szCs w:val="21"/>
          <w:highlight w:val="none"/>
        </w:rPr>
        <w:t>、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0C100B1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140B0EA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27.5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以此类推。</w:t>
      </w:r>
    </w:p>
    <w:p w14:paraId="2A9CF9C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28.履约保证金</w:t>
      </w:r>
    </w:p>
    <w:p w14:paraId="68A4B9B9">
      <w:pPr>
        <w:spacing w:line="360" w:lineRule="auto"/>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详见 “供应商须知前附表”</w:t>
      </w:r>
    </w:p>
    <w:p w14:paraId="348F30C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29.签订合同</w:t>
      </w:r>
    </w:p>
    <w:p w14:paraId="4F6E9757">
      <w:pPr>
        <w:pStyle w:val="34"/>
        <w:snapToGrid w:val="0"/>
        <w:spacing w:before="0" w:line="360" w:lineRule="auto"/>
        <w:ind w:firstLine="42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eastAsia="宋体" w:cs="宋体"/>
          <w:color w:val="auto"/>
          <w:sz w:val="21"/>
          <w:szCs w:val="21"/>
          <w:highlight w:val="none"/>
          <w:lang w:val="zh-CN"/>
        </w:rPr>
        <w:t>如成交供应商为联合体的，由联合体成员各方法定代表人或其授权代表与采购人代表签订合同。</w:t>
      </w:r>
    </w:p>
    <w:p w14:paraId="638C0F6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4A35D63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08F1E02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29.4如签订合同并生效后，供应商无故拒绝或延期，除按照合同条款处理外，列入不良行为记录，并给予通报。</w:t>
      </w:r>
    </w:p>
    <w:p w14:paraId="5E017692">
      <w:pPr>
        <w:pStyle w:val="34"/>
        <w:spacing w:before="0"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29.5采购合同由采购人与成交供应商根据磋商文件、响应文件等内容通过政府采购电子交易平台在线签订，自动备案，在线签订须携带的材料见“</w:t>
      </w:r>
      <w:r>
        <w:rPr>
          <w:rFonts w:hint="eastAsia" w:ascii="宋体" w:hAnsi="宋体" w:eastAsia="宋体" w:cs="宋体"/>
          <w:color w:val="auto"/>
          <w:highlight w:val="none"/>
        </w:rPr>
        <w:t xml:space="preserve"> </w:t>
      </w:r>
      <w:r>
        <w:rPr>
          <w:rFonts w:hint="eastAsia" w:ascii="宋体" w:hAnsi="宋体" w:eastAsia="宋体" w:cs="宋体"/>
          <w:color w:val="auto"/>
          <w:sz w:val="21"/>
          <w:szCs w:val="21"/>
          <w:highlight w:val="none"/>
        </w:rPr>
        <w:t>供应商须知前附表”。</w:t>
      </w:r>
    </w:p>
    <w:p w14:paraId="703B113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30.政府采购合同公告</w:t>
      </w:r>
    </w:p>
    <w:p w14:paraId="738EAA6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采购人或者受托采购代理机构应当自政府采购合同签订之日起2个工作日内，将政府采购合同</w:t>
      </w:r>
      <w:r>
        <w:rPr>
          <w:rFonts w:hint="eastAsia" w:ascii="宋体" w:hAnsi="宋体" w:eastAsia="宋体" w:cs="宋体"/>
          <w:bCs/>
          <w:color w:val="auto"/>
          <w:highlight w:val="none"/>
        </w:rPr>
        <w:t>在以下媒体上发布</w:t>
      </w:r>
      <w:r>
        <w:rPr>
          <w:rFonts w:hint="eastAsia" w:ascii="宋体" w:hAnsi="宋体" w:eastAsia="宋体" w:cs="宋体"/>
          <w:color w:val="auto"/>
          <w:kern w:val="0"/>
          <w:szCs w:val="21"/>
          <w:highlight w:val="none"/>
        </w:rPr>
        <w:t xml:space="preserve"> “广西政府采购网”（http://www.ccgp-guangxi.gov.cn/）</w:t>
      </w:r>
      <w:r>
        <w:rPr>
          <w:rFonts w:hint="eastAsia" w:ascii="宋体" w:hAnsi="宋体" w:eastAsia="宋体" w:cs="宋体"/>
          <w:color w:val="auto"/>
          <w:highlight w:val="none"/>
        </w:rPr>
        <w:t>上公告，但政府采购合同中涉及国家秘密、商业秘密的内容除外。</w:t>
      </w:r>
    </w:p>
    <w:p w14:paraId="0A89A51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 询问、质疑和投诉</w:t>
      </w:r>
    </w:p>
    <w:p w14:paraId="0104D1F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31.1供应商对政府采购活动事项有疑问的，可以向采购人、采购代理机构提出询问，采购人或者采购代理机构应当在3个工作日内对供应商依法提出的询问作出答复。</w:t>
      </w:r>
    </w:p>
    <w:p w14:paraId="797C923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宋体"/>
          <w:color w:val="auto"/>
          <w:highlight w:val="none"/>
          <w:shd w:val="clear" w:color="auto" w:fill="FFFFFF"/>
        </w:rPr>
        <w:t>接收质疑函的方式、联系部门、联系电话和通讯地址等信息详见</w:t>
      </w:r>
      <w:r>
        <w:rPr>
          <w:rFonts w:hint="eastAsia" w:ascii="宋体" w:hAnsi="宋体" w:eastAsia="宋体" w:cs="宋体"/>
          <w:color w:val="auto"/>
          <w:szCs w:val="21"/>
          <w:highlight w:val="none"/>
        </w:rPr>
        <w:t>“供应商须知前附表”</w:t>
      </w:r>
      <w:r>
        <w:rPr>
          <w:rFonts w:hint="eastAsia" w:ascii="宋体" w:hAnsi="宋体" w:eastAsia="宋体" w:cs="宋体"/>
          <w:color w:val="auto"/>
          <w:highlight w:val="none"/>
        </w:rPr>
        <w:t>。具体质疑起算时间如下：</w:t>
      </w:r>
    </w:p>
    <w:p w14:paraId="36FB8C0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（1）对可以质疑的磋商文件提出质疑的，为收到磋商文件之日或者竞争性磋商公告期限届满之日；</w:t>
      </w:r>
    </w:p>
    <w:p w14:paraId="75ED1FB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（2）对采购过程提出质疑的，为各采购程序环节结束之日；</w:t>
      </w:r>
    </w:p>
    <w:p w14:paraId="32B2F09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（3）对成交结果提出质疑的，为成交结果公告期限届满之日。</w:t>
      </w:r>
    </w:p>
    <w:p w14:paraId="290FF36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5C823EB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31.4 供应商提出质疑应当提交质疑函和必要的证明材料，针对同一采购程序环节的质疑必须在法定质疑期内一次性提出。质疑函应当包括下列内容</w:t>
      </w:r>
      <w:r>
        <w:rPr>
          <w:rFonts w:hint="eastAsia" w:ascii="宋体" w:hAnsi="宋体" w:eastAsia="宋体" w:cs="宋体"/>
          <w:bCs/>
          <w:color w:val="auto"/>
          <w:highlight w:val="none"/>
        </w:rPr>
        <w:t>（质疑函格式后附）</w:t>
      </w:r>
      <w:r>
        <w:rPr>
          <w:rFonts w:hint="eastAsia" w:ascii="宋体" w:hAnsi="宋体" w:eastAsia="宋体" w:cs="宋体"/>
          <w:color w:val="auto"/>
          <w:highlight w:val="none"/>
        </w:rPr>
        <w:t>：</w:t>
      </w:r>
    </w:p>
    <w:p w14:paraId="2FD92B5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（1）供应商的姓名或者名称、地址、邮编、联系人及联系电话；</w:t>
      </w:r>
    </w:p>
    <w:p w14:paraId="001E222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14:paraId="177419A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7EBA7EE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31A6409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14:paraId="7934E47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14:paraId="2D210EF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供应商为自然人的，应当由本人签字；供应商为法人或者其他组织的，应当由法定代表人、主要负责人，或者其委托代理人签字或者盖章，并加盖公章。</w:t>
      </w:r>
    </w:p>
    <w:p w14:paraId="711BCB1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65EF395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27E60DA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4F02709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质疑答复导致成交结果改变的，采购人或者采购代理机构应当将有关情况书面报告本级财政部门。</w:t>
      </w:r>
    </w:p>
    <w:p w14:paraId="4915431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104" w:name="_Toc80205930"/>
    </w:p>
    <w:p w14:paraId="6EF8149C">
      <w:pPr>
        <w:pStyle w:val="12"/>
        <w:spacing w:line="360" w:lineRule="auto"/>
        <w:rPr>
          <w:rFonts w:hint="eastAsia" w:ascii="宋体" w:hAnsi="宋体" w:eastAsia="宋体" w:cs="宋体"/>
          <w:color w:val="auto"/>
          <w:highlight w:val="none"/>
        </w:rPr>
      </w:pPr>
    </w:p>
    <w:p w14:paraId="209F54E6">
      <w:pPr>
        <w:pStyle w:val="4"/>
        <w:spacing w:before="0" w:after="0" w:line="360" w:lineRule="auto"/>
        <w:rPr>
          <w:rFonts w:hint="eastAsia" w:ascii="宋体" w:hAnsi="宋体" w:eastAsia="宋体" w:cs="宋体"/>
          <w:b/>
          <w:bCs w:val="0"/>
          <w:color w:val="auto"/>
          <w:highlight w:val="none"/>
        </w:rPr>
      </w:pPr>
      <w:bookmarkStart w:id="105" w:name="_Toc14574"/>
      <w:bookmarkStart w:id="106" w:name="_Toc7926"/>
      <w:bookmarkStart w:id="107" w:name="_Toc12020"/>
      <w:bookmarkStart w:id="108" w:name="_Toc22802"/>
      <w:bookmarkStart w:id="109" w:name="_Toc15338"/>
      <w:bookmarkStart w:id="110" w:name="_Toc11545"/>
      <w:r>
        <w:rPr>
          <w:rFonts w:hint="eastAsia" w:ascii="宋体" w:hAnsi="宋体" w:eastAsia="宋体" w:cs="宋体"/>
          <w:b/>
          <w:bCs w:val="0"/>
          <w:color w:val="auto"/>
          <w:highlight w:val="none"/>
        </w:rPr>
        <w:t>六、验收</w:t>
      </w:r>
      <w:bookmarkEnd w:id="104"/>
      <w:bookmarkEnd w:id="105"/>
      <w:bookmarkEnd w:id="106"/>
      <w:bookmarkEnd w:id="107"/>
      <w:bookmarkEnd w:id="108"/>
      <w:bookmarkEnd w:id="109"/>
      <w:bookmarkEnd w:id="110"/>
    </w:p>
    <w:p w14:paraId="36C42AF8">
      <w:pPr>
        <w:tabs>
          <w:tab w:val="left" w:pos="0"/>
        </w:tabs>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32.验收</w:t>
      </w:r>
    </w:p>
    <w:p w14:paraId="7FEC8F37">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1A18A0A4">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32.2采购人可以邀请参加本项目的其他供应商或者第三方机构参与验收。参与验收的供应商或者第三方机构的意见作为验收书的参考资料一并存档。</w:t>
      </w:r>
    </w:p>
    <w:p w14:paraId="70835013">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1D290F08">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21532A5B">
      <w:pPr>
        <w:pStyle w:val="12"/>
        <w:spacing w:line="360" w:lineRule="auto"/>
        <w:rPr>
          <w:rFonts w:hint="eastAsia" w:ascii="宋体" w:hAnsi="宋体" w:eastAsia="宋体" w:cs="宋体"/>
          <w:color w:val="auto"/>
          <w:highlight w:val="none"/>
        </w:rPr>
      </w:pPr>
    </w:p>
    <w:p w14:paraId="52F8A3AC">
      <w:pPr>
        <w:pStyle w:val="4"/>
        <w:spacing w:before="0" w:after="0" w:line="360" w:lineRule="auto"/>
        <w:rPr>
          <w:rFonts w:hint="eastAsia" w:ascii="宋体" w:hAnsi="宋体" w:eastAsia="宋体" w:cs="宋体"/>
          <w:b/>
          <w:bCs w:val="0"/>
          <w:color w:val="auto"/>
          <w:highlight w:val="none"/>
        </w:rPr>
      </w:pPr>
      <w:bookmarkStart w:id="111" w:name="_Toc12694"/>
      <w:bookmarkStart w:id="112" w:name="_Toc2111"/>
      <w:bookmarkStart w:id="113" w:name="_Toc3779"/>
      <w:bookmarkStart w:id="114" w:name="_Toc28745"/>
      <w:bookmarkStart w:id="115" w:name="_Toc14544"/>
      <w:bookmarkStart w:id="116" w:name="_Toc29251"/>
      <w:r>
        <w:rPr>
          <w:rFonts w:hint="eastAsia" w:ascii="宋体" w:hAnsi="宋体" w:eastAsia="宋体" w:cs="宋体"/>
          <w:b/>
          <w:bCs w:val="0"/>
          <w:color w:val="auto"/>
          <w:highlight w:val="none"/>
          <w:lang w:eastAsia="zh-CN"/>
        </w:rPr>
        <w:t>七</w:t>
      </w:r>
      <w:r>
        <w:rPr>
          <w:rFonts w:hint="eastAsia" w:ascii="宋体" w:hAnsi="宋体" w:eastAsia="宋体" w:cs="宋体"/>
          <w:b/>
          <w:bCs w:val="0"/>
          <w:color w:val="auto"/>
          <w:highlight w:val="none"/>
        </w:rPr>
        <w:t>、其他事项</w:t>
      </w:r>
      <w:bookmarkEnd w:id="111"/>
      <w:bookmarkEnd w:id="112"/>
      <w:bookmarkEnd w:id="113"/>
      <w:bookmarkEnd w:id="114"/>
      <w:bookmarkEnd w:id="115"/>
      <w:bookmarkEnd w:id="116"/>
    </w:p>
    <w:p w14:paraId="53B04DB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33.代理服务费</w:t>
      </w:r>
    </w:p>
    <w:p w14:paraId="576CB831">
      <w:pPr>
        <w:tabs>
          <w:tab w:val="left" w:pos="2835"/>
        </w:tabs>
        <w:spacing w:line="360" w:lineRule="auto"/>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代理服务收费标准及缴费账户详见“供应商须知前附表”，供应商为联合体的，可以由联合体中的一方或者多方共同交纳代理服务费。</w:t>
      </w:r>
    </w:p>
    <w:p w14:paraId="2170488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34.需要补充的其他内容</w:t>
      </w:r>
    </w:p>
    <w:p w14:paraId="2EC6C5C1">
      <w:pPr>
        <w:pStyle w:val="16"/>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34.1本磋商文件解释规则详见“供应商须知前附表”。</w:t>
      </w:r>
    </w:p>
    <w:p w14:paraId="79AA084D">
      <w:pPr>
        <w:pStyle w:val="16"/>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34.2 其他事项详见“供应商须知前附表”。</w:t>
      </w:r>
    </w:p>
    <w:p w14:paraId="62CC6469">
      <w:pPr>
        <w:pStyle w:val="16"/>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eastAsia="宋体" w:cs="宋体"/>
          <w:color w:val="auto"/>
          <w:sz w:val="21"/>
          <w:highlight w:val="none"/>
        </w:rPr>
        <w:t>服务由中小企业承接，即提供服务的人员为中小企业依照《中华人民共和国</w:t>
      </w:r>
      <w:r>
        <w:rPr>
          <w:rFonts w:hint="eastAsia" w:hAnsi="宋体" w:cs="宋体"/>
          <w:color w:val="auto"/>
          <w:sz w:val="21"/>
          <w:highlight w:val="none"/>
          <w:lang w:eastAsia="zh-CN"/>
        </w:rPr>
        <w:t>民法典</w:t>
      </w:r>
      <w:r>
        <w:rPr>
          <w:rFonts w:hint="eastAsia" w:ascii="宋体" w:hAnsi="宋体" w:eastAsia="宋体" w:cs="宋体"/>
          <w:color w:val="auto"/>
          <w:sz w:val="21"/>
          <w:highlight w:val="none"/>
        </w:rPr>
        <w:t>》订立劳动合同的从业人员，不对其中涉及的货物的制造商和工程承建商作出要求</w:t>
      </w:r>
      <w:r>
        <w:rPr>
          <w:rFonts w:hint="eastAsia" w:ascii="宋体" w:hAnsi="宋体" w:eastAsia="宋体" w:cs="宋体"/>
          <w:color w:val="auto"/>
          <w:sz w:val="21"/>
          <w:highlight w:val="none"/>
          <w:lang w:val="en-US" w:eastAsia="zh-CN"/>
        </w:rPr>
        <w:t>的</w:t>
      </w:r>
      <w:r>
        <w:rPr>
          <w:rFonts w:hint="eastAsia" w:ascii="宋体" w:hAnsi="宋体" w:eastAsia="宋体" w:cs="宋体"/>
          <w:color w:val="auto"/>
          <w:kern w:val="2"/>
          <w:sz w:val="21"/>
          <w:highlight w:val="none"/>
          <w:lang w:val="en-US" w:eastAsia="zh-CN"/>
        </w:rPr>
        <w:t>，享受本文件规定的中小企业扶持政策。</w:t>
      </w:r>
    </w:p>
    <w:p w14:paraId="1AF2058D">
      <w:pPr>
        <w:pStyle w:val="16"/>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以联合体形式参加政府采购活动，联合体各方均为中小企业的，联合体视同中小企业。其中，联合体各方均为小微企业的，联合体视同小微企业。</w:t>
      </w:r>
    </w:p>
    <w:p w14:paraId="5B29DF1C">
      <w:pPr>
        <w:pStyle w:val="16"/>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依据本文件规定享受扶持政策获得政府采购合同的，小微企业不得将合同分包给大中型企业，中型企业不得将合同分包给大型企业。</w:t>
      </w:r>
    </w:p>
    <w:p w14:paraId="7590EFB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35. 政采贷相关说明</w:t>
      </w:r>
    </w:p>
    <w:p w14:paraId="44604934">
      <w:pPr>
        <w:pStyle w:val="16"/>
        <w:spacing w:line="360" w:lineRule="auto"/>
        <w:ind w:firstLine="420" w:firstLineChars="200"/>
        <w:rPr>
          <w:rFonts w:hAnsi="宋体"/>
          <w:color w:val="auto"/>
          <w:sz w:val="21"/>
          <w:highlight w:val="none"/>
        </w:rPr>
      </w:pPr>
      <w:r>
        <w:rPr>
          <w:rFonts w:hint="eastAsia" w:hAnsi="宋体"/>
          <w:color w:val="auto"/>
          <w:sz w:val="21"/>
          <w:highlight w:val="none"/>
        </w:rPr>
        <w:t>为优化政府采购营商环境，缓解供应商资金难题，南宁市政府采购试行政府采购信用融资制度，中标供应商如有融资需求，可凭政府采购合同通过以下方式申请政府采购信用融资贷款：</w:t>
      </w:r>
    </w:p>
    <w:p w14:paraId="758522B4">
      <w:pPr>
        <w:pStyle w:val="16"/>
        <w:numPr>
          <w:ilvl w:val="0"/>
          <w:numId w:val="0"/>
        </w:numPr>
        <w:spacing w:line="360" w:lineRule="auto"/>
        <w:ind w:firstLine="420" w:firstLineChars="200"/>
        <w:rPr>
          <w:rFonts w:hAnsi="宋体"/>
          <w:color w:val="auto"/>
          <w:sz w:val="21"/>
          <w:highlight w:val="none"/>
        </w:rPr>
      </w:pPr>
      <w:r>
        <w:rPr>
          <w:rFonts w:hint="eastAsia" w:hAnsi="宋体"/>
          <w:color w:val="auto"/>
          <w:sz w:val="21"/>
          <w:highlight w:val="none"/>
          <w:lang w:eastAsia="zh-CN"/>
        </w:rPr>
        <w:t>（</w:t>
      </w:r>
      <w:r>
        <w:rPr>
          <w:rFonts w:hint="eastAsia" w:hAnsi="宋体"/>
          <w:color w:val="auto"/>
          <w:sz w:val="21"/>
          <w:highlight w:val="none"/>
          <w:lang w:val="en-US" w:eastAsia="zh-CN"/>
        </w:rPr>
        <w:t>1</w:t>
      </w:r>
      <w:r>
        <w:rPr>
          <w:rFonts w:hint="eastAsia" w:hAnsi="宋体"/>
          <w:color w:val="auto"/>
          <w:sz w:val="21"/>
          <w:highlight w:val="none"/>
          <w:lang w:eastAsia="zh-CN"/>
        </w:rPr>
        <w:t>）</w:t>
      </w:r>
      <w:r>
        <w:rPr>
          <w:rFonts w:hint="eastAsia" w:hAnsi="宋体"/>
          <w:color w:val="auto"/>
          <w:sz w:val="21"/>
          <w:highlight w:val="none"/>
        </w:rPr>
        <w:t>线下渠道：在“南宁市公共资源交易中心”官网（网址：</w:t>
      </w:r>
      <w:r>
        <w:rPr>
          <w:color w:val="auto"/>
          <w:highlight w:val="none"/>
        </w:rPr>
        <w:fldChar w:fldCharType="begin"/>
      </w:r>
      <w:r>
        <w:rPr>
          <w:color w:val="auto"/>
          <w:highlight w:val="none"/>
        </w:rPr>
        <w:instrText xml:space="preserve"> HYPERLINK "http://www.nnggzy.org.cn）" </w:instrText>
      </w:r>
      <w:r>
        <w:rPr>
          <w:color w:val="auto"/>
          <w:highlight w:val="none"/>
        </w:rPr>
        <w:fldChar w:fldCharType="separate"/>
      </w:r>
      <w:r>
        <w:rPr>
          <w:rStyle w:val="31"/>
          <w:rFonts w:hint="eastAsia" w:hAnsi="宋体"/>
          <w:color w:val="auto"/>
          <w:sz w:val="21"/>
          <w:highlight w:val="none"/>
        </w:rPr>
        <w:t>http://ggzy.jgswj.gxzf.gov.cn/nnggzy/）“交易信息-政府采购-政府采购信用融资”中融资银行和南宁市企业融资货物中心专栏信息申请政府采购信用融资。</w:t>
      </w:r>
      <w:r>
        <w:rPr>
          <w:rStyle w:val="31"/>
          <w:rFonts w:hint="eastAsia" w:hAnsi="宋体"/>
          <w:color w:val="auto"/>
          <w:sz w:val="21"/>
          <w:highlight w:val="none"/>
        </w:rPr>
        <w:fldChar w:fldCharType="end"/>
      </w:r>
    </w:p>
    <w:p w14:paraId="6228A895">
      <w:pPr>
        <w:pStyle w:val="16"/>
        <w:numPr>
          <w:ilvl w:val="0"/>
          <w:numId w:val="0"/>
        </w:numPr>
        <w:spacing w:line="360" w:lineRule="auto"/>
        <w:ind w:firstLine="402" w:firstLineChars="200"/>
        <w:rPr>
          <w:rFonts w:hint="eastAsia" w:ascii="宋体" w:hAnsi="宋体" w:eastAsia="宋体" w:cs="宋体"/>
          <w:color w:val="auto"/>
          <w:highlight w:val="none"/>
        </w:rPr>
      </w:pPr>
      <w:r>
        <w:rPr>
          <w:rFonts w:hint="eastAsia" w:hAnsi="宋体"/>
          <w:b/>
          <w:color w:val="auto"/>
          <w:highlight w:val="none"/>
        </w:rPr>
        <w:t>（2）线上渠道：登录中征营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http://www.ccgp-guangxi.gov.cn/AdministrativeRegulations/AutonomousRegion/9830442.html）</w:t>
      </w:r>
      <w:r>
        <w:rPr>
          <w:rFonts w:hint="eastAsia" w:ascii="宋体" w:hAnsi="宋体" w:eastAsia="宋体" w:cs="Times New Roman"/>
          <w:color w:val="auto"/>
          <w:kern w:val="0"/>
          <w:sz w:val="20"/>
          <w:szCs w:val="21"/>
          <w:highlight w:val="none"/>
          <w:lang w:val="en-US" w:eastAsia="zh-CN" w:bidi="ar-SA"/>
        </w:rPr>
        <w:t>。</w:t>
      </w:r>
    </w:p>
    <w:p w14:paraId="10F07D72">
      <w:pPr>
        <w:pStyle w:val="16"/>
        <w:numPr>
          <w:ilvl w:val="0"/>
          <w:numId w:val="0"/>
        </w:numPr>
        <w:spacing w:line="360" w:lineRule="auto"/>
        <w:ind w:firstLine="0" w:firstLineChars="0"/>
        <w:textAlignment w:val="center"/>
        <w:rPr>
          <w:rFonts w:hint="eastAsia" w:ascii="宋体" w:hAnsi="宋体" w:eastAsia="宋体" w:cs="Times New Roman"/>
          <w:color w:val="auto"/>
          <w:kern w:val="0"/>
          <w:sz w:val="20"/>
          <w:szCs w:val="21"/>
          <w:highlight w:val="none"/>
          <w:lang w:val="en-US" w:eastAsia="zh-CN" w:bidi="ar-SA"/>
        </w:rPr>
      </w:pPr>
    </w:p>
    <w:p w14:paraId="48D2410C">
      <w:pPr>
        <w:pStyle w:val="16"/>
        <w:numPr>
          <w:ilvl w:val="0"/>
          <w:numId w:val="0"/>
        </w:numPr>
        <w:spacing w:line="360" w:lineRule="auto"/>
        <w:ind w:firstLine="0" w:firstLineChars="0"/>
        <w:textAlignment w:val="center"/>
        <w:rPr>
          <w:rFonts w:hint="eastAsia" w:ascii="宋体" w:hAnsi="宋体" w:eastAsia="宋体" w:cs="Times New Roman"/>
          <w:color w:val="auto"/>
          <w:kern w:val="0"/>
          <w:sz w:val="20"/>
          <w:szCs w:val="21"/>
          <w:highlight w:val="none"/>
          <w:lang w:val="en-US" w:eastAsia="zh-CN" w:bidi="ar-SA"/>
        </w:rPr>
      </w:pPr>
    </w:p>
    <w:p w14:paraId="38EF8E3C">
      <w:pPr>
        <w:pStyle w:val="16"/>
        <w:numPr>
          <w:ilvl w:val="0"/>
          <w:numId w:val="0"/>
        </w:numPr>
        <w:spacing w:line="360" w:lineRule="auto"/>
        <w:ind w:firstLine="0" w:firstLineChars="0"/>
        <w:textAlignment w:val="center"/>
        <w:rPr>
          <w:rFonts w:hint="eastAsia" w:ascii="宋体" w:hAnsi="宋体" w:eastAsia="宋体" w:cs="Times New Roman"/>
          <w:color w:val="auto"/>
          <w:kern w:val="0"/>
          <w:sz w:val="20"/>
          <w:szCs w:val="21"/>
          <w:highlight w:val="none"/>
          <w:lang w:val="en-US" w:eastAsia="zh-CN" w:bidi="ar-SA"/>
        </w:rPr>
      </w:pPr>
    </w:p>
    <w:p w14:paraId="2B62EDB5">
      <w:pPr>
        <w:pStyle w:val="16"/>
        <w:numPr>
          <w:ilvl w:val="0"/>
          <w:numId w:val="0"/>
        </w:numPr>
        <w:spacing w:line="360" w:lineRule="auto"/>
        <w:ind w:firstLine="0" w:firstLineChars="0"/>
        <w:textAlignment w:val="center"/>
        <w:rPr>
          <w:rFonts w:hint="eastAsia" w:ascii="宋体" w:hAnsi="宋体" w:eastAsia="宋体" w:cs="宋体"/>
          <w:color w:val="auto"/>
          <w:highlight w:val="none"/>
        </w:rPr>
      </w:pPr>
    </w:p>
    <w:p w14:paraId="7F72AE7C">
      <w:pPr>
        <w:pStyle w:val="2"/>
        <w:spacing w:line="360" w:lineRule="auto"/>
        <w:jc w:val="center"/>
        <w:rPr>
          <w:rFonts w:hint="eastAsia" w:ascii="宋体" w:hAnsi="宋体" w:eastAsia="宋体" w:cs="宋体"/>
          <w:b/>
          <w:bCs/>
          <w:color w:val="auto"/>
          <w:highlight w:val="none"/>
        </w:rPr>
        <w:sectPr>
          <w:footerReference r:id="rId12" w:type="default"/>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p>
    <w:p w14:paraId="3E6E9C07">
      <w:pPr>
        <w:pStyle w:val="2"/>
        <w:spacing w:line="360" w:lineRule="auto"/>
        <w:jc w:val="center"/>
        <w:rPr>
          <w:rFonts w:hint="eastAsia" w:ascii="宋体" w:hAnsi="宋体" w:eastAsia="宋体" w:cs="宋体"/>
          <w:b/>
          <w:bCs/>
          <w:color w:val="auto"/>
          <w:highlight w:val="none"/>
        </w:rPr>
      </w:pPr>
      <w:bookmarkStart w:id="117" w:name="_Toc16334"/>
      <w:bookmarkStart w:id="118" w:name="_Toc14829"/>
      <w:bookmarkStart w:id="119" w:name="_Toc18270"/>
      <w:bookmarkStart w:id="120" w:name="_Toc22508"/>
      <w:bookmarkStart w:id="121" w:name="_Toc23637"/>
      <w:bookmarkStart w:id="122" w:name="_Toc15760"/>
      <w:bookmarkStart w:id="123" w:name="_Toc1038"/>
      <w:r>
        <w:rPr>
          <w:rFonts w:hint="eastAsia" w:ascii="宋体" w:hAnsi="宋体" w:eastAsia="宋体" w:cs="宋体"/>
          <w:b/>
          <w:bCs/>
          <w:color w:val="auto"/>
          <w:highlight w:val="none"/>
        </w:rPr>
        <w:t>第四章  评审程序、评审方法和评审标准</w:t>
      </w:r>
      <w:bookmarkEnd w:id="117"/>
      <w:bookmarkEnd w:id="118"/>
      <w:bookmarkEnd w:id="119"/>
      <w:bookmarkEnd w:id="120"/>
      <w:bookmarkEnd w:id="121"/>
      <w:bookmarkEnd w:id="122"/>
      <w:bookmarkEnd w:id="123"/>
    </w:p>
    <w:p w14:paraId="23E91C88">
      <w:pPr>
        <w:pStyle w:val="3"/>
        <w:spacing w:line="360" w:lineRule="auto"/>
        <w:jc w:val="center"/>
        <w:rPr>
          <w:rFonts w:hint="eastAsia" w:ascii="宋体" w:hAnsi="宋体" w:eastAsia="宋体" w:cs="宋体"/>
          <w:b w:val="0"/>
          <w:color w:val="auto"/>
          <w:highlight w:val="none"/>
        </w:rPr>
      </w:pPr>
      <w:bookmarkStart w:id="124" w:name="_Toc21500"/>
      <w:bookmarkStart w:id="125" w:name="_Toc32333"/>
      <w:bookmarkStart w:id="126" w:name="_Toc23306"/>
      <w:bookmarkStart w:id="127" w:name="_Toc22688"/>
      <w:bookmarkStart w:id="128" w:name="_Toc19232"/>
      <w:bookmarkStart w:id="129" w:name="_Toc2012"/>
      <w:bookmarkStart w:id="130" w:name="_Toc8295"/>
      <w:r>
        <w:rPr>
          <w:rFonts w:hint="eastAsia" w:ascii="宋体" w:hAnsi="宋体" w:eastAsia="宋体" w:cs="宋体"/>
          <w:b w:val="0"/>
          <w:color w:val="auto"/>
          <w:highlight w:val="none"/>
        </w:rPr>
        <w:t>第一节 评审程序和评审方法</w:t>
      </w:r>
      <w:bookmarkEnd w:id="124"/>
      <w:bookmarkEnd w:id="125"/>
      <w:bookmarkEnd w:id="126"/>
      <w:bookmarkEnd w:id="127"/>
      <w:bookmarkEnd w:id="128"/>
      <w:bookmarkEnd w:id="129"/>
      <w:bookmarkEnd w:id="130"/>
    </w:p>
    <w:p w14:paraId="2E0CE89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1.确认磋商文件</w:t>
      </w:r>
    </w:p>
    <w:p w14:paraId="3CBB8CA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由磋商小组确认磋商文件。</w:t>
      </w:r>
    </w:p>
    <w:p w14:paraId="60A04CD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2.资格审查</w:t>
      </w:r>
    </w:p>
    <w:p w14:paraId="220C3860">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2.1响应文件开启后，磋商小组依法对供应商的资格证明文件进行审查。</w:t>
      </w:r>
    </w:p>
    <w:p w14:paraId="64812E57">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注：采购人代表或者采购代理机构在资格审查结束前，对供应商进行信用查询。</w:t>
      </w:r>
    </w:p>
    <w:p w14:paraId="24228003">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（1）查询渠道：</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“信用中国”网站</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"http://www.creditchina.gov.cn" </w:instrText>
      </w:r>
      <w:r>
        <w:rPr>
          <w:rFonts w:hint="eastAsia" w:ascii="宋体" w:hAnsi="宋体" w:eastAsia="宋体" w:cs="宋体"/>
          <w:color w:val="auto"/>
          <w:szCs w:val="21"/>
          <w:highlight w:val="none"/>
        </w:rPr>
        <w:fldChar w:fldCharType="separate"/>
      </w:r>
      <w:r>
        <w:rPr>
          <w:rStyle w:val="31"/>
          <w:rFonts w:hint="eastAsia" w:ascii="宋体" w:hAnsi="宋体" w:eastAsia="宋体" w:cs="宋体"/>
          <w:color w:val="auto"/>
          <w:highlight w:val="none"/>
        </w:rPr>
        <w:t>www.creditchina.gov.cn</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)、中国政府采购网</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"http://www.ccgp.gov.cn" </w:instrText>
      </w:r>
      <w:r>
        <w:rPr>
          <w:rFonts w:hint="eastAsia" w:ascii="宋体" w:hAnsi="宋体" w:eastAsia="宋体" w:cs="宋体"/>
          <w:color w:val="auto"/>
          <w:szCs w:val="21"/>
          <w:highlight w:val="none"/>
        </w:rPr>
        <w:fldChar w:fldCharType="separate"/>
      </w:r>
      <w:r>
        <w:rPr>
          <w:rStyle w:val="31"/>
          <w:rFonts w:hint="eastAsia" w:ascii="宋体" w:hAnsi="宋体" w:eastAsia="宋体" w:cs="宋体"/>
          <w:color w:val="auto"/>
          <w:highlight w:val="none"/>
        </w:rPr>
        <w:t>www.ccgp.gov.cn</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)链接入口。</w:t>
      </w:r>
    </w:p>
    <w:p w14:paraId="07267DD7">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（2）信用查询截止时点：资格审查结束前。</w:t>
      </w:r>
    </w:p>
    <w:p w14:paraId="05010960">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查询记录和证据留存方式：在查询网站中直接打印查询记录，截图另存为电子文档作为评审资料保存。</w:t>
      </w:r>
    </w:p>
    <w:p w14:paraId="1433063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（3）信用信息使用规则：对在“信用中国”网站</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www.creditchina.gov.cn) 、中国政府采购网</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www.ccgp.gov.cn</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被列入失信被执行人、</w:t>
      </w:r>
      <w:r>
        <w:rPr>
          <w:rFonts w:hint="eastAsia" w:ascii="宋体" w:hAnsi="宋体" w:cs="宋体"/>
          <w:color w:val="auto"/>
          <w:szCs w:val="21"/>
          <w:highlight w:val="none"/>
          <w:lang w:eastAsia="zh-CN"/>
        </w:rPr>
        <w:t>重大税收违法失信主体</w:t>
      </w:r>
      <w:r>
        <w:rPr>
          <w:rFonts w:hint="eastAsia" w:ascii="宋体" w:hAnsi="宋体" w:eastAsia="宋体" w:cs="宋体"/>
          <w:color w:val="auto"/>
          <w:szCs w:val="21"/>
          <w:highlight w:val="none"/>
        </w:rPr>
        <w:t>、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47C6E3E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2.2资格审查标准为本磋商文件中载明对供应商资格要求的条件。资格审查采用合格制，凡符合磋商文件规定的供应商资格要求的响应文件均通过资格审查。</w:t>
      </w:r>
    </w:p>
    <w:p w14:paraId="16A49D7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2.3供应商有下列情形之一的，资格审查不通过，其响应文件按无效响应处理：</w:t>
      </w:r>
    </w:p>
    <w:p w14:paraId="0538C63F">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（1）不具备磋商文件中规定的资格要求的；</w:t>
      </w:r>
    </w:p>
    <w:p w14:paraId="532E1C4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（2）响应文件未提供任一项“供应商须知前附表”资格证明文件规定的“必须提供”的文件资料的；</w:t>
      </w:r>
    </w:p>
    <w:p w14:paraId="101753D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（3）响应文件提供的资格证明文件出现任一项不符合“供应商须知前附表”资格证明文件规定的“必须提供”的文件资料要求或者无效的。</w:t>
      </w:r>
    </w:p>
    <w:p w14:paraId="1A2FDEBB">
      <w:pPr>
        <w:spacing w:line="360" w:lineRule="auto"/>
        <w:ind w:firstLine="420" w:firstLineChars="200"/>
        <w:rPr>
          <w:rFonts w:hint="eastAsia" w:ascii="宋体" w:hAnsi="宋体" w:eastAsia="宋体" w:cs="宋体"/>
          <w:color w:val="auto"/>
          <w:szCs w:val="21"/>
          <w:highlight w:val="none"/>
        </w:rPr>
      </w:pPr>
      <w:bookmarkStart w:id="131" w:name="_Hlk68601553"/>
      <w:r>
        <w:rPr>
          <w:rFonts w:hint="eastAsia" w:ascii="宋体" w:hAnsi="宋体" w:eastAsia="宋体" w:cs="宋体"/>
          <w:color w:val="auto"/>
          <w:szCs w:val="21"/>
          <w:highlight w:val="none"/>
        </w:rPr>
        <w:t>（4）同一合同项下的不同供应商，单位负责人为同一人或者存在直接控股、管理关系的；为本项目提供过整体设计、规范编制或者项目管理、监理、检测等服务的。</w:t>
      </w:r>
      <w:bookmarkEnd w:id="131"/>
    </w:p>
    <w:p w14:paraId="649DB67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2.4通过资格审查的合格供应商不足3家的，不得进入符合性审查环节，采购人或者采购代理机构应当重新开展采购活动。</w:t>
      </w:r>
    </w:p>
    <w:p w14:paraId="09E3DFD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3.符合性审查</w:t>
      </w:r>
    </w:p>
    <w:p w14:paraId="68E0369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3.1由磋商小组对通过资格审查的合格供应商的响应文件的响应报价、商务、技术等实质性要求进行符合性审查，以确定其是否满足磋商文件的实质性要求。</w:t>
      </w:r>
    </w:p>
    <w:p w14:paraId="69E0C0A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DF5DB06">
      <w:pPr>
        <w:spacing w:line="360" w:lineRule="auto"/>
        <w:ind w:firstLine="420" w:firstLineChars="200"/>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3.3磋商小组要求供应商澄清、说明或者更正响应文件应当以电子澄清函形式作出。供应商的澄清、说明或者更正应当已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eastAsia="宋体" w:cs="宋体"/>
          <w:color w:val="auto"/>
          <w:spacing w:val="-6"/>
          <w:szCs w:val="21"/>
          <w:highlight w:val="none"/>
        </w:rPr>
        <w:t>。供应商为自然人的，必须由本人签字并附身份证明。</w:t>
      </w:r>
    </w:p>
    <w:p w14:paraId="2ECD9B55">
      <w:pPr>
        <w:spacing w:line="360" w:lineRule="auto"/>
        <w:ind w:firstLine="396" w:firstLineChars="200"/>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3.4</w:t>
      </w:r>
      <w:r>
        <w:rPr>
          <w:rFonts w:hint="eastAsia" w:ascii="宋体" w:hAnsi="宋体" w:eastAsia="宋体" w:cs="宋体"/>
          <w:color w:val="auto"/>
          <w:szCs w:val="21"/>
          <w:highlight w:val="none"/>
        </w:rPr>
        <w:t xml:space="preserve">首次响应文件报价出现前后不一致的，按照下列规定修正： </w:t>
      </w:r>
    </w:p>
    <w:p w14:paraId="18CB6A7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（1）响应文件中报价表内容与响应文件中相应内容不一致的，以报价表为准；</w:t>
      </w:r>
    </w:p>
    <w:p w14:paraId="6DFB249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（2）大写金额和小写金额不一致的，以大写金额为准；</w:t>
      </w:r>
    </w:p>
    <w:p w14:paraId="6F55C80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（3）单价金额小数点或者百分比有明显错位的，以报价表的总价为准，并修改单价；</w:t>
      </w:r>
    </w:p>
    <w:p w14:paraId="35D4A54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（4）总价金额与按单价汇总金额不一致的，以单价金额计算结果为准。</w:t>
      </w:r>
    </w:p>
    <w:p w14:paraId="399A2A1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273FDD4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3.5商务技术、报价评审</w:t>
      </w:r>
    </w:p>
    <w:p w14:paraId="69AD67A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在评审时，如发现下列情形之一的，将被视为响应文件无效处理：</w:t>
      </w:r>
    </w:p>
    <w:p w14:paraId="6E09CD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（1）商务技术评审</w:t>
      </w:r>
    </w:p>
    <w:p w14:paraId="616267B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1）响应文件未按磋商文件要求签署、盖章；</w:t>
      </w:r>
    </w:p>
    <w:p w14:paraId="66DFB26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2）委托代理人未能出具有效身份证明或者出具的身份证明与授权委托书中的信息不符； </w:t>
      </w:r>
    </w:p>
    <w:p w14:paraId="4E57407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406DB73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4）商务条款中标“▲”的条款发生负偏离的或者允许负偏离的条款数超过“供应商须知前附表”规定项数的或者标明实质性的要求发生负偏离；</w:t>
      </w:r>
    </w:p>
    <w:p w14:paraId="18E31E4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5）未对竞标有效期作出响应或者响应文件承诺的竞标有效期不满足磋商文件要求；</w:t>
      </w:r>
    </w:p>
    <w:p w14:paraId="1912C5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6）响应文件的实质性内容未使用中文表述、使用计量单位不符合磋商文件要求；</w:t>
      </w:r>
    </w:p>
    <w:p w14:paraId="33F505C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7）响应文件中的文件资料因填写不齐全或者内容虚假或者出现其他情形而导致被磋商小组认定无效；</w:t>
      </w:r>
    </w:p>
    <w:p w14:paraId="5F8A532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8）响应文件含有采购人不能接受的附加条件；</w:t>
      </w:r>
    </w:p>
    <w:p w14:paraId="5C92578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9）属于“供应商须知正文”第7.5条情形；</w:t>
      </w:r>
    </w:p>
    <w:p w14:paraId="1FCA312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r>
        <w:rPr>
          <w:rFonts w:hint="eastAsia" w:ascii="宋体" w:hAnsi="宋体" w:cs="宋体"/>
          <w:color w:val="auto"/>
          <w:szCs w:val="21"/>
          <w:highlight w:val="none"/>
        </w:rPr>
        <w:t>技术需求</w:t>
      </w:r>
      <w:r>
        <w:rPr>
          <w:rFonts w:hint="eastAsia" w:ascii="宋体" w:hAnsi="宋体" w:eastAsia="宋体" w:cs="宋体"/>
          <w:color w:val="auto"/>
          <w:szCs w:val="21"/>
          <w:highlight w:val="none"/>
        </w:rPr>
        <w:t>允许负偏离的条款数超过“供应商须知前附表”规定项数；</w:t>
      </w:r>
    </w:p>
    <w:p w14:paraId="51A8A3C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11）虚假竞标，或者出现其他情形而导致被磋商小组认定无效；</w:t>
      </w:r>
    </w:p>
    <w:p w14:paraId="319FC4D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12）竞标技术方案不明确，磋商文件未允许但响应文件中存在一个或者一个以上备选（替代）竞标方案；</w:t>
      </w:r>
    </w:p>
    <w:p w14:paraId="44E8B0D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13）响应文件标注的项目名称或者项目编号与竞争性磋商文件标注的项目名称或者项目编号不一致的；</w:t>
      </w:r>
    </w:p>
    <w:p w14:paraId="65BEF7F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14）未响应磋商文件实质性要求；</w:t>
      </w:r>
    </w:p>
    <w:p w14:paraId="36C9200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15）法律、法规和磋商文件规定的其他无效情形。</w:t>
      </w:r>
    </w:p>
    <w:p w14:paraId="1A3BB13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（2）报价评审</w:t>
      </w:r>
    </w:p>
    <w:p w14:paraId="7362614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响应文件未提供“供应商须知前附表” 报价文件中规定的“响应报价表”；</w:t>
      </w:r>
    </w:p>
    <w:p w14:paraId="1BFC0AF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2）未采用人民币报价或者未按照磋商文件标明的币种报价；</w:t>
      </w:r>
    </w:p>
    <w:p w14:paraId="56DBC63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6ED607A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64E9DC7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6253C38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6）响应文件响应的标的数量及单位与竞争性磋商文件要求实质性不一致的。</w:t>
      </w:r>
    </w:p>
    <w:p w14:paraId="79B4687C">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7）报价属于采购文件规定异常低价情况之一，未能按要求提供书面说明或者提交相关证明材料证明其报价合理性的。</w:t>
      </w:r>
    </w:p>
    <w:p w14:paraId="4A6E468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评审中出现下列情形之一的，磋商小组应当启动异常低价投标（响应）审查程序: </w:t>
      </w:r>
    </w:p>
    <w:p w14:paraId="3EB4241D">
      <w:pPr>
        <w:spacing w:line="360" w:lineRule="auto"/>
        <w:ind w:firstLine="420" w:firstLineChars="200"/>
        <w:rPr>
          <w:rFonts w:hint="default"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1.投标（响应）报价低于全部通过符合性审查供应商投标（响应）报价平均值50%的，即投标（响应）报价&lt;全部通过符合性审查供应商投标（响应）报价平均值×50%；</w:t>
      </w:r>
    </w:p>
    <w:p w14:paraId="0434DA3D">
      <w:pPr>
        <w:spacing w:line="360" w:lineRule="auto"/>
        <w:ind w:firstLine="420" w:firstLineChars="200"/>
        <w:rPr>
          <w:rFonts w:hint="default"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2.投标（响应）报价低于通过符合性审查的次低报价供应商投标（响应）报价50%的，即投标（响应）报价&lt;通过符合性审查的次低报价供应商投标（响应）报价×50%；</w:t>
      </w:r>
    </w:p>
    <w:p w14:paraId="3908F61B">
      <w:pPr>
        <w:spacing w:line="360" w:lineRule="auto"/>
        <w:ind w:firstLine="420" w:firstLineChars="200"/>
        <w:rPr>
          <w:rFonts w:hint="default"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3.投标（响应）报价低于采购项目最高限价45%的，即投标（响应）报价&lt;采购项目最高限价×45%；</w:t>
      </w:r>
    </w:p>
    <w:p w14:paraId="34CFE3E1">
      <w:pPr>
        <w:spacing w:line="360" w:lineRule="auto"/>
        <w:ind w:firstLine="420" w:firstLineChars="200"/>
        <w:rPr>
          <w:rFonts w:hint="default"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4.磋商小组基于专业判断，认为供应商报价过低，有可能影响产品质量或者不能诚信履约的其他情形。</w:t>
      </w:r>
    </w:p>
    <w:p w14:paraId="0C6CD727">
      <w:pPr>
        <w:spacing w:line="360" w:lineRule="auto"/>
        <w:ind w:firstLine="420" w:firstLineChars="200"/>
        <w:rPr>
          <w:rFonts w:hint="default" w:ascii="宋体" w:hAnsi="宋体" w:eastAsia="宋体" w:cs="宋体"/>
          <w:color w:val="auto"/>
          <w:szCs w:val="21"/>
          <w:highlight w:val="none"/>
        </w:rPr>
      </w:pPr>
      <w:r>
        <w:rPr>
          <w:rFonts w:hint="eastAsia" w:ascii="宋体" w:hAnsi="宋体" w:eastAsia="宋体" w:cs="宋体"/>
          <w:color w:val="auto"/>
          <w:szCs w:val="21"/>
          <w:highlight w:val="none"/>
          <w:lang w:val="en-US" w:eastAsia="zh-CN"/>
        </w:rPr>
        <w:t>磋商小组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19CE77A9">
      <w:pPr>
        <w:spacing w:line="360" w:lineRule="auto"/>
        <w:ind w:firstLine="420" w:firstLineChars="200"/>
        <w:rPr>
          <w:rFonts w:hint="default" w:ascii="宋体" w:hAnsi="宋体" w:eastAsia="宋体" w:cs="宋体"/>
          <w:color w:val="auto"/>
          <w:szCs w:val="21"/>
          <w:highlight w:val="none"/>
        </w:rPr>
      </w:pPr>
      <w:r>
        <w:rPr>
          <w:rFonts w:hint="eastAsia" w:ascii="宋体" w:hAnsi="宋体" w:eastAsia="宋体" w:cs="宋体"/>
          <w:color w:val="auto"/>
          <w:szCs w:val="21"/>
          <w:highlight w:val="none"/>
          <w:lang w:val="en-US" w:eastAsia="zh-CN"/>
        </w:rPr>
        <w:t>磋商小组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磋商小组应当将其作为无效投标（响应）处理。</w:t>
      </w:r>
    </w:p>
    <w:p w14:paraId="67717DED">
      <w:pPr>
        <w:spacing w:line="360" w:lineRule="auto"/>
        <w:ind w:firstLine="420" w:firstLineChars="200"/>
        <w:rPr>
          <w:rFonts w:hint="default"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人、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w:t>
      </w:r>
    </w:p>
    <w:p w14:paraId="5BF69D1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异常低价投标（响应）审查的启动原因、审查意见和审查结果应当在评审报告中记录，并随供应商提供的相关书面说明及证明材料，以及磋商小组有关互联网浏览、查询历史一并归档。</w:t>
      </w:r>
    </w:p>
    <w:p w14:paraId="180F885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650DE78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380448A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4.磋商程序</w:t>
      </w:r>
    </w:p>
    <w:p w14:paraId="290358FC">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4.1磋商小组按照“供应商须知前附表”</w:t>
      </w:r>
      <w:r>
        <w:rPr>
          <w:rFonts w:hint="eastAsia" w:ascii="宋体" w:hAnsi="宋体" w:eastAsia="宋体" w:cs="宋体"/>
          <w:color w:val="auto"/>
          <w:szCs w:val="21"/>
          <w:highlight w:val="none"/>
        </w:rPr>
        <w:t xml:space="preserve"> </w:t>
      </w:r>
      <w:r>
        <w:rPr>
          <w:rFonts w:hint="eastAsia" w:ascii="宋体" w:hAnsi="宋体" w:eastAsia="宋体" w:cs="宋体"/>
          <w:color w:val="auto"/>
          <w:kern w:val="0"/>
          <w:szCs w:val="21"/>
          <w:highlight w:val="none"/>
        </w:rPr>
        <w:t>确定的</w:t>
      </w:r>
      <w:r>
        <w:rPr>
          <w:rFonts w:hint="eastAsia" w:ascii="宋体" w:hAnsi="宋体" w:eastAsia="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00617FD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6FA12DE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4.3对磋商文件作出的实质性变动是磋商文件的有效组成部分，由磋商小组及时以电子澄清函形式同时通知所有参加磋商的供应商。</w:t>
      </w:r>
    </w:p>
    <w:p w14:paraId="051E9B1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2CAC0D2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4.5磋商中，</w:t>
      </w:r>
      <w:r>
        <w:rPr>
          <w:rFonts w:hint="eastAsia" w:ascii="宋体" w:hAnsi="宋体" w:eastAsia="宋体" w:cs="宋体"/>
          <w:color w:val="auto"/>
          <w:spacing w:val="-6"/>
          <w:szCs w:val="21"/>
          <w:highlight w:val="none"/>
        </w:rPr>
        <w:t>磋商的任何一方不得透露与磋商有关的其他供应商的技术资料、价格和其他信息。</w:t>
      </w:r>
    </w:p>
    <w:p w14:paraId="2781FAB4">
      <w:pPr>
        <w:widowControl/>
        <w:tabs>
          <w:tab w:val="left" w:pos="540"/>
        </w:tabs>
        <w:spacing w:line="360" w:lineRule="auto"/>
        <w:ind w:firstLine="420" w:firstLineChars="200"/>
        <w:jc w:val="left"/>
        <w:rPr>
          <w:rFonts w:hint="eastAsia" w:ascii="宋体" w:hAnsi="宋体" w:eastAsia="宋体" w:cs="宋体"/>
          <w:b/>
          <w:color w:val="auto"/>
          <w:highlight w:val="none"/>
        </w:rPr>
      </w:pPr>
      <w:r>
        <w:rPr>
          <w:rFonts w:hint="eastAsia" w:ascii="宋体" w:hAnsi="宋体" w:eastAsia="宋体" w:cs="宋体"/>
          <w:color w:val="auto"/>
          <w:szCs w:val="21"/>
          <w:highlight w:val="none"/>
        </w:rPr>
        <w:t>4.6磋商小组应对磋商过程和重要磋商内容进行记录，作为评标报告一部分，磋商小组在记录上签字确认。</w:t>
      </w:r>
      <w:r>
        <w:rPr>
          <w:rFonts w:hint="eastAsia" w:ascii="宋体" w:hAnsi="宋体" w:eastAsia="宋体" w:cs="宋体"/>
          <w:b/>
          <w:color w:val="auto"/>
          <w:highlight w:val="none"/>
        </w:rPr>
        <w:t>主要内容包括：</w:t>
      </w:r>
    </w:p>
    <w:p w14:paraId="72501E27">
      <w:pPr>
        <w:pStyle w:val="34"/>
        <w:spacing w:before="0" w:line="360" w:lineRule="auto"/>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（1）按照相关规定进行公示的，公示情况说明；</w:t>
      </w:r>
    </w:p>
    <w:p w14:paraId="4FDE92E1">
      <w:pPr>
        <w:pStyle w:val="34"/>
        <w:spacing w:before="0" w:line="360" w:lineRule="auto"/>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（2）磋商日期和地点，磋商人员名单；</w:t>
      </w:r>
    </w:p>
    <w:p w14:paraId="374B9592">
      <w:pPr>
        <w:pStyle w:val="34"/>
        <w:spacing w:before="0" w:line="360" w:lineRule="auto"/>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（3）合同主要条款及价格商定情况。</w:t>
      </w:r>
    </w:p>
    <w:p w14:paraId="240F8A77">
      <w:pPr>
        <w:widowControl/>
        <w:tabs>
          <w:tab w:val="left" w:pos="540"/>
        </w:tabs>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4.7磋商过程中重新提交的响应文件，供应商可以在开启前补充、修改。</w:t>
      </w:r>
    </w:p>
    <w:p w14:paraId="31396214">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4.8对磋商过程提交的响应文件进行有效性、完整性和响应程度审查，通过审查的合格供应商不足3家的，采购人或者采购代理机构应当重新开展采购活动。</w:t>
      </w:r>
    </w:p>
    <w:p w14:paraId="02641618">
      <w:pPr>
        <w:spacing w:line="360" w:lineRule="auto"/>
        <w:ind w:firstLine="200"/>
        <w:rPr>
          <w:rFonts w:hint="eastAsia" w:ascii="宋体" w:hAnsi="宋体" w:eastAsia="宋体" w:cs="宋体"/>
          <w:color w:val="auto"/>
          <w:szCs w:val="21"/>
          <w:highlight w:val="none"/>
        </w:rPr>
      </w:pPr>
      <w:r>
        <w:rPr>
          <w:rFonts w:hint="eastAsia" w:ascii="宋体" w:hAnsi="宋体" w:eastAsia="宋体" w:cs="宋体"/>
          <w:b/>
          <w:bCs/>
          <w:color w:val="auto"/>
          <w:sz w:val="24"/>
          <w:highlight w:val="none"/>
        </w:rPr>
        <w:t>5. 最后报价</w:t>
      </w:r>
    </w:p>
    <w:p w14:paraId="112B776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2ABD623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3850C4A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07F5CD6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5.4已经提交响应文件的供应商，在提交最后报价之前，可以根据磋商情况退出磋商，退出磋商的供应商的响应文件按无效响应处理。</w:t>
      </w:r>
    </w:p>
    <w:p w14:paraId="26DCA9D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5.5供应商未在规定时间内提交最后报价的，视同退出磋商。</w:t>
      </w:r>
    </w:p>
    <w:p w14:paraId="5441A32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5.6磋商小组收齐某一分标最后报价后统一开启，磋商小组对最后报价进行有效性、完整性和响应程度的审查。</w:t>
      </w:r>
    </w:p>
    <w:p w14:paraId="29BAAC5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5.7最终响应文件的报价出现前后不一致的，按照本章第3.4条的规定修正。 </w:t>
      </w:r>
    </w:p>
    <w:p w14:paraId="4B3256F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5.8修正后的最终报价出现下列情形的，按无效响应处理：</w:t>
      </w:r>
    </w:p>
    <w:p w14:paraId="72644B1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（1）供应商不确认的（全流程电子化评标采取在线确认）；</w:t>
      </w:r>
    </w:p>
    <w:p w14:paraId="1C4D75B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（2）经供应商确认修正后的响应报价（包含首次报价、最后报价）超过所竞标分标规定的采购预算金额或者最高限价的（如本项目公布了最高限价）；</w:t>
      </w:r>
    </w:p>
    <w:p w14:paraId="20C3936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（3）经供应商确认修正后的响应报价（包含首次报价、最后报价）超过分项采购预算金额或者最高限价的（如本项目公布了最高限价）。</w:t>
      </w:r>
    </w:p>
    <w:p w14:paraId="56F5C4A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5.9经供应商确认修正后的最后报价作为评审及签订合同的依据。</w:t>
      </w:r>
    </w:p>
    <w:p w14:paraId="139DD55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5.10供应商出现最后报价按无效响应处理或者响应文件按无效处理时</w:t>
      </w:r>
      <w:r>
        <w:rPr>
          <w:rFonts w:hint="eastAsia" w:ascii="宋体" w:hAnsi="宋体" w:eastAsia="宋体" w:cs="宋体"/>
          <w:color w:val="auto"/>
          <w:sz w:val="22"/>
          <w:szCs w:val="22"/>
          <w:highlight w:val="none"/>
        </w:rPr>
        <w:t>，磋商小组应当告知有关供应商</w:t>
      </w:r>
      <w:r>
        <w:rPr>
          <w:rFonts w:hint="eastAsia" w:ascii="宋体" w:hAnsi="宋体" w:eastAsia="宋体" w:cs="宋体"/>
          <w:color w:val="auto"/>
          <w:szCs w:val="21"/>
          <w:highlight w:val="none"/>
        </w:rPr>
        <w:t>。</w:t>
      </w:r>
    </w:p>
    <w:p w14:paraId="3A6D15A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5.11最后报价结束后，磋商小组不得再与供应商进行任何形式的商谈。</w:t>
      </w:r>
    </w:p>
    <w:p w14:paraId="65536859">
      <w:pPr>
        <w:spacing w:line="360" w:lineRule="auto"/>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6.比较与评价</w:t>
      </w:r>
    </w:p>
    <w:p w14:paraId="338E2C2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6.1评审方法：综合评分法。</w:t>
      </w:r>
    </w:p>
    <w:p w14:paraId="54B1666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6.2经磋商确定最终采购需求和提交最后报价的供应商后，由磋商小组采用综合评分法对提交最后报价的供应商的响应文件和最后报价进行综合评分。</w:t>
      </w:r>
    </w:p>
    <w:p w14:paraId="5026E0E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6.3评审时，磋商小组各成员应当独立对每个有效响应的文件进行评价、打分，然后汇总每个供应商每项评分因素的得分。</w:t>
      </w:r>
    </w:p>
    <w:p w14:paraId="56081B1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（1）磋商小组按照磋商文件中规定的评审标准计算各供应商的报价得分。项目评审过程中，不得去掉最后报价中的最高报价和最低报价。</w:t>
      </w:r>
    </w:p>
    <w:p w14:paraId="462BC04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（2）各供应商的得分为磋商小组所有成员的有效评分的算术平均数。</w:t>
      </w:r>
    </w:p>
    <w:p w14:paraId="7132EB4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6.4评审价为供应商的最后报价进行政策性扣除后的价格，评审价只是作为评审时使用。最终成交供应商的成交金额等于最后报价（如有修正，以确认修正后的最后报价为准）。</w:t>
      </w:r>
    </w:p>
    <w:p w14:paraId="2B4FD04A">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6.5由磋商小组根据综合评分情况，按照评审得分由高到低顺序推荐3名以上成交候选供应商，并编写评</w:t>
      </w:r>
      <w:r>
        <w:rPr>
          <w:rFonts w:hint="eastAsia" w:ascii="宋体" w:hAnsi="宋体" w:eastAsia="宋体" w:cs="宋体"/>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7C66C1A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3B19426B">
      <w:pPr>
        <w:spacing w:line="360" w:lineRule="auto"/>
        <w:ind w:firstLine="0" w:firstLineChars="0"/>
        <w:rPr>
          <w:rFonts w:hint="eastAsia" w:ascii="宋体" w:hAnsi="宋体" w:eastAsia="宋体" w:cs="Times New Roman"/>
          <w:color w:val="auto"/>
          <w:szCs w:val="21"/>
          <w:highlight w:val="none"/>
        </w:rPr>
      </w:pPr>
      <w:r>
        <w:rPr>
          <w:rFonts w:hint="eastAsia" w:ascii="黑体" w:hAnsi="黑体" w:eastAsia="黑体" w:cs="宋体"/>
          <w:b/>
          <w:bCs/>
          <w:color w:val="auto"/>
          <w:sz w:val="24"/>
          <w:highlight w:val="none"/>
        </w:rPr>
        <w:t>7.评审复核</w:t>
      </w:r>
    </w:p>
    <w:p w14:paraId="2B24A9BD">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7.1评审报告签署前，</w:t>
      </w:r>
      <w:r>
        <w:rPr>
          <w:rFonts w:hint="eastAsia" w:ascii="宋体" w:hAnsi="宋体" w:cs="Times New Roman"/>
          <w:color w:val="auto"/>
          <w:szCs w:val="21"/>
          <w:highlight w:val="none"/>
          <w:lang w:eastAsia="zh-CN"/>
        </w:rPr>
        <w:t>磋商小组</w:t>
      </w:r>
      <w:r>
        <w:rPr>
          <w:rFonts w:hint="eastAsia" w:ascii="宋体" w:hAnsi="宋体" w:eastAsia="宋体" w:cs="Times New Roman"/>
          <w:color w:val="auto"/>
          <w:szCs w:val="21"/>
          <w:highlight w:val="none"/>
        </w:rPr>
        <w:t>要对评审结果进行复核，复核意见要体现在评审报告中。</w:t>
      </w:r>
    </w:p>
    <w:p w14:paraId="03E6C2D3">
      <w:pPr>
        <w:spacing w:line="360" w:lineRule="auto"/>
        <w:ind w:firstLine="409" w:firstLineChars="195"/>
        <w:rPr>
          <w:rFonts w:hint="eastAsia" w:ascii="宋体" w:hAnsi="宋体" w:eastAsia="宋体" w:cs="宋体"/>
          <w:b/>
          <w:bCs/>
          <w:color w:val="auto"/>
          <w:sz w:val="24"/>
          <w:highlight w:val="none"/>
        </w:rPr>
      </w:pPr>
      <w:r>
        <w:rPr>
          <w:rFonts w:hint="eastAsia" w:ascii="宋体" w:hAnsi="宋体" w:eastAsia="宋体" w:cs="宋体"/>
          <w:color w:val="auto"/>
          <w:kern w:val="0"/>
          <w:szCs w:val="21"/>
          <w:highlight w:val="none"/>
        </w:rPr>
        <w:t>7.2评审结果汇总完成后，采购人、采购代理机构和</w:t>
      </w:r>
      <w:r>
        <w:rPr>
          <w:rFonts w:hint="eastAsia" w:ascii="宋体" w:hAnsi="宋体" w:cs="宋体"/>
          <w:color w:val="auto"/>
          <w:kern w:val="0"/>
          <w:szCs w:val="21"/>
          <w:highlight w:val="none"/>
          <w:lang w:eastAsia="zh-CN"/>
        </w:rPr>
        <w:t>磋商小组</w:t>
      </w:r>
      <w:r>
        <w:rPr>
          <w:rFonts w:hint="eastAsia" w:ascii="宋体" w:hAnsi="宋体" w:eastAsia="宋体" w:cs="宋体"/>
          <w:color w:val="auto"/>
          <w:kern w:val="0"/>
          <w:szCs w:val="21"/>
          <w:highlight w:val="none"/>
        </w:rPr>
        <w:t>均不得修改评审结果或者要求重新评审，但资格性检查认定错误、分值汇总计算错误、分项评分超出评分标准范围、客观分评分不一致、经</w:t>
      </w:r>
      <w:r>
        <w:rPr>
          <w:rFonts w:hint="eastAsia" w:ascii="宋体" w:hAnsi="宋体" w:cs="宋体"/>
          <w:color w:val="auto"/>
          <w:kern w:val="0"/>
          <w:szCs w:val="21"/>
          <w:highlight w:val="none"/>
          <w:lang w:eastAsia="zh-CN"/>
        </w:rPr>
        <w:t>磋商小组</w:t>
      </w:r>
      <w:r>
        <w:rPr>
          <w:rFonts w:hint="eastAsia" w:ascii="宋体" w:hAnsi="宋体" w:eastAsia="宋体" w:cs="宋体"/>
          <w:color w:val="auto"/>
          <w:kern w:val="0"/>
          <w:szCs w:val="21"/>
          <w:highlight w:val="none"/>
        </w:rPr>
        <w:t>一致认定评分畸高、畸低的情形除外。出现上述除外情形的，</w:t>
      </w:r>
      <w:r>
        <w:rPr>
          <w:rFonts w:hint="eastAsia" w:ascii="宋体" w:hAnsi="宋体" w:cs="宋体"/>
          <w:color w:val="auto"/>
          <w:kern w:val="0"/>
          <w:szCs w:val="21"/>
          <w:highlight w:val="none"/>
          <w:lang w:eastAsia="zh-CN"/>
        </w:rPr>
        <w:t>磋商小组</w:t>
      </w:r>
      <w:r>
        <w:rPr>
          <w:rFonts w:hint="eastAsia" w:ascii="宋体" w:hAnsi="宋体" w:eastAsia="宋体" w:cs="宋体"/>
          <w:color w:val="auto"/>
          <w:kern w:val="0"/>
          <w:szCs w:val="21"/>
          <w:highlight w:val="none"/>
        </w:rPr>
        <w:t>应当现场修改评审结果，并在评审报告中明确记载。</w:t>
      </w:r>
    </w:p>
    <w:p w14:paraId="5F1E1EEB">
      <w:pPr>
        <w:spacing w:line="360" w:lineRule="auto"/>
        <w:ind w:firstLine="200"/>
        <w:rPr>
          <w:rFonts w:hint="eastAsia" w:ascii="宋体" w:hAnsi="宋体" w:eastAsia="宋体" w:cs="宋体"/>
          <w:b/>
          <w:bCs/>
          <w:color w:val="auto"/>
          <w:sz w:val="24"/>
          <w:highlight w:val="none"/>
        </w:rPr>
      </w:pPr>
      <w:r>
        <w:rPr>
          <w:rFonts w:hint="eastAsia" w:ascii="宋体" w:hAnsi="宋体" w:cs="宋体"/>
          <w:b/>
          <w:bCs/>
          <w:color w:val="auto"/>
          <w:sz w:val="24"/>
          <w:highlight w:val="none"/>
          <w:lang w:val="en-US" w:eastAsia="zh-CN"/>
        </w:rPr>
        <w:t>8</w:t>
      </w:r>
      <w:r>
        <w:rPr>
          <w:rFonts w:hint="eastAsia" w:ascii="宋体" w:hAnsi="宋体" w:eastAsia="宋体" w:cs="宋体"/>
          <w:b/>
          <w:bCs/>
          <w:color w:val="auto"/>
          <w:sz w:val="24"/>
          <w:highlight w:val="none"/>
        </w:rPr>
        <w:t>.评审标准</w:t>
      </w:r>
    </w:p>
    <w:p w14:paraId="3DDFF3DD">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8.1评审依据：磋商小组将以磋商响应文件为评审依据，对供应商的报价、技术、商务等方面内容按百分制打分。（计分方法按四舍五入取至百分位）</w:t>
      </w:r>
    </w:p>
    <w:p w14:paraId="6F23DBC7">
      <w:pPr>
        <w:spacing w:line="360" w:lineRule="auto"/>
        <w:ind w:firstLine="420" w:firstLineChars="200"/>
        <w:rPr>
          <w:rFonts w:hint="eastAsia" w:ascii="宋体" w:hAnsi="宋体" w:eastAsia="宋体" w:cs="Times New Roman"/>
          <w:color w:val="auto"/>
          <w:szCs w:val="21"/>
          <w:highlight w:val="none"/>
        </w:rPr>
      </w:pPr>
    </w:p>
    <w:p w14:paraId="5D08CF87">
      <w:pPr>
        <w:spacing w:line="360" w:lineRule="auto"/>
        <w:ind w:firstLine="420" w:firstLineChars="200"/>
        <w:rPr>
          <w:rFonts w:hint="eastAsia" w:ascii="宋体" w:hAnsi="宋体" w:eastAsia="宋体" w:cs="Times New Roman"/>
          <w:color w:val="auto"/>
          <w:szCs w:val="21"/>
          <w:highlight w:val="none"/>
        </w:rPr>
      </w:pPr>
    </w:p>
    <w:p w14:paraId="5DF41DE2">
      <w:pPr>
        <w:spacing w:line="360" w:lineRule="auto"/>
        <w:ind w:firstLine="420" w:firstLineChars="200"/>
        <w:rPr>
          <w:rFonts w:hint="eastAsia" w:ascii="宋体" w:hAnsi="宋体" w:eastAsia="宋体" w:cs="Times New Roman"/>
          <w:color w:val="auto"/>
          <w:szCs w:val="21"/>
          <w:highlight w:val="none"/>
        </w:rPr>
      </w:pPr>
    </w:p>
    <w:p w14:paraId="5FBA396F">
      <w:pPr>
        <w:spacing w:line="360" w:lineRule="auto"/>
        <w:ind w:firstLine="420" w:firstLineChars="200"/>
        <w:rPr>
          <w:rFonts w:hint="eastAsia" w:ascii="宋体" w:hAnsi="宋体" w:eastAsia="宋体" w:cs="Times New Roman"/>
          <w:color w:val="auto"/>
          <w:szCs w:val="21"/>
          <w:highlight w:val="none"/>
        </w:rPr>
      </w:pPr>
    </w:p>
    <w:p w14:paraId="6244081C">
      <w:pPr>
        <w:spacing w:line="360" w:lineRule="auto"/>
        <w:ind w:firstLine="420" w:firstLineChars="200"/>
        <w:rPr>
          <w:rFonts w:hint="eastAsia" w:ascii="宋体" w:hAnsi="宋体" w:eastAsia="宋体" w:cs="Times New Roman"/>
          <w:color w:val="auto"/>
          <w:szCs w:val="21"/>
          <w:highlight w:val="none"/>
        </w:rPr>
      </w:pPr>
    </w:p>
    <w:p w14:paraId="17903D1E">
      <w:pPr>
        <w:spacing w:line="360" w:lineRule="auto"/>
        <w:ind w:firstLine="420" w:firstLineChars="200"/>
        <w:rPr>
          <w:rFonts w:hint="eastAsia" w:ascii="宋体" w:hAnsi="宋体" w:eastAsia="宋体" w:cs="Times New Roman"/>
          <w:color w:val="auto"/>
          <w:szCs w:val="21"/>
          <w:highlight w:val="none"/>
        </w:rPr>
      </w:pPr>
    </w:p>
    <w:p w14:paraId="0437B990">
      <w:pPr>
        <w:spacing w:line="360" w:lineRule="auto"/>
        <w:ind w:firstLine="420" w:firstLineChars="200"/>
        <w:rPr>
          <w:rFonts w:hint="eastAsia" w:ascii="宋体" w:hAnsi="宋体" w:eastAsia="宋体" w:cs="Times New Roman"/>
          <w:color w:val="auto"/>
          <w:szCs w:val="21"/>
          <w:highlight w:val="none"/>
        </w:rPr>
      </w:pPr>
    </w:p>
    <w:p w14:paraId="664E78FD">
      <w:pPr>
        <w:spacing w:line="360" w:lineRule="auto"/>
        <w:ind w:firstLine="420" w:firstLineChars="200"/>
        <w:rPr>
          <w:rFonts w:hint="eastAsia" w:ascii="宋体" w:hAnsi="宋体" w:eastAsia="宋体" w:cs="Times New Roman"/>
          <w:color w:val="auto"/>
          <w:szCs w:val="21"/>
          <w:highlight w:val="none"/>
        </w:rPr>
      </w:pPr>
    </w:p>
    <w:p w14:paraId="661E50C6">
      <w:pPr>
        <w:spacing w:line="360" w:lineRule="auto"/>
        <w:ind w:firstLine="420" w:firstLineChars="200"/>
        <w:rPr>
          <w:rFonts w:hint="eastAsia" w:ascii="宋体" w:hAnsi="宋体" w:eastAsia="宋体" w:cs="Times New Roman"/>
          <w:color w:val="auto"/>
          <w:szCs w:val="21"/>
          <w:highlight w:val="none"/>
        </w:rPr>
      </w:pPr>
    </w:p>
    <w:p w14:paraId="02405ECE">
      <w:pPr>
        <w:spacing w:line="360" w:lineRule="auto"/>
        <w:ind w:firstLine="420" w:firstLineChars="200"/>
        <w:rPr>
          <w:rFonts w:hint="eastAsia" w:ascii="宋体" w:hAnsi="宋体" w:eastAsia="宋体" w:cs="Times New Roman"/>
          <w:color w:val="auto"/>
          <w:szCs w:val="21"/>
          <w:highlight w:val="none"/>
        </w:rPr>
      </w:pPr>
    </w:p>
    <w:p w14:paraId="1B18B678">
      <w:pPr>
        <w:spacing w:line="360" w:lineRule="auto"/>
        <w:ind w:firstLine="420" w:firstLineChars="200"/>
        <w:rPr>
          <w:rFonts w:hint="eastAsia" w:ascii="宋体" w:hAnsi="宋体" w:eastAsia="宋体" w:cs="Times New Roman"/>
          <w:color w:val="auto"/>
          <w:szCs w:val="21"/>
          <w:highlight w:val="none"/>
        </w:rPr>
      </w:pPr>
    </w:p>
    <w:p w14:paraId="5E157C14">
      <w:pPr>
        <w:spacing w:line="360" w:lineRule="auto"/>
        <w:ind w:firstLine="420" w:firstLineChars="200"/>
        <w:rPr>
          <w:rFonts w:hint="eastAsia" w:ascii="宋体" w:hAnsi="宋体" w:eastAsia="宋体" w:cs="Times New Roman"/>
          <w:color w:val="auto"/>
          <w:szCs w:val="21"/>
          <w:highlight w:val="none"/>
        </w:rPr>
      </w:pPr>
    </w:p>
    <w:p w14:paraId="6576DE0E">
      <w:pPr>
        <w:spacing w:line="360" w:lineRule="auto"/>
        <w:ind w:firstLine="420" w:firstLineChars="200"/>
        <w:rPr>
          <w:rFonts w:hint="eastAsia" w:ascii="宋体" w:hAnsi="宋体" w:eastAsia="宋体" w:cs="Times New Roman"/>
          <w:color w:val="auto"/>
          <w:szCs w:val="21"/>
          <w:highlight w:val="none"/>
        </w:rPr>
      </w:pPr>
    </w:p>
    <w:p w14:paraId="4FF2534E">
      <w:pPr>
        <w:spacing w:line="360" w:lineRule="auto"/>
        <w:ind w:firstLine="420" w:firstLineChars="200"/>
        <w:rPr>
          <w:rFonts w:hint="eastAsia" w:ascii="宋体" w:hAnsi="宋体" w:eastAsia="宋体" w:cs="Times New Roman"/>
          <w:color w:val="auto"/>
          <w:szCs w:val="21"/>
          <w:highlight w:val="none"/>
        </w:rPr>
      </w:pPr>
    </w:p>
    <w:tbl>
      <w:tblPr>
        <w:tblStyle w:val="27"/>
        <w:tblpPr w:leftFromText="180" w:rightFromText="180" w:vertAnchor="text" w:horzAnchor="page" w:tblpX="1232" w:tblpY="227"/>
        <w:tblOverlap w:val="never"/>
        <w:tblW w:w="100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825"/>
        <w:gridCol w:w="900"/>
        <w:gridCol w:w="6906"/>
        <w:gridCol w:w="783"/>
      </w:tblGrid>
      <w:tr w14:paraId="0C140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trPr>
        <w:tc>
          <w:tcPr>
            <w:tcW w:w="610" w:type="dxa"/>
            <w:noWrap w:val="0"/>
            <w:vAlign w:val="center"/>
          </w:tcPr>
          <w:p w14:paraId="36EA0B3A">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序号</w:t>
            </w:r>
          </w:p>
        </w:tc>
        <w:tc>
          <w:tcPr>
            <w:tcW w:w="1725" w:type="dxa"/>
            <w:gridSpan w:val="2"/>
            <w:noWrap w:val="0"/>
            <w:vAlign w:val="center"/>
          </w:tcPr>
          <w:p w14:paraId="1CD826B3">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评审因素</w:t>
            </w:r>
          </w:p>
        </w:tc>
        <w:tc>
          <w:tcPr>
            <w:tcW w:w="6906" w:type="dxa"/>
            <w:noWrap w:val="0"/>
            <w:vAlign w:val="center"/>
          </w:tcPr>
          <w:p w14:paraId="1DB21E8D">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评审因素具体内容</w:t>
            </w:r>
          </w:p>
        </w:tc>
        <w:tc>
          <w:tcPr>
            <w:tcW w:w="783" w:type="dxa"/>
            <w:noWrap w:val="0"/>
            <w:vAlign w:val="center"/>
          </w:tcPr>
          <w:p w14:paraId="7640E593">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分值</w:t>
            </w:r>
          </w:p>
        </w:tc>
      </w:tr>
      <w:tr w14:paraId="6939D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6" w:hRule="atLeast"/>
        </w:trPr>
        <w:tc>
          <w:tcPr>
            <w:tcW w:w="610" w:type="dxa"/>
            <w:noWrap w:val="0"/>
            <w:vAlign w:val="center"/>
          </w:tcPr>
          <w:p w14:paraId="6724311A">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725" w:type="dxa"/>
            <w:gridSpan w:val="2"/>
            <w:noWrap w:val="0"/>
            <w:vAlign w:val="center"/>
          </w:tcPr>
          <w:p w14:paraId="3E0C954C">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价格分</w:t>
            </w:r>
          </w:p>
        </w:tc>
        <w:tc>
          <w:tcPr>
            <w:tcW w:w="6906" w:type="dxa"/>
            <w:noWrap w:val="0"/>
            <w:vAlign w:val="center"/>
          </w:tcPr>
          <w:p w14:paraId="1BD907A7">
            <w:pPr>
              <w:spacing w:line="360" w:lineRule="auto"/>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w:t>
            </w:r>
            <w:r>
              <w:rPr>
                <w:rFonts w:hint="eastAsia" w:ascii="宋体" w:hAnsi="宋体" w:eastAsia="宋体" w:cs="Times New Roman"/>
                <w:bCs/>
                <w:color w:val="auto"/>
                <w:szCs w:val="21"/>
                <w:highlight w:val="none"/>
                <w:lang w:val="en-US" w:eastAsia="zh-CN"/>
              </w:rPr>
              <w:t>1</w:t>
            </w:r>
            <w:r>
              <w:rPr>
                <w:rFonts w:hint="eastAsia" w:ascii="宋体" w:hAnsi="宋体" w:eastAsia="宋体" w:cs="Times New Roman"/>
                <w:bCs/>
                <w:color w:val="auto"/>
                <w:szCs w:val="21"/>
                <w:highlight w:val="none"/>
              </w:rPr>
              <w:t>）本项目为专门面向</w:t>
            </w:r>
            <w:r>
              <w:rPr>
                <w:rFonts w:hint="eastAsia" w:ascii="宋体" w:hAnsi="宋体" w:eastAsia="宋体" w:cs="Times New Roman"/>
                <w:bCs/>
                <w:color w:val="auto"/>
                <w:szCs w:val="21"/>
                <w:highlight w:val="none"/>
                <w:lang w:val="en-US" w:eastAsia="zh-CN"/>
              </w:rPr>
              <w:t>小微</w:t>
            </w:r>
            <w:r>
              <w:rPr>
                <w:rFonts w:hint="eastAsia" w:ascii="宋体" w:hAnsi="宋体" w:eastAsia="宋体" w:cs="Times New Roman"/>
                <w:bCs/>
                <w:color w:val="auto"/>
                <w:szCs w:val="21"/>
                <w:highlight w:val="none"/>
              </w:rPr>
              <w:t>企业采购项目，不执行价格扣除优惠政策，评审报价＝最后报价；</w:t>
            </w:r>
          </w:p>
          <w:p w14:paraId="60CC7144">
            <w:pPr>
              <w:spacing w:line="360" w:lineRule="auto"/>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w:t>
            </w:r>
            <w:r>
              <w:rPr>
                <w:rFonts w:hint="eastAsia" w:ascii="宋体" w:hAnsi="宋体" w:eastAsia="宋体" w:cs="Times New Roman"/>
                <w:bCs/>
                <w:color w:val="auto"/>
                <w:szCs w:val="21"/>
                <w:highlight w:val="none"/>
                <w:lang w:val="en-US" w:eastAsia="zh-CN"/>
              </w:rPr>
              <w:t>2</w:t>
            </w:r>
            <w:r>
              <w:rPr>
                <w:rFonts w:hint="eastAsia" w:ascii="宋体" w:hAnsi="宋体" w:eastAsia="宋体" w:cs="Times New Roman"/>
                <w:bCs/>
                <w:color w:val="auto"/>
                <w:szCs w:val="21"/>
                <w:highlight w:val="none"/>
              </w:rPr>
              <w:t>）以进入比较与评价环节的最低的评审报价为基准价，基准价得分为10分。</w:t>
            </w:r>
          </w:p>
          <w:p w14:paraId="52D68522">
            <w:pPr>
              <w:spacing w:line="360" w:lineRule="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（3）价格分计算公式：某供应商价格分=基准价/某供应商评标价×10分</w:t>
            </w:r>
          </w:p>
          <w:p w14:paraId="69A63404">
            <w:pPr>
              <w:spacing w:line="360" w:lineRule="auto"/>
              <w:ind w:firstLine="420" w:firstLineChars="200"/>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报价属于采购文件规定异常低价情况之一，磋商小组应当要求其在评标现场合理的时间内提供书面说明，必要时提交相关证明材料；投标人不能证明其报价合理性的，磋商小组会将其作为无效竞标处理。</w:t>
            </w:r>
          </w:p>
        </w:tc>
        <w:tc>
          <w:tcPr>
            <w:tcW w:w="783" w:type="dxa"/>
            <w:noWrap w:val="0"/>
            <w:vAlign w:val="center"/>
          </w:tcPr>
          <w:p w14:paraId="5C193D86">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w:t>
            </w:r>
            <w:r>
              <w:rPr>
                <w:rFonts w:hint="eastAsia" w:ascii="宋体" w:hAnsi="宋体" w:eastAsia="宋体" w:cs="宋体"/>
                <w:b w:val="0"/>
                <w:bCs/>
                <w:color w:val="auto"/>
                <w:kern w:val="0"/>
                <w:szCs w:val="21"/>
                <w:highlight w:val="none"/>
              </w:rPr>
              <w:t>分</w:t>
            </w:r>
          </w:p>
        </w:tc>
      </w:tr>
      <w:tr w14:paraId="37B83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610" w:type="dxa"/>
            <w:noWrap w:val="0"/>
            <w:vAlign w:val="center"/>
          </w:tcPr>
          <w:p w14:paraId="21EB8BD7">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w:t>
            </w:r>
          </w:p>
        </w:tc>
        <w:tc>
          <w:tcPr>
            <w:tcW w:w="1725" w:type="dxa"/>
            <w:gridSpan w:val="2"/>
            <w:noWrap w:val="0"/>
            <w:vAlign w:val="center"/>
          </w:tcPr>
          <w:p w14:paraId="3A7B51FB">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技术分</w:t>
            </w:r>
          </w:p>
        </w:tc>
        <w:tc>
          <w:tcPr>
            <w:tcW w:w="6906" w:type="dxa"/>
            <w:noWrap w:val="0"/>
            <w:vAlign w:val="center"/>
          </w:tcPr>
          <w:p w14:paraId="70BFEF7F">
            <w:pPr>
              <w:keepNext w:val="0"/>
              <w:keepLines w:val="0"/>
              <w:pageBreakBefore w:val="0"/>
              <w:widowControl/>
              <w:kinsoku/>
              <w:wordWrap/>
              <w:overflowPunct/>
              <w:topLinePunct w:val="0"/>
              <w:bidi w:val="0"/>
              <w:spacing w:line="400" w:lineRule="exact"/>
              <w:ind w:firstLine="422" w:firstLineChars="200"/>
              <w:jc w:val="center"/>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评审因素</w:t>
            </w:r>
          </w:p>
        </w:tc>
        <w:tc>
          <w:tcPr>
            <w:tcW w:w="783" w:type="dxa"/>
            <w:noWrap w:val="0"/>
            <w:vAlign w:val="top"/>
          </w:tcPr>
          <w:p w14:paraId="7FB60ED8">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80</w:t>
            </w:r>
            <w:r>
              <w:rPr>
                <w:rFonts w:hint="eastAsia" w:ascii="宋体" w:hAnsi="宋体" w:eastAsia="宋体" w:cs="宋体"/>
                <w:b/>
                <w:color w:val="auto"/>
                <w:kern w:val="0"/>
                <w:szCs w:val="21"/>
                <w:highlight w:val="none"/>
              </w:rPr>
              <w:t>分</w:t>
            </w:r>
          </w:p>
        </w:tc>
      </w:tr>
      <w:tr w14:paraId="22EB7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4" w:hRule="atLeast"/>
        </w:trPr>
        <w:tc>
          <w:tcPr>
            <w:tcW w:w="610" w:type="dxa"/>
            <w:noWrap w:val="0"/>
            <w:vAlign w:val="center"/>
          </w:tcPr>
          <w:p w14:paraId="226458BE">
            <w:pPr>
              <w:keepNext w:val="0"/>
              <w:keepLines w:val="0"/>
              <w:pageBreakBefore w:val="0"/>
              <w:widowControl/>
              <w:kinsoku/>
              <w:wordWrap/>
              <w:overflowPunct/>
              <w:topLinePunct w:val="0"/>
              <w:bidi w:val="0"/>
              <w:spacing w:line="400" w:lineRule="exact"/>
              <w:jc w:val="center"/>
              <w:textAlignment w:val="auto"/>
              <w:rPr>
                <w:rFonts w:hint="default" w:ascii="宋体" w:hAnsi="宋体" w:eastAsia="宋体" w:cs="宋体"/>
                <w:b w:val="0"/>
                <w:bCs/>
                <w:color w:val="auto"/>
                <w:kern w:val="0"/>
                <w:szCs w:val="21"/>
                <w:highlight w:val="none"/>
                <w:lang w:val="en-US" w:eastAsia="zh-CN"/>
              </w:rPr>
            </w:pPr>
            <w:r>
              <w:rPr>
                <w:rFonts w:hint="eastAsia" w:ascii="宋体" w:hAnsi="宋体" w:eastAsia="宋体" w:cs="宋体"/>
                <w:b w:val="0"/>
                <w:bCs/>
                <w:color w:val="auto"/>
                <w:kern w:val="0"/>
                <w:szCs w:val="21"/>
                <w:highlight w:val="none"/>
                <w:lang w:val="en-US" w:eastAsia="zh-CN"/>
              </w:rPr>
              <w:t>2.1</w:t>
            </w:r>
          </w:p>
        </w:tc>
        <w:tc>
          <w:tcPr>
            <w:tcW w:w="825" w:type="dxa"/>
            <w:vMerge w:val="restart"/>
            <w:noWrap w:val="0"/>
            <w:vAlign w:val="center"/>
          </w:tcPr>
          <w:p w14:paraId="49B13DE3">
            <w:pPr>
              <w:adjustRightInd w:val="0"/>
              <w:spacing w:line="400" w:lineRule="exact"/>
              <w:jc w:val="center"/>
              <w:textAlignment w:val="baseline"/>
              <w:rPr>
                <w:rFonts w:hint="default" w:ascii="宋体" w:hAnsi="宋体" w:eastAsia="宋体" w:cs="宋体"/>
                <w:b w:val="0"/>
                <w:bCs/>
                <w:color w:val="auto"/>
                <w:kern w:val="0"/>
                <w:szCs w:val="21"/>
                <w:highlight w:val="none"/>
                <w:lang w:val="en-US" w:eastAsia="zh-CN"/>
              </w:rPr>
            </w:pPr>
            <w:r>
              <w:rPr>
                <w:rFonts w:hint="eastAsia" w:ascii="宋体" w:hAnsi="宋体" w:cs="宋体"/>
                <w:b w:val="0"/>
                <w:bCs/>
                <w:color w:val="auto"/>
                <w:kern w:val="0"/>
                <w:szCs w:val="21"/>
                <w:highlight w:val="none"/>
                <w:lang w:val="en-US" w:eastAsia="zh-CN"/>
              </w:rPr>
              <w:t>施工组织设计</w:t>
            </w:r>
          </w:p>
        </w:tc>
        <w:tc>
          <w:tcPr>
            <w:tcW w:w="900" w:type="dxa"/>
            <w:noWrap w:val="0"/>
            <w:vAlign w:val="center"/>
          </w:tcPr>
          <w:p w14:paraId="76E29982">
            <w:pPr>
              <w:adjustRightInd w:val="0"/>
              <w:spacing w:line="400" w:lineRule="exact"/>
              <w:jc w:val="center"/>
              <w:textAlignment w:val="baseline"/>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施工方案与技术措施</w:t>
            </w:r>
          </w:p>
        </w:tc>
        <w:tc>
          <w:tcPr>
            <w:tcW w:w="6906" w:type="dxa"/>
            <w:noWrap w:val="0"/>
            <w:vAlign w:val="center"/>
          </w:tcPr>
          <w:p w14:paraId="604AC7C2">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lang w:val="en-US" w:eastAsia="zh-CN"/>
              </w:rPr>
              <w:t>三档</w:t>
            </w:r>
            <w:r>
              <w:rPr>
                <w:rFonts w:hint="eastAsia" w:ascii="宋体" w:hAnsi="宋体" w:eastAsia="宋体" w:cs="宋体"/>
                <w:bCs/>
                <w:color w:val="auto"/>
                <w:highlight w:val="none"/>
                <w:lang w:eastAsia="zh-CN"/>
              </w:rPr>
              <w:t>（</w:t>
            </w:r>
            <w:r>
              <w:rPr>
                <w:rFonts w:hint="eastAsia" w:ascii="宋体" w:hAnsi="宋体" w:eastAsia="宋体" w:cs="宋体"/>
                <w:bCs/>
                <w:color w:val="auto"/>
                <w:highlight w:val="none"/>
                <w:lang w:val="en-US" w:eastAsia="zh-CN"/>
              </w:rPr>
              <w:t>15分</w:t>
            </w:r>
            <w:r>
              <w:rPr>
                <w:rFonts w:hint="eastAsia" w:ascii="宋体" w:hAnsi="宋体" w:eastAsia="宋体" w:cs="宋体"/>
                <w:bCs/>
                <w:color w:val="auto"/>
                <w:highlight w:val="none"/>
                <w:lang w:eastAsia="zh-CN"/>
              </w:rPr>
              <w:t>）</w:t>
            </w:r>
            <w:r>
              <w:rPr>
                <w:rFonts w:hint="eastAsia" w:ascii="宋体" w:hAnsi="宋体" w:eastAsia="宋体" w:cs="宋体"/>
                <w:bCs/>
                <w:color w:val="auto"/>
                <w:highlight w:val="none"/>
              </w:rPr>
              <w:t>：对项目的施工总体条件有全面认识，施工段划分呼应总体表述，划分清晰、合理、切合本工程实际，施工方法合理，技术措施具体、先进、有效。</w:t>
            </w:r>
          </w:p>
          <w:p w14:paraId="34A15683">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lang w:val="en-US" w:eastAsia="zh-CN"/>
              </w:rPr>
              <w:t>二档</w:t>
            </w:r>
            <w:r>
              <w:rPr>
                <w:rFonts w:hint="eastAsia" w:ascii="宋体" w:hAnsi="宋体" w:eastAsia="宋体" w:cs="宋体"/>
                <w:bCs/>
                <w:color w:val="auto"/>
                <w:highlight w:val="none"/>
                <w:lang w:eastAsia="zh-CN"/>
              </w:rPr>
              <w:t>（</w:t>
            </w:r>
            <w:r>
              <w:rPr>
                <w:rFonts w:hint="eastAsia" w:ascii="宋体" w:hAnsi="宋体" w:eastAsia="宋体" w:cs="宋体"/>
                <w:bCs/>
                <w:color w:val="auto"/>
                <w:highlight w:val="none"/>
                <w:lang w:val="en-US" w:eastAsia="zh-CN"/>
              </w:rPr>
              <w:t>10分</w:t>
            </w:r>
            <w:r>
              <w:rPr>
                <w:rFonts w:hint="eastAsia" w:ascii="宋体" w:hAnsi="宋体" w:eastAsia="宋体" w:cs="宋体"/>
                <w:bCs/>
                <w:color w:val="auto"/>
                <w:highlight w:val="none"/>
                <w:lang w:eastAsia="zh-CN"/>
              </w:rPr>
              <w:t>）</w:t>
            </w:r>
            <w:r>
              <w:rPr>
                <w:rFonts w:hint="eastAsia" w:ascii="宋体" w:hAnsi="宋体" w:eastAsia="宋体" w:cs="宋体"/>
                <w:bCs/>
                <w:color w:val="auto"/>
                <w:highlight w:val="none"/>
              </w:rPr>
              <w:t>：对项目的施工总体条件有认识，施工段划分可行、切合实际可行，施工方法简单合理，施工技术措施具体，但不详细、不清晰。</w:t>
            </w:r>
          </w:p>
          <w:p w14:paraId="756CEE44">
            <w:pPr>
              <w:spacing w:line="360" w:lineRule="auto"/>
              <w:ind w:firstLine="420" w:firstLineChars="200"/>
              <w:rPr>
                <w:rFonts w:hint="eastAsia" w:ascii="宋体" w:hAnsi="宋体" w:eastAsia="宋体" w:cs="Courier New"/>
                <w:bCs/>
                <w:color w:val="auto"/>
                <w:kern w:val="2"/>
                <w:sz w:val="21"/>
                <w:szCs w:val="21"/>
                <w:highlight w:val="none"/>
              </w:rPr>
            </w:pPr>
            <w:r>
              <w:rPr>
                <w:rFonts w:hint="eastAsia" w:ascii="宋体" w:hAnsi="宋体" w:eastAsia="宋体" w:cs="宋体"/>
                <w:bCs/>
                <w:color w:val="auto"/>
                <w:highlight w:val="none"/>
                <w:lang w:val="en-US" w:eastAsia="zh-CN"/>
              </w:rPr>
              <w:t>一档</w:t>
            </w:r>
            <w:r>
              <w:rPr>
                <w:rFonts w:hint="eastAsia" w:ascii="宋体" w:hAnsi="宋体" w:eastAsia="宋体" w:cs="宋体"/>
                <w:bCs/>
                <w:color w:val="auto"/>
                <w:highlight w:val="none"/>
                <w:lang w:eastAsia="zh-CN"/>
              </w:rPr>
              <w:t>（</w:t>
            </w:r>
            <w:r>
              <w:rPr>
                <w:rFonts w:hint="eastAsia" w:ascii="宋体" w:hAnsi="宋体" w:eastAsia="宋体" w:cs="宋体"/>
                <w:bCs/>
                <w:color w:val="auto"/>
                <w:highlight w:val="none"/>
                <w:lang w:val="en-US" w:eastAsia="zh-CN"/>
              </w:rPr>
              <w:t>5分</w:t>
            </w:r>
            <w:r>
              <w:rPr>
                <w:rFonts w:hint="eastAsia" w:ascii="宋体" w:hAnsi="宋体" w:eastAsia="宋体" w:cs="宋体"/>
                <w:bCs/>
                <w:color w:val="auto"/>
                <w:highlight w:val="none"/>
                <w:lang w:eastAsia="zh-CN"/>
              </w:rPr>
              <w:t>）</w:t>
            </w:r>
            <w:r>
              <w:rPr>
                <w:rFonts w:hint="eastAsia" w:ascii="宋体" w:hAnsi="宋体" w:eastAsia="宋体" w:cs="宋体"/>
                <w:bCs/>
                <w:color w:val="auto"/>
                <w:highlight w:val="none"/>
              </w:rPr>
              <w:t>：对项目的施工总体条件简单的认识，施工段划分一般、基本切合实际，施工方法一般，施工技术措施不够具体。</w:t>
            </w:r>
          </w:p>
        </w:tc>
        <w:tc>
          <w:tcPr>
            <w:tcW w:w="783" w:type="dxa"/>
            <w:noWrap w:val="0"/>
            <w:vAlign w:val="center"/>
          </w:tcPr>
          <w:p w14:paraId="04D7539E">
            <w:pPr>
              <w:keepNext w:val="0"/>
              <w:keepLines w:val="0"/>
              <w:pageBreakBefore w:val="0"/>
              <w:widowControl/>
              <w:kinsoku/>
              <w:wordWrap/>
              <w:overflowPunct/>
              <w:topLinePunct w:val="0"/>
              <w:bidi w:val="0"/>
              <w:spacing w:line="400" w:lineRule="exact"/>
              <w:jc w:val="center"/>
              <w:textAlignment w:val="auto"/>
              <w:rPr>
                <w:rFonts w:hint="default" w:ascii="宋体" w:hAnsi="宋体" w:eastAsia="宋体" w:cs="宋体"/>
                <w:b w:val="0"/>
                <w:bCs/>
                <w:color w:val="auto"/>
                <w:kern w:val="0"/>
                <w:szCs w:val="21"/>
                <w:highlight w:val="none"/>
                <w:lang w:val="en-US" w:eastAsia="zh-CN"/>
              </w:rPr>
            </w:pPr>
            <w:r>
              <w:rPr>
                <w:rFonts w:hint="eastAsia" w:ascii="宋体" w:hAnsi="宋体" w:eastAsia="宋体" w:cs="宋体"/>
                <w:b w:val="0"/>
                <w:bCs/>
                <w:color w:val="auto"/>
                <w:kern w:val="0"/>
                <w:szCs w:val="21"/>
                <w:highlight w:val="none"/>
                <w:lang w:val="en-US" w:eastAsia="zh-CN"/>
              </w:rPr>
              <w:t>15分</w:t>
            </w:r>
          </w:p>
        </w:tc>
      </w:tr>
      <w:tr w14:paraId="5829A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610" w:type="dxa"/>
            <w:noWrap w:val="0"/>
            <w:vAlign w:val="center"/>
          </w:tcPr>
          <w:p w14:paraId="111988F5">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bCs/>
                <w:color w:val="auto"/>
                <w:kern w:val="0"/>
                <w:szCs w:val="21"/>
                <w:highlight w:val="none"/>
                <w:lang w:eastAsia="zh-CN"/>
              </w:rPr>
            </w:pPr>
            <w:r>
              <w:rPr>
                <w:rFonts w:hint="eastAsia" w:ascii="宋体" w:hAnsi="宋体" w:eastAsia="宋体" w:cs="宋体"/>
                <w:bCs/>
                <w:color w:val="auto"/>
                <w:kern w:val="0"/>
                <w:szCs w:val="21"/>
                <w:highlight w:val="none"/>
              </w:rPr>
              <w:t>2.</w:t>
            </w:r>
            <w:r>
              <w:rPr>
                <w:rFonts w:hint="eastAsia" w:ascii="宋体" w:hAnsi="宋体" w:eastAsia="宋体" w:cs="宋体"/>
                <w:bCs/>
                <w:color w:val="auto"/>
                <w:kern w:val="0"/>
                <w:szCs w:val="21"/>
                <w:highlight w:val="none"/>
                <w:lang w:val="en-US" w:eastAsia="zh-CN"/>
              </w:rPr>
              <w:t>2</w:t>
            </w:r>
          </w:p>
        </w:tc>
        <w:tc>
          <w:tcPr>
            <w:tcW w:w="825" w:type="dxa"/>
            <w:vMerge w:val="continue"/>
            <w:noWrap w:val="0"/>
            <w:vAlign w:val="center"/>
          </w:tcPr>
          <w:p w14:paraId="71B998DD">
            <w:pPr>
              <w:adjustRightInd w:val="0"/>
              <w:spacing w:line="400" w:lineRule="exact"/>
              <w:jc w:val="center"/>
              <w:textAlignment w:val="baseline"/>
              <w:rPr>
                <w:rFonts w:hint="eastAsia" w:ascii="宋体" w:hAnsi="宋体" w:eastAsia="宋体" w:cs="宋体"/>
                <w:bCs/>
                <w:color w:val="auto"/>
                <w:kern w:val="0"/>
                <w:sz w:val="21"/>
                <w:szCs w:val="21"/>
                <w:highlight w:val="none"/>
              </w:rPr>
            </w:pPr>
          </w:p>
        </w:tc>
        <w:tc>
          <w:tcPr>
            <w:tcW w:w="900" w:type="dxa"/>
            <w:noWrap w:val="0"/>
            <w:vAlign w:val="center"/>
          </w:tcPr>
          <w:p w14:paraId="08C31CA6">
            <w:pPr>
              <w:adjustRightInd w:val="0"/>
              <w:spacing w:line="400" w:lineRule="exact"/>
              <w:jc w:val="center"/>
              <w:textAlignment w:val="baseline"/>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质量管理体系与措施</w:t>
            </w:r>
          </w:p>
        </w:tc>
        <w:tc>
          <w:tcPr>
            <w:tcW w:w="6906" w:type="dxa"/>
            <w:noWrap w:val="0"/>
            <w:vAlign w:val="center"/>
          </w:tcPr>
          <w:p w14:paraId="7CBBB6C1">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lang w:val="en-US" w:eastAsia="zh-CN"/>
              </w:rPr>
              <w:t xml:space="preserve">三档（15分）：质量目标明确，质量管控体系健全（包括组织结构、人员分工、施工现场质量控制的措施和手段、原材料质量检测、单元工程验收和质量评定、质量控制奖罚机制等）质量事件（缺陷、事故）应急措施得当、可行。 </w:t>
            </w:r>
          </w:p>
          <w:p w14:paraId="04F30520">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lang w:val="en-US" w:eastAsia="zh-CN"/>
              </w:rPr>
              <w:t xml:space="preserve">二档（10分）：质量目标较明确，质量管控体系基本健全（包括组织结构、人员分工、施工现场质量控制的措施和手段、原材料质量检测、单元工程验收和质量评定、质量控制奖罚机制等）质量事件（缺陷、事故）应急措施基本得当、可行。 </w:t>
            </w:r>
          </w:p>
          <w:p w14:paraId="789F6977">
            <w:pPr>
              <w:spacing w:line="360" w:lineRule="auto"/>
              <w:ind w:firstLine="420" w:firstLineChars="200"/>
              <w:rPr>
                <w:rFonts w:eastAsia="宋体"/>
                <w:color w:val="auto"/>
                <w:sz w:val="21"/>
                <w:szCs w:val="21"/>
                <w:highlight w:val="none"/>
              </w:rPr>
            </w:pPr>
            <w:r>
              <w:rPr>
                <w:rFonts w:hint="eastAsia" w:ascii="宋体" w:hAnsi="宋体" w:eastAsia="宋体" w:cs="宋体"/>
                <w:bCs/>
                <w:color w:val="auto"/>
                <w:highlight w:val="none"/>
                <w:lang w:val="en-US" w:eastAsia="zh-CN"/>
              </w:rPr>
              <w:t xml:space="preserve">一档（5分）：质量目标不明确，质量管控体系基本或不健全（包括组织结构、人员分工、施工现场质量控制的措施和手段、原材料质量检测、单元工程验收和质量评定、质量控制奖罚机制等）质量事件（缺陷、事故）应急措施一般。 </w:t>
            </w:r>
          </w:p>
        </w:tc>
        <w:tc>
          <w:tcPr>
            <w:tcW w:w="783" w:type="dxa"/>
            <w:noWrap w:val="0"/>
            <w:vAlign w:val="center"/>
          </w:tcPr>
          <w:p w14:paraId="2D889CD0">
            <w:pPr>
              <w:keepNext w:val="0"/>
              <w:keepLines w:val="0"/>
              <w:pageBreakBefore w:val="0"/>
              <w:widowControl w:val="0"/>
              <w:kinsoku/>
              <w:wordWrap/>
              <w:overflowPunct/>
              <w:topLinePunct w:val="0"/>
              <w:bidi w:val="0"/>
              <w:spacing w:line="400" w:lineRule="exact"/>
              <w:jc w:val="center"/>
              <w:textAlignment w:val="auto"/>
              <w:rPr>
                <w:rFonts w:hint="eastAsia" w:ascii="宋体" w:hAnsi="宋体" w:eastAsia="宋体" w:cs="Courier New"/>
                <w:bCs/>
                <w:color w:val="auto"/>
                <w:kern w:val="2"/>
                <w:sz w:val="21"/>
                <w:szCs w:val="21"/>
                <w:highlight w:val="none"/>
                <w:lang w:val="en-US" w:eastAsia="zh-CN" w:bidi="ar-SA"/>
              </w:rPr>
            </w:pPr>
            <w:r>
              <w:rPr>
                <w:rFonts w:hint="eastAsia" w:ascii="宋体" w:hAnsi="宋体" w:eastAsia="宋体" w:cs="Courier New"/>
                <w:bCs/>
                <w:color w:val="auto"/>
                <w:kern w:val="2"/>
                <w:sz w:val="21"/>
                <w:szCs w:val="21"/>
                <w:highlight w:val="none"/>
                <w:lang w:val="en-US" w:eastAsia="zh-CN" w:bidi="ar-SA"/>
              </w:rPr>
              <w:t>15分</w:t>
            </w:r>
          </w:p>
          <w:p w14:paraId="7970F248">
            <w:pPr>
              <w:keepNext w:val="0"/>
              <w:keepLines w:val="0"/>
              <w:pageBreakBefore w:val="0"/>
              <w:kinsoku/>
              <w:wordWrap/>
              <w:overflowPunct/>
              <w:topLinePunct w:val="0"/>
              <w:bidi w:val="0"/>
              <w:spacing w:line="400" w:lineRule="exact"/>
              <w:jc w:val="center"/>
              <w:textAlignment w:val="auto"/>
              <w:rPr>
                <w:rFonts w:ascii="宋体" w:hAnsi="宋体" w:eastAsia="宋体" w:cs="宋体"/>
                <w:bCs/>
                <w:color w:val="auto"/>
                <w:kern w:val="0"/>
                <w:sz w:val="21"/>
                <w:szCs w:val="21"/>
                <w:highlight w:val="none"/>
              </w:rPr>
            </w:pPr>
          </w:p>
        </w:tc>
      </w:tr>
      <w:tr w14:paraId="57A60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2" w:hRule="atLeast"/>
        </w:trPr>
        <w:tc>
          <w:tcPr>
            <w:tcW w:w="610" w:type="dxa"/>
            <w:noWrap w:val="0"/>
            <w:vAlign w:val="center"/>
          </w:tcPr>
          <w:p w14:paraId="27BD2636">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bCs/>
                <w:color w:val="auto"/>
                <w:kern w:val="0"/>
                <w:szCs w:val="21"/>
                <w:highlight w:val="none"/>
                <w:lang w:eastAsia="zh-CN"/>
              </w:rPr>
            </w:pPr>
            <w:r>
              <w:rPr>
                <w:rFonts w:hint="eastAsia" w:ascii="宋体" w:hAnsi="宋体" w:eastAsia="宋体" w:cs="宋体"/>
                <w:bCs/>
                <w:color w:val="auto"/>
                <w:kern w:val="0"/>
                <w:szCs w:val="21"/>
                <w:highlight w:val="none"/>
              </w:rPr>
              <w:t>2.</w:t>
            </w:r>
            <w:r>
              <w:rPr>
                <w:rFonts w:hint="eastAsia" w:ascii="宋体" w:hAnsi="宋体" w:eastAsia="宋体" w:cs="宋体"/>
                <w:bCs/>
                <w:color w:val="auto"/>
                <w:kern w:val="0"/>
                <w:szCs w:val="21"/>
                <w:highlight w:val="none"/>
                <w:lang w:val="en-US" w:eastAsia="zh-CN"/>
              </w:rPr>
              <w:t>3</w:t>
            </w:r>
          </w:p>
        </w:tc>
        <w:tc>
          <w:tcPr>
            <w:tcW w:w="825" w:type="dxa"/>
            <w:vMerge w:val="continue"/>
            <w:noWrap w:val="0"/>
            <w:vAlign w:val="center"/>
          </w:tcPr>
          <w:p w14:paraId="4649F81A">
            <w:pPr>
              <w:adjustRightInd w:val="0"/>
              <w:spacing w:line="400" w:lineRule="exact"/>
              <w:jc w:val="center"/>
              <w:textAlignment w:val="baseline"/>
              <w:rPr>
                <w:rFonts w:hint="eastAsia" w:ascii="宋体" w:hAnsi="宋体" w:eastAsia="宋体" w:cs="宋体"/>
                <w:bCs/>
                <w:color w:val="auto"/>
                <w:kern w:val="0"/>
                <w:sz w:val="21"/>
                <w:szCs w:val="21"/>
                <w:highlight w:val="none"/>
              </w:rPr>
            </w:pPr>
          </w:p>
        </w:tc>
        <w:tc>
          <w:tcPr>
            <w:tcW w:w="900" w:type="dxa"/>
            <w:noWrap w:val="0"/>
            <w:vAlign w:val="center"/>
          </w:tcPr>
          <w:p w14:paraId="708CD618">
            <w:pPr>
              <w:adjustRightInd w:val="0"/>
              <w:spacing w:line="400" w:lineRule="exact"/>
              <w:jc w:val="center"/>
              <w:textAlignment w:val="baseline"/>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安全管理体系与措施</w:t>
            </w:r>
          </w:p>
        </w:tc>
        <w:tc>
          <w:tcPr>
            <w:tcW w:w="6906" w:type="dxa"/>
            <w:noWrap w:val="0"/>
            <w:vAlign w:val="center"/>
          </w:tcPr>
          <w:p w14:paraId="47542175">
            <w:pPr>
              <w:spacing w:line="360" w:lineRule="auto"/>
              <w:ind w:firstLine="420" w:firstLineChars="200"/>
              <w:rPr>
                <w:rFonts w:hint="eastAsia" w:ascii="宋体" w:hAnsi="宋体" w:eastAsia="宋体" w:cs="宋体"/>
                <w:bCs/>
                <w:color w:val="auto"/>
                <w:highlight w:val="none"/>
                <w:lang w:val="en-US" w:eastAsia="zh-CN"/>
              </w:rPr>
            </w:pPr>
            <w:r>
              <w:rPr>
                <w:rFonts w:hint="eastAsia" w:ascii="宋体" w:hAnsi="宋体" w:eastAsia="宋体" w:cs="宋体"/>
                <w:bCs/>
                <w:color w:val="auto"/>
                <w:highlight w:val="none"/>
                <w:lang w:val="en-US" w:eastAsia="zh-CN"/>
              </w:rPr>
              <w:t>三档（15分）：有专门的安全管理人员和制度，且人员配备合理，制度健全，各道工序安全技术措施针对性强，确保工程质量的技术组织措施符合实际且满足有关安全技术标准要求。现场防火、应急救援、社会治安安全措施得力。</w:t>
            </w:r>
          </w:p>
          <w:p w14:paraId="5677E11E">
            <w:pPr>
              <w:spacing w:line="360" w:lineRule="auto"/>
              <w:ind w:firstLine="420" w:firstLineChars="200"/>
              <w:rPr>
                <w:rFonts w:hint="eastAsia" w:ascii="宋体" w:hAnsi="宋体" w:eastAsia="宋体" w:cs="宋体"/>
                <w:bCs/>
                <w:color w:val="auto"/>
                <w:highlight w:val="none"/>
                <w:lang w:val="en-US" w:eastAsia="zh-CN"/>
              </w:rPr>
            </w:pPr>
            <w:r>
              <w:rPr>
                <w:rFonts w:hint="eastAsia" w:ascii="宋体" w:hAnsi="宋体" w:eastAsia="宋体" w:cs="宋体"/>
                <w:bCs/>
                <w:color w:val="auto"/>
                <w:highlight w:val="none"/>
                <w:lang w:val="en-US" w:eastAsia="zh-CN"/>
              </w:rPr>
              <w:t xml:space="preserve">二档（10分）：有专门的安全管理人员和制度，且人员配备合理，制度健全，各道工序安全技术措施针对性一般，确保工程质量的技术组织措施符合实际且基本满足有关安全技术标准要求。现场防火、应急救援、社会治安安全措施一般。 </w:t>
            </w:r>
          </w:p>
          <w:p w14:paraId="76B077B6">
            <w:pPr>
              <w:spacing w:line="360" w:lineRule="auto"/>
              <w:ind w:firstLine="420" w:firstLineChars="200"/>
              <w:rPr>
                <w:rFonts w:hint="eastAsia" w:ascii="宋体" w:hAnsi="宋体" w:eastAsia="宋体" w:cs="宋体"/>
                <w:bCs/>
                <w:color w:val="auto"/>
                <w:kern w:val="0"/>
                <w:sz w:val="21"/>
                <w:szCs w:val="21"/>
                <w:highlight w:val="none"/>
              </w:rPr>
            </w:pPr>
            <w:r>
              <w:rPr>
                <w:rFonts w:hint="eastAsia" w:ascii="宋体" w:hAnsi="宋体" w:eastAsia="宋体" w:cs="宋体"/>
                <w:bCs/>
                <w:color w:val="auto"/>
                <w:highlight w:val="none"/>
                <w:lang w:val="en-US" w:eastAsia="zh-CN"/>
              </w:rPr>
              <w:t xml:space="preserve">一档（5分）：有专门的安全管理人员和制度，人员配备不合理，制度不健全，各道工序安全技术措施针无对性，不满足有关安全技术标准要求。现场防火、应急救援、社会治安安全措施不得力。 </w:t>
            </w:r>
          </w:p>
        </w:tc>
        <w:tc>
          <w:tcPr>
            <w:tcW w:w="783" w:type="dxa"/>
            <w:noWrap w:val="0"/>
            <w:vAlign w:val="center"/>
          </w:tcPr>
          <w:p w14:paraId="30F0DE81">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Courier New"/>
                <w:bCs/>
                <w:color w:val="auto"/>
                <w:kern w:val="2"/>
                <w:sz w:val="21"/>
                <w:szCs w:val="21"/>
                <w:highlight w:val="none"/>
                <w:lang w:val="en-US" w:eastAsia="zh-CN"/>
              </w:rPr>
              <w:t>15</w:t>
            </w:r>
            <w:r>
              <w:rPr>
                <w:rFonts w:hint="eastAsia" w:ascii="宋体" w:hAnsi="宋体" w:eastAsia="宋体" w:cs="Courier New"/>
                <w:bCs/>
                <w:color w:val="auto"/>
                <w:kern w:val="2"/>
                <w:sz w:val="21"/>
                <w:szCs w:val="21"/>
                <w:highlight w:val="none"/>
              </w:rPr>
              <w:t>分</w:t>
            </w:r>
          </w:p>
        </w:tc>
      </w:tr>
      <w:tr w14:paraId="3CD85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6" w:hRule="atLeast"/>
        </w:trPr>
        <w:tc>
          <w:tcPr>
            <w:tcW w:w="610" w:type="dxa"/>
            <w:noWrap w:val="0"/>
            <w:vAlign w:val="center"/>
          </w:tcPr>
          <w:p w14:paraId="773CDA2A">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bCs/>
                <w:color w:val="auto"/>
                <w:kern w:val="0"/>
                <w:szCs w:val="21"/>
                <w:highlight w:val="none"/>
                <w:lang w:eastAsia="zh-CN"/>
              </w:rPr>
            </w:pPr>
            <w:r>
              <w:rPr>
                <w:rFonts w:hint="eastAsia" w:ascii="宋体" w:hAnsi="宋体" w:eastAsia="宋体" w:cs="宋体"/>
                <w:bCs/>
                <w:color w:val="auto"/>
                <w:kern w:val="0"/>
                <w:szCs w:val="21"/>
                <w:highlight w:val="none"/>
              </w:rPr>
              <w:t>2.</w:t>
            </w:r>
            <w:r>
              <w:rPr>
                <w:rFonts w:hint="eastAsia" w:ascii="宋体" w:hAnsi="宋体" w:eastAsia="宋体" w:cs="宋体"/>
                <w:bCs/>
                <w:color w:val="auto"/>
                <w:kern w:val="0"/>
                <w:szCs w:val="21"/>
                <w:highlight w:val="none"/>
                <w:lang w:val="en-US" w:eastAsia="zh-CN"/>
              </w:rPr>
              <w:t>4</w:t>
            </w:r>
          </w:p>
        </w:tc>
        <w:tc>
          <w:tcPr>
            <w:tcW w:w="825" w:type="dxa"/>
            <w:vMerge w:val="continue"/>
            <w:noWrap w:val="0"/>
            <w:vAlign w:val="center"/>
          </w:tcPr>
          <w:p w14:paraId="7D3EBDE0">
            <w:pPr>
              <w:adjustRightInd w:val="0"/>
              <w:spacing w:line="400" w:lineRule="exact"/>
              <w:jc w:val="center"/>
              <w:textAlignment w:val="baseline"/>
              <w:rPr>
                <w:rFonts w:hint="eastAsia" w:ascii="宋体" w:hAnsi="宋体" w:eastAsia="宋体" w:cs="宋体"/>
                <w:bCs/>
                <w:color w:val="auto"/>
                <w:kern w:val="0"/>
                <w:sz w:val="21"/>
                <w:szCs w:val="21"/>
                <w:highlight w:val="none"/>
              </w:rPr>
            </w:pPr>
          </w:p>
        </w:tc>
        <w:tc>
          <w:tcPr>
            <w:tcW w:w="900" w:type="dxa"/>
            <w:noWrap w:val="0"/>
            <w:vAlign w:val="center"/>
          </w:tcPr>
          <w:p w14:paraId="2E6803E9">
            <w:pPr>
              <w:adjustRightInd w:val="0"/>
              <w:spacing w:line="400" w:lineRule="exact"/>
              <w:jc w:val="center"/>
              <w:textAlignment w:val="baseline"/>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环境保护管理体系与措施</w:t>
            </w:r>
          </w:p>
        </w:tc>
        <w:tc>
          <w:tcPr>
            <w:tcW w:w="6906" w:type="dxa"/>
            <w:noWrap w:val="0"/>
            <w:vAlign w:val="center"/>
          </w:tcPr>
          <w:p w14:paraId="3512482D">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lang w:val="en-US" w:eastAsia="zh-CN"/>
              </w:rPr>
              <w:t>三</w:t>
            </w:r>
            <w:r>
              <w:rPr>
                <w:rFonts w:hint="eastAsia" w:ascii="宋体" w:hAnsi="宋体" w:eastAsia="宋体" w:cs="宋体"/>
                <w:bCs/>
                <w:color w:val="auto"/>
                <w:highlight w:val="none"/>
              </w:rPr>
              <w:t>档</w:t>
            </w:r>
            <w:r>
              <w:rPr>
                <w:rFonts w:hint="eastAsia" w:ascii="宋体" w:hAnsi="宋体" w:eastAsia="宋体" w:cs="宋体"/>
                <w:bCs/>
                <w:color w:val="auto"/>
                <w:highlight w:val="none"/>
                <w:lang w:val="en-US" w:eastAsia="zh-CN"/>
              </w:rPr>
              <w:t xml:space="preserve">（10分）：环境保护目标明确，环境保护管理体系健全，预防和控制（包括大气、水、噪声、固体废物、人群等环保工程）具有针对性、内容全面、可行。 </w:t>
            </w:r>
          </w:p>
          <w:p w14:paraId="14B02390">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lang w:val="en-US" w:eastAsia="zh-CN"/>
              </w:rPr>
              <w:t xml:space="preserve">二档（6分）：环境保护目标较明确，环境保护管理体系较健全，预防和控制（包括大气、水、噪声、固体废物、人群等环保工程）具较有针对性，内容较全面、可行。 </w:t>
            </w:r>
          </w:p>
          <w:p w14:paraId="0735F9E8">
            <w:pPr>
              <w:spacing w:line="360" w:lineRule="auto"/>
              <w:ind w:firstLine="420" w:firstLineChars="200"/>
              <w:rPr>
                <w:rFonts w:hint="eastAsia" w:ascii="宋体" w:hAnsi="宋体" w:eastAsia="宋体" w:cs="宋体"/>
                <w:bCs/>
                <w:color w:val="auto"/>
                <w:kern w:val="0"/>
                <w:sz w:val="21"/>
                <w:szCs w:val="21"/>
                <w:highlight w:val="none"/>
              </w:rPr>
            </w:pPr>
            <w:r>
              <w:rPr>
                <w:rFonts w:hint="eastAsia" w:ascii="宋体" w:hAnsi="宋体" w:eastAsia="宋体" w:cs="宋体"/>
                <w:bCs/>
                <w:color w:val="auto"/>
                <w:highlight w:val="none"/>
                <w:lang w:val="en-US" w:eastAsia="zh-CN"/>
              </w:rPr>
              <w:t xml:space="preserve">一档（3分）：环境保护目标基本或不明确，环境保护管理体系基本健全，预防和控制（包括大气、水、噪声、固体废物、人群等环保工程）针对性一般，内容一般。 </w:t>
            </w:r>
          </w:p>
        </w:tc>
        <w:tc>
          <w:tcPr>
            <w:tcW w:w="783" w:type="dxa"/>
            <w:noWrap w:val="0"/>
            <w:vAlign w:val="center"/>
          </w:tcPr>
          <w:p w14:paraId="7E7F3C66">
            <w:pPr>
              <w:keepNext w:val="0"/>
              <w:keepLines w:val="0"/>
              <w:pageBreakBefore w:val="0"/>
              <w:widowControl w:val="0"/>
              <w:kinsoku/>
              <w:wordWrap/>
              <w:overflowPunct/>
              <w:topLinePunct w:val="0"/>
              <w:bidi w:val="0"/>
              <w:spacing w:line="400" w:lineRule="exact"/>
              <w:jc w:val="center"/>
              <w:textAlignment w:val="auto"/>
              <w:rPr>
                <w:rFonts w:hint="eastAsia" w:ascii="宋体" w:hAnsi="宋体" w:eastAsia="宋体" w:cs="Courier New"/>
                <w:bCs/>
                <w:color w:val="auto"/>
                <w:kern w:val="2"/>
                <w:sz w:val="21"/>
                <w:szCs w:val="21"/>
                <w:highlight w:val="none"/>
                <w:lang w:val="en-US" w:eastAsia="zh-CN" w:bidi="ar-SA"/>
              </w:rPr>
            </w:pPr>
            <w:r>
              <w:rPr>
                <w:rFonts w:hint="eastAsia" w:ascii="宋体" w:hAnsi="宋体" w:eastAsia="宋体" w:cs="Courier New"/>
                <w:bCs/>
                <w:color w:val="auto"/>
                <w:kern w:val="2"/>
                <w:sz w:val="21"/>
                <w:szCs w:val="21"/>
                <w:highlight w:val="none"/>
                <w:lang w:val="en-US" w:eastAsia="zh-CN" w:bidi="ar-SA"/>
              </w:rPr>
              <w:t>10分</w:t>
            </w:r>
          </w:p>
          <w:p w14:paraId="71A4B633">
            <w:pPr>
              <w:pStyle w:val="44"/>
              <w:keepNext w:val="0"/>
              <w:keepLines w:val="0"/>
              <w:pageBreakBefore w:val="0"/>
              <w:kinsoku/>
              <w:wordWrap/>
              <w:overflowPunct/>
              <w:topLinePunct w:val="0"/>
              <w:bidi w:val="0"/>
              <w:spacing w:line="400" w:lineRule="exact"/>
              <w:ind w:firstLine="720" w:firstLineChars="0"/>
              <w:textAlignment w:val="auto"/>
              <w:rPr>
                <w:rFonts w:ascii="宋体" w:hAnsi="宋体" w:cs="宋体"/>
                <w:bCs/>
                <w:color w:val="auto"/>
                <w:kern w:val="0"/>
                <w:sz w:val="21"/>
                <w:szCs w:val="21"/>
                <w:highlight w:val="none"/>
              </w:rPr>
            </w:pPr>
          </w:p>
        </w:tc>
      </w:tr>
      <w:tr w14:paraId="216AB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9" w:hRule="atLeast"/>
        </w:trPr>
        <w:tc>
          <w:tcPr>
            <w:tcW w:w="610" w:type="dxa"/>
            <w:noWrap w:val="0"/>
            <w:vAlign w:val="center"/>
          </w:tcPr>
          <w:p w14:paraId="3DB897BC">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bCs/>
                <w:color w:val="auto"/>
                <w:kern w:val="0"/>
                <w:szCs w:val="21"/>
                <w:highlight w:val="none"/>
                <w:lang w:eastAsia="zh-CN"/>
              </w:rPr>
            </w:pPr>
            <w:r>
              <w:rPr>
                <w:rFonts w:hint="eastAsia" w:ascii="宋体" w:hAnsi="宋体" w:eastAsia="宋体" w:cs="宋体"/>
                <w:bCs/>
                <w:color w:val="auto"/>
                <w:kern w:val="0"/>
                <w:szCs w:val="21"/>
                <w:highlight w:val="none"/>
              </w:rPr>
              <w:t>2.</w:t>
            </w:r>
            <w:r>
              <w:rPr>
                <w:rFonts w:hint="eastAsia" w:ascii="宋体" w:hAnsi="宋体" w:eastAsia="宋体" w:cs="宋体"/>
                <w:bCs/>
                <w:color w:val="auto"/>
                <w:kern w:val="0"/>
                <w:szCs w:val="21"/>
                <w:highlight w:val="none"/>
                <w:lang w:val="en-US" w:eastAsia="zh-CN"/>
              </w:rPr>
              <w:t>5</w:t>
            </w:r>
          </w:p>
        </w:tc>
        <w:tc>
          <w:tcPr>
            <w:tcW w:w="825" w:type="dxa"/>
            <w:vMerge w:val="continue"/>
            <w:noWrap w:val="0"/>
            <w:vAlign w:val="center"/>
          </w:tcPr>
          <w:p w14:paraId="734786D7">
            <w:pPr>
              <w:adjustRightInd w:val="0"/>
              <w:spacing w:line="400" w:lineRule="exact"/>
              <w:jc w:val="center"/>
              <w:textAlignment w:val="baseline"/>
              <w:rPr>
                <w:rFonts w:hint="eastAsia" w:ascii="宋体" w:hAnsi="宋体" w:eastAsia="宋体" w:cs="宋体"/>
                <w:bCs/>
                <w:color w:val="auto"/>
                <w:kern w:val="0"/>
                <w:sz w:val="21"/>
                <w:szCs w:val="21"/>
                <w:highlight w:val="none"/>
              </w:rPr>
            </w:pPr>
          </w:p>
        </w:tc>
        <w:tc>
          <w:tcPr>
            <w:tcW w:w="900" w:type="dxa"/>
            <w:noWrap w:val="0"/>
            <w:vAlign w:val="center"/>
          </w:tcPr>
          <w:p w14:paraId="3997B64F">
            <w:pPr>
              <w:adjustRightInd w:val="0"/>
              <w:spacing w:line="400" w:lineRule="exact"/>
              <w:jc w:val="center"/>
              <w:textAlignment w:val="baseline"/>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工程进度计划与措施</w:t>
            </w:r>
          </w:p>
        </w:tc>
        <w:tc>
          <w:tcPr>
            <w:tcW w:w="6906" w:type="dxa"/>
            <w:noWrap w:val="0"/>
            <w:vAlign w:val="center"/>
          </w:tcPr>
          <w:p w14:paraId="72255E07">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lang w:val="en-US" w:eastAsia="zh-CN"/>
              </w:rPr>
              <w:t>三</w:t>
            </w:r>
            <w:r>
              <w:rPr>
                <w:rFonts w:hint="eastAsia" w:ascii="宋体" w:hAnsi="宋体" w:eastAsia="宋体" w:cs="宋体"/>
                <w:bCs/>
                <w:color w:val="auto"/>
                <w:highlight w:val="none"/>
              </w:rPr>
              <w:t>档</w:t>
            </w:r>
            <w:r>
              <w:rPr>
                <w:rFonts w:hint="eastAsia" w:ascii="宋体" w:hAnsi="宋体" w:eastAsia="宋体" w:cs="宋体"/>
                <w:bCs/>
                <w:color w:val="auto"/>
                <w:highlight w:val="none"/>
                <w:lang w:val="en-US" w:eastAsia="zh-CN"/>
              </w:rPr>
              <w:t xml:space="preserve">（15分）：施工总体进度计划得当，进度计划网络图清晰合理，完全满足招标文件要求，施工强度分析可靠，各关键节点的工期切实可行，控制性项目安排得当，保证工期的措施科学，工程进度补救措施可行，完全能保证在项目要求的总工期内完成。 </w:t>
            </w:r>
          </w:p>
          <w:p w14:paraId="7A2F236C">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lang w:val="en-US" w:eastAsia="zh-CN"/>
              </w:rPr>
              <w:t xml:space="preserve">二档（10分）：施工总体进度计划较得当，进度计划网络图较清晰合理，较满足招标文件要求，施工强度分析较可靠，各关键节点的工期较切实可行，控制性项目安排较得当，保证工期的措施较科学，工程进度补救措施基本可行，基本能保证在项目要求的总工期内完成。 </w:t>
            </w:r>
          </w:p>
          <w:p w14:paraId="13A0DA31">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highlight w:val="none"/>
                <w:lang w:val="en-US" w:eastAsia="zh-CN"/>
              </w:rPr>
              <w:t xml:space="preserve">一档（5分）：施工总体进度计划基本得当，进度计划网络图基本清晰合理，基本满足招标文件要求，施工强度分析一般，各关键点的工期基本切实可行，控制性项目安排基本得当，保证工期的措施一般，工程进度补救措施一般，基本能保证在项目要求的总工期内完成。 </w:t>
            </w:r>
          </w:p>
        </w:tc>
        <w:tc>
          <w:tcPr>
            <w:tcW w:w="783" w:type="dxa"/>
            <w:noWrap w:val="0"/>
            <w:vAlign w:val="center"/>
          </w:tcPr>
          <w:p w14:paraId="243441F7">
            <w:pPr>
              <w:keepNext w:val="0"/>
              <w:keepLines w:val="0"/>
              <w:pageBreakBefore w:val="0"/>
              <w:kinsoku/>
              <w:wordWrap/>
              <w:overflowPunct/>
              <w:topLinePunct w:val="0"/>
              <w:bidi w:val="0"/>
              <w:spacing w:line="400" w:lineRule="exact"/>
              <w:jc w:val="center"/>
              <w:textAlignment w:val="auto"/>
              <w:rPr>
                <w:rFonts w:ascii="宋体" w:hAnsi="宋体" w:eastAsia="宋体" w:cs="宋体"/>
                <w:bCs/>
                <w:color w:val="auto"/>
                <w:kern w:val="0"/>
                <w:sz w:val="21"/>
                <w:szCs w:val="21"/>
                <w:highlight w:val="none"/>
              </w:rPr>
            </w:pPr>
            <w:r>
              <w:rPr>
                <w:rFonts w:hint="eastAsia" w:ascii="宋体" w:hAnsi="宋体" w:eastAsia="宋体" w:cs="Courier New"/>
                <w:bCs/>
                <w:color w:val="auto"/>
                <w:kern w:val="2"/>
                <w:sz w:val="21"/>
                <w:szCs w:val="21"/>
                <w:highlight w:val="none"/>
                <w:lang w:val="en-US" w:eastAsia="zh-CN"/>
              </w:rPr>
              <w:t>15</w:t>
            </w:r>
            <w:r>
              <w:rPr>
                <w:rFonts w:hint="eastAsia" w:ascii="宋体" w:hAnsi="宋体" w:eastAsia="宋体" w:cs="Courier New"/>
                <w:bCs/>
                <w:color w:val="auto"/>
                <w:kern w:val="2"/>
                <w:sz w:val="21"/>
                <w:szCs w:val="21"/>
                <w:highlight w:val="none"/>
              </w:rPr>
              <w:t>分</w:t>
            </w:r>
          </w:p>
        </w:tc>
      </w:tr>
      <w:tr w14:paraId="340B1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9" w:hRule="atLeast"/>
        </w:trPr>
        <w:tc>
          <w:tcPr>
            <w:tcW w:w="610" w:type="dxa"/>
            <w:noWrap w:val="0"/>
            <w:vAlign w:val="center"/>
          </w:tcPr>
          <w:p w14:paraId="5279A5AD">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bCs/>
                <w:color w:val="auto"/>
                <w:kern w:val="0"/>
                <w:szCs w:val="21"/>
                <w:highlight w:val="none"/>
                <w:lang w:eastAsia="zh-CN"/>
              </w:rPr>
            </w:pPr>
            <w:r>
              <w:rPr>
                <w:rFonts w:hint="eastAsia" w:ascii="宋体" w:hAnsi="宋体" w:eastAsia="宋体" w:cs="宋体"/>
                <w:bCs/>
                <w:color w:val="auto"/>
                <w:kern w:val="0"/>
                <w:szCs w:val="21"/>
                <w:highlight w:val="none"/>
              </w:rPr>
              <w:t>2.</w:t>
            </w:r>
            <w:r>
              <w:rPr>
                <w:rFonts w:hint="eastAsia" w:ascii="宋体" w:hAnsi="宋体" w:eastAsia="宋体" w:cs="宋体"/>
                <w:bCs/>
                <w:color w:val="auto"/>
                <w:kern w:val="0"/>
                <w:szCs w:val="21"/>
                <w:highlight w:val="none"/>
                <w:lang w:val="en-US" w:eastAsia="zh-CN"/>
              </w:rPr>
              <w:t>6</w:t>
            </w:r>
          </w:p>
        </w:tc>
        <w:tc>
          <w:tcPr>
            <w:tcW w:w="825" w:type="dxa"/>
            <w:vMerge w:val="continue"/>
            <w:noWrap w:val="0"/>
            <w:vAlign w:val="center"/>
          </w:tcPr>
          <w:p w14:paraId="65C1ADB0">
            <w:pPr>
              <w:adjustRightInd w:val="0"/>
              <w:spacing w:line="400" w:lineRule="exact"/>
              <w:jc w:val="center"/>
              <w:textAlignment w:val="baseline"/>
              <w:rPr>
                <w:rFonts w:hint="eastAsia" w:ascii="宋体" w:hAnsi="宋体" w:eastAsia="宋体" w:cs="宋体"/>
                <w:bCs/>
                <w:color w:val="auto"/>
                <w:kern w:val="0"/>
                <w:sz w:val="21"/>
                <w:szCs w:val="21"/>
                <w:highlight w:val="none"/>
              </w:rPr>
            </w:pPr>
          </w:p>
        </w:tc>
        <w:tc>
          <w:tcPr>
            <w:tcW w:w="900" w:type="dxa"/>
            <w:noWrap w:val="0"/>
            <w:vAlign w:val="center"/>
          </w:tcPr>
          <w:p w14:paraId="3B0F76C5">
            <w:pPr>
              <w:adjustRightInd w:val="0"/>
              <w:spacing w:line="400" w:lineRule="exact"/>
              <w:jc w:val="center"/>
              <w:textAlignment w:val="baseline"/>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资源配置计划</w:t>
            </w:r>
          </w:p>
        </w:tc>
        <w:tc>
          <w:tcPr>
            <w:tcW w:w="6906" w:type="dxa"/>
            <w:noWrap w:val="0"/>
            <w:vAlign w:val="center"/>
          </w:tcPr>
          <w:p w14:paraId="64E16797">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lang w:val="en-US" w:eastAsia="zh-CN"/>
              </w:rPr>
              <w:t>三</w:t>
            </w:r>
            <w:r>
              <w:rPr>
                <w:rFonts w:hint="eastAsia" w:ascii="宋体" w:hAnsi="宋体" w:eastAsia="宋体" w:cs="宋体"/>
                <w:bCs/>
                <w:color w:val="auto"/>
                <w:highlight w:val="none"/>
              </w:rPr>
              <w:t>档</w:t>
            </w:r>
            <w:r>
              <w:rPr>
                <w:rFonts w:hint="eastAsia" w:ascii="宋体" w:hAnsi="宋体" w:eastAsia="宋体" w:cs="宋体"/>
                <w:bCs/>
                <w:color w:val="auto"/>
                <w:highlight w:val="none"/>
                <w:lang w:val="en-US" w:eastAsia="zh-CN"/>
              </w:rPr>
              <w:t>（10分）：</w:t>
            </w:r>
            <w:r>
              <w:rPr>
                <w:rFonts w:hint="eastAsia" w:ascii="宋体" w:hAnsi="宋体" w:eastAsia="宋体" w:cs="宋体"/>
                <w:bCs/>
                <w:color w:val="auto"/>
                <w:highlight w:val="none"/>
              </w:rPr>
              <w:t>各类施工及试验设备的配备类型、进场时间与施工组织设计完美相符，设备数量有效合理、类型完整齐全，有保证设备良好运行工况的措施，合理的满足施工需要。各类人员配备专业、进场时间与施工组织设计完全相符，人员数量、专业技能满足施工要求，有保证施工人员相对稳定的措施；</w:t>
            </w:r>
          </w:p>
          <w:p w14:paraId="65986BD2">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lang w:val="en-US" w:eastAsia="zh-CN"/>
              </w:rPr>
              <w:t>二档（6分）</w:t>
            </w:r>
            <w:r>
              <w:rPr>
                <w:rFonts w:hint="eastAsia" w:ascii="宋体" w:hAnsi="宋体" w:eastAsia="宋体" w:cs="宋体"/>
                <w:bCs/>
                <w:color w:val="auto"/>
                <w:highlight w:val="none"/>
              </w:rPr>
              <w:t>：各类施工及试验设备的配备类型、进场时间与施工组织设计相符，设备数量合理、类型齐全，满足施工需要。各类人员配备专业、进场时间与施工组织设计相符，人员数量、专业技能满足施工要求；</w:t>
            </w:r>
          </w:p>
          <w:p w14:paraId="2B7FB733">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highlight w:val="none"/>
                <w:lang w:val="en-US" w:eastAsia="zh-CN"/>
              </w:rPr>
              <w:t>一档（3分）</w:t>
            </w:r>
            <w:r>
              <w:rPr>
                <w:rFonts w:hint="eastAsia" w:ascii="宋体" w:hAnsi="宋体" w:eastAsia="宋体" w:cs="宋体"/>
                <w:bCs/>
                <w:color w:val="auto"/>
                <w:highlight w:val="none"/>
              </w:rPr>
              <w:t>：各类施工及试验设备的配备类型、进场时间与施工组织设计基本相符，设备数量基本合理、但类型基不齐全，基本满足施工需要。各类人员的配备基本专业、进场时间与施工组织设计基本相符，人员数量、专业技能基本满足施工要求；</w:t>
            </w:r>
          </w:p>
        </w:tc>
        <w:tc>
          <w:tcPr>
            <w:tcW w:w="783" w:type="dxa"/>
            <w:noWrap w:val="0"/>
            <w:vAlign w:val="center"/>
          </w:tcPr>
          <w:p w14:paraId="0C88A4F7">
            <w:pPr>
              <w:keepNext w:val="0"/>
              <w:keepLines w:val="0"/>
              <w:pageBreakBefore w:val="0"/>
              <w:kinsoku/>
              <w:wordWrap/>
              <w:overflowPunct/>
              <w:topLinePunct w:val="0"/>
              <w:bidi w:val="0"/>
              <w:spacing w:line="400" w:lineRule="exact"/>
              <w:jc w:val="center"/>
              <w:textAlignment w:val="auto"/>
              <w:rPr>
                <w:rFonts w:ascii="宋体" w:hAnsi="宋体" w:eastAsia="宋体" w:cs="宋体"/>
                <w:bCs/>
                <w:color w:val="auto"/>
                <w:kern w:val="0"/>
                <w:sz w:val="21"/>
                <w:szCs w:val="21"/>
                <w:highlight w:val="none"/>
              </w:rPr>
            </w:pPr>
            <w:r>
              <w:rPr>
                <w:rFonts w:hint="eastAsia" w:ascii="宋体" w:hAnsi="宋体" w:eastAsia="宋体" w:cs="Courier New"/>
                <w:bCs/>
                <w:color w:val="auto"/>
                <w:kern w:val="2"/>
                <w:sz w:val="21"/>
                <w:szCs w:val="21"/>
                <w:highlight w:val="none"/>
                <w:lang w:val="en-US" w:eastAsia="zh-CN"/>
              </w:rPr>
              <w:t>10</w:t>
            </w:r>
            <w:r>
              <w:rPr>
                <w:rFonts w:hint="eastAsia" w:ascii="宋体" w:hAnsi="宋体" w:eastAsia="宋体" w:cs="Courier New"/>
                <w:bCs/>
                <w:color w:val="auto"/>
                <w:kern w:val="2"/>
                <w:sz w:val="21"/>
                <w:szCs w:val="21"/>
                <w:highlight w:val="none"/>
              </w:rPr>
              <w:t>分</w:t>
            </w:r>
          </w:p>
        </w:tc>
      </w:tr>
      <w:tr w14:paraId="6AF12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610" w:type="dxa"/>
            <w:noWrap w:val="0"/>
            <w:vAlign w:val="center"/>
          </w:tcPr>
          <w:p w14:paraId="5D01AA38">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p>
        </w:tc>
        <w:tc>
          <w:tcPr>
            <w:tcW w:w="1725" w:type="dxa"/>
            <w:gridSpan w:val="2"/>
            <w:noWrap w:val="0"/>
            <w:vAlign w:val="center"/>
          </w:tcPr>
          <w:p w14:paraId="73971043">
            <w:pPr>
              <w:keepNext w:val="0"/>
              <w:keepLines w:val="0"/>
              <w:pageBreakBefore w:val="0"/>
              <w:widowControl/>
              <w:kinsoku/>
              <w:wordWrap/>
              <w:overflowPunct/>
              <w:topLinePunct w:val="0"/>
              <w:bidi w:val="0"/>
              <w:spacing w:line="400" w:lineRule="exact"/>
              <w:jc w:val="center"/>
              <w:textAlignment w:val="auto"/>
              <w:rPr>
                <w:rFonts w:hint="default"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rPr>
              <w:t>商务分</w:t>
            </w:r>
          </w:p>
        </w:tc>
        <w:tc>
          <w:tcPr>
            <w:tcW w:w="6906" w:type="dxa"/>
            <w:noWrap w:val="0"/>
            <w:vAlign w:val="center"/>
          </w:tcPr>
          <w:p w14:paraId="085EFCF2">
            <w:pPr>
              <w:keepNext w:val="0"/>
              <w:keepLines w:val="0"/>
              <w:pageBreakBefore w:val="0"/>
              <w:widowControl/>
              <w:kinsoku/>
              <w:wordWrap/>
              <w:overflowPunct/>
              <w:topLinePunct w:val="0"/>
              <w:bidi w:val="0"/>
              <w:spacing w:line="400" w:lineRule="exact"/>
              <w:ind w:firstLine="422" w:firstLineChars="200"/>
              <w:jc w:val="center"/>
              <w:textAlignment w:val="auto"/>
              <w:rPr>
                <w:rFonts w:hint="eastAsia" w:ascii="宋体" w:hAnsi="宋体" w:eastAsia="宋体" w:cs="宋体"/>
                <w:b/>
                <w:bCs/>
                <w:color w:val="auto"/>
                <w:szCs w:val="21"/>
                <w:highlight w:val="none"/>
              </w:rPr>
            </w:pPr>
            <w:r>
              <w:rPr>
                <w:rFonts w:hint="eastAsia" w:ascii="宋体" w:hAnsi="宋体" w:eastAsia="宋体" w:cs="Tahoma"/>
                <w:b/>
                <w:bCs/>
                <w:color w:val="auto"/>
                <w:kern w:val="0"/>
                <w:szCs w:val="21"/>
                <w:highlight w:val="none"/>
              </w:rPr>
              <w:t>评审因素</w:t>
            </w:r>
          </w:p>
        </w:tc>
        <w:tc>
          <w:tcPr>
            <w:tcW w:w="783" w:type="dxa"/>
            <w:noWrap w:val="0"/>
            <w:vAlign w:val="center"/>
          </w:tcPr>
          <w:p w14:paraId="2A5DCD27">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val="en-US" w:eastAsia="zh-CN"/>
              </w:rPr>
              <w:t>10</w:t>
            </w:r>
            <w:r>
              <w:rPr>
                <w:rFonts w:hint="eastAsia" w:ascii="宋体" w:hAnsi="宋体" w:eastAsia="宋体" w:cs="宋体"/>
                <w:b/>
                <w:bCs/>
                <w:color w:val="auto"/>
                <w:kern w:val="0"/>
                <w:szCs w:val="21"/>
                <w:highlight w:val="none"/>
              </w:rPr>
              <w:t>分</w:t>
            </w:r>
          </w:p>
        </w:tc>
      </w:tr>
      <w:tr w14:paraId="3F08C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9" w:hRule="atLeast"/>
        </w:trPr>
        <w:tc>
          <w:tcPr>
            <w:tcW w:w="610" w:type="dxa"/>
            <w:noWrap w:val="0"/>
            <w:vAlign w:val="center"/>
          </w:tcPr>
          <w:p w14:paraId="419B6A3C">
            <w:pPr>
              <w:keepNext w:val="0"/>
              <w:keepLines w:val="0"/>
              <w:pageBreakBefore w:val="0"/>
              <w:kinsoku/>
              <w:wordWrap/>
              <w:overflowPunct/>
              <w:topLinePunct w:val="0"/>
              <w:bidi w:val="0"/>
              <w:spacing w:line="400" w:lineRule="exac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w:t>
            </w:r>
          </w:p>
        </w:tc>
        <w:tc>
          <w:tcPr>
            <w:tcW w:w="1725" w:type="dxa"/>
            <w:gridSpan w:val="2"/>
            <w:noWrap w:val="0"/>
            <w:vAlign w:val="center"/>
          </w:tcPr>
          <w:p w14:paraId="431D5913">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bCs/>
                <w:color w:val="auto"/>
                <w:szCs w:val="21"/>
                <w:highlight w:val="none"/>
                <w:lang w:val="en-US" w:eastAsia="zh-CN"/>
              </w:rPr>
              <w:t>业绩分</w:t>
            </w:r>
          </w:p>
        </w:tc>
        <w:tc>
          <w:tcPr>
            <w:tcW w:w="6906" w:type="dxa"/>
            <w:noWrap w:val="0"/>
            <w:vAlign w:val="center"/>
          </w:tcPr>
          <w:p w14:paraId="5560FE0C">
            <w:pPr>
              <w:keepNext w:val="0"/>
              <w:keepLines w:val="0"/>
              <w:pageBreakBefore w:val="0"/>
              <w:kinsoku/>
              <w:wordWrap/>
              <w:overflowPunct/>
              <w:topLinePunct w:val="0"/>
              <w:bidi w:val="0"/>
              <w:snapToGrid w:val="0"/>
              <w:spacing w:line="400" w:lineRule="exact"/>
              <w:ind w:firstLine="420" w:firstLineChars="200"/>
              <w:jc w:val="left"/>
              <w:textAlignment w:val="auto"/>
              <w:rPr>
                <w:rFonts w:hint="eastAsia" w:ascii="宋体" w:hAnsi="宋体" w:eastAsia="宋体" w:cs="Tahoma"/>
                <w:color w:val="auto"/>
                <w:kern w:val="0"/>
                <w:szCs w:val="21"/>
                <w:highlight w:val="none"/>
              </w:rPr>
            </w:pPr>
            <w:r>
              <w:rPr>
                <w:rFonts w:hint="eastAsia" w:ascii="宋体" w:hAnsi="宋体" w:eastAsia="宋体" w:cs="Tahoma"/>
                <w:color w:val="auto"/>
                <w:kern w:val="0"/>
                <w:szCs w:val="21"/>
                <w:highlight w:val="none"/>
              </w:rPr>
              <w:t>供应商自 20</w:t>
            </w:r>
            <w:r>
              <w:rPr>
                <w:rFonts w:hint="eastAsia" w:ascii="宋体" w:hAnsi="宋体" w:eastAsia="宋体" w:cs="Tahoma"/>
                <w:color w:val="auto"/>
                <w:kern w:val="0"/>
                <w:szCs w:val="21"/>
                <w:highlight w:val="none"/>
                <w:lang w:val="en-US" w:eastAsia="zh-CN"/>
              </w:rPr>
              <w:t>2</w:t>
            </w:r>
            <w:r>
              <w:rPr>
                <w:rFonts w:hint="eastAsia" w:ascii="宋体" w:hAnsi="宋体" w:cs="Tahoma"/>
                <w:color w:val="auto"/>
                <w:kern w:val="0"/>
                <w:szCs w:val="21"/>
                <w:highlight w:val="none"/>
                <w:lang w:val="en-US" w:eastAsia="zh-CN"/>
              </w:rPr>
              <w:t>3</w:t>
            </w:r>
            <w:r>
              <w:rPr>
                <w:rFonts w:hint="eastAsia" w:ascii="宋体" w:hAnsi="宋体" w:eastAsia="宋体" w:cs="Tahoma"/>
                <w:color w:val="auto"/>
                <w:kern w:val="0"/>
                <w:szCs w:val="21"/>
                <w:highlight w:val="none"/>
              </w:rPr>
              <w:t>年</w:t>
            </w:r>
            <w:r>
              <w:rPr>
                <w:rFonts w:hint="eastAsia" w:ascii="宋体" w:hAnsi="宋体" w:eastAsia="宋体" w:cs="Tahoma"/>
                <w:color w:val="auto"/>
                <w:kern w:val="0"/>
                <w:szCs w:val="21"/>
                <w:highlight w:val="none"/>
                <w:lang w:val="en-US" w:eastAsia="zh-CN"/>
              </w:rPr>
              <w:t>04</w:t>
            </w:r>
            <w:r>
              <w:rPr>
                <w:rFonts w:hint="eastAsia" w:ascii="宋体" w:hAnsi="宋体" w:eastAsia="宋体" w:cs="Tahoma"/>
                <w:color w:val="auto"/>
                <w:kern w:val="0"/>
                <w:szCs w:val="21"/>
                <w:highlight w:val="none"/>
              </w:rPr>
              <w:t>月以来，</w:t>
            </w:r>
            <w:r>
              <w:rPr>
                <w:rFonts w:hint="eastAsia" w:ascii="宋体" w:hAnsi="宋体" w:cs="Tahoma"/>
                <w:color w:val="auto"/>
                <w:kern w:val="0"/>
                <w:szCs w:val="21"/>
                <w:highlight w:val="none"/>
                <w:lang w:val="en-US" w:eastAsia="zh-CN"/>
              </w:rPr>
              <w:t>承接</w:t>
            </w:r>
            <w:r>
              <w:rPr>
                <w:rFonts w:hint="eastAsia" w:ascii="宋体" w:hAnsi="宋体" w:eastAsia="宋体" w:cs="Tahoma"/>
                <w:color w:val="auto"/>
                <w:kern w:val="0"/>
                <w:szCs w:val="21"/>
                <w:highlight w:val="none"/>
              </w:rPr>
              <w:t>过类似项目施工业绩的</w:t>
            </w:r>
            <w:r>
              <w:rPr>
                <w:rFonts w:hint="eastAsia" w:ascii="宋体" w:hAnsi="宋体" w:cs="Tahoma"/>
                <w:color w:val="auto"/>
                <w:kern w:val="0"/>
                <w:szCs w:val="21"/>
                <w:highlight w:val="none"/>
                <w:lang w:eastAsia="zh-CN"/>
              </w:rPr>
              <w:t>，</w:t>
            </w:r>
            <w:r>
              <w:rPr>
                <w:rFonts w:hint="eastAsia" w:ascii="宋体" w:hAnsi="宋体" w:eastAsia="宋体" w:cs="Tahoma"/>
                <w:color w:val="auto"/>
                <w:kern w:val="0"/>
                <w:szCs w:val="21"/>
                <w:highlight w:val="none"/>
              </w:rPr>
              <w:t>每有一项得</w:t>
            </w:r>
            <w:r>
              <w:rPr>
                <w:rFonts w:hint="eastAsia" w:ascii="宋体" w:hAnsi="宋体" w:eastAsia="宋体" w:cs="Tahoma"/>
                <w:color w:val="auto"/>
                <w:kern w:val="0"/>
                <w:szCs w:val="21"/>
                <w:highlight w:val="none"/>
                <w:lang w:val="en-US" w:eastAsia="zh-CN"/>
              </w:rPr>
              <w:t>10</w:t>
            </w:r>
            <w:r>
              <w:rPr>
                <w:rFonts w:hint="eastAsia" w:ascii="宋体" w:hAnsi="宋体" w:eastAsia="宋体" w:cs="Tahoma"/>
                <w:color w:val="auto"/>
                <w:kern w:val="0"/>
                <w:szCs w:val="21"/>
                <w:highlight w:val="none"/>
              </w:rPr>
              <w:t>分，本项满分</w:t>
            </w:r>
            <w:r>
              <w:rPr>
                <w:rFonts w:hint="eastAsia" w:ascii="宋体" w:hAnsi="宋体" w:eastAsia="宋体" w:cs="Tahoma"/>
                <w:color w:val="auto"/>
                <w:kern w:val="0"/>
                <w:szCs w:val="21"/>
                <w:highlight w:val="none"/>
                <w:lang w:val="en-US" w:eastAsia="zh-CN"/>
              </w:rPr>
              <w:t>10</w:t>
            </w:r>
            <w:r>
              <w:rPr>
                <w:rFonts w:hint="eastAsia" w:ascii="宋体" w:hAnsi="宋体" w:eastAsia="宋体" w:cs="Tahoma"/>
                <w:color w:val="auto"/>
                <w:kern w:val="0"/>
                <w:szCs w:val="21"/>
                <w:highlight w:val="none"/>
              </w:rPr>
              <w:t>分。</w:t>
            </w:r>
          </w:p>
          <w:p w14:paraId="652BF355">
            <w:pPr>
              <w:keepNext w:val="0"/>
              <w:keepLines w:val="0"/>
              <w:pageBreakBefore w:val="0"/>
              <w:kinsoku/>
              <w:wordWrap/>
              <w:overflowPunct/>
              <w:topLinePunct w:val="0"/>
              <w:bidi w:val="0"/>
              <w:snapToGrid w:val="0"/>
              <w:spacing w:line="400" w:lineRule="exact"/>
              <w:ind w:firstLine="420" w:firstLineChars="200"/>
              <w:jc w:val="left"/>
              <w:textAlignment w:val="auto"/>
              <w:rPr>
                <w:rFonts w:ascii="宋体" w:hAnsi="宋体" w:eastAsia="宋体" w:cs="Tahoma"/>
                <w:color w:val="auto"/>
                <w:kern w:val="0"/>
                <w:szCs w:val="21"/>
                <w:highlight w:val="none"/>
              </w:rPr>
            </w:pPr>
            <w:r>
              <w:rPr>
                <w:rFonts w:hint="eastAsia" w:ascii="宋体" w:hAnsi="宋体" w:eastAsia="宋体" w:cs="Tahoma"/>
                <w:color w:val="auto"/>
                <w:kern w:val="0"/>
                <w:szCs w:val="21"/>
                <w:highlight w:val="none"/>
              </w:rPr>
              <w:t>备注：类似项目施工业绩需提供中标通知书或施工合同或竣工验收证书或其他能证明其业绩的材料</w:t>
            </w:r>
            <w:r>
              <w:rPr>
                <w:rFonts w:hint="eastAsia" w:ascii="宋体" w:hAnsi="宋体" w:cs="Tahoma"/>
                <w:color w:val="auto"/>
                <w:kern w:val="0"/>
                <w:szCs w:val="21"/>
                <w:highlight w:val="none"/>
                <w:lang w:eastAsia="zh-CN"/>
              </w:rPr>
              <w:t>，</w:t>
            </w:r>
            <w:r>
              <w:rPr>
                <w:rFonts w:hint="eastAsia" w:ascii="宋体" w:hAnsi="宋体" w:cs="Tahoma"/>
                <w:color w:val="auto"/>
                <w:kern w:val="0"/>
                <w:szCs w:val="21"/>
                <w:highlight w:val="none"/>
                <w:lang w:val="en-US" w:eastAsia="zh-CN"/>
              </w:rPr>
              <w:t>否则不得分</w:t>
            </w:r>
            <w:r>
              <w:rPr>
                <w:rFonts w:hint="eastAsia" w:ascii="宋体" w:hAnsi="宋体" w:eastAsia="宋体" w:cs="Tahoma"/>
                <w:color w:val="auto"/>
                <w:kern w:val="0"/>
                <w:szCs w:val="21"/>
                <w:highlight w:val="none"/>
              </w:rPr>
              <w:t>）。</w:t>
            </w:r>
          </w:p>
        </w:tc>
        <w:tc>
          <w:tcPr>
            <w:tcW w:w="783" w:type="dxa"/>
            <w:noWrap w:val="0"/>
            <w:vAlign w:val="center"/>
          </w:tcPr>
          <w:p w14:paraId="69792375">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10分</w:t>
            </w:r>
          </w:p>
        </w:tc>
      </w:tr>
    </w:tbl>
    <w:p w14:paraId="080522F5">
      <w:pPr>
        <w:spacing w:line="360" w:lineRule="auto"/>
        <w:ind w:firstLine="420" w:firstLineChars="200"/>
        <w:rPr>
          <w:rFonts w:hint="eastAsia" w:ascii="宋体" w:hAnsi="宋体" w:eastAsia="宋体" w:cs="宋体"/>
          <w:b w:val="0"/>
          <w:bCs/>
          <w:color w:val="auto"/>
          <w:highlight w:val="none"/>
        </w:rPr>
      </w:pPr>
      <w:r>
        <w:rPr>
          <w:rFonts w:hint="eastAsia" w:ascii="宋体" w:hAnsi="宋体" w:eastAsia="宋体" w:cs="宋体"/>
          <w:color w:val="auto"/>
          <w:highlight w:val="none"/>
        </w:rPr>
        <w:t>8.2商务技术评审因素为客观评分项的，应在评分项目或评分标准中予以标注为“客观分”。对供应商的客观评分项目，各评审专家评分应当一致。</w:t>
      </w:r>
    </w:p>
    <w:p w14:paraId="6386F200">
      <w:pPr>
        <w:spacing w:line="360" w:lineRule="auto"/>
        <w:ind w:firstLine="420" w:firstLineChars="200"/>
        <w:rPr>
          <w:rFonts w:hint="eastAsia" w:ascii="宋体" w:hAnsi="宋体" w:eastAsia="宋体" w:cs="宋体"/>
          <w:color w:val="auto"/>
          <w:highlight w:val="none"/>
        </w:rPr>
      </w:pPr>
      <w:bookmarkStart w:id="132" w:name="_Toc80205935"/>
      <w:r>
        <w:rPr>
          <w:rFonts w:hint="eastAsia" w:ascii="宋体" w:hAnsi="宋体" w:cs="宋体"/>
          <w:color w:val="auto"/>
          <w:highlight w:val="none"/>
          <w:lang w:val="en-US" w:eastAsia="zh-CN"/>
        </w:rPr>
        <w:t>8</w:t>
      </w:r>
      <w:r>
        <w:rPr>
          <w:rFonts w:hint="eastAsia" w:ascii="宋体" w:hAnsi="宋体" w:eastAsia="宋体" w:cs="宋体"/>
          <w:color w:val="auto"/>
          <w:highlight w:val="none"/>
        </w:rPr>
        <w:t>.</w:t>
      </w:r>
      <w:r>
        <w:rPr>
          <w:rFonts w:hint="eastAsia" w:ascii="宋体" w:hAnsi="宋体" w:cs="宋体"/>
          <w:color w:val="auto"/>
          <w:highlight w:val="none"/>
          <w:lang w:val="en-US" w:eastAsia="zh-CN"/>
        </w:rPr>
        <w:t>3</w:t>
      </w:r>
      <w:r>
        <w:rPr>
          <w:rFonts w:hint="eastAsia" w:ascii="宋体" w:hAnsi="宋体" w:eastAsia="宋体" w:cs="宋体"/>
          <w:color w:val="auto"/>
          <w:highlight w:val="none"/>
        </w:rPr>
        <w:t>.终止竞争性磋商采购活动</w:t>
      </w:r>
    </w:p>
    <w:p w14:paraId="3CEDFF5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6835B1FA">
      <w:pPr>
        <w:pStyle w:val="3"/>
        <w:spacing w:before="0" w:after="0" w:line="360" w:lineRule="auto"/>
        <w:jc w:val="both"/>
        <w:rPr>
          <w:rFonts w:hint="eastAsia" w:ascii="宋体" w:hAnsi="宋体" w:eastAsia="宋体" w:cs="宋体"/>
          <w:b w:val="0"/>
          <w:color w:val="auto"/>
          <w:highlight w:val="none"/>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p>
    <w:p w14:paraId="779B3ADA">
      <w:pPr>
        <w:pStyle w:val="3"/>
        <w:spacing w:before="0" w:after="0" w:line="360" w:lineRule="auto"/>
        <w:ind w:firstLine="640" w:firstLineChars="200"/>
        <w:jc w:val="center"/>
        <w:rPr>
          <w:rFonts w:hint="eastAsia" w:ascii="宋体" w:hAnsi="宋体" w:eastAsia="宋体" w:cs="宋体"/>
          <w:b w:val="0"/>
          <w:color w:val="auto"/>
          <w:highlight w:val="none"/>
          <w:lang w:eastAsia="zh-CN"/>
        </w:rPr>
      </w:pPr>
      <w:bookmarkStart w:id="133" w:name="_Toc6406"/>
      <w:bookmarkStart w:id="134" w:name="_Toc16046"/>
      <w:bookmarkStart w:id="135" w:name="_Toc27005"/>
      <w:bookmarkStart w:id="136" w:name="_Toc498"/>
      <w:bookmarkStart w:id="137" w:name="_Toc22098"/>
      <w:bookmarkStart w:id="138" w:name="_Toc25481"/>
      <w:bookmarkStart w:id="139" w:name="_Toc18798"/>
      <w:r>
        <w:rPr>
          <w:rFonts w:hint="eastAsia" w:ascii="宋体" w:hAnsi="宋体" w:eastAsia="宋体" w:cs="宋体"/>
          <w:b w:val="0"/>
          <w:color w:val="auto"/>
          <w:highlight w:val="none"/>
        </w:rPr>
        <w:t>第</w:t>
      </w:r>
      <w:r>
        <w:rPr>
          <w:rFonts w:hint="eastAsia" w:ascii="宋体" w:hAnsi="宋体" w:eastAsia="宋体" w:cs="宋体"/>
          <w:b w:val="0"/>
          <w:color w:val="auto"/>
          <w:highlight w:val="none"/>
          <w:lang w:eastAsia="zh-CN"/>
        </w:rPr>
        <w:t>二</w:t>
      </w:r>
      <w:r>
        <w:rPr>
          <w:rFonts w:hint="eastAsia" w:ascii="宋体" w:hAnsi="宋体" w:eastAsia="宋体" w:cs="宋体"/>
          <w:b w:val="0"/>
          <w:color w:val="auto"/>
          <w:highlight w:val="none"/>
        </w:rPr>
        <w:t xml:space="preserve">节 </w:t>
      </w:r>
      <w:r>
        <w:rPr>
          <w:rFonts w:hint="eastAsia" w:ascii="宋体" w:hAnsi="宋体" w:eastAsia="宋体" w:cs="宋体"/>
          <w:b w:val="0"/>
          <w:color w:val="auto"/>
          <w:highlight w:val="none"/>
          <w:lang w:eastAsia="zh-CN"/>
        </w:rPr>
        <w:t>评标报告</w:t>
      </w:r>
      <w:bookmarkEnd w:id="132"/>
      <w:bookmarkEnd w:id="133"/>
      <w:bookmarkEnd w:id="134"/>
      <w:bookmarkEnd w:id="135"/>
      <w:bookmarkEnd w:id="136"/>
      <w:bookmarkEnd w:id="137"/>
      <w:bookmarkEnd w:id="138"/>
      <w:bookmarkEnd w:id="139"/>
    </w:p>
    <w:p w14:paraId="3F344A10">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1.成交标准</w:t>
      </w:r>
    </w:p>
    <w:p w14:paraId="0251C117">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bCs/>
          <w:color w:val="auto"/>
          <w:szCs w:val="21"/>
          <w:highlight w:val="none"/>
        </w:rPr>
        <w:t>由磋商小组根据综合评分情况，按照评审得分由高到低顺序推荐3名以上成交候选供应商</w:t>
      </w:r>
      <w:r>
        <w:rPr>
          <w:rFonts w:hint="eastAsia" w:ascii="宋体" w:hAnsi="宋体" w:eastAsia="宋体" w:cs="宋体"/>
          <w:bCs/>
          <w:color w:val="auto"/>
          <w:szCs w:val="21"/>
          <w:highlight w:val="none"/>
          <w:lang w:eastAsia="zh-CN"/>
        </w:rPr>
        <w:t>，</w:t>
      </w:r>
      <w:r>
        <w:rPr>
          <w:rFonts w:hint="eastAsia" w:ascii="宋体" w:hAnsi="宋体" w:eastAsia="宋体" w:cs="宋体"/>
          <w:color w:val="auto"/>
          <w:highlight w:val="none"/>
        </w:rPr>
        <w:t>并在线编写电子评审报告</w:t>
      </w:r>
      <w:r>
        <w:rPr>
          <w:rFonts w:hint="eastAsia" w:ascii="宋体" w:hAnsi="宋体" w:eastAsia="宋体" w:cs="宋体"/>
          <w:bCs/>
          <w:color w:val="auto"/>
          <w:szCs w:val="21"/>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w:t>
      </w:r>
      <w:r>
        <w:rPr>
          <w:rFonts w:hint="eastAsia" w:ascii="宋体" w:hAnsi="宋体" w:cs="宋体"/>
          <w:bCs/>
          <w:color w:val="auto"/>
          <w:szCs w:val="21"/>
          <w:highlight w:val="none"/>
          <w:lang w:val="en-US" w:eastAsia="zh-CN"/>
        </w:rPr>
        <w:t>技术</w:t>
      </w:r>
      <w:r>
        <w:rPr>
          <w:rFonts w:hint="eastAsia" w:ascii="宋体" w:hAnsi="宋体" w:eastAsia="宋体" w:cs="宋体"/>
          <w:bCs/>
          <w:color w:val="auto"/>
          <w:szCs w:val="21"/>
          <w:highlight w:val="none"/>
        </w:rPr>
        <w:t>需求偏离分由高到低排序）。评审得分、最后报价（不计算价格折扣）、技术得分、</w:t>
      </w:r>
      <w:r>
        <w:rPr>
          <w:rFonts w:hint="eastAsia" w:ascii="宋体" w:hAnsi="宋体" w:cs="宋体"/>
          <w:bCs/>
          <w:color w:val="auto"/>
          <w:szCs w:val="21"/>
          <w:highlight w:val="none"/>
          <w:lang w:val="en-US" w:eastAsia="zh-CN"/>
        </w:rPr>
        <w:t>技术</w:t>
      </w:r>
      <w:r>
        <w:rPr>
          <w:rFonts w:hint="eastAsia" w:ascii="宋体" w:hAnsi="宋体" w:eastAsia="宋体" w:cs="宋体"/>
          <w:bCs/>
          <w:color w:val="auto"/>
          <w:szCs w:val="21"/>
          <w:highlight w:val="none"/>
        </w:rPr>
        <w:t>需求偏离分均相同的，由磋商小组随机抽取推荐。</w:t>
      </w:r>
    </w:p>
    <w:p w14:paraId="3775D8D9">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2.评标争议事项处理</w:t>
      </w:r>
    </w:p>
    <w:p w14:paraId="4DECA01F">
      <w:pPr>
        <w:pStyle w:val="34"/>
        <w:spacing w:before="0" w:line="360" w:lineRule="auto"/>
        <w:ind w:firstLine="420"/>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5F4E6F87">
      <w:pPr>
        <w:pStyle w:val="3"/>
        <w:spacing w:before="0" w:after="0" w:line="360" w:lineRule="auto"/>
        <w:ind w:firstLine="640" w:firstLineChars="200"/>
        <w:jc w:val="center"/>
        <w:rPr>
          <w:rFonts w:hint="eastAsia" w:ascii="宋体" w:hAnsi="宋体" w:eastAsia="宋体" w:cs="宋体"/>
          <w:b w:val="0"/>
          <w:color w:val="auto"/>
          <w:highlight w:val="none"/>
        </w:rPr>
      </w:pPr>
      <w:bookmarkStart w:id="140" w:name="_Toc29016"/>
      <w:bookmarkStart w:id="141" w:name="_Toc80205936"/>
      <w:bookmarkStart w:id="142" w:name="_Toc3713"/>
      <w:bookmarkStart w:id="143" w:name="_Toc9233"/>
      <w:bookmarkStart w:id="144" w:name="_Toc3846"/>
      <w:bookmarkStart w:id="145" w:name="_Toc7265"/>
      <w:bookmarkStart w:id="146" w:name="_Toc13101"/>
      <w:bookmarkStart w:id="147" w:name="_Toc30628"/>
      <w:r>
        <w:rPr>
          <w:rFonts w:hint="eastAsia" w:ascii="宋体" w:hAnsi="宋体" w:eastAsia="宋体" w:cs="宋体"/>
          <w:b w:val="0"/>
          <w:color w:val="auto"/>
          <w:highlight w:val="none"/>
        </w:rPr>
        <w:t>第</w:t>
      </w:r>
      <w:r>
        <w:rPr>
          <w:rFonts w:hint="eastAsia" w:ascii="宋体" w:hAnsi="宋体" w:eastAsia="宋体" w:cs="宋体"/>
          <w:b w:val="0"/>
          <w:color w:val="auto"/>
          <w:highlight w:val="none"/>
          <w:lang w:eastAsia="zh-CN"/>
        </w:rPr>
        <w:t>三</w:t>
      </w:r>
      <w:r>
        <w:rPr>
          <w:rFonts w:hint="eastAsia" w:ascii="宋体" w:hAnsi="宋体" w:eastAsia="宋体" w:cs="宋体"/>
          <w:b w:val="0"/>
          <w:color w:val="auto"/>
          <w:highlight w:val="none"/>
        </w:rPr>
        <w:t>节 评审过程的保密与录像</w:t>
      </w:r>
      <w:bookmarkEnd w:id="140"/>
      <w:bookmarkEnd w:id="141"/>
      <w:bookmarkEnd w:id="142"/>
      <w:bookmarkEnd w:id="143"/>
      <w:bookmarkEnd w:id="144"/>
      <w:bookmarkEnd w:id="145"/>
      <w:bookmarkEnd w:id="146"/>
      <w:bookmarkEnd w:id="147"/>
    </w:p>
    <w:p w14:paraId="0CEF6E79">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1.保密。</w:t>
      </w:r>
    </w:p>
    <w:p w14:paraId="1DDDD250">
      <w:pPr>
        <w:widowControl/>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评审活动在严格保密的情况下进行。评审过程中凡是与采购响应文件评审和比较、中标成交供应商推荐等评审有关的情况，以及涉及国家秘密和商业秘密等信息，</w:t>
      </w:r>
      <w:r>
        <w:rPr>
          <w:rFonts w:hint="eastAsia" w:ascii="宋体" w:hAnsi="宋体" w:cs="宋体"/>
          <w:color w:val="auto"/>
          <w:highlight w:val="none"/>
          <w:lang w:eastAsia="zh-CN"/>
        </w:rPr>
        <w:t>磋商小组</w:t>
      </w:r>
      <w:r>
        <w:rPr>
          <w:rFonts w:hint="eastAsia" w:ascii="宋体" w:hAnsi="宋体" w:eastAsia="宋体" w:cs="宋体"/>
          <w:color w:val="auto"/>
          <w:highlight w:val="none"/>
        </w:rPr>
        <w:t>成员、采购人和采购机构工作人员、相关监督人员等与评审有关的人员应当予以保密。</w:t>
      </w:r>
    </w:p>
    <w:p w14:paraId="2ABC667A">
      <w:pPr>
        <w:widowControl/>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2.录音录像。</w:t>
      </w:r>
    </w:p>
    <w:p w14:paraId="63971B4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采购代理机构对评审工作现场及操作屏幕进行全过程录音录像，录音录像资料作为采购项目文件随其他文件一并存档。</w:t>
      </w:r>
    </w:p>
    <w:p w14:paraId="7FD346ED">
      <w:pPr>
        <w:spacing w:line="360" w:lineRule="auto"/>
        <w:ind w:firstLine="420" w:firstLineChars="200"/>
        <w:rPr>
          <w:rFonts w:hint="eastAsia" w:ascii="宋体" w:hAnsi="宋体" w:eastAsia="宋体" w:cs="宋体"/>
          <w:color w:val="auto"/>
          <w:highlight w:val="none"/>
        </w:rPr>
      </w:pPr>
    </w:p>
    <w:p w14:paraId="71AB80E1">
      <w:pPr>
        <w:spacing w:line="360" w:lineRule="auto"/>
        <w:ind w:firstLine="420" w:firstLineChars="200"/>
        <w:rPr>
          <w:rFonts w:hint="eastAsia" w:ascii="宋体" w:hAnsi="宋体" w:eastAsia="宋体" w:cs="宋体"/>
          <w:color w:val="auto"/>
          <w:highlight w:val="none"/>
        </w:rPr>
      </w:pPr>
    </w:p>
    <w:p w14:paraId="193AB427">
      <w:pPr>
        <w:spacing w:line="360" w:lineRule="auto"/>
        <w:rPr>
          <w:rFonts w:hint="eastAsia" w:ascii="宋体" w:hAnsi="宋体" w:eastAsia="宋体" w:cs="宋体"/>
          <w:color w:val="auto"/>
          <w:highlight w:val="none"/>
        </w:rPr>
      </w:pPr>
    </w:p>
    <w:p w14:paraId="4030AF8C">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5016462">
      <w:pPr>
        <w:pStyle w:val="12"/>
        <w:spacing w:line="360" w:lineRule="auto"/>
        <w:rPr>
          <w:rFonts w:hint="eastAsia" w:ascii="宋体" w:hAnsi="宋体" w:eastAsia="宋体" w:cs="宋体"/>
          <w:color w:val="auto"/>
          <w:highlight w:val="none"/>
        </w:rPr>
      </w:pPr>
    </w:p>
    <w:p w14:paraId="750A432E">
      <w:pPr>
        <w:pStyle w:val="12"/>
        <w:spacing w:line="360" w:lineRule="auto"/>
        <w:rPr>
          <w:rFonts w:hint="eastAsia" w:ascii="宋体" w:hAnsi="宋体" w:eastAsia="宋体" w:cs="宋体"/>
          <w:color w:val="auto"/>
          <w:highlight w:val="none"/>
        </w:rPr>
      </w:pPr>
    </w:p>
    <w:p w14:paraId="5211FB42">
      <w:pPr>
        <w:pStyle w:val="12"/>
        <w:spacing w:line="360" w:lineRule="auto"/>
        <w:rPr>
          <w:rFonts w:hint="eastAsia" w:ascii="宋体" w:hAnsi="宋体" w:eastAsia="宋体" w:cs="宋体"/>
          <w:color w:val="auto"/>
          <w:highlight w:val="none"/>
        </w:rPr>
      </w:pPr>
    </w:p>
    <w:p w14:paraId="02F2663B">
      <w:pPr>
        <w:pStyle w:val="12"/>
        <w:spacing w:line="360" w:lineRule="auto"/>
        <w:rPr>
          <w:rFonts w:hint="eastAsia" w:ascii="宋体" w:hAnsi="宋体" w:eastAsia="宋体" w:cs="宋体"/>
          <w:color w:val="auto"/>
          <w:highlight w:val="none"/>
        </w:rPr>
      </w:pPr>
    </w:p>
    <w:p w14:paraId="72B53756">
      <w:pPr>
        <w:pStyle w:val="12"/>
        <w:spacing w:line="360" w:lineRule="auto"/>
        <w:rPr>
          <w:rFonts w:hint="eastAsia" w:ascii="宋体" w:hAnsi="宋体" w:eastAsia="宋体" w:cs="宋体"/>
          <w:color w:val="auto"/>
          <w:highlight w:val="none"/>
        </w:rPr>
      </w:pPr>
    </w:p>
    <w:p w14:paraId="6CCA574E">
      <w:pPr>
        <w:pStyle w:val="12"/>
        <w:spacing w:line="360" w:lineRule="auto"/>
        <w:rPr>
          <w:rFonts w:hint="eastAsia" w:ascii="宋体" w:hAnsi="宋体" w:eastAsia="宋体" w:cs="宋体"/>
          <w:color w:val="auto"/>
          <w:highlight w:val="none"/>
        </w:rPr>
      </w:pPr>
    </w:p>
    <w:p w14:paraId="225508B8">
      <w:pPr>
        <w:pStyle w:val="12"/>
        <w:spacing w:line="360" w:lineRule="auto"/>
        <w:rPr>
          <w:rFonts w:hint="eastAsia" w:ascii="宋体" w:hAnsi="宋体" w:eastAsia="宋体" w:cs="宋体"/>
          <w:color w:val="auto"/>
          <w:highlight w:val="none"/>
        </w:rPr>
      </w:pPr>
    </w:p>
    <w:p w14:paraId="0C6CE18E">
      <w:pPr>
        <w:pStyle w:val="12"/>
        <w:spacing w:line="360" w:lineRule="auto"/>
        <w:rPr>
          <w:rFonts w:hint="eastAsia" w:ascii="宋体" w:hAnsi="宋体" w:eastAsia="宋体" w:cs="宋体"/>
          <w:color w:val="auto"/>
          <w:highlight w:val="none"/>
        </w:rPr>
      </w:pPr>
    </w:p>
    <w:p w14:paraId="69AC45D9">
      <w:pPr>
        <w:pStyle w:val="12"/>
        <w:spacing w:line="360" w:lineRule="auto"/>
        <w:rPr>
          <w:rFonts w:hint="eastAsia" w:ascii="宋体" w:hAnsi="宋体" w:eastAsia="宋体" w:cs="宋体"/>
          <w:color w:val="auto"/>
          <w:highlight w:val="none"/>
        </w:rPr>
      </w:pPr>
    </w:p>
    <w:p w14:paraId="2C309D7F">
      <w:pPr>
        <w:pStyle w:val="12"/>
        <w:spacing w:line="360" w:lineRule="auto"/>
        <w:rPr>
          <w:rFonts w:hint="eastAsia" w:ascii="宋体" w:hAnsi="宋体" w:eastAsia="宋体" w:cs="宋体"/>
          <w:color w:val="auto"/>
          <w:highlight w:val="none"/>
        </w:rPr>
      </w:pPr>
    </w:p>
    <w:p w14:paraId="3B83C059">
      <w:pPr>
        <w:pStyle w:val="12"/>
        <w:spacing w:line="360" w:lineRule="auto"/>
        <w:rPr>
          <w:rFonts w:hint="eastAsia" w:ascii="宋体" w:hAnsi="宋体" w:eastAsia="宋体" w:cs="宋体"/>
          <w:color w:val="auto"/>
          <w:highlight w:val="none"/>
        </w:rPr>
      </w:pPr>
    </w:p>
    <w:p w14:paraId="79B0DB22">
      <w:pPr>
        <w:pStyle w:val="2"/>
        <w:spacing w:line="360" w:lineRule="auto"/>
        <w:jc w:val="center"/>
        <w:rPr>
          <w:rFonts w:hint="eastAsia" w:ascii="宋体" w:hAnsi="宋体" w:eastAsia="宋体" w:cs="宋体"/>
          <w:b/>
          <w:bCs/>
          <w:color w:val="auto"/>
          <w:highlight w:val="none"/>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bookmarkStart w:id="148" w:name="_Toc8541"/>
      <w:bookmarkStart w:id="149" w:name="_Toc29932"/>
      <w:bookmarkStart w:id="150" w:name="_Toc12700"/>
      <w:bookmarkStart w:id="151" w:name="_Toc16991"/>
      <w:bookmarkStart w:id="152" w:name="_Toc22349"/>
      <w:bookmarkStart w:id="153" w:name="_Toc11732"/>
      <w:bookmarkStart w:id="154" w:name="_Toc14324"/>
      <w:r>
        <w:rPr>
          <w:rFonts w:hint="eastAsia" w:ascii="宋体" w:hAnsi="宋体" w:eastAsia="宋体" w:cs="宋体"/>
          <w:b/>
          <w:bCs/>
          <w:color w:val="auto"/>
          <w:highlight w:val="none"/>
        </w:rPr>
        <w:t>第五章 响应文件格式</w:t>
      </w:r>
      <w:bookmarkEnd w:id="148"/>
      <w:bookmarkEnd w:id="149"/>
      <w:bookmarkEnd w:id="150"/>
      <w:bookmarkEnd w:id="151"/>
      <w:bookmarkEnd w:id="152"/>
      <w:bookmarkEnd w:id="153"/>
      <w:bookmarkEnd w:id="154"/>
    </w:p>
    <w:p w14:paraId="79C217E3">
      <w:pPr>
        <w:pStyle w:val="3"/>
        <w:spacing w:line="360" w:lineRule="auto"/>
        <w:jc w:val="center"/>
        <w:rPr>
          <w:rFonts w:hint="eastAsia" w:ascii="宋体" w:hAnsi="宋体" w:eastAsia="宋体" w:cs="宋体"/>
          <w:b w:val="0"/>
          <w:color w:val="auto"/>
          <w:highlight w:val="none"/>
          <w:lang w:val="en-US" w:eastAsia="zh-CN"/>
        </w:rPr>
      </w:pPr>
      <w:bookmarkStart w:id="155" w:name="_Toc23115"/>
      <w:bookmarkStart w:id="156" w:name="_Toc7703"/>
      <w:bookmarkStart w:id="157" w:name="_Toc3747"/>
      <w:bookmarkStart w:id="158" w:name="_Toc3361"/>
      <w:bookmarkStart w:id="159" w:name="_Toc16580"/>
      <w:bookmarkStart w:id="160" w:name="_Toc80205938"/>
      <w:bookmarkStart w:id="161" w:name="_Toc9368"/>
      <w:bookmarkStart w:id="162" w:name="_Toc26547"/>
      <w:r>
        <w:rPr>
          <w:rFonts w:hint="eastAsia" w:ascii="宋体" w:hAnsi="宋体" w:eastAsia="宋体" w:cs="宋体"/>
          <w:b w:val="0"/>
          <w:color w:val="auto"/>
          <w:highlight w:val="none"/>
          <w:lang w:val="en-US" w:eastAsia="zh-CN"/>
        </w:rPr>
        <w:t>第一节 封面格式</w:t>
      </w:r>
      <w:bookmarkEnd w:id="155"/>
      <w:bookmarkEnd w:id="156"/>
      <w:bookmarkEnd w:id="157"/>
      <w:bookmarkEnd w:id="158"/>
      <w:bookmarkEnd w:id="159"/>
      <w:bookmarkEnd w:id="160"/>
      <w:bookmarkEnd w:id="161"/>
      <w:bookmarkEnd w:id="162"/>
    </w:p>
    <w:p w14:paraId="12385C0D">
      <w:pPr>
        <w:snapToGrid w:val="0"/>
        <w:spacing w:before="120" w:beforeLines="50" w:after="50" w:line="360" w:lineRule="auto"/>
        <w:rPr>
          <w:rFonts w:hint="eastAsia" w:ascii="宋体" w:hAnsi="宋体" w:eastAsia="宋体" w:cs="宋体"/>
          <w:color w:val="auto"/>
          <w:sz w:val="24"/>
          <w:szCs w:val="20"/>
          <w:highlight w:val="none"/>
        </w:rPr>
      </w:pPr>
    </w:p>
    <w:p w14:paraId="5683DB06">
      <w:pPr>
        <w:snapToGrid w:val="0"/>
        <w:spacing w:before="120" w:beforeLines="50" w:after="50" w:line="360" w:lineRule="auto"/>
        <w:jc w:val="center"/>
        <w:rPr>
          <w:rFonts w:hint="eastAsia" w:ascii="宋体" w:hAnsi="宋体" w:eastAsia="宋体" w:cs="宋体"/>
          <w:bCs/>
          <w:color w:val="auto"/>
          <w:sz w:val="24"/>
          <w:szCs w:val="20"/>
          <w:highlight w:val="none"/>
        </w:rPr>
      </w:pPr>
    </w:p>
    <w:p w14:paraId="63D6E4D5">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响  应  文  件</w:t>
      </w:r>
    </w:p>
    <w:p w14:paraId="2222A45A">
      <w:pPr>
        <w:snapToGrid w:val="0"/>
        <w:spacing w:before="120" w:beforeLines="50" w:after="50" w:line="360" w:lineRule="auto"/>
        <w:jc w:val="center"/>
        <w:rPr>
          <w:rFonts w:hint="eastAsia" w:ascii="宋体" w:hAnsi="宋体" w:eastAsia="宋体" w:cs="宋体"/>
          <w:bCs/>
          <w:color w:val="auto"/>
          <w:sz w:val="44"/>
          <w:szCs w:val="44"/>
          <w:highlight w:val="none"/>
        </w:rPr>
      </w:pPr>
    </w:p>
    <w:p w14:paraId="55608707">
      <w:pPr>
        <w:snapToGrid w:val="0"/>
        <w:spacing w:before="120" w:beforeLines="50" w:after="50" w:line="360" w:lineRule="auto"/>
        <w:rPr>
          <w:rFonts w:hint="eastAsia" w:ascii="宋体" w:hAnsi="宋体" w:eastAsia="宋体" w:cs="宋体"/>
          <w:bCs/>
          <w:color w:val="auto"/>
          <w:sz w:val="32"/>
          <w:szCs w:val="32"/>
          <w:highlight w:val="none"/>
        </w:rPr>
      </w:pPr>
    </w:p>
    <w:p w14:paraId="38B610EF">
      <w:pPr>
        <w:snapToGrid w:val="0"/>
        <w:spacing w:before="120" w:beforeLines="50" w:after="50" w:line="360" w:lineRule="auto"/>
        <w:ind w:firstLine="640" w:firstLineChars="200"/>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rPr>
        <w:t>项目名称：</w:t>
      </w:r>
      <w:r>
        <w:rPr>
          <w:rFonts w:hint="eastAsia" w:ascii="宋体" w:hAnsi="宋体" w:cs="宋体"/>
          <w:bCs/>
          <w:color w:val="auto"/>
          <w:sz w:val="32"/>
          <w:szCs w:val="32"/>
          <w:highlight w:val="none"/>
          <w:lang w:eastAsia="zh-CN"/>
        </w:rPr>
        <w:t>隆安县屏山乡刘家村刘家屯农田水利设施项目</w:t>
      </w:r>
    </w:p>
    <w:p w14:paraId="28B36D6A">
      <w:pPr>
        <w:snapToGrid w:val="0"/>
        <w:spacing w:before="120" w:beforeLines="50" w:after="50" w:line="360" w:lineRule="auto"/>
        <w:ind w:firstLine="480" w:firstLineChars="150"/>
        <w:rPr>
          <w:rFonts w:hint="eastAsia" w:ascii="宋体" w:hAnsi="宋体" w:eastAsia="宋体" w:cs="宋体"/>
          <w:bCs/>
          <w:color w:val="auto"/>
          <w:sz w:val="32"/>
          <w:szCs w:val="32"/>
          <w:highlight w:val="none"/>
        </w:rPr>
      </w:pPr>
    </w:p>
    <w:p w14:paraId="38A4B97B">
      <w:pPr>
        <w:snapToGrid w:val="0"/>
        <w:spacing w:before="120" w:beforeLines="50" w:after="50" w:line="360" w:lineRule="auto"/>
        <w:ind w:firstLine="640" w:firstLineChars="200"/>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rPr>
        <w:t>项目编号：</w:t>
      </w:r>
      <w:r>
        <w:rPr>
          <w:rFonts w:hint="eastAsia" w:ascii="宋体" w:hAnsi="宋体" w:cs="宋体"/>
          <w:bCs/>
          <w:color w:val="auto"/>
          <w:sz w:val="32"/>
          <w:szCs w:val="32"/>
          <w:highlight w:val="none"/>
          <w:lang w:eastAsia="zh-CN"/>
        </w:rPr>
        <w:t xml:space="preserve">NNZC2026-C2-230022-JHGC   </w:t>
      </w:r>
    </w:p>
    <w:p w14:paraId="1D371524">
      <w:pPr>
        <w:snapToGrid w:val="0"/>
        <w:spacing w:before="120" w:beforeLines="50" w:after="50" w:line="360" w:lineRule="auto"/>
        <w:ind w:firstLine="480" w:firstLineChars="150"/>
        <w:rPr>
          <w:rFonts w:hint="eastAsia" w:ascii="宋体" w:hAnsi="宋体" w:eastAsia="宋体" w:cs="宋体"/>
          <w:bCs/>
          <w:color w:val="auto"/>
          <w:sz w:val="32"/>
          <w:szCs w:val="32"/>
          <w:highlight w:val="none"/>
        </w:rPr>
      </w:pPr>
    </w:p>
    <w:p w14:paraId="327F2A77">
      <w:pPr>
        <w:snapToGrid w:val="0"/>
        <w:spacing w:before="120" w:beforeLines="50" w:after="50"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26B3EAD4">
      <w:pPr>
        <w:snapToGrid w:val="0"/>
        <w:spacing w:before="120" w:beforeLines="50" w:after="50" w:line="360" w:lineRule="auto"/>
        <w:rPr>
          <w:rFonts w:hint="eastAsia" w:ascii="宋体" w:hAnsi="宋体" w:eastAsia="宋体" w:cs="宋体"/>
          <w:bCs/>
          <w:color w:val="auto"/>
          <w:sz w:val="32"/>
          <w:szCs w:val="32"/>
          <w:highlight w:val="none"/>
        </w:rPr>
      </w:pPr>
    </w:p>
    <w:p w14:paraId="0DB4859A">
      <w:pPr>
        <w:snapToGrid w:val="0"/>
        <w:spacing w:before="120" w:beforeLines="50" w:after="50"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090BBDC9">
      <w:pPr>
        <w:snapToGrid w:val="0"/>
        <w:spacing w:before="120" w:beforeLines="50" w:after="50" w:line="360" w:lineRule="auto"/>
        <w:rPr>
          <w:rFonts w:hint="eastAsia" w:ascii="宋体" w:hAnsi="宋体" w:eastAsia="宋体" w:cs="宋体"/>
          <w:bCs/>
          <w:color w:val="auto"/>
          <w:sz w:val="32"/>
          <w:szCs w:val="32"/>
          <w:highlight w:val="none"/>
        </w:rPr>
      </w:pPr>
    </w:p>
    <w:p w14:paraId="56D41A1B">
      <w:pPr>
        <w:snapToGrid w:val="0"/>
        <w:spacing w:before="120" w:beforeLines="50" w:after="50" w:line="360" w:lineRule="auto"/>
        <w:ind w:firstLine="480" w:firstLineChars="150"/>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首次响应文件提交截止时间前不得解密</w:t>
      </w:r>
    </w:p>
    <w:p w14:paraId="2AB763CD">
      <w:pPr>
        <w:snapToGrid w:val="0"/>
        <w:spacing w:before="120" w:beforeLines="50" w:after="50" w:line="360" w:lineRule="auto"/>
        <w:ind w:firstLine="5440" w:firstLineChars="1700"/>
        <w:jc w:val="center"/>
        <w:rPr>
          <w:rFonts w:hint="eastAsia" w:ascii="宋体" w:hAnsi="宋体" w:eastAsia="宋体" w:cs="宋体"/>
          <w:bCs/>
          <w:color w:val="auto"/>
          <w:sz w:val="32"/>
          <w:szCs w:val="32"/>
          <w:highlight w:val="none"/>
        </w:rPr>
      </w:pPr>
    </w:p>
    <w:p w14:paraId="235D5267">
      <w:pPr>
        <w:snapToGrid w:val="0"/>
        <w:spacing w:before="120" w:beforeLines="50" w:after="50" w:line="360" w:lineRule="auto"/>
        <w:ind w:firstLine="645"/>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年    月    日</w:t>
      </w:r>
    </w:p>
    <w:p w14:paraId="3A283DA9">
      <w:pPr>
        <w:spacing w:line="360" w:lineRule="auto"/>
        <w:rPr>
          <w:rFonts w:hint="eastAsia" w:ascii="宋体" w:hAnsi="宋体" w:eastAsia="宋体" w:cs="宋体"/>
          <w:color w:val="auto"/>
          <w:highlight w:val="none"/>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p>
    <w:p w14:paraId="76B12B69">
      <w:pPr>
        <w:pStyle w:val="3"/>
        <w:spacing w:line="360" w:lineRule="auto"/>
        <w:jc w:val="center"/>
        <w:rPr>
          <w:rFonts w:hint="eastAsia" w:ascii="宋体" w:hAnsi="宋体" w:eastAsia="宋体" w:cs="宋体"/>
          <w:bCs w:val="0"/>
          <w:color w:val="auto"/>
          <w:highlight w:val="none"/>
        </w:rPr>
      </w:pPr>
      <w:bookmarkStart w:id="163" w:name="_Toc30309"/>
      <w:bookmarkStart w:id="164" w:name="_Toc1031"/>
      <w:bookmarkStart w:id="165" w:name="_Toc7860"/>
      <w:bookmarkStart w:id="166" w:name="_Toc21695"/>
      <w:bookmarkStart w:id="167" w:name="_Toc80205939"/>
      <w:bookmarkStart w:id="168" w:name="_Toc25039"/>
      <w:bookmarkStart w:id="169" w:name="_Toc25717"/>
      <w:bookmarkStart w:id="170" w:name="_Toc1270"/>
      <w:r>
        <w:rPr>
          <w:rFonts w:hint="eastAsia" w:ascii="宋体" w:hAnsi="宋体" w:eastAsia="宋体" w:cs="宋体"/>
          <w:bCs w:val="0"/>
          <w:color w:val="auto"/>
          <w:highlight w:val="none"/>
        </w:rPr>
        <w:t>第二节 资格证明文件格式</w:t>
      </w:r>
      <w:bookmarkEnd w:id="163"/>
      <w:bookmarkEnd w:id="164"/>
      <w:bookmarkEnd w:id="165"/>
      <w:bookmarkEnd w:id="166"/>
      <w:bookmarkEnd w:id="167"/>
      <w:bookmarkEnd w:id="168"/>
      <w:bookmarkEnd w:id="169"/>
      <w:bookmarkEnd w:id="170"/>
    </w:p>
    <w:p w14:paraId="51E81CBC">
      <w:pPr>
        <w:snapToGrid w:val="0"/>
        <w:spacing w:before="120" w:beforeLines="50" w:after="50" w:line="360" w:lineRule="auto"/>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22F07178">
      <w:pPr>
        <w:snapToGrid w:val="0"/>
        <w:spacing w:before="120" w:beforeLines="50" w:after="50" w:line="360" w:lineRule="auto"/>
        <w:rPr>
          <w:rFonts w:hint="eastAsia" w:ascii="宋体" w:hAnsi="宋体" w:eastAsia="宋体" w:cs="宋体"/>
          <w:color w:val="auto"/>
          <w:sz w:val="24"/>
          <w:szCs w:val="20"/>
          <w:highlight w:val="none"/>
        </w:rPr>
      </w:pPr>
    </w:p>
    <w:p w14:paraId="6CE5F902">
      <w:pPr>
        <w:snapToGrid w:val="0"/>
        <w:spacing w:before="120" w:beforeLines="50" w:after="50" w:line="360" w:lineRule="auto"/>
        <w:rPr>
          <w:rFonts w:hint="eastAsia" w:ascii="宋体" w:hAnsi="宋体" w:eastAsia="宋体" w:cs="宋体"/>
          <w:color w:val="auto"/>
          <w:sz w:val="24"/>
          <w:szCs w:val="20"/>
          <w:highlight w:val="none"/>
        </w:rPr>
      </w:pPr>
    </w:p>
    <w:p w14:paraId="16262445">
      <w:pPr>
        <w:snapToGrid w:val="0"/>
        <w:spacing w:before="120" w:beforeLines="50" w:after="50" w:line="360" w:lineRule="auto"/>
        <w:jc w:val="center"/>
        <w:rPr>
          <w:rFonts w:hint="eastAsia" w:ascii="宋体" w:hAnsi="宋体" w:eastAsia="宋体" w:cs="宋体"/>
          <w:bCs/>
          <w:color w:val="auto"/>
          <w:sz w:val="24"/>
          <w:szCs w:val="20"/>
          <w:highlight w:val="none"/>
        </w:rPr>
      </w:pPr>
      <w:r>
        <w:rPr>
          <w:rFonts w:hint="eastAsia" w:ascii="方正小标宋简体" w:hAnsi="方正小标宋简体" w:eastAsia="方正小标宋简体" w:cs="方正小标宋简体"/>
          <w:bCs/>
          <w:color w:val="auto"/>
          <w:sz w:val="44"/>
          <w:szCs w:val="44"/>
          <w:highlight w:val="none"/>
        </w:rPr>
        <w:t>资  格  证  明  文  件（封面）</w:t>
      </w:r>
    </w:p>
    <w:p w14:paraId="6DFADDE7">
      <w:pPr>
        <w:snapToGrid w:val="0"/>
        <w:spacing w:before="120" w:beforeLines="50" w:after="50" w:line="360" w:lineRule="auto"/>
        <w:rPr>
          <w:rFonts w:hint="eastAsia" w:ascii="宋体" w:hAnsi="宋体" w:eastAsia="宋体" w:cs="宋体"/>
          <w:bCs/>
          <w:color w:val="auto"/>
          <w:sz w:val="24"/>
          <w:szCs w:val="20"/>
          <w:highlight w:val="none"/>
        </w:rPr>
      </w:pPr>
    </w:p>
    <w:p w14:paraId="4E198C96">
      <w:pPr>
        <w:snapToGrid w:val="0"/>
        <w:spacing w:before="120" w:beforeLines="50" w:after="50" w:line="360" w:lineRule="auto"/>
        <w:rPr>
          <w:rFonts w:hint="eastAsia" w:ascii="宋体" w:hAnsi="宋体" w:eastAsia="宋体" w:cs="宋体"/>
          <w:bCs/>
          <w:color w:val="auto"/>
          <w:sz w:val="24"/>
          <w:szCs w:val="20"/>
          <w:highlight w:val="none"/>
        </w:rPr>
      </w:pPr>
    </w:p>
    <w:p w14:paraId="05652E92">
      <w:pPr>
        <w:snapToGrid w:val="0"/>
        <w:spacing w:before="120" w:beforeLines="50" w:after="50" w:line="360" w:lineRule="auto"/>
        <w:rPr>
          <w:rFonts w:hint="eastAsia" w:ascii="宋体" w:hAnsi="宋体" w:eastAsia="宋体" w:cs="宋体"/>
          <w:bCs/>
          <w:color w:val="auto"/>
          <w:sz w:val="24"/>
          <w:szCs w:val="20"/>
          <w:highlight w:val="none"/>
        </w:rPr>
      </w:pPr>
    </w:p>
    <w:p w14:paraId="57037B79">
      <w:pPr>
        <w:snapToGrid w:val="0"/>
        <w:spacing w:before="120" w:beforeLines="50" w:after="50" w:line="360" w:lineRule="auto"/>
        <w:ind w:firstLine="640" w:firstLineChars="200"/>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rPr>
        <w:t>项目名称：</w:t>
      </w:r>
      <w:r>
        <w:rPr>
          <w:rFonts w:hint="eastAsia" w:ascii="宋体" w:hAnsi="宋体" w:cs="宋体"/>
          <w:bCs/>
          <w:color w:val="auto"/>
          <w:sz w:val="32"/>
          <w:szCs w:val="32"/>
          <w:highlight w:val="none"/>
          <w:lang w:eastAsia="zh-CN"/>
        </w:rPr>
        <w:t>隆安县屏山乡刘家村刘家屯农田水利设施项目</w:t>
      </w:r>
    </w:p>
    <w:p w14:paraId="6C093912">
      <w:pPr>
        <w:snapToGrid w:val="0"/>
        <w:spacing w:before="120" w:beforeLines="50" w:after="50" w:line="360" w:lineRule="auto"/>
        <w:ind w:firstLine="720" w:firstLineChars="225"/>
        <w:rPr>
          <w:rFonts w:hint="eastAsia" w:ascii="宋体" w:hAnsi="宋体" w:eastAsia="宋体" w:cs="宋体"/>
          <w:bCs/>
          <w:color w:val="auto"/>
          <w:sz w:val="32"/>
          <w:szCs w:val="32"/>
          <w:highlight w:val="none"/>
        </w:rPr>
      </w:pPr>
    </w:p>
    <w:p w14:paraId="2457ACB3">
      <w:pPr>
        <w:snapToGrid w:val="0"/>
        <w:spacing w:before="120" w:beforeLines="50" w:after="50" w:line="360" w:lineRule="auto"/>
        <w:ind w:firstLine="720" w:firstLineChars="225"/>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rPr>
        <w:t>项目编号：</w:t>
      </w:r>
      <w:r>
        <w:rPr>
          <w:rFonts w:hint="eastAsia" w:ascii="宋体" w:hAnsi="宋体" w:cs="宋体"/>
          <w:bCs/>
          <w:color w:val="auto"/>
          <w:sz w:val="32"/>
          <w:szCs w:val="32"/>
          <w:highlight w:val="none"/>
          <w:lang w:eastAsia="zh-CN"/>
        </w:rPr>
        <w:t xml:space="preserve">NNZC2026-C2-230022-JHGC   </w:t>
      </w:r>
    </w:p>
    <w:p w14:paraId="25B1930A">
      <w:pPr>
        <w:snapToGrid w:val="0"/>
        <w:spacing w:before="120" w:beforeLines="50" w:after="50" w:line="360" w:lineRule="auto"/>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170BC147">
      <w:pPr>
        <w:snapToGrid w:val="0"/>
        <w:spacing w:before="120" w:beforeLines="50" w:after="50" w:line="360" w:lineRule="auto"/>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31397679">
      <w:pPr>
        <w:snapToGrid w:val="0"/>
        <w:spacing w:before="120" w:beforeLines="50" w:after="50" w:line="360" w:lineRule="auto"/>
        <w:ind w:firstLine="720" w:firstLineChars="225"/>
        <w:rPr>
          <w:rFonts w:hint="eastAsia" w:ascii="宋体" w:hAnsi="宋体" w:eastAsia="宋体" w:cs="宋体"/>
          <w:bCs/>
          <w:color w:val="auto"/>
          <w:sz w:val="32"/>
          <w:szCs w:val="32"/>
          <w:highlight w:val="none"/>
        </w:rPr>
      </w:pPr>
    </w:p>
    <w:p w14:paraId="398C1CF7">
      <w:pPr>
        <w:pStyle w:val="7"/>
        <w:snapToGrid w:val="0"/>
        <w:spacing w:before="50" w:after="50" w:line="360" w:lineRule="auto"/>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369D94F4">
      <w:pPr>
        <w:pStyle w:val="7"/>
        <w:snapToGrid w:val="0"/>
        <w:spacing w:before="50" w:after="50" w:line="360" w:lineRule="auto"/>
        <w:ind w:left="0" w:leftChars="0" w:firstLine="0" w:firstLineChars="0"/>
        <w:rPr>
          <w:rFonts w:hint="eastAsia" w:ascii="宋体" w:hAnsi="宋体" w:eastAsia="宋体" w:cs="宋体"/>
          <w:bCs/>
          <w:color w:val="auto"/>
          <w:sz w:val="32"/>
          <w:szCs w:val="32"/>
          <w:highlight w:val="none"/>
        </w:rPr>
      </w:pPr>
    </w:p>
    <w:p w14:paraId="117167FA">
      <w:pPr>
        <w:snapToGrid w:val="0"/>
        <w:spacing w:before="120" w:beforeLines="50" w:after="50"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5F32CACE">
      <w:pPr>
        <w:snapToGrid w:val="0"/>
        <w:spacing w:before="120" w:beforeLines="50" w:after="50"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 xml:space="preserve"> </w:t>
      </w:r>
      <w:r>
        <w:rPr>
          <w:rFonts w:hint="eastAsia" w:ascii="宋体" w:hAnsi="宋体" w:eastAsia="宋体" w:cs="宋体"/>
          <w:b/>
          <w:color w:val="auto"/>
          <w:kern w:val="0"/>
          <w:sz w:val="36"/>
          <w:szCs w:val="36"/>
          <w:highlight w:val="none"/>
        </w:rPr>
        <w:t>资格证明文件目录</w:t>
      </w:r>
    </w:p>
    <w:p w14:paraId="63E40B71">
      <w:pPr>
        <w:snapToGrid w:val="0"/>
        <w:spacing w:line="360" w:lineRule="auto"/>
        <w:rPr>
          <w:rFonts w:hint="eastAsia" w:ascii="宋体" w:hAnsi="宋体" w:eastAsia="宋体" w:cs="宋体"/>
          <w:color w:val="auto"/>
          <w:kern w:val="0"/>
          <w:sz w:val="24"/>
          <w:highlight w:val="none"/>
        </w:rPr>
      </w:pPr>
    </w:p>
    <w:p w14:paraId="47ABE11C">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一、</w:t>
      </w:r>
      <w:r>
        <w:rPr>
          <w:rFonts w:hint="eastAsia" w:ascii="仿宋" w:hAnsi="仿宋" w:eastAsia="仿宋" w:cs="仿宋"/>
          <w:color w:val="auto"/>
          <w:sz w:val="24"/>
          <w:highlight w:val="none"/>
        </w:rPr>
        <w:t>营业执照</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或事业法人登记证或其他工商等登记证明材料</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复印件（供应商为自然人的，须提供</w:t>
      </w:r>
      <w:r>
        <w:rPr>
          <w:rFonts w:hint="eastAsia" w:ascii="仿宋" w:hAnsi="仿宋" w:eastAsia="仿宋" w:cs="仿宋"/>
          <w:color w:val="auto"/>
          <w:kern w:val="0"/>
          <w:sz w:val="24"/>
          <w:highlight w:val="none"/>
        </w:rPr>
        <w:t>自然人的身份证明</w:t>
      </w:r>
      <w:r>
        <w:rPr>
          <w:rFonts w:hint="eastAsia" w:ascii="仿宋" w:hAnsi="仿宋" w:eastAsia="仿宋" w:cs="仿宋"/>
          <w:color w:val="auto"/>
          <w:sz w:val="24"/>
          <w:highlight w:val="none"/>
        </w:rPr>
        <w:t>）</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kern w:val="0"/>
          <w:sz w:val="24"/>
          <w:highlight w:val="none"/>
        </w:rPr>
        <w:t>（页码）</w:t>
      </w:r>
    </w:p>
    <w:p w14:paraId="41433658">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二、符合参与政府采购活动的资格条件依法缴纳税收、社会保障资金等方面的材料………………………………………………………………………………</w:t>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kern w:val="0"/>
          <w:sz w:val="24"/>
          <w:highlight w:val="none"/>
        </w:rPr>
        <w:t>（页码）</w:t>
      </w:r>
    </w:p>
    <w:p w14:paraId="52865445">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三、财务状况报告方面的材料…………………………………………………（页码）</w:t>
      </w:r>
    </w:p>
    <w:p w14:paraId="4B56FB29">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四、供应商直接控股股东信息</w:t>
      </w:r>
      <w:r>
        <w:rPr>
          <w:rFonts w:hint="eastAsia" w:ascii="仿宋" w:hAnsi="仿宋" w:eastAsia="仿宋" w:cs="仿宋"/>
          <w:color w:val="auto"/>
          <w:kern w:val="0"/>
          <w:sz w:val="24"/>
          <w:highlight w:val="none"/>
        </w:rPr>
        <w:t>…………………………………………………（页码）</w:t>
      </w:r>
    </w:p>
    <w:p w14:paraId="5F6FAE68">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五、供应商直接关联关系信息表</w:t>
      </w:r>
      <w:r>
        <w:rPr>
          <w:rFonts w:hint="eastAsia" w:ascii="仿宋" w:hAnsi="仿宋" w:eastAsia="仿宋" w:cs="仿宋"/>
          <w:color w:val="auto"/>
          <w:kern w:val="0"/>
          <w:sz w:val="24"/>
          <w:highlight w:val="none"/>
        </w:rPr>
        <w:t>………………………………………………（页码）</w:t>
      </w:r>
    </w:p>
    <w:p w14:paraId="238FD04D">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六、资格声明函…………………………………………………………………（页码）</w:t>
      </w:r>
    </w:p>
    <w:p w14:paraId="0839262A">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七</w:t>
      </w:r>
      <w:r>
        <w:rPr>
          <w:rFonts w:hint="eastAsia" w:ascii="仿宋" w:hAnsi="仿宋" w:eastAsia="仿宋" w:cs="仿宋"/>
          <w:color w:val="auto"/>
          <w:sz w:val="24"/>
          <w:highlight w:val="none"/>
        </w:rPr>
        <w:t>、</w:t>
      </w:r>
      <w:r>
        <w:rPr>
          <w:rFonts w:hint="eastAsia" w:ascii="仿宋" w:hAnsi="仿宋" w:eastAsia="仿宋" w:cs="仿宋"/>
          <w:color w:val="auto"/>
          <w:sz w:val="24"/>
          <w:szCs w:val="24"/>
          <w:highlight w:val="none"/>
          <w:lang w:eastAsia="zh-CN"/>
        </w:rPr>
        <w:t>中小</w:t>
      </w:r>
      <w:r>
        <w:rPr>
          <w:rFonts w:hint="eastAsia" w:ascii="仿宋" w:hAnsi="仿宋" w:eastAsia="仿宋" w:cs="仿宋"/>
          <w:color w:val="auto"/>
          <w:sz w:val="24"/>
          <w:szCs w:val="24"/>
          <w:highlight w:val="none"/>
        </w:rPr>
        <w:t>企业声明函或残疾人福利性单位声明函或供应商属于监狱企业的证明材料</w:t>
      </w:r>
      <w:r>
        <w:rPr>
          <w:rFonts w:hint="eastAsia" w:ascii="仿宋" w:hAnsi="仿宋" w:eastAsia="仿宋" w:cs="仿宋"/>
          <w:color w:val="auto"/>
          <w:kern w:val="0"/>
          <w:sz w:val="24"/>
          <w:highlight w:val="none"/>
        </w:rPr>
        <w:t>………………………………………………（页码）</w:t>
      </w:r>
    </w:p>
    <w:p w14:paraId="57DCAE23">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sz w:val="24"/>
          <w:highlight w:val="none"/>
          <w:lang w:val="en-US" w:eastAsia="zh-CN"/>
        </w:rPr>
        <w:t>八</w:t>
      </w:r>
      <w:r>
        <w:rPr>
          <w:rFonts w:hint="eastAsia" w:ascii="仿宋" w:hAnsi="仿宋" w:eastAsia="仿宋" w:cs="仿宋"/>
          <w:color w:val="auto"/>
          <w:sz w:val="24"/>
          <w:highlight w:val="none"/>
        </w:rPr>
        <w:t>、符合特定资格条件的有关证明材料</w:t>
      </w:r>
      <w:r>
        <w:rPr>
          <w:rFonts w:hint="eastAsia" w:ascii="仿宋" w:hAnsi="仿宋" w:eastAsia="仿宋" w:cs="仿宋"/>
          <w:color w:val="auto"/>
          <w:kern w:val="0"/>
          <w:sz w:val="24"/>
          <w:highlight w:val="none"/>
        </w:rPr>
        <w:t>………………………………………（页码）</w:t>
      </w:r>
    </w:p>
    <w:p w14:paraId="6EC24C7A">
      <w:pPr>
        <w:spacing w:line="360" w:lineRule="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九</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项目经理无在建项目承诺书………………………………………………（页码）</w:t>
      </w:r>
    </w:p>
    <w:p w14:paraId="1EE05F24">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十、</w:t>
      </w:r>
      <w:r>
        <w:rPr>
          <w:rFonts w:hint="eastAsia" w:ascii="仿宋" w:hAnsi="仿宋" w:eastAsia="仿宋" w:cs="仿宋"/>
          <w:color w:val="auto"/>
          <w:sz w:val="24"/>
          <w:highlight w:val="none"/>
        </w:rPr>
        <w:t>除磋商文件规定必须提供以外，供应商认为需要提供的其他证明材料。</w:t>
      </w:r>
      <w:r>
        <w:rPr>
          <w:rFonts w:hint="eastAsia" w:ascii="仿宋" w:hAnsi="仿宋" w:eastAsia="仿宋" w:cs="仿宋"/>
          <w:color w:val="auto"/>
          <w:kern w:val="0"/>
          <w:sz w:val="24"/>
          <w:highlight w:val="none"/>
        </w:rPr>
        <w:t>…</w:t>
      </w:r>
    </w:p>
    <w:p w14:paraId="7A60D51B">
      <w:pPr>
        <w:snapToGrid w:val="0"/>
        <w:spacing w:line="360" w:lineRule="auto"/>
        <w:rPr>
          <w:rFonts w:hint="eastAsia" w:ascii="仿宋" w:hAnsi="仿宋" w:eastAsia="仿宋" w:cs="仿宋"/>
          <w:color w:val="auto"/>
          <w:sz w:val="24"/>
          <w:highlight w:val="none"/>
          <w:lang w:eastAsia="zh-CN"/>
        </w:rPr>
      </w:pPr>
      <w:r>
        <w:rPr>
          <w:rFonts w:hint="eastAsia" w:ascii="仿宋" w:hAnsi="仿宋" w:eastAsia="仿宋" w:cs="仿宋"/>
          <w:color w:val="auto"/>
          <w:kern w:val="0"/>
          <w:sz w:val="24"/>
          <w:highlight w:val="none"/>
        </w:rPr>
        <w:t>……………………………………………………………………………………（页码）</w:t>
      </w:r>
    </w:p>
    <w:p w14:paraId="4222945C">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注：以上目录是编制供应商响应文件的基本格式要求，各供应商可根据自身情况进一步细化。</w:t>
      </w:r>
    </w:p>
    <w:p w14:paraId="4F1A9191">
      <w:pPr>
        <w:snapToGrid w:val="0"/>
        <w:spacing w:before="120" w:beforeLines="50" w:after="50" w:line="360" w:lineRule="auto"/>
        <w:ind w:left="142" w:firstLine="420" w:firstLineChars="200"/>
        <w:jc w:val="left"/>
        <w:rPr>
          <w:rFonts w:hint="eastAsia" w:ascii="宋体" w:hAnsi="宋体" w:eastAsia="宋体" w:cs="宋体"/>
          <w:color w:val="auto"/>
          <w:szCs w:val="21"/>
          <w:highlight w:val="none"/>
        </w:rPr>
      </w:pPr>
    </w:p>
    <w:p w14:paraId="5274AAA6">
      <w:pPr>
        <w:spacing w:line="360" w:lineRule="auto"/>
        <w:rPr>
          <w:rFonts w:hint="eastAsia" w:ascii="宋体" w:hAnsi="宋体" w:eastAsia="宋体" w:cs="宋体"/>
          <w:color w:val="auto"/>
          <w:szCs w:val="21"/>
          <w:highlight w:val="none"/>
        </w:rPr>
      </w:pPr>
    </w:p>
    <w:p w14:paraId="71377856">
      <w:pPr>
        <w:spacing w:line="360" w:lineRule="auto"/>
        <w:rPr>
          <w:rFonts w:hint="eastAsia" w:ascii="宋体" w:hAnsi="宋体" w:eastAsia="宋体" w:cs="宋体"/>
          <w:color w:val="auto"/>
          <w:szCs w:val="21"/>
          <w:highlight w:val="none"/>
        </w:rPr>
      </w:pPr>
    </w:p>
    <w:p w14:paraId="457E475A">
      <w:pPr>
        <w:spacing w:line="360" w:lineRule="auto"/>
        <w:rPr>
          <w:rFonts w:hint="eastAsia" w:ascii="宋体" w:hAnsi="宋体" w:eastAsia="宋体" w:cs="宋体"/>
          <w:color w:val="auto"/>
          <w:szCs w:val="21"/>
          <w:highlight w:val="none"/>
        </w:rPr>
      </w:pPr>
    </w:p>
    <w:p w14:paraId="51E42A90">
      <w:pPr>
        <w:spacing w:line="360" w:lineRule="auto"/>
        <w:rPr>
          <w:rFonts w:hint="eastAsia" w:ascii="宋体" w:hAnsi="宋体" w:eastAsia="宋体" w:cs="宋体"/>
          <w:color w:val="auto"/>
          <w:szCs w:val="21"/>
          <w:highlight w:val="none"/>
        </w:rPr>
      </w:pPr>
    </w:p>
    <w:p w14:paraId="6F0A0A04">
      <w:pPr>
        <w:spacing w:line="360" w:lineRule="auto"/>
        <w:rPr>
          <w:rFonts w:hint="eastAsia" w:ascii="宋体" w:hAnsi="宋体" w:eastAsia="宋体" w:cs="宋体"/>
          <w:color w:val="auto"/>
          <w:szCs w:val="21"/>
          <w:highlight w:val="none"/>
        </w:rPr>
      </w:pPr>
    </w:p>
    <w:p w14:paraId="6FF4A2F8">
      <w:pPr>
        <w:spacing w:line="360" w:lineRule="auto"/>
        <w:rPr>
          <w:rFonts w:hint="eastAsia" w:ascii="宋体" w:hAnsi="宋体" w:eastAsia="宋体" w:cs="宋体"/>
          <w:color w:val="auto"/>
          <w:szCs w:val="21"/>
          <w:highlight w:val="none"/>
        </w:rPr>
      </w:pPr>
    </w:p>
    <w:p w14:paraId="26F9708C">
      <w:pPr>
        <w:spacing w:line="360" w:lineRule="auto"/>
        <w:rPr>
          <w:rFonts w:hint="eastAsia" w:ascii="宋体" w:hAnsi="宋体" w:eastAsia="宋体" w:cs="宋体"/>
          <w:color w:val="auto"/>
          <w:szCs w:val="21"/>
          <w:highlight w:val="none"/>
        </w:rPr>
      </w:pPr>
    </w:p>
    <w:p w14:paraId="4E988B1E">
      <w:pPr>
        <w:spacing w:line="360" w:lineRule="auto"/>
        <w:rPr>
          <w:rFonts w:hint="eastAsia" w:ascii="宋体" w:hAnsi="宋体" w:eastAsia="宋体" w:cs="宋体"/>
          <w:color w:val="auto"/>
          <w:szCs w:val="21"/>
          <w:highlight w:val="none"/>
        </w:rPr>
      </w:pPr>
    </w:p>
    <w:p w14:paraId="3143F6FA">
      <w:pPr>
        <w:spacing w:line="360" w:lineRule="auto"/>
        <w:rPr>
          <w:rFonts w:hint="eastAsia" w:ascii="宋体" w:hAnsi="宋体" w:eastAsia="宋体" w:cs="宋体"/>
          <w:color w:val="auto"/>
          <w:szCs w:val="21"/>
          <w:highlight w:val="none"/>
        </w:rPr>
      </w:pPr>
    </w:p>
    <w:p w14:paraId="33F76577">
      <w:pPr>
        <w:pStyle w:val="16"/>
        <w:spacing w:line="360" w:lineRule="auto"/>
        <w:ind w:firstLine="400" w:firstLineChars="200"/>
        <w:rPr>
          <w:rFonts w:hint="eastAsia" w:ascii="仿宋" w:hAnsi="仿宋" w:eastAsia="仿宋" w:cs="仿宋"/>
          <w:b/>
          <w:color w:val="auto"/>
          <w:sz w:val="30"/>
          <w:szCs w:val="30"/>
          <w:highlight w:val="none"/>
        </w:rPr>
      </w:pPr>
      <w:r>
        <w:rPr>
          <w:rFonts w:hint="eastAsia" w:ascii="宋体" w:hAnsi="宋体" w:eastAsia="宋体" w:cs="宋体"/>
          <w:color w:val="auto"/>
          <w:highlight w:val="none"/>
        </w:rPr>
        <w:br w:type="page"/>
      </w:r>
      <w:r>
        <w:rPr>
          <w:rFonts w:hint="eastAsia" w:ascii="宋体" w:hAnsi="宋体" w:eastAsia="宋体" w:cs="宋体"/>
          <w:color w:val="auto"/>
          <w:highlight w:val="none"/>
        </w:rPr>
        <w:t xml:space="preserve">  </w:t>
      </w:r>
      <w:r>
        <w:rPr>
          <w:rFonts w:hint="eastAsia" w:ascii="仿宋" w:hAnsi="仿宋" w:eastAsia="仿宋" w:cs="仿宋"/>
          <w:color w:val="auto"/>
          <w:highlight w:val="none"/>
        </w:rPr>
        <w:t xml:space="preserve"> </w:t>
      </w:r>
      <w:r>
        <w:rPr>
          <w:rFonts w:hint="eastAsia" w:ascii="仿宋" w:hAnsi="仿宋" w:eastAsia="仿宋" w:cs="仿宋"/>
          <w:b/>
          <w:color w:val="auto"/>
          <w:sz w:val="30"/>
          <w:szCs w:val="30"/>
          <w:highlight w:val="none"/>
        </w:rPr>
        <w:t>一、营业执照</w:t>
      </w:r>
      <w:r>
        <w:rPr>
          <w:rFonts w:hint="eastAsia" w:ascii="仿宋" w:hAnsi="仿宋" w:eastAsia="仿宋" w:cs="仿宋"/>
          <w:b/>
          <w:color w:val="auto"/>
          <w:sz w:val="30"/>
          <w:szCs w:val="30"/>
          <w:highlight w:val="none"/>
          <w:lang w:eastAsia="zh-CN"/>
        </w:rPr>
        <w:t>（</w:t>
      </w:r>
      <w:r>
        <w:rPr>
          <w:rFonts w:hint="eastAsia" w:ascii="仿宋" w:hAnsi="仿宋" w:eastAsia="仿宋" w:cs="仿宋"/>
          <w:b/>
          <w:color w:val="auto"/>
          <w:sz w:val="30"/>
          <w:szCs w:val="30"/>
          <w:highlight w:val="none"/>
        </w:rPr>
        <w:t>或事业法人登记证或其他工商等登记证明材料</w:t>
      </w:r>
      <w:r>
        <w:rPr>
          <w:rFonts w:hint="eastAsia" w:ascii="仿宋" w:hAnsi="仿宋" w:eastAsia="仿宋" w:cs="仿宋"/>
          <w:b/>
          <w:color w:val="auto"/>
          <w:sz w:val="30"/>
          <w:szCs w:val="30"/>
          <w:highlight w:val="none"/>
          <w:lang w:eastAsia="zh-CN"/>
        </w:rPr>
        <w:t>）</w:t>
      </w:r>
      <w:r>
        <w:rPr>
          <w:rFonts w:hint="eastAsia" w:ascii="仿宋" w:hAnsi="仿宋" w:eastAsia="仿宋" w:cs="仿宋"/>
          <w:b/>
          <w:color w:val="auto"/>
          <w:sz w:val="30"/>
          <w:szCs w:val="30"/>
          <w:highlight w:val="none"/>
        </w:rPr>
        <w:t>复印件（</w:t>
      </w:r>
      <w:r>
        <w:rPr>
          <w:rFonts w:hint="eastAsia" w:ascii="仿宋" w:hAnsi="仿宋" w:eastAsia="仿宋" w:cs="仿宋"/>
          <w:b/>
          <w:color w:val="auto"/>
          <w:sz w:val="30"/>
          <w:szCs w:val="30"/>
          <w:highlight w:val="none"/>
          <w:lang w:eastAsia="zh-CN"/>
        </w:rPr>
        <w:t>供应商</w:t>
      </w:r>
      <w:r>
        <w:rPr>
          <w:rFonts w:hint="eastAsia" w:ascii="仿宋" w:hAnsi="仿宋" w:eastAsia="仿宋" w:cs="仿宋"/>
          <w:b/>
          <w:color w:val="auto"/>
          <w:sz w:val="30"/>
          <w:szCs w:val="30"/>
          <w:highlight w:val="none"/>
        </w:rPr>
        <w:t>为自然人的，提供自然人的身份证明）</w:t>
      </w:r>
    </w:p>
    <w:p w14:paraId="4FFC55EB">
      <w:pPr>
        <w:pStyle w:val="16"/>
        <w:spacing w:line="360" w:lineRule="auto"/>
        <w:ind w:firstLine="602" w:firstLineChars="200"/>
        <w:rPr>
          <w:rFonts w:hint="eastAsia" w:ascii="仿宋" w:hAnsi="仿宋" w:eastAsia="仿宋" w:cs="仿宋"/>
          <w:b/>
          <w:color w:val="auto"/>
          <w:sz w:val="30"/>
          <w:szCs w:val="30"/>
          <w:highlight w:val="none"/>
        </w:rPr>
      </w:pPr>
    </w:p>
    <w:p w14:paraId="7AEC0708">
      <w:pPr>
        <w:autoSpaceDE w:val="0"/>
        <w:autoSpaceDN w:val="0"/>
        <w:spacing w:line="360" w:lineRule="auto"/>
        <w:ind w:left="4365" w:leftChars="1850" w:hanging="480" w:hanging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26E1BC32">
      <w:pPr>
        <w:autoSpaceDE w:val="0"/>
        <w:autoSpaceDN w:val="0"/>
        <w:spacing w:line="360" w:lineRule="auto"/>
        <w:ind w:firstLine="6120" w:firstLineChars="2550"/>
        <w:rPr>
          <w:rFonts w:hint="eastAsia" w:ascii="仿宋" w:hAnsi="仿宋" w:eastAsia="仿宋" w:cs="仿宋"/>
          <w:b/>
          <w:bCs/>
          <w:color w:val="auto"/>
          <w:sz w:val="24"/>
          <w:highlight w:val="none"/>
        </w:rPr>
      </w:pPr>
      <w:r>
        <w:rPr>
          <w:rFonts w:hint="eastAsia" w:ascii="仿宋" w:hAnsi="仿宋" w:eastAsia="仿宋" w:cs="仿宋"/>
          <w:color w:val="auto"/>
          <w:kern w:val="0"/>
          <w:sz w:val="24"/>
          <w:highlight w:val="none"/>
          <w:lang w:val="zh-CN"/>
        </w:rPr>
        <w:t>日期：  年  月   日</w:t>
      </w:r>
    </w:p>
    <w:p w14:paraId="75249010">
      <w:pPr>
        <w:snapToGrid w:val="0"/>
        <w:spacing w:before="120" w:beforeLines="50" w:after="50" w:line="360" w:lineRule="auto"/>
        <w:rPr>
          <w:rFonts w:hint="eastAsia" w:ascii="仿宋" w:hAnsi="仿宋" w:eastAsia="仿宋" w:cs="仿宋"/>
          <w:color w:val="auto"/>
          <w:sz w:val="24"/>
          <w:szCs w:val="20"/>
          <w:highlight w:val="none"/>
        </w:rPr>
      </w:pPr>
    </w:p>
    <w:p w14:paraId="38D5C353">
      <w:pPr>
        <w:pStyle w:val="16"/>
        <w:spacing w:line="360" w:lineRule="auto"/>
        <w:ind w:firstLine="602" w:firstLineChars="20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lang w:eastAsia="zh-CN"/>
        </w:rPr>
        <w:t>二、</w:t>
      </w:r>
      <w:r>
        <w:rPr>
          <w:rFonts w:hint="eastAsia" w:ascii="仿宋" w:hAnsi="仿宋" w:eastAsia="仿宋" w:cs="仿宋"/>
          <w:b/>
          <w:color w:val="auto"/>
          <w:sz w:val="30"/>
          <w:szCs w:val="30"/>
          <w:highlight w:val="none"/>
        </w:rPr>
        <w:t>符合参与政府采购活动的资格条件依法缴纳税收、社会保障资金等方面的材料</w:t>
      </w:r>
    </w:p>
    <w:p w14:paraId="5BF3C7BF">
      <w:pPr>
        <w:spacing w:line="360" w:lineRule="auto"/>
        <w:rPr>
          <w:rFonts w:hint="eastAsia" w:ascii="仿宋" w:hAnsi="仿宋" w:eastAsia="仿宋" w:cs="仿宋"/>
          <w:color w:val="auto"/>
          <w:szCs w:val="21"/>
          <w:highlight w:val="none"/>
        </w:rPr>
      </w:pPr>
    </w:p>
    <w:p w14:paraId="196FBAB3">
      <w:pPr>
        <w:autoSpaceDE w:val="0"/>
        <w:autoSpaceDN w:val="0"/>
        <w:spacing w:line="360" w:lineRule="auto"/>
        <w:ind w:left="4365" w:leftChars="1850" w:hanging="480" w:hanging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669080F1">
      <w:pPr>
        <w:autoSpaceDE w:val="0"/>
        <w:autoSpaceDN w:val="0"/>
        <w:spacing w:line="360" w:lineRule="auto"/>
        <w:ind w:firstLine="6120" w:firstLineChars="2550"/>
        <w:rPr>
          <w:rFonts w:hint="eastAsia" w:ascii="仿宋" w:hAnsi="仿宋" w:eastAsia="仿宋" w:cs="仿宋"/>
          <w:b/>
          <w:bCs/>
          <w:color w:val="auto"/>
          <w:sz w:val="24"/>
          <w:highlight w:val="none"/>
        </w:rPr>
      </w:pPr>
      <w:r>
        <w:rPr>
          <w:rFonts w:hint="eastAsia" w:ascii="仿宋" w:hAnsi="仿宋" w:eastAsia="仿宋" w:cs="仿宋"/>
          <w:color w:val="auto"/>
          <w:kern w:val="0"/>
          <w:sz w:val="24"/>
          <w:highlight w:val="none"/>
          <w:lang w:val="zh-CN"/>
        </w:rPr>
        <w:t>日期：  年  月   日</w:t>
      </w:r>
    </w:p>
    <w:p w14:paraId="40D74755">
      <w:pPr>
        <w:spacing w:line="360" w:lineRule="auto"/>
        <w:rPr>
          <w:rFonts w:hint="eastAsia" w:ascii="仿宋" w:hAnsi="仿宋" w:eastAsia="仿宋" w:cs="仿宋"/>
          <w:color w:val="auto"/>
          <w:szCs w:val="21"/>
          <w:highlight w:val="none"/>
        </w:rPr>
      </w:pPr>
    </w:p>
    <w:p w14:paraId="153CA521">
      <w:pPr>
        <w:spacing w:line="360" w:lineRule="auto"/>
        <w:ind w:firstLine="596" w:firstLineChars="198"/>
        <w:rPr>
          <w:rFonts w:hint="eastAsia" w:ascii="仿宋" w:hAnsi="仿宋" w:eastAsia="仿宋" w:cs="仿宋"/>
          <w:b/>
          <w:color w:val="auto"/>
          <w:kern w:val="0"/>
          <w:sz w:val="30"/>
          <w:szCs w:val="30"/>
          <w:highlight w:val="none"/>
        </w:rPr>
      </w:pPr>
      <w:r>
        <w:rPr>
          <w:rFonts w:hint="eastAsia" w:ascii="仿宋" w:hAnsi="仿宋" w:eastAsia="仿宋" w:cs="仿宋"/>
          <w:b/>
          <w:color w:val="auto"/>
          <w:kern w:val="0"/>
          <w:sz w:val="30"/>
          <w:szCs w:val="30"/>
          <w:highlight w:val="none"/>
        </w:rPr>
        <w:t>三、财务状况报告方面的材料</w:t>
      </w:r>
    </w:p>
    <w:p w14:paraId="2B692D0A">
      <w:pPr>
        <w:spacing w:line="360" w:lineRule="auto"/>
        <w:rPr>
          <w:rFonts w:hint="eastAsia" w:ascii="仿宋" w:hAnsi="仿宋" w:eastAsia="仿宋" w:cs="仿宋"/>
          <w:color w:val="auto"/>
          <w:szCs w:val="21"/>
          <w:highlight w:val="none"/>
        </w:rPr>
      </w:pPr>
    </w:p>
    <w:p w14:paraId="580FFF85">
      <w:pPr>
        <w:autoSpaceDE w:val="0"/>
        <w:autoSpaceDN w:val="0"/>
        <w:spacing w:line="360" w:lineRule="auto"/>
        <w:ind w:left="4365" w:leftChars="1850" w:hanging="480" w:hanging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5BFEF024">
      <w:pPr>
        <w:autoSpaceDE w:val="0"/>
        <w:autoSpaceDN w:val="0"/>
        <w:spacing w:line="360" w:lineRule="auto"/>
        <w:ind w:firstLine="6120" w:firstLineChars="2550"/>
        <w:rPr>
          <w:rFonts w:hint="eastAsia" w:ascii="仿宋" w:hAnsi="仿宋" w:eastAsia="仿宋" w:cs="仿宋"/>
          <w:b/>
          <w:bCs/>
          <w:color w:val="auto"/>
          <w:sz w:val="24"/>
          <w:highlight w:val="none"/>
        </w:rPr>
      </w:pPr>
      <w:r>
        <w:rPr>
          <w:rFonts w:hint="eastAsia" w:ascii="仿宋" w:hAnsi="仿宋" w:eastAsia="仿宋" w:cs="仿宋"/>
          <w:color w:val="auto"/>
          <w:kern w:val="0"/>
          <w:sz w:val="24"/>
          <w:highlight w:val="none"/>
          <w:lang w:val="zh-CN"/>
        </w:rPr>
        <w:t>日期：  年  月   日</w:t>
      </w:r>
    </w:p>
    <w:p w14:paraId="0F0A4041">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w:t>
      </w:r>
    </w:p>
    <w:p w14:paraId="75B92450">
      <w:pPr>
        <w:snapToGrid w:val="0"/>
        <w:spacing w:before="120" w:beforeLines="50" w:after="50" w:line="360" w:lineRule="auto"/>
        <w:jc w:val="center"/>
        <w:rPr>
          <w:rFonts w:hint="eastAsia" w:ascii="仿宋" w:hAnsi="仿宋" w:eastAsia="仿宋" w:cs="仿宋"/>
          <w:b/>
          <w:color w:val="auto"/>
          <w:sz w:val="24"/>
          <w:highlight w:val="none"/>
        </w:rPr>
      </w:pPr>
    </w:p>
    <w:p w14:paraId="49111B82">
      <w:pPr>
        <w:spacing w:line="360" w:lineRule="auto"/>
        <w:ind w:firstLine="596" w:firstLineChars="198"/>
        <w:contextualSpacing/>
        <w:rPr>
          <w:rFonts w:hint="eastAsia" w:ascii="仿宋" w:hAnsi="仿宋" w:eastAsia="仿宋" w:cs="仿宋"/>
          <w:b/>
          <w:color w:val="auto"/>
          <w:kern w:val="0"/>
          <w:sz w:val="30"/>
          <w:szCs w:val="30"/>
          <w:highlight w:val="none"/>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p>
    <w:p w14:paraId="39EB971C">
      <w:pPr>
        <w:spacing w:line="360" w:lineRule="auto"/>
        <w:ind w:firstLine="596" w:firstLineChars="198"/>
        <w:contextualSpacing/>
        <w:rPr>
          <w:rFonts w:hint="eastAsia" w:ascii="仿宋" w:hAnsi="仿宋" w:eastAsia="仿宋" w:cs="仿宋"/>
          <w:b/>
          <w:color w:val="auto"/>
          <w:kern w:val="0"/>
          <w:sz w:val="30"/>
          <w:szCs w:val="30"/>
          <w:highlight w:val="none"/>
        </w:rPr>
      </w:pPr>
      <w:r>
        <w:rPr>
          <w:rFonts w:hint="eastAsia" w:ascii="仿宋" w:hAnsi="仿宋" w:eastAsia="仿宋" w:cs="仿宋"/>
          <w:b/>
          <w:color w:val="auto"/>
          <w:kern w:val="0"/>
          <w:sz w:val="30"/>
          <w:szCs w:val="30"/>
          <w:highlight w:val="none"/>
        </w:rPr>
        <w:t>四、供应商直接控股股东信息</w:t>
      </w:r>
    </w:p>
    <w:p w14:paraId="79360E61">
      <w:pPr>
        <w:spacing w:line="360" w:lineRule="auto"/>
        <w:contextualSpacing/>
        <w:jc w:val="center"/>
        <w:rPr>
          <w:rFonts w:hint="eastAsia" w:ascii="仿宋" w:hAnsi="仿宋" w:eastAsia="仿宋" w:cs="仿宋"/>
          <w:b/>
          <w:color w:val="auto"/>
          <w:sz w:val="24"/>
          <w:highlight w:val="none"/>
        </w:rPr>
      </w:pPr>
    </w:p>
    <w:tbl>
      <w:tblPr>
        <w:tblStyle w:val="27"/>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158BAF2E">
        <w:tblPrEx>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E8BDC3A">
            <w:pPr>
              <w:widowControl/>
              <w:spacing w:line="360" w:lineRule="auto"/>
              <w:contextualSpacing/>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F7C8AE9">
            <w:pPr>
              <w:widowControl/>
              <w:spacing w:line="360" w:lineRule="auto"/>
              <w:contextualSpacing/>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4B2617C">
            <w:pPr>
              <w:widowControl/>
              <w:spacing w:line="360" w:lineRule="auto"/>
              <w:contextualSpacing/>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69F8FE5">
            <w:pPr>
              <w:widowControl/>
              <w:spacing w:line="360" w:lineRule="auto"/>
              <w:contextualSpacing/>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D91616C">
            <w:pPr>
              <w:widowControl/>
              <w:spacing w:line="360" w:lineRule="auto"/>
              <w:contextualSpacing/>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备注</w:t>
            </w:r>
          </w:p>
        </w:tc>
      </w:tr>
      <w:tr w14:paraId="22D8807E">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79E4B3D">
            <w:pPr>
              <w:widowControl/>
              <w:spacing w:line="360" w:lineRule="auto"/>
              <w:contextualSpacing/>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0FE6F3D">
            <w:pPr>
              <w:widowControl/>
              <w:spacing w:line="360" w:lineRule="auto"/>
              <w:contextualSpacing/>
              <w:jc w:val="center"/>
              <w:rPr>
                <w:rFonts w:hint="eastAsia" w:ascii="仿宋" w:hAnsi="仿宋" w:eastAsia="仿宋" w:cs="仿宋"/>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04C9CAB">
            <w:pPr>
              <w:widowControl/>
              <w:spacing w:line="360" w:lineRule="auto"/>
              <w:contextualSpacing/>
              <w:jc w:val="center"/>
              <w:rPr>
                <w:rFonts w:hint="eastAsia" w:ascii="仿宋" w:hAnsi="仿宋" w:eastAsia="仿宋" w:cs="仿宋"/>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9575A88">
            <w:pPr>
              <w:widowControl/>
              <w:spacing w:line="360" w:lineRule="auto"/>
              <w:contextualSpacing/>
              <w:jc w:val="center"/>
              <w:rPr>
                <w:rFonts w:hint="eastAsia" w:ascii="仿宋" w:hAnsi="仿宋" w:eastAsia="仿宋" w:cs="仿宋"/>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618F0D4">
            <w:pPr>
              <w:widowControl/>
              <w:spacing w:line="360" w:lineRule="auto"/>
              <w:contextualSpacing/>
              <w:jc w:val="center"/>
              <w:rPr>
                <w:rFonts w:hint="eastAsia" w:ascii="仿宋" w:hAnsi="仿宋" w:eastAsia="仿宋" w:cs="仿宋"/>
                <w:color w:val="auto"/>
                <w:kern w:val="0"/>
                <w:sz w:val="24"/>
                <w:highlight w:val="none"/>
              </w:rPr>
            </w:pPr>
          </w:p>
        </w:tc>
      </w:tr>
      <w:tr w14:paraId="6B4F0BA4">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6373B0F">
            <w:pPr>
              <w:widowControl/>
              <w:spacing w:line="360" w:lineRule="auto"/>
              <w:contextualSpacing/>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D44A514">
            <w:pPr>
              <w:widowControl/>
              <w:spacing w:line="360" w:lineRule="auto"/>
              <w:contextualSpacing/>
              <w:jc w:val="center"/>
              <w:rPr>
                <w:rFonts w:hint="eastAsia" w:ascii="仿宋" w:hAnsi="仿宋" w:eastAsia="仿宋" w:cs="仿宋"/>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8933F83">
            <w:pPr>
              <w:widowControl/>
              <w:spacing w:line="360" w:lineRule="auto"/>
              <w:contextualSpacing/>
              <w:jc w:val="center"/>
              <w:rPr>
                <w:rFonts w:hint="eastAsia" w:ascii="仿宋" w:hAnsi="仿宋" w:eastAsia="仿宋" w:cs="仿宋"/>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39F5F0A">
            <w:pPr>
              <w:widowControl/>
              <w:spacing w:line="360" w:lineRule="auto"/>
              <w:contextualSpacing/>
              <w:jc w:val="center"/>
              <w:rPr>
                <w:rFonts w:hint="eastAsia" w:ascii="仿宋" w:hAnsi="仿宋" w:eastAsia="仿宋" w:cs="仿宋"/>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A5E6CAE">
            <w:pPr>
              <w:widowControl/>
              <w:spacing w:line="360" w:lineRule="auto"/>
              <w:contextualSpacing/>
              <w:jc w:val="center"/>
              <w:rPr>
                <w:rFonts w:hint="eastAsia" w:ascii="仿宋" w:hAnsi="仿宋" w:eastAsia="仿宋" w:cs="仿宋"/>
                <w:color w:val="auto"/>
                <w:kern w:val="0"/>
                <w:sz w:val="24"/>
                <w:highlight w:val="none"/>
              </w:rPr>
            </w:pPr>
          </w:p>
        </w:tc>
      </w:tr>
      <w:tr w14:paraId="6B1EAB7F">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E0093AA">
            <w:pPr>
              <w:widowControl/>
              <w:spacing w:line="360" w:lineRule="auto"/>
              <w:contextualSpacing/>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4517041">
            <w:pPr>
              <w:widowControl/>
              <w:spacing w:line="360" w:lineRule="auto"/>
              <w:contextualSpacing/>
              <w:jc w:val="center"/>
              <w:rPr>
                <w:rFonts w:hint="eastAsia" w:ascii="仿宋" w:hAnsi="仿宋" w:eastAsia="仿宋" w:cs="仿宋"/>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BF41C9F">
            <w:pPr>
              <w:widowControl/>
              <w:spacing w:line="360" w:lineRule="auto"/>
              <w:contextualSpacing/>
              <w:jc w:val="center"/>
              <w:rPr>
                <w:rFonts w:hint="eastAsia" w:ascii="仿宋" w:hAnsi="仿宋" w:eastAsia="仿宋" w:cs="仿宋"/>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A5547E9">
            <w:pPr>
              <w:widowControl/>
              <w:spacing w:line="360" w:lineRule="auto"/>
              <w:contextualSpacing/>
              <w:jc w:val="center"/>
              <w:rPr>
                <w:rFonts w:hint="eastAsia" w:ascii="仿宋" w:hAnsi="仿宋" w:eastAsia="仿宋" w:cs="仿宋"/>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FA0F605">
            <w:pPr>
              <w:widowControl/>
              <w:spacing w:line="360" w:lineRule="auto"/>
              <w:contextualSpacing/>
              <w:jc w:val="center"/>
              <w:rPr>
                <w:rFonts w:hint="eastAsia" w:ascii="仿宋" w:hAnsi="仿宋" w:eastAsia="仿宋" w:cs="仿宋"/>
                <w:color w:val="auto"/>
                <w:kern w:val="0"/>
                <w:sz w:val="24"/>
                <w:highlight w:val="none"/>
              </w:rPr>
            </w:pPr>
          </w:p>
        </w:tc>
      </w:tr>
      <w:tr w14:paraId="286412DB">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4992F1C">
            <w:pPr>
              <w:widowControl/>
              <w:spacing w:line="360" w:lineRule="auto"/>
              <w:contextualSpacing/>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6D1186F">
            <w:pPr>
              <w:widowControl/>
              <w:spacing w:line="360" w:lineRule="auto"/>
              <w:contextualSpacing/>
              <w:jc w:val="center"/>
              <w:rPr>
                <w:rFonts w:hint="eastAsia" w:ascii="仿宋" w:hAnsi="仿宋" w:eastAsia="仿宋" w:cs="仿宋"/>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2AF5B41">
            <w:pPr>
              <w:widowControl/>
              <w:spacing w:line="360" w:lineRule="auto"/>
              <w:contextualSpacing/>
              <w:jc w:val="center"/>
              <w:rPr>
                <w:rFonts w:hint="eastAsia" w:ascii="仿宋" w:hAnsi="仿宋" w:eastAsia="仿宋" w:cs="仿宋"/>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4589788">
            <w:pPr>
              <w:widowControl/>
              <w:spacing w:line="360" w:lineRule="auto"/>
              <w:contextualSpacing/>
              <w:jc w:val="center"/>
              <w:rPr>
                <w:rFonts w:hint="eastAsia" w:ascii="仿宋" w:hAnsi="仿宋" w:eastAsia="仿宋" w:cs="仿宋"/>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9E54BB5">
            <w:pPr>
              <w:widowControl/>
              <w:spacing w:line="360" w:lineRule="auto"/>
              <w:contextualSpacing/>
              <w:jc w:val="center"/>
              <w:rPr>
                <w:rFonts w:hint="eastAsia" w:ascii="仿宋" w:hAnsi="仿宋" w:eastAsia="仿宋" w:cs="仿宋"/>
                <w:color w:val="auto"/>
                <w:kern w:val="0"/>
                <w:sz w:val="24"/>
                <w:highlight w:val="none"/>
              </w:rPr>
            </w:pPr>
          </w:p>
        </w:tc>
      </w:tr>
    </w:tbl>
    <w:p w14:paraId="074501DD">
      <w:pPr>
        <w:spacing w:line="360" w:lineRule="auto"/>
        <w:contextualSpacing/>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注：</w:t>
      </w:r>
    </w:p>
    <w:p w14:paraId="127F3871">
      <w:pPr>
        <w:spacing w:line="360" w:lineRule="auto"/>
        <w:ind w:firstLine="480" w:firstLineChars="200"/>
        <w:contextualSpacing/>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BF04740">
      <w:pPr>
        <w:spacing w:line="360" w:lineRule="auto"/>
        <w:ind w:firstLine="480" w:firstLineChars="200"/>
        <w:contextualSpacing/>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2.本表所指的控股关系仅限于直接控股关系，不包括间接的控股关系。公司实际控制人与公司之间的关系不属于本表所指的直接控股关系。</w:t>
      </w:r>
    </w:p>
    <w:p w14:paraId="7ED917B8">
      <w:pPr>
        <w:spacing w:line="360" w:lineRule="auto"/>
        <w:ind w:firstLine="480" w:firstLineChars="200"/>
        <w:contextualSpacing/>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3.供应商不存在直接控股股东的，则填“无”。</w:t>
      </w:r>
    </w:p>
    <w:p w14:paraId="7CF156FD">
      <w:pPr>
        <w:snapToGrid w:val="0"/>
        <w:spacing w:line="360" w:lineRule="auto"/>
        <w:jc w:val="left"/>
        <w:rPr>
          <w:rFonts w:hint="eastAsia" w:ascii="仿宋" w:hAnsi="仿宋" w:eastAsia="仿宋" w:cs="仿宋"/>
          <w:color w:val="auto"/>
          <w:sz w:val="24"/>
          <w:highlight w:val="none"/>
        </w:rPr>
      </w:pPr>
    </w:p>
    <w:p w14:paraId="77BE3AF3">
      <w:pPr>
        <w:snapToGrid w:val="0"/>
        <w:spacing w:line="360" w:lineRule="auto"/>
        <w:jc w:val="left"/>
        <w:rPr>
          <w:rFonts w:hint="eastAsia" w:ascii="仿宋" w:hAnsi="仿宋" w:eastAsia="仿宋" w:cs="仿宋"/>
          <w:color w:val="auto"/>
          <w:sz w:val="24"/>
          <w:highlight w:val="none"/>
        </w:rPr>
      </w:pPr>
    </w:p>
    <w:p w14:paraId="690AF496">
      <w:pPr>
        <w:snapToGrid w:val="0"/>
        <w:spacing w:line="360" w:lineRule="auto"/>
        <w:jc w:val="left"/>
        <w:rPr>
          <w:rFonts w:hint="eastAsia" w:ascii="仿宋" w:hAnsi="仿宋" w:eastAsia="仿宋" w:cs="仿宋"/>
          <w:color w:val="auto"/>
          <w:sz w:val="24"/>
          <w:highlight w:val="none"/>
        </w:rPr>
      </w:pPr>
    </w:p>
    <w:p w14:paraId="27A78363">
      <w:pPr>
        <w:autoSpaceDE w:val="0"/>
        <w:autoSpaceDN w:val="0"/>
        <w:spacing w:line="360" w:lineRule="auto"/>
        <w:ind w:left="4365" w:leftChars="1850" w:hanging="480" w:hanging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3772F03F">
      <w:pPr>
        <w:autoSpaceDE w:val="0"/>
        <w:autoSpaceDN w:val="0"/>
        <w:spacing w:line="360" w:lineRule="auto"/>
        <w:ind w:firstLine="6120" w:firstLineChars="2550"/>
        <w:rPr>
          <w:rFonts w:hint="eastAsia" w:ascii="仿宋" w:hAnsi="仿宋" w:eastAsia="仿宋" w:cs="仿宋"/>
          <w:b/>
          <w:bCs/>
          <w:color w:val="auto"/>
          <w:sz w:val="24"/>
          <w:highlight w:val="none"/>
        </w:rPr>
      </w:pPr>
      <w:r>
        <w:rPr>
          <w:rFonts w:hint="eastAsia" w:ascii="仿宋" w:hAnsi="仿宋" w:eastAsia="仿宋" w:cs="仿宋"/>
          <w:color w:val="auto"/>
          <w:kern w:val="0"/>
          <w:sz w:val="24"/>
          <w:highlight w:val="none"/>
          <w:lang w:val="zh-CN"/>
        </w:rPr>
        <w:t>日期：  年  月   日</w:t>
      </w:r>
    </w:p>
    <w:p w14:paraId="57914A47">
      <w:pPr>
        <w:snapToGrid w:val="0"/>
        <w:spacing w:line="360" w:lineRule="auto"/>
        <w:rPr>
          <w:rFonts w:hint="eastAsia" w:ascii="仿宋" w:hAnsi="仿宋" w:eastAsia="仿宋" w:cs="仿宋"/>
          <w:b/>
          <w:color w:val="auto"/>
          <w:kern w:val="0"/>
          <w:sz w:val="30"/>
          <w:szCs w:val="30"/>
          <w:highlight w:val="none"/>
        </w:rPr>
      </w:pPr>
    </w:p>
    <w:p w14:paraId="7B0E5BC7">
      <w:pPr>
        <w:snapToGrid w:val="0"/>
        <w:spacing w:line="360" w:lineRule="auto"/>
        <w:ind w:firstLine="596" w:firstLineChars="198"/>
        <w:rPr>
          <w:rFonts w:hint="eastAsia" w:ascii="仿宋" w:hAnsi="仿宋" w:eastAsia="仿宋" w:cs="仿宋"/>
          <w:b/>
          <w:color w:val="auto"/>
          <w:kern w:val="0"/>
          <w:sz w:val="30"/>
          <w:szCs w:val="30"/>
          <w:highlight w:val="none"/>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p>
    <w:p w14:paraId="278936C8">
      <w:pPr>
        <w:snapToGrid w:val="0"/>
        <w:spacing w:line="360" w:lineRule="auto"/>
        <w:ind w:firstLine="596" w:firstLineChars="198"/>
        <w:rPr>
          <w:rFonts w:hint="eastAsia" w:ascii="仿宋" w:hAnsi="仿宋" w:eastAsia="仿宋" w:cs="仿宋"/>
          <w:b/>
          <w:color w:val="auto"/>
          <w:kern w:val="0"/>
          <w:sz w:val="30"/>
          <w:szCs w:val="30"/>
          <w:highlight w:val="none"/>
        </w:rPr>
      </w:pPr>
      <w:r>
        <w:rPr>
          <w:rFonts w:hint="eastAsia" w:ascii="仿宋" w:hAnsi="仿宋" w:eastAsia="仿宋" w:cs="仿宋"/>
          <w:b/>
          <w:color w:val="auto"/>
          <w:kern w:val="0"/>
          <w:sz w:val="30"/>
          <w:szCs w:val="30"/>
          <w:highlight w:val="none"/>
        </w:rPr>
        <w:t>五、供应商直接管理关系信息表</w:t>
      </w:r>
    </w:p>
    <w:p w14:paraId="5413DF84">
      <w:pPr>
        <w:snapToGrid w:val="0"/>
        <w:spacing w:line="360" w:lineRule="auto"/>
        <w:jc w:val="center"/>
        <w:rPr>
          <w:rFonts w:hint="eastAsia" w:ascii="仿宋" w:hAnsi="仿宋" w:eastAsia="仿宋" w:cs="仿宋"/>
          <w:b/>
          <w:color w:val="auto"/>
          <w:sz w:val="24"/>
          <w:highlight w:val="none"/>
        </w:rPr>
      </w:pPr>
    </w:p>
    <w:tbl>
      <w:tblPr>
        <w:tblStyle w:val="27"/>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18593472">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7AE89D3">
            <w:pPr>
              <w:widowControl/>
              <w:spacing w:line="360" w:lineRule="auto"/>
              <w:contextualSpacing/>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599BD9E">
            <w:pPr>
              <w:widowControl/>
              <w:spacing w:line="360" w:lineRule="auto"/>
              <w:contextualSpacing/>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361D600">
            <w:pPr>
              <w:widowControl/>
              <w:spacing w:line="360" w:lineRule="auto"/>
              <w:contextualSpacing/>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C7567ED">
            <w:pPr>
              <w:widowControl/>
              <w:spacing w:line="360" w:lineRule="auto"/>
              <w:contextualSpacing/>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备注</w:t>
            </w:r>
          </w:p>
        </w:tc>
      </w:tr>
      <w:tr w14:paraId="47F3E304">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E5446AA">
            <w:pPr>
              <w:widowControl/>
              <w:spacing w:line="360" w:lineRule="auto"/>
              <w:contextualSpacing/>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50449E4">
            <w:pPr>
              <w:widowControl/>
              <w:spacing w:line="360" w:lineRule="auto"/>
              <w:contextualSpacing/>
              <w:jc w:val="center"/>
              <w:rPr>
                <w:rFonts w:hint="eastAsia" w:ascii="仿宋" w:hAnsi="仿宋" w:eastAsia="仿宋" w:cs="仿宋"/>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CC1F5A5">
            <w:pPr>
              <w:widowControl/>
              <w:spacing w:line="360" w:lineRule="auto"/>
              <w:contextualSpacing/>
              <w:jc w:val="center"/>
              <w:rPr>
                <w:rFonts w:hint="eastAsia" w:ascii="仿宋" w:hAnsi="仿宋" w:eastAsia="仿宋" w:cs="仿宋"/>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77BE470">
            <w:pPr>
              <w:widowControl/>
              <w:spacing w:line="360" w:lineRule="auto"/>
              <w:contextualSpacing/>
              <w:jc w:val="center"/>
              <w:rPr>
                <w:rFonts w:hint="eastAsia" w:ascii="仿宋" w:hAnsi="仿宋" w:eastAsia="仿宋" w:cs="仿宋"/>
                <w:color w:val="auto"/>
                <w:kern w:val="0"/>
                <w:sz w:val="24"/>
                <w:highlight w:val="none"/>
              </w:rPr>
            </w:pPr>
          </w:p>
        </w:tc>
      </w:tr>
      <w:tr w14:paraId="20042C72">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D89E291">
            <w:pPr>
              <w:widowControl/>
              <w:spacing w:line="360" w:lineRule="auto"/>
              <w:contextualSpacing/>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506B3AF">
            <w:pPr>
              <w:widowControl/>
              <w:spacing w:line="360" w:lineRule="auto"/>
              <w:contextualSpacing/>
              <w:jc w:val="center"/>
              <w:rPr>
                <w:rFonts w:hint="eastAsia" w:ascii="仿宋" w:hAnsi="仿宋" w:eastAsia="仿宋" w:cs="仿宋"/>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D75F67A">
            <w:pPr>
              <w:widowControl/>
              <w:spacing w:line="360" w:lineRule="auto"/>
              <w:contextualSpacing/>
              <w:jc w:val="center"/>
              <w:rPr>
                <w:rFonts w:hint="eastAsia" w:ascii="仿宋" w:hAnsi="仿宋" w:eastAsia="仿宋" w:cs="仿宋"/>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7735FDA">
            <w:pPr>
              <w:widowControl/>
              <w:spacing w:line="360" w:lineRule="auto"/>
              <w:contextualSpacing/>
              <w:jc w:val="center"/>
              <w:rPr>
                <w:rFonts w:hint="eastAsia" w:ascii="仿宋" w:hAnsi="仿宋" w:eastAsia="仿宋" w:cs="仿宋"/>
                <w:color w:val="auto"/>
                <w:kern w:val="0"/>
                <w:sz w:val="24"/>
                <w:highlight w:val="none"/>
              </w:rPr>
            </w:pPr>
          </w:p>
        </w:tc>
      </w:tr>
      <w:tr w14:paraId="42A26B43">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625152B">
            <w:pPr>
              <w:widowControl/>
              <w:spacing w:line="360" w:lineRule="auto"/>
              <w:contextualSpacing/>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0161346">
            <w:pPr>
              <w:widowControl/>
              <w:spacing w:line="360" w:lineRule="auto"/>
              <w:contextualSpacing/>
              <w:jc w:val="center"/>
              <w:rPr>
                <w:rFonts w:hint="eastAsia" w:ascii="仿宋" w:hAnsi="仿宋" w:eastAsia="仿宋" w:cs="仿宋"/>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A3AD860">
            <w:pPr>
              <w:widowControl/>
              <w:spacing w:line="360" w:lineRule="auto"/>
              <w:contextualSpacing/>
              <w:jc w:val="center"/>
              <w:rPr>
                <w:rFonts w:hint="eastAsia" w:ascii="仿宋" w:hAnsi="仿宋" w:eastAsia="仿宋" w:cs="仿宋"/>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D3E3F50">
            <w:pPr>
              <w:widowControl/>
              <w:spacing w:line="360" w:lineRule="auto"/>
              <w:contextualSpacing/>
              <w:jc w:val="center"/>
              <w:rPr>
                <w:rFonts w:hint="eastAsia" w:ascii="仿宋" w:hAnsi="仿宋" w:eastAsia="仿宋" w:cs="仿宋"/>
                <w:color w:val="auto"/>
                <w:kern w:val="0"/>
                <w:sz w:val="24"/>
                <w:highlight w:val="none"/>
              </w:rPr>
            </w:pPr>
          </w:p>
        </w:tc>
      </w:tr>
      <w:tr w14:paraId="05F07533">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B56C314">
            <w:pPr>
              <w:widowControl/>
              <w:spacing w:line="360" w:lineRule="auto"/>
              <w:contextualSpacing/>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10383AE">
            <w:pPr>
              <w:widowControl/>
              <w:spacing w:line="360" w:lineRule="auto"/>
              <w:contextualSpacing/>
              <w:jc w:val="center"/>
              <w:rPr>
                <w:rFonts w:hint="eastAsia" w:ascii="仿宋" w:hAnsi="仿宋" w:eastAsia="仿宋" w:cs="仿宋"/>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F3468F6">
            <w:pPr>
              <w:widowControl/>
              <w:spacing w:line="360" w:lineRule="auto"/>
              <w:contextualSpacing/>
              <w:jc w:val="center"/>
              <w:rPr>
                <w:rFonts w:hint="eastAsia" w:ascii="仿宋" w:hAnsi="仿宋" w:eastAsia="仿宋" w:cs="仿宋"/>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0AEA172">
            <w:pPr>
              <w:widowControl/>
              <w:spacing w:line="360" w:lineRule="auto"/>
              <w:contextualSpacing/>
              <w:jc w:val="center"/>
              <w:rPr>
                <w:rFonts w:hint="eastAsia" w:ascii="仿宋" w:hAnsi="仿宋" w:eastAsia="仿宋" w:cs="仿宋"/>
                <w:color w:val="auto"/>
                <w:kern w:val="0"/>
                <w:sz w:val="24"/>
                <w:highlight w:val="none"/>
              </w:rPr>
            </w:pPr>
          </w:p>
        </w:tc>
      </w:tr>
    </w:tbl>
    <w:p w14:paraId="16E77EB8">
      <w:pPr>
        <w:spacing w:line="360" w:lineRule="auto"/>
        <w:ind w:firstLine="480" w:firstLineChars="200"/>
        <w:contextualSpacing/>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注：</w:t>
      </w:r>
    </w:p>
    <w:p w14:paraId="494C571C">
      <w:pPr>
        <w:spacing w:line="360" w:lineRule="auto"/>
        <w:ind w:firstLine="480" w:firstLineChars="200"/>
        <w:contextualSpacing/>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1.管理关系：是指不具有出资持股关系的其他单位之间存在的管理与被管理关系，如一些上下级关系的事业单位和团体组织。</w:t>
      </w:r>
    </w:p>
    <w:p w14:paraId="5DA38B89">
      <w:pPr>
        <w:spacing w:line="360" w:lineRule="auto"/>
        <w:ind w:firstLine="480" w:firstLineChars="200"/>
        <w:contextualSpacing/>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2.本表所指的管理关系仅限于直接管理关系，不包括间接的管理关系。</w:t>
      </w:r>
    </w:p>
    <w:p w14:paraId="736DAF44">
      <w:pPr>
        <w:spacing w:line="360" w:lineRule="auto"/>
        <w:ind w:firstLine="480" w:firstLineChars="200"/>
        <w:contextualSpacing/>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3.供应商不存在直接管理关系的，则填“无”。</w:t>
      </w:r>
    </w:p>
    <w:p w14:paraId="74331254">
      <w:pPr>
        <w:spacing w:line="360" w:lineRule="auto"/>
        <w:contextualSpacing/>
        <w:jc w:val="left"/>
        <w:rPr>
          <w:rFonts w:hint="eastAsia" w:ascii="仿宋" w:hAnsi="仿宋" w:eastAsia="仿宋" w:cs="仿宋"/>
          <w:color w:val="auto"/>
          <w:sz w:val="24"/>
          <w:highlight w:val="none"/>
        </w:rPr>
      </w:pPr>
    </w:p>
    <w:p w14:paraId="22FFAC03">
      <w:pPr>
        <w:autoSpaceDE w:val="0"/>
        <w:autoSpaceDN w:val="0"/>
        <w:spacing w:line="360" w:lineRule="auto"/>
        <w:ind w:left="4365" w:leftChars="1850" w:hanging="480" w:hanging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32BBFC4A">
      <w:pPr>
        <w:autoSpaceDE w:val="0"/>
        <w:autoSpaceDN w:val="0"/>
        <w:spacing w:line="360" w:lineRule="auto"/>
        <w:ind w:firstLine="6120" w:firstLineChars="2550"/>
        <w:rPr>
          <w:rFonts w:hint="eastAsia" w:ascii="仿宋" w:hAnsi="仿宋" w:eastAsia="仿宋" w:cs="仿宋"/>
          <w:b/>
          <w:bCs/>
          <w:color w:val="auto"/>
          <w:sz w:val="24"/>
          <w:highlight w:val="none"/>
        </w:rPr>
      </w:pPr>
      <w:r>
        <w:rPr>
          <w:rFonts w:hint="eastAsia" w:ascii="仿宋" w:hAnsi="仿宋" w:eastAsia="仿宋" w:cs="仿宋"/>
          <w:color w:val="auto"/>
          <w:kern w:val="0"/>
          <w:sz w:val="24"/>
          <w:highlight w:val="none"/>
          <w:lang w:val="zh-CN"/>
        </w:rPr>
        <w:t>日期：  年  月   日</w:t>
      </w:r>
    </w:p>
    <w:p w14:paraId="1EB41CD3">
      <w:pPr>
        <w:spacing w:line="360" w:lineRule="auto"/>
        <w:ind w:right="480" w:firstLine="240" w:firstLineChars="100"/>
        <w:contextualSpacing/>
        <w:jc w:val="center"/>
        <w:rPr>
          <w:rFonts w:hint="eastAsia" w:ascii="仿宋" w:hAnsi="仿宋" w:eastAsia="仿宋" w:cs="仿宋"/>
          <w:color w:val="auto"/>
          <w:sz w:val="28"/>
          <w:szCs w:val="28"/>
          <w:highlight w:val="none"/>
        </w:rPr>
      </w:pPr>
      <w:r>
        <w:rPr>
          <w:rFonts w:hint="eastAsia" w:ascii="仿宋" w:hAnsi="仿宋" w:eastAsia="仿宋" w:cs="仿宋"/>
          <w:color w:val="auto"/>
          <w:sz w:val="24"/>
          <w:highlight w:val="none"/>
        </w:rPr>
        <w:t xml:space="preserve">                                  </w:t>
      </w:r>
    </w:p>
    <w:p w14:paraId="706B3E59">
      <w:pPr>
        <w:spacing w:line="360" w:lineRule="auto"/>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r>
        <w:rPr>
          <w:rFonts w:hint="eastAsia" w:ascii="仿宋" w:hAnsi="仿宋" w:eastAsia="仿宋" w:cs="仿宋"/>
          <w:b/>
          <w:color w:val="auto"/>
          <w:kern w:val="0"/>
          <w:sz w:val="30"/>
          <w:szCs w:val="30"/>
          <w:highlight w:val="none"/>
        </w:rPr>
        <w:t>六、资格声明函</w:t>
      </w:r>
    </w:p>
    <w:p w14:paraId="2488DF68">
      <w:pPr>
        <w:spacing w:line="360" w:lineRule="auto"/>
        <w:jc w:val="center"/>
        <w:rPr>
          <w:rFonts w:hint="eastAsia" w:ascii="仿宋" w:hAnsi="仿宋" w:eastAsia="仿宋" w:cs="仿宋"/>
          <w:b/>
          <w:color w:val="auto"/>
          <w:sz w:val="32"/>
          <w:szCs w:val="32"/>
          <w:highlight w:val="none"/>
        </w:rPr>
      </w:pPr>
    </w:p>
    <w:p w14:paraId="0187C062">
      <w:pPr>
        <w:spacing w:line="360" w:lineRule="auto"/>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资格声明函</w:t>
      </w:r>
    </w:p>
    <w:p w14:paraId="62503EF8">
      <w:pPr>
        <w:spacing w:line="360" w:lineRule="auto"/>
        <w:jc w:val="center"/>
        <w:rPr>
          <w:rFonts w:hint="eastAsia" w:ascii="仿宋" w:hAnsi="仿宋" w:eastAsia="仿宋" w:cs="仿宋"/>
          <w:color w:val="auto"/>
          <w:sz w:val="24"/>
          <w:szCs w:val="20"/>
          <w:highlight w:val="none"/>
        </w:rPr>
      </w:pPr>
    </w:p>
    <w:p w14:paraId="279A4A47">
      <w:pPr>
        <w:spacing w:line="360" w:lineRule="auto"/>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u w:val="single"/>
        </w:rPr>
        <w:t>（采购代理机构名称）</w:t>
      </w:r>
      <w:r>
        <w:rPr>
          <w:rFonts w:hint="eastAsia" w:ascii="仿宋" w:hAnsi="仿宋" w:eastAsia="仿宋" w:cs="仿宋"/>
          <w:color w:val="auto"/>
          <w:sz w:val="24"/>
          <w:highlight w:val="none"/>
        </w:rPr>
        <w:t>：</w:t>
      </w:r>
    </w:p>
    <w:p w14:paraId="5FB55F32">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（供应商名称）</w:t>
      </w:r>
      <w:r>
        <w:rPr>
          <w:rFonts w:hint="eastAsia" w:ascii="仿宋" w:hAnsi="仿宋" w:eastAsia="仿宋" w:cs="仿宋"/>
          <w:color w:val="auto"/>
          <w:sz w:val="24"/>
          <w:highlight w:val="none"/>
        </w:rPr>
        <w:t>系中华人民共和国合法供应商，经营地址</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188805BF">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我方愿意参加贵方组织的</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lang w:eastAsia="zh-CN"/>
        </w:rPr>
        <w:t>隆安县屏山乡刘家村刘家屯农田水利设施项目</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项目的竞标，为便于贵方公正、择优</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rPr>
        <w:t>确定成交供应商及其竞标产品和服务，我方就本次竞标有关事项郑重声明如下：</w:t>
      </w:r>
    </w:p>
    <w:p w14:paraId="5A4D9F78">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1.我方向贵方提交的所有响应文件、资料都是准确的和真实的。</w:t>
      </w:r>
    </w:p>
    <w:p w14:paraId="44D3D0EA">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2.我方不是为本次采购项目提供整体设计、规范编制或者项目管理、监理、检测等服务的供应商；在获知本项目采购信息后，与采购人聘请的为此项目提供咨询服务的公司及其附属机构没有任何联系。</w:t>
      </w:r>
    </w:p>
    <w:p w14:paraId="11C89362">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3.在此，我方宣布同意如下：</w:t>
      </w:r>
    </w:p>
    <w:p w14:paraId="79169C20">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（1）将按磋商文件的约定履行合同责任和义务；</w:t>
      </w:r>
    </w:p>
    <w:p w14:paraId="5937F531">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（2）已详细审查全部磋商文件，包括澄清或者更正公告（如有）；</w:t>
      </w:r>
    </w:p>
    <w:p w14:paraId="7FE017C4">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（3）同意提供按照贵方可能要求的与谈判有关的一切数据或者资料；</w:t>
      </w:r>
    </w:p>
    <w:p w14:paraId="18C015CC">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（4）响应磋商文件规定的竞标有效期。</w:t>
      </w:r>
    </w:p>
    <w:p w14:paraId="7FFC3D80">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4.我方承诺符合《中华人民共和国政府采购法》第二十二条规定：</w:t>
      </w:r>
    </w:p>
    <w:p w14:paraId="7750DA97">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（1）具有独立承担民事责任的能力；</w:t>
      </w:r>
    </w:p>
    <w:p w14:paraId="6C2452D3">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（2）具有良好的商业信誉和健全的财务会计制度；</w:t>
      </w:r>
    </w:p>
    <w:p w14:paraId="6CA067EA">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（3）具有履行合同所必需的设备和专业技术能力；</w:t>
      </w:r>
    </w:p>
    <w:p w14:paraId="65920A2A">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（4）有依法缴纳税收和社会保障资金的良好记录；</w:t>
      </w:r>
    </w:p>
    <w:p w14:paraId="4654CA1F">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（5）参加政府采购活动前三年内，在经营活动中没有重大违法记录；</w:t>
      </w:r>
    </w:p>
    <w:p w14:paraId="297DB296">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（6）法律、行政法规规定的其他条件。</w:t>
      </w:r>
    </w:p>
    <w:p w14:paraId="511C9200">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74670E11">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3C5A3B33">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□我方本次响应文件</w:t>
      </w:r>
      <w:r>
        <w:rPr>
          <w:rFonts w:hint="eastAsia" w:ascii="仿宋" w:hAnsi="仿宋" w:eastAsia="仿宋" w:cs="仿宋"/>
          <w:color w:val="auto"/>
          <w:kern w:val="0"/>
          <w:sz w:val="24"/>
          <w:highlight w:val="none"/>
        </w:rPr>
        <w:t>内容中</w:t>
      </w:r>
      <w:r>
        <w:rPr>
          <w:rFonts w:hint="eastAsia" w:ascii="仿宋" w:hAnsi="仿宋" w:eastAsia="仿宋" w:cs="仿宋"/>
          <w:color w:val="auto"/>
          <w:sz w:val="24"/>
          <w:highlight w:val="none"/>
        </w:rPr>
        <w:t>未</w:t>
      </w:r>
      <w:r>
        <w:rPr>
          <w:rFonts w:hint="eastAsia" w:ascii="仿宋" w:hAnsi="仿宋" w:eastAsia="仿宋" w:cs="仿宋"/>
          <w:color w:val="auto"/>
          <w:kern w:val="0"/>
          <w:sz w:val="24"/>
          <w:highlight w:val="none"/>
        </w:rPr>
        <w:t>涉及商业秘密；</w:t>
      </w:r>
    </w:p>
    <w:p w14:paraId="62AA5D1E">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□我方本次响应文件</w:t>
      </w:r>
      <w:r>
        <w:rPr>
          <w:rFonts w:hint="eastAsia" w:ascii="仿宋" w:hAnsi="仿宋" w:eastAsia="仿宋" w:cs="仿宋"/>
          <w:color w:val="auto"/>
          <w:kern w:val="0"/>
          <w:sz w:val="24"/>
          <w:highlight w:val="none"/>
        </w:rPr>
        <w:t>涉及商业秘密的内容有：</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w:t>
      </w:r>
    </w:p>
    <w:p w14:paraId="649EA14F">
      <w:pPr>
        <w:pStyle w:val="16"/>
        <w:spacing w:line="360" w:lineRule="auto"/>
        <w:ind w:firstLine="480" w:firstLineChars="200"/>
        <w:contextualSpacing/>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7.与本</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有关的一切正式往来信函请寄：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邮政编号：</w:t>
      </w:r>
      <w:r>
        <w:rPr>
          <w:rFonts w:hint="eastAsia" w:ascii="仿宋" w:hAnsi="仿宋" w:eastAsia="仿宋" w:cs="仿宋"/>
          <w:color w:val="auto"/>
          <w:sz w:val="24"/>
          <w:szCs w:val="24"/>
          <w:highlight w:val="none"/>
          <w:u w:val="single"/>
        </w:rPr>
        <w:t xml:space="preserve">        </w:t>
      </w:r>
    </w:p>
    <w:p w14:paraId="49B79D66">
      <w:pPr>
        <w:pStyle w:val="16"/>
        <w:spacing w:line="360" w:lineRule="auto"/>
        <w:ind w:firstLine="480" w:firstLineChars="20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电话/传真：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电子函件：</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7165801F">
      <w:pPr>
        <w:pStyle w:val="14"/>
        <w:tabs>
          <w:tab w:val="left" w:pos="939"/>
        </w:tabs>
        <w:spacing w:line="360" w:lineRule="auto"/>
        <w:ind w:left="141" w:leftChars="67"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开户银行：</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帐号：</w:t>
      </w:r>
      <w:r>
        <w:rPr>
          <w:rFonts w:hint="eastAsia" w:ascii="仿宋" w:hAnsi="仿宋" w:eastAsia="仿宋" w:cs="仿宋"/>
          <w:color w:val="auto"/>
          <w:sz w:val="24"/>
          <w:highlight w:val="none"/>
          <w:u w:val="single"/>
        </w:rPr>
        <w:t xml:space="preserve">                               </w:t>
      </w:r>
    </w:p>
    <w:p w14:paraId="330F7602">
      <w:pPr>
        <w:pStyle w:val="14"/>
        <w:tabs>
          <w:tab w:val="left" w:pos="939"/>
        </w:tabs>
        <w:spacing w:line="360" w:lineRule="auto"/>
        <w:ind w:left="0" w:lef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8.以上事项如有虚假或者隐瞒，我方愿意承担一切后果，并不再寻求任何旨在减轻或者免除法律责任的辩解。</w:t>
      </w:r>
    </w:p>
    <w:p w14:paraId="3C7144D9">
      <w:pPr>
        <w:pStyle w:val="14"/>
        <w:tabs>
          <w:tab w:val="left" w:pos="939"/>
        </w:tabs>
        <w:spacing w:line="360" w:lineRule="auto"/>
        <w:ind w:left="141" w:leftChars="67"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特此承诺。</w:t>
      </w:r>
    </w:p>
    <w:p w14:paraId="1256CEAD">
      <w:pPr>
        <w:pStyle w:val="14"/>
        <w:tabs>
          <w:tab w:val="left" w:pos="939"/>
        </w:tabs>
        <w:spacing w:line="360" w:lineRule="auto"/>
        <w:ind w:left="0" w:lef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注：如为联合体竞标，盖章处须加盖联合体各方公章并由联合体各方法定代表人签署，否则其响应文件按无效响应处理。</w:t>
      </w:r>
    </w:p>
    <w:p w14:paraId="580781B0">
      <w:pPr>
        <w:pStyle w:val="14"/>
        <w:tabs>
          <w:tab w:val="left" w:pos="939"/>
        </w:tabs>
        <w:spacing w:line="360" w:lineRule="auto"/>
        <w:ind w:left="0" w:leftChars="0" w:firstLine="480" w:firstLineChars="200"/>
        <w:rPr>
          <w:rFonts w:hint="eastAsia" w:ascii="仿宋" w:hAnsi="仿宋" w:eastAsia="仿宋" w:cs="仿宋"/>
          <w:color w:val="auto"/>
          <w:sz w:val="24"/>
          <w:highlight w:val="none"/>
        </w:rPr>
      </w:pPr>
    </w:p>
    <w:p w14:paraId="13EF0EEE">
      <w:pPr>
        <w:autoSpaceDE w:val="0"/>
        <w:autoSpaceDN w:val="0"/>
        <w:spacing w:line="360" w:lineRule="auto"/>
        <w:ind w:left="4365" w:leftChars="1850" w:hanging="480" w:hanging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33334B15">
      <w:pPr>
        <w:autoSpaceDE w:val="0"/>
        <w:autoSpaceDN w:val="0"/>
        <w:spacing w:line="360" w:lineRule="auto"/>
        <w:ind w:firstLine="6120" w:firstLineChars="2550"/>
        <w:rPr>
          <w:rFonts w:hint="eastAsia" w:ascii="仿宋" w:hAnsi="仿宋" w:eastAsia="仿宋" w:cs="仿宋"/>
          <w:color w:val="auto"/>
          <w:kern w:val="0"/>
          <w:sz w:val="24"/>
          <w:highlight w:val="none"/>
          <w:lang w:val="zh-CN"/>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r>
        <w:rPr>
          <w:rFonts w:hint="eastAsia" w:ascii="仿宋" w:hAnsi="仿宋" w:eastAsia="仿宋" w:cs="仿宋"/>
          <w:color w:val="auto"/>
          <w:kern w:val="0"/>
          <w:sz w:val="24"/>
          <w:highlight w:val="none"/>
          <w:lang w:val="zh-CN"/>
        </w:rPr>
        <w:t>日期：  年  月   日</w:t>
      </w:r>
    </w:p>
    <w:p w14:paraId="0B149AEF">
      <w:pPr>
        <w:pStyle w:val="16"/>
        <w:spacing w:line="360" w:lineRule="auto"/>
        <w:ind w:firstLine="0" w:firstLineChars="0"/>
        <w:rPr>
          <w:rFonts w:hint="default" w:ascii="宋体" w:hAnsi="宋体" w:eastAsia="宋体" w:cs="宋体"/>
          <w:b/>
          <w:color w:val="auto"/>
          <w:kern w:val="2"/>
          <w:sz w:val="30"/>
          <w:szCs w:val="30"/>
          <w:highlight w:val="none"/>
          <w:lang w:val="en-US" w:eastAsia="zh-CN"/>
        </w:rPr>
      </w:pPr>
      <w:r>
        <w:rPr>
          <w:rFonts w:hint="eastAsia" w:ascii="仿宋" w:hAnsi="仿宋" w:eastAsia="仿宋" w:cs="仿宋"/>
          <w:b/>
          <w:color w:val="auto"/>
          <w:sz w:val="30"/>
          <w:szCs w:val="30"/>
          <w:highlight w:val="none"/>
          <w:lang w:val="en-US" w:eastAsia="zh-CN"/>
        </w:rPr>
        <w:t>七</w:t>
      </w:r>
      <w:r>
        <w:rPr>
          <w:rFonts w:hint="eastAsia" w:ascii="仿宋" w:hAnsi="仿宋" w:eastAsia="仿宋" w:cs="仿宋"/>
          <w:b/>
          <w:color w:val="auto"/>
          <w:sz w:val="30"/>
          <w:szCs w:val="30"/>
          <w:highlight w:val="none"/>
        </w:rPr>
        <w:t>、中小企业声明函或残疾人福利性单位声明函或供应商属于监狱企业的证明材料</w:t>
      </w:r>
    </w:p>
    <w:p w14:paraId="5F420B41">
      <w:pPr>
        <w:spacing w:line="360" w:lineRule="auto"/>
        <w:ind w:firstLine="2200" w:firstLineChars="500"/>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中小企业声明函（</w:t>
      </w:r>
      <w:r>
        <w:rPr>
          <w:rFonts w:hint="eastAsia" w:ascii="宋体" w:hAnsi="宋体" w:cs="宋体"/>
          <w:color w:val="auto"/>
          <w:sz w:val="44"/>
          <w:szCs w:val="44"/>
          <w:highlight w:val="none"/>
          <w:lang w:val="en-US" w:eastAsia="zh-CN"/>
        </w:rPr>
        <w:t>工程</w:t>
      </w:r>
      <w:r>
        <w:rPr>
          <w:rFonts w:hint="eastAsia" w:ascii="宋体" w:hAnsi="宋体" w:eastAsia="宋体" w:cs="宋体"/>
          <w:color w:val="auto"/>
          <w:sz w:val="44"/>
          <w:szCs w:val="44"/>
          <w:highlight w:val="none"/>
        </w:rPr>
        <w:t>）</w:t>
      </w:r>
    </w:p>
    <w:p w14:paraId="5F24BB0A">
      <w:pPr>
        <w:widowControl/>
        <w:shd w:val="clear" w:color="auto" w:fill="FFFFFF"/>
        <w:spacing w:line="360" w:lineRule="auto"/>
        <w:ind w:firstLine="480"/>
        <w:jc w:val="left"/>
        <w:rPr>
          <w:rFonts w:hint="eastAsia" w:ascii="仿宋" w:hAnsi="仿宋" w:eastAsia="仿宋" w:cs="仿宋"/>
          <w:color w:val="auto"/>
          <w:kern w:val="2"/>
          <w:sz w:val="24"/>
          <w:szCs w:val="24"/>
          <w:highlight w:val="none"/>
          <w:shd w:val="clear" w:color="auto" w:fill="FFFFFF"/>
          <w:lang w:val="en-US" w:eastAsia="zh-CN"/>
        </w:rPr>
      </w:pPr>
      <w:r>
        <w:rPr>
          <w:rFonts w:hint="eastAsia" w:ascii="仿宋" w:hAnsi="仿宋" w:eastAsia="仿宋" w:cs="仿宋"/>
          <w:color w:val="auto"/>
          <w:kern w:val="2"/>
          <w:sz w:val="24"/>
          <w:szCs w:val="24"/>
          <w:highlight w:val="none"/>
          <w:shd w:val="clear" w:color="auto" w:fill="FFFFFF"/>
          <w:lang w:val="en-US" w:eastAsia="zh-CN"/>
        </w:rPr>
        <w:t>本公司（联合体）郑重声明，根据《政府采购促进中小企业发展管理办法》（财库﹝2020﹞46 号）的规定，本公司（联合体）参加</w:t>
      </w:r>
      <w:r>
        <w:rPr>
          <w:rFonts w:hint="eastAsia" w:ascii="仿宋" w:hAnsi="仿宋" w:eastAsia="仿宋" w:cs="仿宋"/>
          <w:color w:val="auto"/>
          <w:kern w:val="2"/>
          <w:sz w:val="24"/>
          <w:szCs w:val="24"/>
          <w:highlight w:val="none"/>
          <w:u w:val="single"/>
          <w:shd w:val="clear" w:color="auto" w:fill="FFFFFF"/>
          <w:lang w:val="en-US" w:eastAsia="zh-CN"/>
        </w:rPr>
        <w:t xml:space="preserve"> 隆安县屏山乡人民政府 </w:t>
      </w:r>
      <w:r>
        <w:rPr>
          <w:rFonts w:hint="eastAsia" w:ascii="仿宋" w:hAnsi="仿宋" w:eastAsia="仿宋" w:cs="仿宋"/>
          <w:color w:val="auto"/>
          <w:kern w:val="2"/>
          <w:sz w:val="24"/>
          <w:szCs w:val="24"/>
          <w:highlight w:val="none"/>
          <w:shd w:val="clear" w:color="auto" w:fill="FFFFFF"/>
          <w:lang w:val="en-US" w:eastAsia="zh-CN"/>
        </w:rPr>
        <w:t>的</w:t>
      </w:r>
      <w:r>
        <w:rPr>
          <w:rFonts w:hint="eastAsia" w:ascii="仿宋" w:hAnsi="仿宋" w:eastAsia="仿宋" w:cs="仿宋"/>
          <w:color w:val="auto"/>
          <w:kern w:val="2"/>
          <w:sz w:val="24"/>
          <w:szCs w:val="24"/>
          <w:highlight w:val="none"/>
          <w:u w:val="single"/>
          <w:shd w:val="clear" w:color="auto" w:fill="FFFFFF"/>
          <w:lang w:val="en-US" w:eastAsia="zh-CN"/>
        </w:rPr>
        <w:t xml:space="preserve"> 隆安县屏山乡刘家村刘家屯农田水利设施项目 </w:t>
      </w:r>
      <w:r>
        <w:rPr>
          <w:rFonts w:hint="eastAsia" w:ascii="仿宋" w:hAnsi="仿宋" w:eastAsia="仿宋" w:cs="仿宋"/>
          <w:color w:val="auto"/>
          <w:kern w:val="2"/>
          <w:sz w:val="24"/>
          <w:szCs w:val="24"/>
          <w:highlight w:val="none"/>
          <w:shd w:val="clear" w:color="auto" w:fill="FFFFFF"/>
          <w:lang w:val="en-US" w:eastAsia="zh-CN"/>
        </w:rPr>
        <w:t>采购活动，工程的施工单位全部为符合政策要求的中小企业承接。相关企业（含联合体中的中小企业、签订分包意向协议的中小企业）的具体情况如下：</w:t>
      </w:r>
    </w:p>
    <w:p w14:paraId="64FBACD3">
      <w:pPr>
        <w:widowControl/>
        <w:shd w:val="clear" w:color="auto" w:fill="FFFFFF"/>
        <w:spacing w:line="360" w:lineRule="auto"/>
        <w:ind w:firstLine="480"/>
        <w:jc w:val="left"/>
        <w:rPr>
          <w:rFonts w:hint="eastAsia" w:ascii="仿宋" w:hAnsi="仿宋" w:eastAsia="仿宋" w:cs="仿宋"/>
          <w:color w:val="auto"/>
          <w:kern w:val="2"/>
          <w:sz w:val="24"/>
          <w:szCs w:val="24"/>
          <w:highlight w:val="none"/>
          <w:shd w:val="clear" w:color="auto" w:fill="FFFFFF"/>
          <w:lang w:val="en-US" w:eastAsia="zh-CN"/>
        </w:rPr>
      </w:pPr>
      <w:r>
        <w:rPr>
          <w:rFonts w:hint="eastAsia" w:ascii="仿宋" w:hAnsi="仿宋" w:eastAsia="仿宋" w:cs="仿宋"/>
          <w:color w:val="auto"/>
          <w:kern w:val="2"/>
          <w:sz w:val="24"/>
          <w:szCs w:val="24"/>
          <w:highlight w:val="none"/>
          <w:shd w:val="clear" w:color="auto" w:fill="FFFFFF"/>
          <w:lang w:val="en-US" w:eastAsia="zh-CN"/>
        </w:rPr>
        <w:t>1.</w:t>
      </w:r>
      <w:r>
        <w:rPr>
          <w:rFonts w:hint="eastAsia" w:ascii="仿宋" w:hAnsi="仿宋" w:eastAsia="仿宋" w:cs="仿宋"/>
          <w:color w:val="auto"/>
          <w:kern w:val="2"/>
          <w:sz w:val="24"/>
          <w:szCs w:val="24"/>
          <w:highlight w:val="none"/>
          <w:u w:val="single"/>
          <w:shd w:val="clear" w:color="auto" w:fill="FFFFFF"/>
          <w:lang w:val="en-US" w:eastAsia="zh-CN"/>
        </w:rPr>
        <w:t>（标的名称）</w:t>
      </w:r>
      <w:r>
        <w:rPr>
          <w:rFonts w:hint="eastAsia" w:ascii="仿宋" w:hAnsi="仿宋" w:eastAsia="仿宋" w:cs="仿宋"/>
          <w:color w:val="auto"/>
          <w:kern w:val="2"/>
          <w:sz w:val="24"/>
          <w:szCs w:val="24"/>
          <w:highlight w:val="none"/>
          <w:shd w:val="clear" w:color="auto" w:fill="FFFFFF"/>
          <w:lang w:val="en-US" w:eastAsia="zh-CN"/>
        </w:rPr>
        <w:t>，属于</w:t>
      </w:r>
      <w:r>
        <w:rPr>
          <w:rFonts w:hint="eastAsia" w:ascii="仿宋" w:hAnsi="仿宋" w:eastAsia="仿宋" w:cs="仿宋"/>
          <w:color w:val="auto"/>
          <w:kern w:val="2"/>
          <w:sz w:val="24"/>
          <w:szCs w:val="24"/>
          <w:highlight w:val="none"/>
          <w:u w:val="single"/>
          <w:shd w:val="clear" w:color="auto" w:fill="FFFFFF"/>
          <w:lang w:val="en-US" w:eastAsia="zh-CN"/>
        </w:rPr>
        <w:t>（采购文件列明的行业）</w:t>
      </w:r>
      <w:r>
        <w:rPr>
          <w:rFonts w:hint="eastAsia" w:ascii="仿宋" w:hAnsi="仿宋" w:eastAsia="仿宋" w:cs="仿宋"/>
          <w:color w:val="auto"/>
          <w:kern w:val="2"/>
          <w:sz w:val="24"/>
          <w:szCs w:val="24"/>
          <w:highlight w:val="none"/>
          <w:shd w:val="clear" w:color="auto" w:fill="FFFFFF"/>
          <w:lang w:val="en-US" w:eastAsia="zh-CN"/>
        </w:rPr>
        <w:t>；承建（承接）企业为</w:t>
      </w:r>
      <w:r>
        <w:rPr>
          <w:rFonts w:hint="eastAsia" w:ascii="仿宋" w:hAnsi="仿宋" w:eastAsia="仿宋" w:cs="仿宋"/>
          <w:color w:val="auto"/>
          <w:kern w:val="2"/>
          <w:sz w:val="24"/>
          <w:szCs w:val="24"/>
          <w:highlight w:val="none"/>
          <w:u w:val="single"/>
          <w:shd w:val="clear" w:color="auto" w:fill="FFFFFF"/>
          <w:lang w:val="en-US" w:eastAsia="zh-CN"/>
        </w:rPr>
        <w:t>（企业名称）</w:t>
      </w:r>
      <w:r>
        <w:rPr>
          <w:rFonts w:hint="eastAsia" w:ascii="仿宋" w:hAnsi="仿宋" w:eastAsia="仿宋" w:cs="仿宋"/>
          <w:color w:val="auto"/>
          <w:kern w:val="2"/>
          <w:sz w:val="24"/>
          <w:szCs w:val="24"/>
          <w:highlight w:val="none"/>
          <w:shd w:val="clear" w:color="auto" w:fill="FFFFFF"/>
          <w:lang w:val="en-US" w:eastAsia="zh-CN"/>
        </w:rPr>
        <w:t>，从业人员</w:t>
      </w:r>
      <w:r>
        <w:rPr>
          <w:rFonts w:hint="eastAsia" w:ascii="仿宋" w:hAnsi="仿宋" w:eastAsia="仿宋" w:cs="仿宋"/>
          <w:color w:val="auto"/>
          <w:kern w:val="2"/>
          <w:sz w:val="24"/>
          <w:szCs w:val="24"/>
          <w:highlight w:val="none"/>
          <w:u w:val="single"/>
          <w:shd w:val="clear" w:color="auto" w:fill="FFFFFF"/>
          <w:lang w:val="en-US" w:eastAsia="zh-CN"/>
        </w:rPr>
        <w:t>_____</w:t>
      </w:r>
      <w:r>
        <w:rPr>
          <w:rFonts w:hint="eastAsia" w:ascii="仿宋" w:hAnsi="仿宋" w:eastAsia="仿宋" w:cs="仿宋"/>
          <w:color w:val="auto"/>
          <w:kern w:val="2"/>
          <w:sz w:val="24"/>
          <w:szCs w:val="24"/>
          <w:highlight w:val="none"/>
          <w:shd w:val="clear" w:color="auto" w:fill="FFFFFF"/>
          <w:lang w:val="en-US" w:eastAsia="zh-CN"/>
        </w:rPr>
        <w:t>人，营业收入为</w:t>
      </w:r>
      <w:r>
        <w:rPr>
          <w:rFonts w:hint="eastAsia" w:ascii="仿宋" w:hAnsi="仿宋" w:eastAsia="仿宋" w:cs="仿宋"/>
          <w:color w:val="auto"/>
          <w:kern w:val="2"/>
          <w:sz w:val="24"/>
          <w:szCs w:val="24"/>
          <w:highlight w:val="none"/>
          <w:u w:val="single"/>
          <w:shd w:val="clear" w:color="auto" w:fill="FFFFFF"/>
          <w:lang w:val="en-US" w:eastAsia="zh-CN"/>
        </w:rPr>
        <w:t>_____</w:t>
      </w:r>
      <w:r>
        <w:rPr>
          <w:rFonts w:hint="eastAsia" w:ascii="仿宋" w:hAnsi="仿宋" w:eastAsia="仿宋" w:cs="仿宋"/>
          <w:color w:val="auto"/>
          <w:kern w:val="2"/>
          <w:sz w:val="24"/>
          <w:szCs w:val="24"/>
          <w:highlight w:val="none"/>
          <w:shd w:val="clear" w:color="auto" w:fill="FFFFFF"/>
          <w:lang w:val="en-US" w:eastAsia="zh-CN"/>
        </w:rPr>
        <w:t>万元，资产总额为</w:t>
      </w:r>
      <w:r>
        <w:rPr>
          <w:rFonts w:hint="eastAsia" w:ascii="仿宋" w:hAnsi="仿宋" w:eastAsia="仿宋" w:cs="仿宋"/>
          <w:color w:val="auto"/>
          <w:kern w:val="2"/>
          <w:sz w:val="24"/>
          <w:szCs w:val="24"/>
          <w:highlight w:val="none"/>
          <w:u w:val="single"/>
          <w:shd w:val="clear" w:color="auto" w:fill="FFFFFF"/>
          <w:lang w:val="en-US" w:eastAsia="zh-CN"/>
        </w:rPr>
        <w:t>_____</w:t>
      </w:r>
      <w:r>
        <w:rPr>
          <w:rFonts w:hint="eastAsia" w:ascii="仿宋" w:hAnsi="仿宋" w:eastAsia="仿宋" w:cs="仿宋"/>
          <w:color w:val="auto"/>
          <w:kern w:val="2"/>
          <w:sz w:val="24"/>
          <w:szCs w:val="24"/>
          <w:highlight w:val="none"/>
          <w:shd w:val="clear" w:color="auto" w:fill="FFFFFF"/>
          <w:lang w:val="en-US" w:eastAsia="zh-CN"/>
        </w:rPr>
        <w:t>万元，属于</w:t>
      </w:r>
      <w:r>
        <w:rPr>
          <w:rFonts w:hint="eastAsia" w:ascii="仿宋" w:hAnsi="仿宋" w:eastAsia="仿宋" w:cs="仿宋"/>
          <w:color w:val="auto"/>
          <w:kern w:val="2"/>
          <w:sz w:val="24"/>
          <w:szCs w:val="24"/>
          <w:highlight w:val="none"/>
          <w:u w:val="single"/>
          <w:shd w:val="clear" w:color="auto" w:fill="FFFFFF"/>
          <w:lang w:val="en-US" w:eastAsia="zh-CN"/>
        </w:rPr>
        <w:t>（中型企业、小型企业、微型企业）</w:t>
      </w:r>
      <w:r>
        <w:rPr>
          <w:rFonts w:hint="eastAsia" w:ascii="仿宋" w:hAnsi="仿宋" w:eastAsia="仿宋" w:cs="仿宋"/>
          <w:color w:val="auto"/>
          <w:kern w:val="2"/>
          <w:sz w:val="24"/>
          <w:szCs w:val="24"/>
          <w:highlight w:val="none"/>
          <w:shd w:val="clear" w:color="auto" w:fill="FFFFFF"/>
          <w:lang w:val="en-US" w:eastAsia="zh-CN"/>
        </w:rPr>
        <w:t>；</w:t>
      </w:r>
      <w:bookmarkStart w:id="295" w:name="_GoBack"/>
      <w:bookmarkEnd w:id="295"/>
    </w:p>
    <w:p w14:paraId="6E1C9C74">
      <w:pPr>
        <w:widowControl/>
        <w:shd w:val="clear" w:color="auto" w:fill="FFFFFF"/>
        <w:spacing w:line="360" w:lineRule="auto"/>
        <w:ind w:firstLine="480"/>
        <w:jc w:val="left"/>
        <w:rPr>
          <w:rFonts w:hint="eastAsia" w:ascii="仿宋" w:hAnsi="仿宋" w:eastAsia="仿宋" w:cs="仿宋"/>
          <w:color w:val="auto"/>
          <w:kern w:val="2"/>
          <w:sz w:val="24"/>
          <w:szCs w:val="24"/>
          <w:highlight w:val="none"/>
          <w:shd w:val="clear" w:color="auto" w:fill="FFFFFF"/>
          <w:lang w:val="en-US" w:eastAsia="zh-CN"/>
        </w:rPr>
      </w:pPr>
      <w:r>
        <w:rPr>
          <w:rFonts w:hint="eastAsia" w:ascii="仿宋" w:hAnsi="仿宋" w:eastAsia="仿宋" w:cs="仿宋"/>
          <w:color w:val="auto"/>
          <w:kern w:val="2"/>
          <w:sz w:val="24"/>
          <w:szCs w:val="24"/>
          <w:highlight w:val="none"/>
          <w:shd w:val="clear" w:color="auto" w:fill="FFFFFF"/>
          <w:lang w:val="en-US" w:eastAsia="zh-CN"/>
        </w:rPr>
        <w:t>2.</w:t>
      </w:r>
      <w:r>
        <w:rPr>
          <w:rFonts w:hint="eastAsia" w:ascii="仿宋" w:hAnsi="仿宋" w:eastAsia="仿宋" w:cs="仿宋"/>
          <w:color w:val="auto"/>
          <w:kern w:val="2"/>
          <w:sz w:val="24"/>
          <w:szCs w:val="24"/>
          <w:highlight w:val="none"/>
          <w:u w:val="single"/>
          <w:shd w:val="clear" w:color="auto" w:fill="FFFFFF"/>
          <w:lang w:val="en-US" w:eastAsia="zh-CN"/>
        </w:rPr>
        <w:t>（标的名称）</w:t>
      </w:r>
      <w:r>
        <w:rPr>
          <w:rFonts w:hint="eastAsia" w:ascii="仿宋" w:hAnsi="仿宋" w:eastAsia="仿宋" w:cs="仿宋"/>
          <w:color w:val="auto"/>
          <w:kern w:val="2"/>
          <w:sz w:val="24"/>
          <w:szCs w:val="24"/>
          <w:highlight w:val="none"/>
          <w:shd w:val="clear" w:color="auto" w:fill="FFFFFF"/>
          <w:lang w:val="en-US" w:eastAsia="zh-CN"/>
        </w:rPr>
        <w:t>，属于</w:t>
      </w:r>
      <w:r>
        <w:rPr>
          <w:rFonts w:hint="eastAsia" w:ascii="仿宋" w:hAnsi="仿宋" w:eastAsia="仿宋" w:cs="仿宋"/>
          <w:color w:val="auto"/>
          <w:kern w:val="2"/>
          <w:sz w:val="24"/>
          <w:szCs w:val="24"/>
          <w:highlight w:val="none"/>
          <w:u w:val="single"/>
          <w:shd w:val="clear" w:color="auto" w:fill="FFFFFF"/>
          <w:lang w:val="en-US" w:eastAsia="zh-CN"/>
        </w:rPr>
        <w:t>（采购文件列明的行业）</w:t>
      </w:r>
      <w:r>
        <w:rPr>
          <w:rFonts w:hint="eastAsia" w:ascii="仿宋" w:hAnsi="仿宋" w:eastAsia="仿宋" w:cs="仿宋"/>
          <w:color w:val="auto"/>
          <w:kern w:val="2"/>
          <w:sz w:val="24"/>
          <w:szCs w:val="24"/>
          <w:highlight w:val="none"/>
          <w:shd w:val="clear" w:color="auto" w:fill="FFFFFF"/>
          <w:lang w:val="en-US" w:eastAsia="zh-CN"/>
        </w:rPr>
        <w:t>；承建（承接）企业为</w:t>
      </w:r>
      <w:r>
        <w:rPr>
          <w:rFonts w:hint="eastAsia" w:ascii="仿宋" w:hAnsi="仿宋" w:eastAsia="仿宋" w:cs="仿宋"/>
          <w:color w:val="auto"/>
          <w:kern w:val="2"/>
          <w:sz w:val="24"/>
          <w:szCs w:val="24"/>
          <w:highlight w:val="none"/>
          <w:u w:val="single"/>
          <w:shd w:val="clear" w:color="auto" w:fill="FFFFFF"/>
          <w:lang w:val="en-US" w:eastAsia="zh-CN"/>
        </w:rPr>
        <w:t>（企业名称）</w:t>
      </w:r>
      <w:r>
        <w:rPr>
          <w:rFonts w:hint="eastAsia" w:ascii="仿宋" w:hAnsi="仿宋" w:eastAsia="仿宋" w:cs="仿宋"/>
          <w:color w:val="auto"/>
          <w:kern w:val="2"/>
          <w:sz w:val="24"/>
          <w:szCs w:val="24"/>
          <w:highlight w:val="none"/>
          <w:shd w:val="clear" w:color="auto" w:fill="FFFFFF"/>
          <w:lang w:val="en-US" w:eastAsia="zh-CN"/>
        </w:rPr>
        <w:t>，从业人员</w:t>
      </w:r>
      <w:r>
        <w:rPr>
          <w:rFonts w:hint="eastAsia" w:ascii="仿宋" w:hAnsi="仿宋" w:eastAsia="仿宋" w:cs="仿宋"/>
          <w:color w:val="auto"/>
          <w:kern w:val="2"/>
          <w:sz w:val="24"/>
          <w:szCs w:val="24"/>
          <w:highlight w:val="none"/>
          <w:u w:val="single"/>
          <w:shd w:val="clear" w:color="auto" w:fill="FFFFFF"/>
          <w:lang w:val="en-US" w:eastAsia="zh-CN"/>
        </w:rPr>
        <w:t>_____</w:t>
      </w:r>
      <w:r>
        <w:rPr>
          <w:rFonts w:hint="eastAsia" w:ascii="仿宋" w:hAnsi="仿宋" w:eastAsia="仿宋" w:cs="仿宋"/>
          <w:color w:val="auto"/>
          <w:kern w:val="2"/>
          <w:sz w:val="24"/>
          <w:szCs w:val="24"/>
          <w:highlight w:val="none"/>
          <w:shd w:val="clear" w:color="auto" w:fill="FFFFFF"/>
          <w:lang w:val="en-US" w:eastAsia="zh-CN"/>
        </w:rPr>
        <w:t>人，营业收入为</w:t>
      </w:r>
      <w:r>
        <w:rPr>
          <w:rFonts w:hint="eastAsia" w:ascii="仿宋" w:hAnsi="仿宋" w:eastAsia="仿宋" w:cs="仿宋"/>
          <w:color w:val="auto"/>
          <w:kern w:val="2"/>
          <w:sz w:val="24"/>
          <w:szCs w:val="24"/>
          <w:highlight w:val="none"/>
          <w:u w:val="single"/>
          <w:shd w:val="clear" w:color="auto" w:fill="FFFFFF"/>
          <w:lang w:val="en-US" w:eastAsia="zh-CN"/>
        </w:rPr>
        <w:t>_____</w:t>
      </w:r>
      <w:r>
        <w:rPr>
          <w:rFonts w:hint="eastAsia" w:ascii="仿宋" w:hAnsi="仿宋" w:eastAsia="仿宋" w:cs="仿宋"/>
          <w:color w:val="auto"/>
          <w:kern w:val="2"/>
          <w:sz w:val="24"/>
          <w:szCs w:val="24"/>
          <w:highlight w:val="none"/>
          <w:shd w:val="clear" w:color="auto" w:fill="FFFFFF"/>
          <w:lang w:val="en-US" w:eastAsia="zh-CN"/>
        </w:rPr>
        <w:t>万元，资产总额为</w:t>
      </w:r>
      <w:r>
        <w:rPr>
          <w:rFonts w:hint="eastAsia" w:ascii="仿宋" w:hAnsi="仿宋" w:eastAsia="仿宋" w:cs="仿宋"/>
          <w:color w:val="auto"/>
          <w:kern w:val="2"/>
          <w:sz w:val="24"/>
          <w:szCs w:val="24"/>
          <w:highlight w:val="none"/>
          <w:u w:val="single"/>
          <w:shd w:val="clear" w:color="auto" w:fill="FFFFFF"/>
          <w:lang w:val="en-US" w:eastAsia="zh-CN"/>
        </w:rPr>
        <w:t>_____</w:t>
      </w:r>
      <w:r>
        <w:rPr>
          <w:rFonts w:hint="eastAsia" w:ascii="仿宋" w:hAnsi="仿宋" w:eastAsia="仿宋" w:cs="仿宋"/>
          <w:color w:val="auto"/>
          <w:kern w:val="2"/>
          <w:sz w:val="24"/>
          <w:szCs w:val="24"/>
          <w:highlight w:val="none"/>
          <w:shd w:val="clear" w:color="auto" w:fill="FFFFFF"/>
          <w:lang w:val="en-US" w:eastAsia="zh-CN"/>
        </w:rPr>
        <w:t>万元，属于（中型企业、小型企业、微型企业）；</w:t>
      </w:r>
    </w:p>
    <w:p w14:paraId="2C962542">
      <w:pPr>
        <w:widowControl/>
        <w:shd w:val="clear" w:color="auto" w:fill="FFFFFF"/>
        <w:spacing w:line="360" w:lineRule="auto"/>
        <w:ind w:firstLine="480"/>
        <w:jc w:val="left"/>
        <w:rPr>
          <w:rFonts w:hint="eastAsia" w:ascii="仿宋" w:hAnsi="仿宋" w:eastAsia="仿宋" w:cs="仿宋"/>
          <w:color w:val="auto"/>
          <w:kern w:val="2"/>
          <w:sz w:val="24"/>
          <w:szCs w:val="24"/>
          <w:highlight w:val="none"/>
          <w:shd w:val="clear" w:color="auto" w:fill="FFFFFF"/>
          <w:lang w:val="en-US" w:eastAsia="zh-CN"/>
        </w:rPr>
      </w:pPr>
      <w:r>
        <w:rPr>
          <w:rFonts w:hint="eastAsia" w:ascii="仿宋" w:hAnsi="仿宋" w:eastAsia="仿宋" w:cs="仿宋"/>
          <w:color w:val="auto"/>
          <w:kern w:val="2"/>
          <w:sz w:val="24"/>
          <w:szCs w:val="24"/>
          <w:highlight w:val="none"/>
          <w:shd w:val="clear" w:color="auto" w:fill="FFFFFF"/>
          <w:lang w:val="en-US" w:eastAsia="zh-CN"/>
        </w:rPr>
        <w:t>……</w:t>
      </w:r>
    </w:p>
    <w:p w14:paraId="7EA70AAE">
      <w:pPr>
        <w:widowControl/>
        <w:shd w:val="clear" w:color="auto" w:fill="FFFFFF"/>
        <w:spacing w:line="360" w:lineRule="auto"/>
        <w:ind w:firstLine="480"/>
        <w:jc w:val="left"/>
        <w:rPr>
          <w:rFonts w:hint="eastAsia" w:ascii="仿宋" w:hAnsi="仿宋" w:eastAsia="仿宋" w:cs="仿宋"/>
          <w:color w:val="auto"/>
          <w:kern w:val="2"/>
          <w:sz w:val="24"/>
          <w:szCs w:val="24"/>
          <w:highlight w:val="none"/>
          <w:shd w:val="clear" w:color="auto" w:fill="FFFFFF"/>
          <w:lang w:val="en-US" w:eastAsia="zh-CN"/>
        </w:rPr>
      </w:pPr>
      <w:r>
        <w:rPr>
          <w:rFonts w:hint="eastAsia" w:ascii="仿宋" w:hAnsi="仿宋" w:eastAsia="仿宋" w:cs="仿宋"/>
          <w:color w:val="auto"/>
          <w:kern w:val="2"/>
          <w:sz w:val="24"/>
          <w:szCs w:val="24"/>
          <w:highlight w:val="none"/>
          <w:shd w:val="clear" w:color="auto" w:fill="FFFFFF"/>
          <w:lang w:val="en-US" w:eastAsia="zh-CN"/>
        </w:rPr>
        <w:t>以上企业，不属于大企业的分支机构，不存在控股股东为大企业的情形，也不存在与大企业的负责人为同一人的情形。</w:t>
      </w:r>
    </w:p>
    <w:p w14:paraId="35FEB9D2">
      <w:pPr>
        <w:widowControl/>
        <w:shd w:val="clear" w:color="auto" w:fill="FFFFFF"/>
        <w:spacing w:line="360" w:lineRule="auto"/>
        <w:ind w:firstLine="480"/>
        <w:jc w:val="left"/>
        <w:rPr>
          <w:rFonts w:hint="eastAsia" w:ascii="仿宋" w:hAnsi="仿宋" w:eastAsia="仿宋" w:cs="仿宋"/>
          <w:color w:val="auto"/>
          <w:kern w:val="2"/>
          <w:sz w:val="24"/>
          <w:szCs w:val="24"/>
          <w:highlight w:val="none"/>
          <w:shd w:val="clear" w:color="auto" w:fill="FFFFFF"/>
          <w:lang w:val="en-US" w:eastAsia="zh-CN"/>
        </w:rPr>
      </w:pPr>
      <w:r>
        <w:rPr>
          <w:rFonts w:hint="eastAsia" w:ascii="仿宋" w:hAnsi="仿宋" w:eastAsia="仿宋" w:cs="仿宋"/>
          <w:color w:val="auto"/>
          <w:kern w:val="2"/>
          <w:sz w:val="24"/>
          <w:szCs w:val="24"/>
          <w:highlight w:val="none"/>
          <w:shd w:val="clear" w:color="auto" w:fill="FFFFFF"/>
          <w:lang w:val="en-US" w:eastAsia="zh-CN"/>
        </w:rPr>
        <w:t>本企业对上述声明内容的真实性负责。如有虚假，将依法承担相应责任。</w:t>
      </w:r>
    </w:p>
    <w:p w14:paraId="1BF30995">
      <w:pPr>
        <w:autoSpaceDE w:val="0"/>
        <w:autoSpaceDN w:val="0"/>
        <w:spacing w:line="360" w:lineRule="auto"/>
        <w:ind w:left="4335" w:leftChars="1950" w:hanging="240" w:hangingChars="100"/>
        <w:rPr>
          <w:rFonts w:hint="eastAsia" w:ascii="仿宋" w:hAnsi="仿宋" w:eastAsia="仿宋" w:cs="仿宋"/>
          <w:color w:val="auto"/>
          <w:kern w:val="0"/>
          <w:sz w:val="24"/>
          <w:highlight w:val="none"/>
        </w:rPr>
      </w:pPr>
    </w:p>
    <w:p w14:paraId="313F55D8">
      <w:pPr>
        <w:autoSpaceDE w:val="0"/>
        <w:autoSpaceDN w:val="0"/>
        <w:spacing w:line="360" w:lineRule="auto"/>
        <w:ind w:left="4335" w:leftChars="1950" w:hanging="240" w:hangingChars="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3ADEC89F">
      <w:pPr>
        <w:pStyle w:val="16"/>
        <w:spacing w:line="360" w:lineRule="auto"/>
        <w:ind w:left="0" w:leftChars="0" w:firstLine="5678" w:firstLineChars="236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日期：  </w:t>
      </w:r>
      <w:r>
        <w:rPr>
          <w:rFonts w:hint="eastAsia" w:ascii="仿宋" w:hAnsi="仿宋" w:eastAsia="仿宋" w:cs="仿宋"/>
          <w:color w:val="auto"/>
          <w:sz w:val="24"/>
          <w:highlight w:val="none"/>
          <w:lang w:val="zh-CN"/>
        </w:rPr>
        <w:t>年  月</w:t>
      </w:r>
      <w:r>
        <w:rPr>
          <w:rFonts w:hint="eastAsia" w:ascii="仿宋" w:hAnsi="仿宋" w:eastAsia="仿宋" w:cs="仿宋"/>
          <w:color w:val="auto"/>
          <w:kern w:val="0"/>
          <w:sz w:val="24"/>
          <w:highlight w:val="none"/>
          <w:lang w:val="zh-CN"/>
        </w:rPr>
        <w:t xml:space="preserve">   日</w:t>
      </w:r>
    </w:p>
    <w:p w14:paraId="4819A9EE">
      <w:pPr>
        <w:pStyle w:val="12"/>
        <w:spacing w:after="0" w:line="360" w:lineRule="auto"/>
        <w:ind w:left="3960" w:right="1808"/>
        <w:contextualSpacing/>
        <w:rPr>
          <w:rFonts w:hint="eastAsia" w:ascii="仿宋" w:hAnsi="仿宋" w:eastAsia="仿宋" w:cs="仿宋"/>
          <w:color w:val="auto"/>
          <w:highlight w:val="none"/>
        </w:rPr>
      </w:pPr>
    </w:p>
    <w:p w14:paraId="2C5A6559">
      <w:pPr>
        <w:pStyle w:val="7"/>
        <w:overflowPunct w:val="0"/>
        <w:spacing w:line="360" w:lineRule="auto"/>
        <w:ind w:firstLine="0"/>
        <w:jc w:val="left"/>
        <w:rPr>
          <w:rFonts w:hint="eastAsia" w:ascii="仿宋" w:hAnsi="仿宋" w:eastAsia="仿宋" w:cs="仿宋"/>
          <w:b/>
          <w:color w:val="auto"/>
          <w:sz w:val="30"/>
          <w:szCs w:val="30"/>
          <w:highlight w:val="none"/>
        </w:rPr>
      </w:pPr>
      <w:r>
        <w:rPr>
          <w:rFonts w:hint="eastAsia" w:ascii="仿宋" w:hAnsi="仿宋" w:eastAsia="仿宋" w:cs="仿宋"/>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72DCC43C">
      <w:pPr>
        <w:pStyle w:val="7"/>
        <w:overflowPunct w:val="0"/>
        <w:spacing w:line="360" w:lineRule="auto"/>
        <w:ind w:firstLine="0"/>
        <w:jc w:val="left"/>
        <w:rPr>
          <w:rFonts w:hint="eastAsia" w:ascii="仿宋" w:hAnsi="仿宋" w:eastAsia="仿宋" w:cs="仿宋"/>
          <w:b/>
          <w:color w:val="auto"/>
          <w:sz w:val="30"/>
          <w:szCs w:val="30"/>
          <w:highlight w:val="none"/>
        </w:rPr>
      </w:pPr>
    </w:p>
    <w:p w14:paraId="73771043">
      <w:pPr>
        <w:pStyle w:val="7"/>
        <w:overflowPunct w:val="0"/>
        <w:spacing w:line="360" w:lineRule="auto"/>
        <w:ind w:firstLine="0"/>
        <w:jc w:val="left"/>
        <w:rPr>
          <w:rFonts w:hint="eastAsia" w:ascii="仿宋" w:hAnsi="仿宋" w:eastAsia="仿宋" w:cs="仿宋"/>
          <w:b/>
          <w:color w:val="auto"/>
          <w:sz w:val="30"/>
          <w:szCs w:val="30"/>
          <w:highlight w:val="none"/>
        </w:rPr>
      </w:pPr>
    </w:p>
    <w:p w14:paraId="489A27C6">
      <w:pPr>
        <w:pStyle w:val="7"/>
        <w:overflowPunct w:val="0"/>
        <w:spacing w:line="360" w:lineRule="auto"/>
        <w:ind w:firstLine="0"/>
        <w:jc w:val="left"/>
        <w:rPr>
          <w:rFonts w:hint="eastAsia" w:ascii="仿宋" w:hAnsi="仿宋" w:eastAsia="仿宋" w:cs="仿宋"/>
          <w:b/>
          <w:color w:val="auto"/>
          <w:sz w:val="30"/>
          <w:szCs w:val="30"/>
          <w:highlight w:val="none"/>
        </w:rPr>
      </w:pPr>
    </w:p>
    <w:p w14:paraId="7232DF33">
      <w:pPr>
        <w:pStyle w:val="7"/>
        <w:overflowPunct w:val="0"/>
        <w:spacing w:line="360" w:lineRule="auto"/>
        <w:ind w:firstLine="0"/>
        <w:jc w:val="left"/>
        <w:rPr>
          <w:rFonts w:hint="eastAsia" w:ascii="仿宋" w:hAnsi="仿宋" w:eastAsia="仿宋" w:cs="仿宋"/>
          <w:b/>
          <w:color w:val="auto"/>
          <w:sz w:val="30"/>
          <w:szCs w:val="30"/>
          <w:highlight w:val="none"/>
        </w:rPr>
      </w:pPr>
    </w:p>
    <w:p w14:paraId="50A3E5E4">
      <w:pPr>
        <w:spacing w:line="360" w:lineRule="auto"/>
        <w:jc w:val="center"/>
        <w:rPr>
          <w:rFonts w:hint="eastAsia" w:ascii="宋体" w:hAnsi="宋体" w:cs="宋体"/>
          <w:color w:val="auto"/>
          <w:sz w:val="32"/>
          <w:szCs w:val="32"/>
          <w:highlight w:val="none"/>
        </w:rPr>
      </w:pPr>
      <w:r>
        <w:rPr>
          <w:rFonts w:hint="eastAsia" w:ascii="宋体" w:hAnsi="宋体" w:cs="宋体"/>
          <w:color w:val="auto"/>
          <w:sz w:val="44"/>
          <w:szCs w:val="44"/>
          <w:highlight w:val="none"/>
        </w:rPr>
        <w:t>残疾人福利性单位声明函</w:t>
      </w:r>
    </w:p>
    <w:p w14:paraId="25F26969">
      <w:pPr>
        <w:spacing w:line="360" w:lineRule="auto"/>
        <w:rPr>
          <w:rFonts w:hint="eastAsia" w:ascii="宋体" w:hAnsi="宋体" w:cs="宋体"/>
          <w:color w:val="auto"/>
          <w:sz w:val="32"/>
          <w:szCs w:val="32"/>
          <w:highlight w:val="none"/>
        </w:rPr>
      </w:pPr>
    </w:p>
    <w:p w14:paraId="0CEE4BD8">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单位的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项目采购活动由本单位提供服务。</w:t>
      </w:r>
    </w:p>
    <w:p w14:paraId="1ED6634E">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本单位对上述声明的真实性负责。如有虚假，将依法承担相应责任。</w:t>
      </w:r>
    </w:p>
    <w:p w14:paraId="64A67762">
      <w:pPr>
        <w:spacing w:line="360" w:lineRule="auto"/>
        <w:contextualSpacing/>
        <w:rPr>
          <w:rFonts w:hint="eastAsia" w:ascii="仿宋" w:hAnsi="仿宋" w:eastAsia="仿宋" w:cs="仿宋"/>
          <w:color w:val="auto"/>
          <w:sz w:val="24"/>
          <w:highlight w:val="none"/>
        </w:rPr>
      </w:pPr>
    </w:p>
    <w:p w14:paraId="22B9C8A3">
      <w:pPr>
        <w:spacing w:line="360" w:lineRule="auto"/>
        <w:contextualSpacing/>
        <w:rPr>
          <w:rFonts w:hint="eastAsia" w:ascii="仿宋" w:hAnsi="仿宋" w:eastAsia="仿宋" w:cs="仿宋"/>
          <w:color w:val="auto"/>
          <w:sz w:val="24"/>
          <w:highlight w:val="none"/>
        </w:rPr>
      </w:pPr>
    </w:p>
    <w:p w14:paraId="43F4C60B">
      <w:pPr>
        <w:spacing w:line="360" w:lineRule="auto"/>
        <w:ind w:firstLine="2400" w:firstLineChars="10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供应商名称（电子签章）：</w:t>
      </w:r>
    </w:p>
    <w:p w14:paraId="2E191612">
      <w:pPr>
        <w:spacing w:line="360" w:lineRule="auto"/>
        <w:ind w:firstLine="4320" w:firstLineChars="18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662A55DD">
      <w:pPr>
        <w:spacing w:line="360" w:lineRule="auto"/>
        <w:contextualSpacing/>
        <w:rPr>
          <w:rFonts w:hint="eastAsia" w:ascii="仿宋" w:hAnsi="仿宋" w:eastAsia="仿宋" w:cs="仿宋"/>
          <w:color w:val="auto"/>
          <w:sz w:val="24"/>
          <w:highlight w:val="none"/>
        </w:rPr>
      </w:pPr>
    </w:p>
    <w:p w14:paraId="4271397A">
      <w:pPr>
        <w:spacing w:line="360" w:lineRule="auto"/>
        <w:contextualSpacing/>
        <w:rPr>
          <w:rFonts w:hint="eastAsia" w:ascii="仿宋" w:hAnsi="仿宋" w:eastAsia="仿宋" w:cs="仿宋"/>
          <w:color w:val="auto"/>
          <w:sz w:val="24"/>
          <w:highlight w:val="none"/>
        </w:rPr>
      </w:pPr>
    </w:p>
    <w:p w14:paraId="09E61FA0">
      <w:pPr>
        <w:spacing w:line="360" w:lineRule="auto"/>
        <w:contextualSpacing/>
        <w:rPr>
          <w:rFonts w:hint="eastAsia" w:ascii="仿宋" w:hAnsi="仿宋" w:eastAsia="仿宋" w:cs="仿宋"/>
          <w:color w:val="auto"/>
          <w:sz w:val="24"/>
          <w:highlight w:val="none"/>
        </w:rPr>
      </w:pPr>
    </w:p>
    <w:p w14:paraId="0746E440">
      <w:pPr>
        <w:spacing w:line="360" w:lineRule="auto"/>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0A52ACE4">
      <w:pPr>
        <w:pStyle w:val="7"/>
        <w:overflowPunct w:val="0"/>
        <w:spacing w:line="360" w:lineRule="auto"/>
        <w:ind w:firstLine="0"/>
        <w:jc w:val="left"/>
        <w:rPr>
          <w:rFonts w:hint="eastAsia" w:ascii="仿宋" w:hAnsi="仿宋" w:eastAsia="仿宋" w:cs="仿宋"/>
          <w:b/>
          <w:color w:val="auto"/>
          <w:sz w:val="30"/>
          <w:szCs w:val="30"/>
          <w:highlight w:val="none"/>
          <w:lang w:val="en-US" w:eastAsia="zh-CN"/>
        </w:rPr>
      </w:pPr>
    </w:p>
    <w:p w14:paraId="52D6D107">
      <w:pPr>
        <w:pStyle w:val="7"/>
        <w:overflowPunct w:val="0"/>
        <w:spacing w:line="360" w:lineRule="auto"/>
        <w:ind w:firstLine="0"/>
        <w:jc w:val="left"/>
        <w:rPr>
          <w:rFonts w:hint="eastAsia" w:ascii="仿宋" w:hAnsi="仿宋" w:eastAsia="仿宋" w:cs="仿宋"/>
          <w:b/>
          <w:color w:val="auto"/>
          <w:sz w:val="30"/>
          <w:szCs w:val="30"/>
          <w:highlight w:val="none"/>
          <w:lang w:val="en-US" w:eastAsia="zh-CN"/>
        </w:rPr>
      </w:pPr>
    </w:p>
    <w:p w14:paraId="2F2200F3">
      <w:pPr>
        <w:pStyle w:val="7"/>
        <w:overflowPunct w:val="0"/>
        <w:spacing w:line="360" w:lineRule="auto"/>
        <w:ind w:firstLine="0"/>
        <w:jc w:val="left"/>
        <w:rPr>
          <w:rFonts w:hint="eastAsia" w:ascii="仿宋" w:hAnsi="仿宋" w:eastAsia="仿宋" w:cs="仿宋"/>
          <w:b/>
          <w:color w:val="auto"/>
          <w:sz w:val="30"/>
          <w:szCs w:val="30"/>
          <w:highlight w:val="none"/>
          <w:lang w:val="en-US" w:eastAsia="zh-CN"/>
        </w:rPr>
      </w:pPr>
    </w:p>
    <w:p w14:paraId="28B32061">
      <w:pPr>
        <w:pStyle w:val="7"/>
        <w:overflowPunct w:val="0"/>
        <w:spacing w:line="360" w:lineRule="auto"/>
        <w:ind w:firstLine="0"/>
        <w:jc w:val="left"/>
        <w:rPr>
          <w:rFonts w:hint="eastAsia" w:ascii="仿宋" w:hAnsi="仿宋" w:eastAsia="仿宋" w:cs="仿宋"/>
          <w:b/>
          <w:color w:val="auto"/>
          <w:sz w:val="30"/>
          <w:szCs w:val="30"/>
          <w:highlight w:val="none"/>
          <w:lang w:val="en-US" w:eastAsia="zh-CN"/>
        </w:rPr>
      </w:pPr>
    </w:p>
    <w:p w14:paraId="7685F51A">
      <w:pPr>
        <w:pStyle w:val="7"/>
        <w:overflowPunct w:val="0"/>
        <w:spacing w:line="360" w:lineRule="auto"/>
        <w:ind w:firstLine="0"/>
        <w:jc w:val="left"/>
        <w:rPr>
          <w:rFonts w:hint="eastAsia" w:ascii="仿宋" w:hAnsi="仿宋" w:eastAsia="仿宋" w:cs="仿宋"/>
          <w:b/>
          <w:color w:val="auto"/>
          <w:sz w:val="30"/>
          <w:szCs w:val="30"/>
          <w:highlight w:val="none"/>
          <w:lang w:val="en-US" w:eastAsia="zh-CN"/>
        </w:rPr>
      </w:pPr>
    </w:p>
    <w:p w14:paraId="0000786D">
      <w:pPr>
        <w:pStyle w:val="7"/>
        <w:overflowPunct w:val="0"/>
        <w:spacing w:line="360" w:lineRule="auto"/>
        <w:ind w:firstLine="0"/>
        <w:jc w:val="left"/>
        <w:rPr>
          <w:rFonts w:hint="eastAsia" w:ascii="仿宋" w:hAnsi="仿宋" w:eastAsia="仿宋" w:cs="仿宋"/>
          <w:b/>
          <w:color w:val="auto"/>
          <w:sz w:val="30"/>
          <w:szCs w:val="30"/>
          <w:highlight w:val="none"/>
          <w:lang w:val="en-US" w:eastAsia="zh-CN"/>
        </w:rPr>
      </w:pPr>
    </w:p>
    <w:p w14:paraId="403CCF1E">
      <w:pPr>
        <w:pStyle w:val="7"/>
        <w:overflowPunct w:val="0"/>
        <w:spacing w:line="360" w:lineRule="auto"/>
        <w:ind w:firstLine="0"/>
        <w:jc w:val="left"/>
        <w:rPr>
          <w:rFonts w:hint="eastAsia" w:ascii="仿宋" w:hAnsi="仿宋" w:eastAsia="仿宋" w:cs="仿宋"/>
          <w:b/>
          <w:color w:val="auto"/>
          <w:sz w:val="30"/>
          <w:szCs w:val="30"/>
          <w:highlight w:val="none"/>
          <w:lang w:val="en-US" w:eastAsia="zh-CN"/>
        </w:rPr>
      </w:pPr>
    </w:p>
    <w:p w14:paraId="48FF7BF8">
      <w:pPr>
        <w:pStyle w:val="7"/>
        <w:overflowPunct w:val="0"/>
        <w:spacing w:line="360" w:lineRule="auto"/>
        <w:ind w:firstLine="0"/>
        <w:jc w:val="left"/>
        <w:rPr>
          <w:rFonts w:hint="eastAsia" w:ascii="仿宋" w:hAnsi="仿宋" w:eastAsia="仿宋" w:cs="仿宋"/>
          <w:b/>
          <w:color w:val="auto"/>
          <w:sz w:val="30"/>
          <w:szCs w:val="30"/>
          <w:highlight w:val="none"/>
          <w:lang w:val="en-US" w:eastAsia="zh-CN"/>
        </w:rPr>
      </w:pPr>
    </w:p>
    <w:p w14:paraId="444FEC42">
      <w:pPr>
        <w:pStyle w:val="7"/>
        <w:overflowPunct w:val="0"/>
        <w:spacing w:line="360" w:lineRule="auto"/>
        <w:ind w:firstLine="0"/>
        <w:jc w:val="left"/>
        <w:rPr>
          <w:rFonts w:hint="eastAsia" w:ascii="仿宋" w:hAnsi="仿宋" w:eastAsia="仿宋" w:cs="仿宋"/>
          <w:b/>
          <w:color w:val="auto"/>
          <w:sz w:val="30"/>
          <w:szCs w:val="30"/>
          <w:highlight w:val="none"/>
          <w:lang w:val="en-US" w:eastAsia="zh-CN"/>
        </w:rPr>
      </w:pPr>
    </w:p>
    <w:p w14:paraId="58928CAD">
      <w:pPr>
        <w:pStyle w:val="7"/>
        <w:overflowPunct w:val="0"/>
        <w:spacing w:line="360" w:lineRule="auto"/>
        <w:ind w:firstLine="0"/>
        <w:jc w:val="left"/>
        <w:rPr>
          <w:rFonts w:hint="eastAsia" w:ascii="仿宋" w:hAnsi="仿宋" w:eastAsia="仿宋" w:cs="仿宋"/>
          <w:b/>
          <w:color w:val="auto"/>
          <w:sz w:val="30"/>
          <w:szCs w:val="30"/>
          <w:highlight w:val="none"/>
          <w:lang w:val="en-US" w:eastAsia="zh-CN"/>
        </w:rPr>
      </w:pPr>
    </w:p>
    <w:p w14:paraId="777EF70E">
      <w:pPr>
        <w:pStyle w:val="7"/>
        <w:overflowPunct w:val="0"/>
        <w:spacing w:line="360" w:lineRule="auto"/>
        <w:ind w:firstLine="0"/>
        <w:jc w:val="left"/>
        <w:rPr>
          <w:rFonts w:hint="eastAsia" w:ascii="仿宋" w:hAnsi="仿宋" w:eastAsia="仿宋" w:cs="仿宋"/>
          <w:b/>
          <w:color w:val="auto"/>
          <w:sz w:val="30"/>
          <w:szCs w:val="30"/>
          <w:highlight w:val="none"/>
          <w:lang w:eastAsia="zh-CN"/>
        </w:rPr>
      </w:pPr>
      <w:r>
        <w:rPr>
          <w:rFonts w:hint="eastAsia" w:ascii="仿宋" w:hAnsi="仿宋" w:eastAsia="仿宋" w:cs="仿宋"/>
          <w:b/>
          <w:color w:val="auto"/>
          <w:sz w:val="30"/>
          <w:szCs w:val="30"/>
          <w:highlight w:val="none"/>
          <w:lang w:val="en-US" w:eastAsia="zh-CN"/>
        </w:rPr>
        <w:t>八、</w:t>
      </w:r>
      <w:r>
        <w:rPr>
          <w:rFonts w:hint="eastAsia" w:ascii="仿宋" w:hAnsi="仿宋" w:eastAsia="仿宋" w:cs="仿宋"/>
          <w:b/>
          <w:color w:val="auto"/>
          <w:sz w:val="30"/>
          <w:szCs w:val="30"/>
          <w:highlight w:val="none"/>
        </w:rPr>
        <w:t>符合特定资格</w:t>
      </w:r>
      <w:r>
        <w:rPr>
          <w:rFonts w:hint="eastAsia" w:ascii="仿宋" w:hAnsi="仿宋" w:eastAsia="仿宋" w:cs="仿宋"/>
          <w:b/>
          <w:color w:val="auto"/>
          <w:sz w:val="30"/>
          <w:szCs w:val="30"/>
          <w:highlight w:val="none"/>
          <w:lang w:eastAsia="zh-CN"/>
        </w:rPr>
        <w:t>要求和特定</w:t>
      </w:r>
      <w:r>
        <w:rPr>
          <w:rFonts w:hint="eastAsia" w:ascii="仿宋" w:hAnsi="仿宋" w:eastAsia="仿宋" w:cs="仿宋"/>
          <w:b/>
          <w:color w:val="auto"/>
          <w:sz w:val="30"/>
          <w:szCs w:val="30"/>
          <w:highlight w:val="none"/>
        </w:rPr>
        <w:t>条件的有关证明材料</w:t>
      </w:r>
      <w:r>
        <w:rPr>
          <w:rFonts w:hint="eastAsia" w:ascii="仿宋" w:hAnsi="仿宋" w:eastAsia="仿宋" w:cs="仿宋"/>
          <w:b/>
          <w:color w:val="auto"/>
          <w:sz w:val="30"/>
          <w:szCs w:val="30"/>
          <w:highlight w:val="none"/>
          <w:lang w:eastAsia="zh-CN"/>
        </w:rPr>
        <w:t>：</w:t>
      </w:r>
    </w:p>
    <w:p w14:paraId="45A502C8">
      <w:pPr>
        <w:snapToGrid w:val="0"/>
        <w:spacing w:line="360" w:lineRule="auto"/>
        <w:ind w:firstLine="602" w:firstLineChars="200"/>
        <w:rPr>
          <w:rFonts w:hint="eastAsia" w:ascii="仿宋" w:hAnsi="仿宋" w:eastAsia="仿宋" w:cs="仿宋"/>
          <w:b/>
          <w:color w:val="auto"/>
          <w:sz w:val="30"/>
          <w:szCs w:val="30"/>
          <w:highlight w:val="none"/>
        </w:rPr>
      </w:pPr>
    </w:p>
    <w:p w14:paraId="043C22B1">
      <w:pPr>
        <w:snapToGrid w:val="0"/>
        <w:spacing w:line="360" w:lineRule="auto"/>
        <w:ind w:firstLine="602" w:firstLineChars="200"/>
        <w:rPr>
          <w:rFonts w:hint="eastAsia" w:ascii="仿宋" w:hAnsi="仿宋" w:eastAsia="仿宋" w:cs="仿宋"/>
          <w:b/>
          <w:color w:val="auto"/>
          <w:sz w:val="30"/>
          <w:szCs w:val="30"/>
          <w:highlight w:val="none"/>
        </w:rPr>
      </w:pPr>
    </w:p>
    <w:p w14:paraId="5C6711B8">
      <w:pPr>
        <w:autoSpaceDE w:val="0"/>
        <w:autoSpaceDN w:val="0"/>
        <w:spacing w:line="360" w:lineRule="auto"/>
        <w:ind w:left="4335" w:leftChars="1950" w:hanging="240" w:hangingChars="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29F79B48">
      <w:pPr>
        <w:autoSpaceDE w:val="0"/>
        <w:autoSpaceDN w:val="0"/>
        <w:spacing w:line="360" w:lineRule="auto"/>
        <w:ind w:left="0" w:leftChars="0" w:firstLine="5678" w:firstLineChars="236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日期：  年  月   日</w:t>
      </w:r>
    </w:p>
    <w:p w14:paraId="072C0E2B">
      <w:pPr>
        <w:autoSpaceDE w:val="0"/>
        <w:autoSpaceDN w:val="0"/>
        <w:spacing w:line="360" w:lineRule="auto"/>
        <w:ind w:left="0" w:leftChars="0" w:firstLine="5678" w:firstLineChars="2366"/>
        <w:rPr>
          <w:rFonts w:hint="eastAsia" w:ascii="仿宋" w:hAnsi="仿宋" w:eastAsia="仿宋" w:cs="仿宋"/>
          <w:color w:val="auto"/>
          <w:kern w:val="0"/>
          <w:sz w:val="24"/>
          <w:highlight w:val="none"/>
          <w:lang w:val="zh-CN"/>
        </w:rPr>
      </w:pPr>
    </w:p>
    <w:p w14:paraId="10B5E1A8">
      <w:pPr>
        <w:autoSpaceDE w:val="0"/>
        <w:autoSpaceDN w:val="0"/>
        <w:spacing w:line="360" w:lineRule="auto"/>
        <w:ind w:left="0" w:leftChars="0" w:firstLine="5678" w:firstLineChars="2366"/>
        <w:rPr>
          <w:rFonts w:hint="eastAsia" w:ascii="仿宋" w:hAnsi="仿宋" w:eastAsia="仿宋" w:cs="仿宋"/>
          <w:color w:val="auto"/>
          <w:kern w:val="0"/>
          <w:sz w:val="24"/>
          <w:highlight w:val="none"/>
          <w:lang w:val="zh-CN"/>
        </w:rPr>
      </w:pPr>
    </w:p>
    <w:p w14:paraId="52A8EB51">
      <w:pPr>
        <w:autoSpaceDE w:val="0"/>
        <w:autoSpaceDN w:val="0"/>
        <w:spacing w:line="360" w:lineRule="auto"/>
        <w:ind w:left="0" w:leftChars="0" w:firstLine="5678" w:firstLineChars="2366"/>
        <w:rPr>
          <w:rFonts w:hint="eastAsia" w:ascii="仿宋" w:hAnsi="仿宋" w:eastAsia="仿宋" w:cs="仿宋"/>
          <w:color w:val="auto"/>
          <w:kern w:val="0"/>
          <w:sz w:val="24"/>
          <w:highlight w:val="none"/>
          <w:lang w:val="zh-CN"/>
        </w:rPr>
      </w:pPr>
    </w:p>
    <w:p w14:paraId="0072151A">
      <w:pPr>
        <w:pStyle w:val="7"/>
        <w:overflowPunct w:val="0"/>
        <w:spacing w:line="360" w:lineRule="auto"/>
        <w:ind w:firstLine="0"/>
        <w:jc w:val="left"/>
        <w:rPr>
          <w:rFonts w:hint="eastAsia" w:ascii="仿宋" w:hAnsi="仿宋" w:eastAsia="仿宋" w:cs="仿宋"/>
          <w:b/>
          <w:color w:val="auto"/>
          <w:sz w:val="30"/>
          <w:szCs w:val="30"/>
          <w:highlight w:val="none"/>
          <w:lang w:val="en-US" w:eastAsia="zh-CN"/>
        </w:rPr>
      </w:pPr>
      <w:r>
        <w:rPr>
          <w:rFonts w:hint="eastAsia" w:ascii="仿宋" w:hAnsi="仿宋" w:eastAsia="仿宋" w:cs="仿宋"/>
          <w:b/>
          <w:color w:val="auto"/>
          <w:sz w:val="30"/>
          <w:szCs w:val="30"/>
          <w:highlight w:val="none"/>
          <w:lang w:val="en-US" w:eastAsia="zh-CN"/>
        </w:rPr>
        <w:t>九、项目经理无在建项目承诺书</w:t>
      </w:r>
    </w:p>
    <w:p w14:paraId="02CFB13F">
      <w:pPr>
        <w:pStyle w:val="7"/>
        <w:overflowPunct w:val="0"/>
        <w:spacing w:line="360" w:lineRule="auto"/>
        <w:ind w:firstLine="0"/>
        <w:jc w:val="left"/>
        <w:rPr>
          <w:rFonts w:hint="eastAsia" w:ascii="仿宋" w:hAnsi="仿宋" w:eastAsia="仿宋" w:cs="仿宋"/>
          <w:b/>
          <w:color w:val="auto"/>
          <w:sz w:val="30"/>
          <w:szCs w:val="30"/>
          <w:highlight w:val="none"/>
        </w:rPr>
      </w:pPr>
    </w:p>
    <w:p w14:paraId="6CB72512">
      <w:pPr>
        <w:autoSpaceDE w:val="0"/>
        <w:autoSpaceDN w:val="0"/>
        <w:spacing w:line="360" w:lineRule="auto"/>
        <w:rPr>
          <w:rFonts w:hint="eastAsia" w:ascii="仿宋" w:hAnsi="仿宋" w:eastAsia="仿宋" w:cs="仿宋"/>
          <w:color w:val="auto"/>
          <w:kern w:val="0"/>
          <w:sz w:val="24"/>
          <w:highlight w:val="none"/>
          <w:lang w:val="zh-CN"/>
        </w:rPr>
      </w:pPr>
    </w:p>
    <w:p w14:paraId="0DC0F2BE">
      <w:pPr>
        <w:autoSpaceDE w:val="0"/>
        <w:autoSpaceDN w:val="0"/>
        <w:spacing w:line="360" w:lineRule="auto"/>
        <w:rPr>
          <w:rFonts w:hint="eastAsia" w:ascii="仿宋" w:hAnsi="仿宋" w:eastAsia="仿宋" w:cs="仿宋"/>
          <w:color w:val="auto"/>
          <w:kern w:val="0"/>
          <w:sz w:val="24"/>
          <w:highlight w:val="none"/>
          <w:lang w:val="zh-CN"/>
        </w:rPr>
      </w:pPr>
    </w:p>
    <w:p w14:paraId="369358EB">
      <w:pPr>
        <w:widowControl w:val="0"/>
        <w:autoSpaceDE w:val="0"/>
        <w:autoSpaceDN w:val="0"/>
        <w:adjustRightInd w:val="0"/>
        <w:spacing w:line="360" w:lineRule="exact"/>
        <w:jc w:val="center"/>
        <w:rPr>
          <w:rFonts w:hint="eastAsia" w:ascii="宋体" w:hAnsi="宋体" w:eastAsia="宋体" w:cs="Cambria"/>
          <w:b/>
          <w:color w:val="000000"/>
          <w:sz w:val="32"/>
          <w:szCs w:val="32"/>
          <w:lang w:val="en-US" w:eastAsia="zh-CN" w:bidi="ar-SA"/>
        </w:rPr>
      </w:pPr>
      <w:r>
        <w:rPr>
          <w:rFonts w:hint="eastAsia" w:ascii="宋体" w:hAnsi="宋体" w:eastAsia="宋体" w:cs="Cambria"/>
          <w:b/>
          <w:color w:val="000000"/>
          <w:sz w:val="32"/>
          <w:szCs w:val="32"/>
          <w:lang w:val="en-US" w:eastAsia="zh-CN" w:bidi="ar-SA"/>
        </w:rPr>
        <w:t>项目经理无在建项目承诺书</w:t>
      </w:r>
    </w:p>
    <w:p w14:paraId="5A97FFFE">
      <w:pPr>
        <w:widowControl w:val="0"/>
        <w:autoSpaceDE w:val="0"/>
        <w:autoSpaceDN w:val="0"/>
        <w:adjustRightInd w:val="0"/>
        <w:spacing w:line="360" w:lineRule="exact"/>
        <w:jc w:val="both"/>
        <w:rPr>
          <w:rFonts w:hint="eastAsia" w:ascii="宋体" w:hAnsi="宋体" w:eastAsia="宋体" w:cs="Cambria"/>
          <w:color w:val="000000"/>
          <w:sz w:val="24"/>
          <w:lang w:val="en-US" w:eastAsia="zh-CN" w:bidi="ar-SA"/>
        </w:rPr>
      </w:pPr>
    </w:p>
    <w:p w14:paraId="23D12333">
      <w:pPr>
        <w:widowControl w:val="0"/>
        <w:autoSpaceDE w:val="0"/>
        <w:autoSpaceDN w:val="0"/>
        <w:adjustRightInd w:val="0"/>
        <w:spacing w:line="360" w:lineRule="exact"/>
        <w:jc w:val="both"/>
        <w:rPr>
          <w:rFonts w:ascii="宋体" w:hAnsi="宋体" w:eastAsia="宋体" w:cs="Cambria"/>
          <w:color w:val="000000"/>
          <w:sz w:val="24"/>
          <w:lang w:val="en-US" w:eastAsia="zh-CN" w:bidi="ar-SA"/>
        </w:rPr>
      </w:pPr>
    </w:p>
    <w:p w14:paraId="78E45929">
      <w:pPr>
        <w:widowControl w:val="0"/>
        <w:autoSpaceDE w:val="0"/>
        <w:autoSpaceDN w:val="0"/>
        <w:adjustRightInd w:val="0"/>
        <w:spacing w:line="360" w:lineRule="auto"/>
        <w:jc w:val="both"/>
        <w:rPr>
          <w:rFonts w:hint="eastAsia" w:ascii="仿宋" w:hAnsi="仿宋" w:eastAsia="仿宋" w:cs="仿宋"/>
          <w:color w:val="000000"/>
          <w:sz w:val="28"/>
          <w:szCs w:val="21"/>
          <w:u w:val="single"/>
          <w:lang w:val="en-US" w:eastAsia="zh-CN" w:bidi="ar-SA"/>
        </w:rPr>
      </w:pPr>
      <w:r>
        <w:rPr>
          <w:rFonts w:hint="eastAsia" w:ascii="仿宋" w:hAnsi="仿宋" w:eastAsia="仿宋" w:cs="仿宋"/>
          <w:color w:val="000000"/>
          <w:sz w:val="28"/>
          <w:szCs w:val="21"/>
          <w:lang w:val="en-US" w:eastAsia="zh-CN" w:bidi="ar-SA"/>
        </w:rPr>
        <w:t>致：</w:t>
      </w:r>
      <w:r>
        <w:rPr>
          <w:rFonts w:hint="eastAsia" w:ascii="仿宋" w:hAnsi="仿宋" w:eastAsia="仿宋" w:cs="仿宋"/>
          <w:color w:val="000000"/>
          <w:sz w:val="28"/>
          <w:szCs w:val="21"/>
          <w:u w:val="single"/>
          <w:lang w:val="en-US" w:eastAsia="zh-CN" w:bidi="ar-SA"/>
        </w:rPr>
        <w:t>广西佳鸿工程技术有限公司</w:t>
      </w:r>
    </w:p>
    <w:p w14:paraId="30453A7F">
      <w:pPr>
        <w:widowControl w:val="0"/>
        <w:autoSpaceDE w:val="0"/>
        <w:autoSpaceDN w:val="0"/>
        <w:adjustRightInd w:val="0"/>
        <w:spacing w:line="360" w:lineRule="auto"/>
        <w:jc w:val="both"/>
        <w:rPr>
          <w:rFonts w:hint="eastAsia" w:ascii="仿宋" w:hAnsi="仿宋" w:eastAsia="仿宋" w:cs="仿宋"/>
          <w:color w:val="000000"/>
          <w:sz w:val="28"/>
          <w:szCs w:val="21"/>
          <w:lang w:val="en-US" w:eastAsia="zh-CN" w:bidi="ar-SA"/>
        </w:rPr>
      </w:pPr>
    </w:p>
    <w:p w14:paraId="7BA43A35">
      <w:pPr>
        <w:widowControl w:val="0"/>
        <w:autoSpaceDE w:val="0"/>
        <w:autoSpaceDN w:val="0"/>
        <w:adjustRightInd w:val="0"/>
        <w:spacing w:line="360" w:lineRule="auto"/>
        <w:ind w:firstLine="565" w:firstLineChars="202"/>
        <w:jc w:val="both"/>
        <w:rPr>
          <w:rFonts w:hint="eastAsia" w:ascii="仿宋" w:hAnsi="仿宋" w:eastAsia="仿宋" w:cs="仿宋"/>
          <w:color w:val="000000"/>
          <w:sz w:val="28"/>
          <w:szCs w:val="21"/>
          <w:lang w:val="en-US" w:eastAsia="zh-CN" w:bidi="ar-SA"/>
        </w:rPr>
      </w:pPr>
      <w:r>
        <w:rPr>
          <w:rFonts w:hint="eastAsia" w:ascii="仿宋" w:hAnsi="仿宋" w:eastAsia="仿宋" w:cs="仿宋"/>
          <w:color w:val="000000"/>
          <w:sz w:val="28"/>
          <w:szCs w:val="21"/>
          <w:lang w:val="en-US" w:eastAsia="zh-CN" w:bidi="ar-SA"/>
        </w:rPr>
        <w:t>我公司参加贵单位组织的</w:t>
      </w:r>
      <w:r>
        <w:rPr>
          <w:rFonts w:hint="eastAsia" w:ascii="仿宋" w:hAnsi="仿宋" w:eastAsia="仿宋" w:cs="仿宋"/>
          <w:b/>
          <w:color w:val="000000"/>
          <w:sz w:val="28"/>
          <w:szCs w:val="21"/>
          <w:u w:val="single"/>
          <w:lang w:val="en-US" w:eastAsia="zh-CN" w:bidi="ar-SA"/>
        </w:rPr>
        <w:t xml:space="preserve">                  （项目名称）</w:t>
      </w:r>
      <w:r>
        <w:rPr>
          <w:rFonts w:hint="eastAsia" w:ascii="仿宋" w:hAnsi="仿宋" w:eastAsia="仿宋" w:cs="仿宋"/>
          <w:color w:val="000000"/>
          <w:sz w:val="28"/>
          <w:szCs w:val="21"/>
          <w:lang w:val="en-US" w:eastAsia="zh-CN" w:bidi="ar-SA"/>
        </w:rPr>
        <w:t>的磋商活动。我公司在此承诺，我公司拟投入的项目经理</w:t>
      </w:r>
      <w:r>
        <w:rPr>
          <w:rFonts w:hint="eastAsia" w:ascii="仿宋" w:hAnsi="仿宋" w:eastAsia="仿宋" w:cs="仿宋"/>
          <w:b/>
          <w:color w:val="000000"/>
          <w:sz w:val="28"/>
          <w:szCs w:val="21"/>
          <w:u w:val="single"/>
          <w:lang w:val="en-US" w:eastAsia="zh-CN" w:bidi="ar-SA"/>
        </w:rPr>
        <w:t xml:space="preserve">  （姓名） （身份证号）</w:t>
      </w:r>
      <w:r>
        <w:rPr>
          <w:rFonts w:hint="eastAsia" w:ascii="仿宋" w:hAnsi="仿宋" w:eastAsia="仿宋" w:cs="仿宋"/>
          <w:color w:val="000000"/>
          <w:sz w:val="28"/>
          <w:szCs w:val="21"/>
          <w:lang w:val="en-US" w:eastAsia="zh-CN" w:bidi="ar-SA"/>
        </w:rPr>
        <w:t>目前无在建项目（在建项目是指担任项目经理的在建、已中标未开工或已列为中标候选人第一名的项目）。</w:t>
      </w:r>
    </w:p>
    <w:p w14:paraId="74C95BD7">
      <w:pPr>
        <w:widowControl w:val="0"/>
        <w:autoSpaceDE w:val="0"/>
        <w:autoSpaceDN w:val="0"/>
        <w:adjustRightInd w:val="0"/>
        <w:spacing w:line="360" w:lineRule="auto"/>
        <w:ind w:firstLine="565" w:firstLineChars="202"/>
        <w:jc w:val="both"/>
        <w:rPr>
          <w:rFonts w:hint="eastAsia" w:ascii="仿宋" w:hAnsi="仿宋" w:eastAsia="仿宋" w:cs="仿宋"/>
          <w:color w:val="000000"/>
          <w:sz w:val="28"/>
          <w:szCs w:val="21"/>
          <w:lang w:val="en-US" w:eastAsia="zh-CN" w:bidi="ar-SA"/>
        </w:rPr>
      </w:pPr>
      <w:r>
        <w:rPr>
          <w:rFonts w:hint="eastAsia" w:ascii="仿宋" w:hAnsi="仿宋" w:eastAsia="仿宋" w:cs="仿宋"/>
          <w:color w:val="000000"/>
          <w:sz w:val="28"/>
          <w:szCs w:val="21"/>
          <w:lang w:val="en-US" w:eastAsia="zh-CN" w:bidi="ar-SA"/>
        </w:rPr>
        <w:t>若有虚假一经查实，愿意承担一切责任，并承担由此造成的一切损失。</w:t>
      </w:r>
    </w:p>
    <w:p w14:paraId="53B79010">
      <w:pPr>
        <w:widowControl w:val="0"/>
        <w:autoSpaceDE w:val="0"/>
        <w:autoSpaceDN w:val="0"/>
        <w:adjustRightInd w:val="0"/>
        <w:spacing w:line="360" w:lineRule="auto"/>
        <w:ind w:firstLine="565" w:firstLineChars="202"/>
        <w:jc w:val="both"/>
        <w:rPr>
          <w:rFonts w:hint="eastAsia" w:ascii="仿宋" w:hAnsi="仿宋" w:eastAsia="仿宋" w:cs="仿宋"/>
          <w:color w:val="000000"/>
          <w:sz w:val="28"/>
          <w:szCs w:val="21"/>
          <w:lang w:val="en-US" w:eastAsia="zh-CN" w:bidi="ar-SA"/>
        </w:rPr>
      </w:pPr>
      <w:r>
        <w:rPr>
          <w:rFonts w:hint="eastAsia" w:ascii="仿宋" w:hAnsi="仿宋" w:eastAsia="仿宋" w:cs="仿宋"/>
          <w:color w:val="000000"/>
          <w:sz w:val="28"/>
          <w:szCs w:val="21"/>
          <w:lang w:val="en-US" w:eastAsia="zh-CN" w:bidi="ar-SA"/>
        </w:rPr>
        <w:t>特此承诺！</w:t>
      </w:r>
    </w:p>
    <w:p w14:paraId="4DE23AC6">
      <w:pPr>
        <w:widowControl w:val="0"/>
        <w:autoSpaceDE w:val="0"/>
        <w:autoSpaceDN w:val="0"/>
        <w:adjustRightInd w:val="0"/>
        <w:spacing w:line="360" w:lineRule="auto"/>
        <w:ind w:firstLine="484" w:firstLineChars="202"/>
        <w:jc w:val="both"/>
        <w:rPr>
          <w:rFonts w:ascii="宋体" w:hAnsi="宋体" w:eastAsia="宋体" w:cs="Cambria"/>
          <w:color w:val="000000"/>
          <w:sz w:val="24"/>
          <w:lang w:val="en-US" w:eastAsia="zh-CN" w:bidi="ar-SA"/>
        </w:rPr>
      </w:pPr>
    </w:p>
    <w:p w14:paraId="78DE3B4B">
      <w:pPr>
        <w:pStyle w:val="12"/>
        <w:rPr>
          <w:rFonts w:hint="eastAsia" w:ascii="仿宋" w:hAnsi="仿宋" w:eastAsia="仿宋" w:cs="仿宋"/>
          <w:color w:val="auto"/>
          <w:highlight w:val="none"/>
          <w:lang w:val="zh-CN"/>
        </w:rPr>
      </w:pPr>
    </w:p>
    <w:p w14:paraId="4817ECEC">
      <w:pPr>
        <w:autoSpaceDE w:val="0"/>
        <w:autoSpaceDN w:val="0"/>
        <w:spacing w:line="360" w:lineRule="auto"/>
        <w:ind w:left="4335" w:leftChars="1950" w:hanging="240" w:hangingChars="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1CC932C5">
      <w:pPr>
        <w:autoSpaceDE w:val="0"/>
        <w:autoSpaceDN w:val="0"/>
        <w:spacing w:line="360" w:lineRule="auto"/>
        <w:ind w:left="0" w:leftChars="0" w:firstLine="6391" w:firstLineChars="2663"/>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日期：  年  月   日</w:t>
      </w:r>
    </w:p>
    <w:p w14:paraId="6FADB230">
      <w:pPr>
        <w:rPr>
          <w:rFonts w:hint="eastAsia"/>
          <w:color w:val="auto"/>
          <w:highlight w:val="none"/>
          <w:lang w:val="zh-CN"/>
        </w:rPr>
      </w:pPr>
    </w:p>
    <w:p w14:paraId="1B939C6C">
      <w:pPr>
        <w:pStyle w:val="12"/>
        <w:rPr>
          <w:rFonts w:hint="eastAsia"/>
          <w:color w:val="auto"/>
          <w:highlight w:val="none"/>
          <w:lang w:val="zh-CN"/>
        </w:rPr>
      </w:pPr>
    </w:p>
    <w:p w14:paraId="5F1C4F6F">
      <w:pPr>
        <w:autoSpaceDE w:val="0"/>
        <w:autoSpaceDN w:val="0"/>
        <w:spacing w:line="360" w:lineRule="auto"/>
        <w:ind w:left="0" w:leftChars="0" w:firstLine="5678" w:firstLineChars="2366"/>
        <w:rPr>
          <w:rFonts w:hint="eastAsia" w:ascii="仿宋" w:hAnsi="仿宋" w:eastAsia="仿宋" w:cs="仿宋"/>
          <w:color w:val="auto"/>
          <w:kern w:val="0"/>
          <w:sz w:val="24"/>
          <w:highlight w:val="none"/>
          <w:lang w:val="en-US" w:eastAsia="zh-CN"/>
        </w:rPr>
      </w:pPr>
      <w:r>
        <w:rPr>
          <w:rFonts w:ascii="宋体" w:hAnsi="宋体" w:eastAsia="宋体" w:cs="宋体"/>
          <w:color w:val="000000"/>
          <w:kern w:val="0"/>
          <w:sz w:val="24"/>
          <w:szCs w:val="21"/>
        </w:rPr>
        <w:br w:type="page"/>
      </w:r>
    </w:p>
    <w:p w14:paraId="6E4E85AC">
      <w:pPr>
        <w:rPr>
          <w:rFonts w:hint="eastAsia" w:ascii="仿宋" w:hAnsi="仿宋" w:eastAsia="仿宋" w:cs="仿宋"/>
          <w:color w:val="auto"/>
          <w:kern w:val="0"/>
          <w:sz w:val="24"/>
          <w:highlight w:val="none"/>
          <w:lang w:val="zh-CN"/>
        </w:rPr>
      </w:pPr>
    </w:p>
    <w:p w14:paraId="5D91F9D5">
      <w:pPr>
        <w:pStyle w:val="12"/>
        <w:rPr>
          <w:rFonts w:hint="eastAsia" w:ascii="仿宋" w:hAnsi="仿宋" w:eastAsia="仿宋" w:cs="仿宋"/>
          <w:color w:val="auto"/>
          <w:kern w:val="0"/>
          <w:sz w:val="24"/>
          <w:highlight w:val="none"/>
          <w:lang w:val="zh-CN"/>
        </w:rPr>
      </w:pPr>
      <w:r>
        <w:rPr>
          <w:rFonts w:hint="eastAsia" w:ascii="仿宋" w:hAnsi="仿宋" w:eastAsia="仿宋" w:cs="仿宋"/>
          <w:b/>
          <w:color w:val="auto"/>
          <w:sz w:val="30"/>
          <w:szCs w:val="30"/>
          <w:highlight w:val="none"/>
          <w:lang w:val="en-US" w:eastAsia="zh-CN"/>
        </w:rPr>
        <w:t>十</w:t>
      </w:r>
      <w:r>
        <w:rPr>
          <w:rFonts w:hint="eastAsia" w:ascii="仿宋" w:hAnsi="仿宋" w:eastAsia="仿宋" w:cs="仿宋"/>
          <w:b/>
          <w:color w:val="auto"/>
          <w:sz w:val="30"/>
          <w:szCs w:val="30"/>
          <w:highlight w:val="none"/>
        </w:rPr>
        <w:t>、除磋商文件规定必须提供以外，供应商认为需要提供的其他证明材料</w:t>
      </w:r>
    </w:p>
    <w:p w14:paraId="29B66ED9">
      <w:pPr>
        <w:rPr>
          <w:rFonts w:hint="eastAsia" w:ascii="仿宋" w:hAnsi="仿宋" w:eastAsia="仿宋" w:cs="仿宋"/>
          <w:color w:val="auto"/>
          <w:kern w:val="0"/>
          <w:sz w:val="24"/>
          <w:highlight w:val="none"/>
          <w:lang w:val="zh-CN"/>
        </w:rPr>
      </w:pPr>
    </w:p>
    <w:p w14:paraId="420AA784">
      <w:pPr>
        <w:pStyle w:val="12"/>
        <w:rPr>
          <w:rFonts w:hint="eastAsia" w:ascii="仿宋" w:hAnsi="仿宋" w:eastAsia="仿宋" w:cs="仿宋"/>
          <w:color w:val="auto"/>
          <w:highlight w:val="none"/>
          <w:lang w:val="zh-CN"/>
        </w:rPr>
      </w:pPr>
    </w:p>
    <w:p w14:paraId="0D76CE50">
      <w:pPr>
        <w:rPr>
          <w:rFonts w:hint="eastAsia" w:ascii="仿宋" w:hAnsi="仿宋" w:eastAsia="仿宋" w:cs="仿宋"/>
          <w:color w:val="auto"/>
          <w:highlight w:val="none"/>
          <w:lang w:val="zh-CN"/>
        </w:rPr>
      </w:pPr>
    </w:p>
    <w:p w14:paraId="3EA1B28E">
      <w:pPr>
        <w:pStyle w:val="12"/>
        <w:rPr>
          <w:rFonts w:hint="eastAsia" w:ascii="仿宋" w:hAnsi="仿宋" w:eastAsia="仿宋" w:cs="仿宋"/>
          <w:color w:val="auto"/>
          <w:highlight w:val="none"/>
          <w:lang w:val="zh-CN"/>
        </w:rPr>
      </w:pPr>
    </w:p>
    <w:p w14:paraId="056636E6">
      <w:pPr>
        <w:autoSpaceDE w:val="0"/>
        <w:autoSpaceDN w:val="0"/>
        <w:spacing w:line="360" w:lineRule="auto"/>
        <w:ind w:left="4335" w:leftChars="1950" w:hanging="240" w:hangingChars="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172D1895">
      <w:pPr>
        <w:autoSpaceDE w:val="0"/>
        <w:autoSpaceDN w:val="0"/>
        <w:spacing w:line="360" w:lineRule="auto"/>
        <w:ind w:left="0" w:leftChars="0" w:firstLine="5678" w:firstLineChars="236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日期：  年  月   日</w:t>
      </w:r>
    </w:p>
    <w:p w14:paraId="1D37A7D4">
      <w:pPr>
        <w:rPr>
          <w:rFonts w:hint="eastAsia"/>
          <w:color w:val="auto"/>
          <w:highlight w:val="none"/>
          <w:lang w:val="zh-CN"/>
        </w:rPr>
      </w:pPr>
    </w:p>
    <w:p w14:paraId="366C7F53">
      <w:pPr>
        <w:pStyle w:val="12"/>
        <w:rPr>
          <w:rFonts w:hint="eastAsia"/>
          <w:color w:val="auto"/>
          <w:highlight w:val="none"/>
          <w:lang w:val="zh-CN"/>
        </w:rPr>
      </w:pPr>
    </w:p>
    <w:p w14:paraId="18F063B7">
      <w:pPr>
        <w:rPr>
          <w:rFonts w:hint="eastAsia"/>
          <w:color w:val="auto"/>
          <w:highlight w:val="none"/>
          <w:lang w:val="zh-CN"/>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p>
    <w:p w14:paraId="5FB24B35">
      <w:pPr>
        <w:pStyle w:val="3"/>
        <w:spacing w:line="360" w:lineRule="auto"/>
        <w:jc w:val="center"/>
        <w:rPr>
          <w:rFonts w:hint="eastAsia" w:ascii="宋体" w:hAnsi="宋体" w:eastAsia="宋体" w:cs="宋体"/>
          <w:b w:val="0"/>
          <w:color w:val="auto"/>
          <w:highlight w:val="none"/>
        </w:rPr>
      </w:pPr>
      <w:bookmarkStart w:id="171" w:name="_Toc7889"/>
      <w:bookmarkStart w:id="172" w:name="_Toc1171"/>
      <w:bookmarkStart w:id="173" w:name="_Toc24675"/>
      <w:bookmarkStart w:id="174" w:name="_Toc80205940"/>
      <w:bookmarkStart w:id="175" w:name="_Toc22872"/>
      <w:bookmarkStart w:id="176" w:name="_Toc25946"/>
      <w:bookmarkStart w:id="177" w:name="_Toc8220"/>
      <w:bookmarkStart w:id="178" w:name="_Toc14159"/>
      <w:r>
        <w:rPr>
          <w:rFonts w:hint="eastAsia" w:ascii="宋体" w:hAnsi="宋体" w:eastAsia="宋体" w:cs="宋体"/>
          <w:b w:val="0"/>
          <w:bCs w:val="0"/>
          <w:color w:val="auto"/>
          <w:highlight w:val="none"/>
        </w:rPr>
        <w:t>第</w:t>
      </w:r>
      <w:r>
        <w:rPr>
          <w:rFonts w:hint="eastAsia" w:ascii="宋体" w:hAnsi="宋体" w:eastAsia="宋体" w:cs="宋体"/>
          <w:b w:val="0"/>
          <w:bCs w:val="0"/>
          <w:color w:val="auto"/>
          <w:highlight w:val="none"/>
          <w:lang w:eastAsia="zh-CN"/>
        </w:rPr>
        <w:t>三</w:t>
      </w:r>
      <w:r>
        <w:rPr>
          <w:rFonts w:hint="eastAsia" w:ascii="宋体" w:hAnsi="宋体" w:eastAsia="宋体" w:cs="宋体"/>
          <w:b w:val="0"/>
          <w:bCs w:val="0"/>
          <w:color w:val="auto"/>
          <w:highlight w:val="none"/>
        </w:rPr>
        <w:t xml:space="preserve">节 </w:t>
      </w:r>
      <w:r>
        <w:rPr>
          <w:rFonts w:hint="eastAsia" w:ascii="宋体" w:hAnsi="宋体" w:eastAsia="宋体" w:cs="宋体"/>
          <w:b w:val="0"/>
          <w:color w:val="auto"/>
          <w:highlight w:val="none"/>
        </w:rPr>
        <w:t>商务技术文件格式</w:t>
      </w:r>
      <w:bookmarkEnd w:id="171"/>
      <w:bookmarkEnd w:id="172"/>
      <w:bookmarkEnd w:id="173"/>
      <w:bookmarkEnd w:id="174"/>
      <w:bookmarkEnd w:id="175"/>
      <w:bookmarkEnd w:id="176"/>
      <w:bookmarkEnd w:id="177"/>
      <w:bookmarkEnd w:id="178"/>
    </w:p>
    <w:p w14:paraId="40BD499D">
      <w:pPr>
        <w:snapToGrid w:val="0"/>
        <w:spacing w:before="120" w:beforeLines="50" w:after="50" w:line="360" w:lineRule="auto"/>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36743CBC">
      <w:pPr>
        <w:snapToGrid w:val="0"/>
        <w:spacing w:before="120" w:beforeLines="50" w:after="50" w:line="360" w:lineRule="auto"/>
        <w:rPr>
          <w:rFonts w:hint="eastAsia" w:ascii="宋体" w:hAnsi="宋体" w:eastAsia="宋体" w:cs="宋体"/>
          <w:color w:val="auto"/>
          <w:sz w:val="24"/>
          <w:szCs w:val="20"/>
          <w:highlight w:val="none"/>
        </w:rPr>
      </w:pPr>
    </w:p>
    <w:p w14:paraId="0ACAB217">
      <w:pPr>
        <w:snapToGrid w:val="0"/>
        <w:spacing w:before="120" w:beforeLines="50" w:after="50" w:line="360" w:lineRule="auto"/>
        <w:rPr>
          <w:rFonts w:hint="eastAsia" w:ascii="宋体" w:hAnsi="宋体" w:eastAsia="宋体" w:cs="宋体"/>
          <w:color w:val="auto"/>
          <w:sz w:val="24"/>
          <w:szCs w:val="20"/>
          <w:highlight w:val="none"/>
        </w:rPr>
      </w:pPr>
    </w:p>
    <w:p w14:paraId="5844395D">
      <w:pPr>
        <w:snapToGrid w:val="0"/>
        <w:spacing w:before="120" w:beforeLines="50" w:after="50" w:line="360" w:lineRule="auto"/>
        <w:rPr>
          <w:rFonts w:hint="eastAsia" w:ascii="宋体" w:hAnsi="宋体" w:eastAsia="宋体" w:cs="宋体"/>
          <w:color w:val="auto"/>
          <w:sz w:val="24"/>
          <w:szCs w:val="20"/>
          <w:highlight w:val="none"/>
        </w:rPr>
      </w:pPr>
    </w:p>
    <w:p w14:paraId="19B4A5C2">
      <w:pPr>
        <w:snapToGrid w:val="0"/>
        <w:spacing w:before="120" w:beforeLines="50" w:after="50" w:line="360" w:lineRule="auto"/>
        <w:jc w:val="center"/>
        <w:rPr>
          <w:rFonts w:hint="eastAsia" w:ascii="宋体" w:hAnsi="宋体" w:eastAsia="宋体" w:cs="宋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商  务  技  术  文  件（封面）</w:t>
      </w:r>
    </w:p>
    <w:p w14:paraId="59474BCC">
      <w:pPr>
        <w:snapToGrid w:val="0"/>
        <w:spacing w:before="120" w:beforeLines="50" w:after="50" w:line="360" w:lineRule="auto"/>
        <w:rPr>
          <w:rFonts w:hint="eastAsia" w:ascii="宋体" w:hAnsi="宋体" w:eastAsia="宋体" w:cs="宋体"/>
          <w:bCs/>
          <w:color w:val="auto"/>
          <w:sz w:val="24"/>
          <w:szCs w:val="20"/>
          <w:highlight w:val="none"/>
        </w:rPr>
      </w:pPr>
    </w:p>
    <w:p w14:paraId="75460B99">
      <w:pPr>
        <w:snapToGrid w:val="0"/>
        <w:spacing w:before="120" w:beforeLines="50" w:after="50" w:line="360" w:lineRule="auto"/>
        <w:rPr>
          <w:rFonts w:hint="eastAsia" w:ascii="宋体" w:hAnsi="宋体" w:eastAsia="宋体" w:cs="宋体"/>
          <w:bCs/>
          <w:color w:val="auto"/>
          <w:sz w:val="24"/>
          <w:szCs w:val="20"/>
          <w:highlight w:val="none"/>
        </w:rPr>
      </w:pPr>
    </w:p>
    <w:p w14:paraId="30DBEE55">
      <w:pPr>
        <w:snapToGrid w:val="0"/>
        <w:spacing w:before="120" w:beforeLines="50" w:after="50" w:line="360" w:lineRule="auto"/>
        <w:rPr>
          <w:rFonts w:hint="eastAsia" w:ascii="宋体" w:hAnsi="宋体" w:eastAsia="宋体" w:cs="宋体"/>
          <w:bCs/>
          <w:color w:val="auto"/>
          <w:sz w:val="24"/>
          <w:szCs w:val="20"/>
          <w:highlight w:val="none"/>
        </w:rPr>
      </w:pPr>
    </w:p>
    <w:p w14:paraId="6639D117">
      <w:pPr>
        <w:snapToGrid w:val="0"/>
        <w:spacing w:before="120" w:beforeLines="50" w:after="50" w:line="360" w:lineRule="auto"/>
        <w:ind w:firstLine="640" w:firstLineChars="200"/>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rPr>
        <w:t>项目名称：</w:t>
      </w:r>
      <w:r>
        <w:rPr>
          <w:rFonts w:hint="eastAsia" w:ascii="宋体" w:hAnsi="宋体" w:cs="宋体"/>
          <w:bCs/>
          <w:color w:val="auto"/>
          <w:sz w:val="32"/>
          <w:szCs w:val="32"/>
          <w:highlight w:val="none"/>
          <w:lang w:eastAsia="zh-CN"/>
        </w:rPr>
        <w:t>隆安县屏山乡刘家村刘家屯农田水利设施项目</w:t>
      </w:r>
    </w:p>
    <w:p w14:paraId="197DDCEC">
      <w:pPr>
        <w:snapToGrid w:val="0"/>
        <w:spacing w:before="120" w:beforeLines="50" w:after="50" w:line="360" w:lineRule="auto"/>
        <w:ind w:firstLine="720" w:firstLineChars="225"/>
        <w:rPr>
          <w:rFonts w:hint="eastAsia" w:ascii="宋体" w:hAnsi="宋体" w:eastAsia="宋体" w:cs="宋体"/>
          <w:bCs/>
          <w:color w:val="auto"/>
          <w:sz w:val="32"/>
          <w:szCs w:val="32"/>
          <w:highlight w:val="none"/>
        </w:rPr>
      </w:pPr>
    </w:p>
    <w:p w14:paraId="71C542D4">
      <w:pPr>
        <w:snapToGrid w:val="0"/>
        <w:spacing w:before="120" w:beforeLines="50" w:after="50" w:line="360" w:lineRule="auto"/>
        <w:ind w:firstLine="640" w:firstLineChars="200"/>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rPr>
        <w:t>项目编号：</w:t>
      </w:r>
      <w:r>
        <w:rPr>
          <w:rFonts w:hint="eastAsia" w:ascii="宋体" w:hAnsi="宋体" w:cs="宋体"/>
          <w:bCs/>
          <w:color w:val="auto"/>
          <w:sz w:val="32"/>
          <w:szCs w:val="32"/>
          <w:highlight w:val="none"/>
          <w:lang w:eastAsia="zh-CN"/>
        </w:rPr>
        <w:t xml:space="preserve">NNZC2026-C2-230022-JHGC   </w:t>
      </w:r>
    </w:p>
    <w:p w14:paraId="15619E14">
      <w:pPr>
        <w:snapToGrid w:val="0"/>
        <w:spacing w:before="120" w:beforeLines="50" w:after="50" w:line="360" w:lineRule="auto"/>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102367D4">
      <w:pPr>
        <w:snapToGrid w:val="0"/>
        <w:spacing w:before="120" w:beforeLines="50" w:after="50"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0607621E">
      <w:pPr>
        <w:snapToGrid w:val="0"/>
        <w:spacing w:before="120" w:beforeLines="50" w:after="50" w:line="360" w:lineRule="auto"/>
        <w:ind w:firstLine="720" w:firstLineChars="225"/>
        <w:rPr>
          <w:rFonts w:hint="eastAsia" w:ascii="宋体" w:hAnsi="宋体" w:eastAsia="宋体" w:cs="宋体"/>
          <w:bCs/>
          <w:color w:val="auto"/>
          <w:sz w:val="32"/>
          <w:szCs w:val="32"/>
          <w:highlight w:val="none"/>
        </w:rPr>
      </w:pPr>
    </w:p>
    <w:p w14:paraId="4E3F93A2">
      <w:pPr>
        <w:pStyle w:val="7"/>
        <w:snapToGrid w:val="0"/>
        <w:spacing w:before="50" w:after="50"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40BE071A">
      <w:pPr>
        <w:pStyle w:val="7"/>
        <w:snapToGrid w:val="0"/>
        <w:spacing w:before="50" w:after="50" w:line="360" w:lineRule="auto"/>
        <w:ind w:firstLine="720" w:firstLineChars="225"/>
        <w:rPr>
          <w:rFonts w:hint="eastAsia" w:ascii="宋体" w:hAnsi="宋体" w:eastAsia="宋体" w:cs="宋体"/>
          <w:bCs/>
          <w:color w:val="auto"/>
          <w:sz w:val="32"/>
          <w:szCs w:val="32"/>
          <w:highlight w:val="none"/>
        </w:rPr>
      </w:pPr>
    </w:p>
    <w:p w14:paraId="2D67DD46">
      <w:pPr>
        <w:pStyle w:val="7"/>
        <w:snapToGrid w:val="0"/>
        <w:spacing w:before="50" w:after="50" w:line="360" w:lineRule="auto"/>
        <w:ind w:firstLine="1280" w:firstLineChars="400"/>
        <w:rPr>
          <w:rFonts w:hint="eastAsia" w:ascii="宋体" w:hAnsi="宋体" w:eastAsia="宋体" w:cs="宋体"/>
          <w:bCs/>
          <w:color w:val="auto"/>
          <w:sz w:val="32"/>
          <w:szCs w:val="32"/>
          <w:highlight w:val="none"/>
        </w:rPr>
      </w:pPr>
    </w:p>
    <w:p w14:paraId="5AB481A9">
      <w:pPr>
        <w:snapToGrid w:val="0"/>
        <w:spacing w:before="120" w:beforeLines="50" w:after="50"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54E305FD">
      <w:pPr>
        <w:snapToGrid w:val="0"/>
        <w:spacing w:before="120" w:beforeLines="50" w:after="50" w:line="360" w:lineRule="auto"/>
        <w:ind w:left="142" w:firstLine="643" w:firstLineChars="200"/>
        <w:jc w:val="left"/>
        <w:rPr>
          <w:rFonts w:hint="eastAsia" w:ascii="宋体" w:hAnsi="宋体" w:eastAsia="宋体" w:cs="宋体"/>
          <w:b/>
          <w:bCs/>
          <w:color w:val="auto"/>
          <w:sz w:val="32"/>
          <w:szCs w:val="32"/>
          <w:highlight w:val="none"/>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p>
    <w:p w14:paraId="6E076DF5">
      <w:pPr>
        <w:snapToGrid w:val="0"/>
        <w:spacing w:before="120" w:beforeLines="50" w:after="50"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商务技术文件目录</w:t>
      </w:r>
    </w:p>
    <w:p w14:paraId="0AF3BE3E">
      <w:pPr>
        <w:spacing w:line="360" w:lineRule="auto"/>
        <w:jc w:val="center"/>
        <w:rPr>
          <w:rFonts w:hint="eastAsia" w:ascii="宋体" w:hAnsi="宋体" w:eastAsia="宋体" w:cs="宋体"/>
          <w:b/>
          <w:color w:val="auto"/>
          <w:kern w:val="0"/>
          <w:sz w:val="28"/>
          <w:szCs w:val="28"/>
          <w:highlight w:val="none"/>
        </w:rPr>
      </w:pPr>
    </w:p>
    <w:p w14:paraId="1927384C">
      <w:pPr>
        <w:pStyle w:val="35"/>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一、无串通竞标行为的承诺函……………………………………………………（页码）</w:t>
      </w:r>
    </w:p>
    <w:p w14:paraId="28E487CA">
      <w:pPr>
        <w:pStyle w:val="35"/>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二、法定代表人身份证明书及法定代表人有效身份证正反面复印件…………（页码）</w:t>
      </w:r>
    </w:p>
    <w:p w14:paraId="14109F18">
      <w:pPr>
        <w:pStyle w:val="35"/>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三、法定代表人授权委托书及委托代理人有效身份证正反面复印件（如有委托时）……………………………（页码）</w:t>
      </w:r>
    </w:p>
    <w:p w14:paraId="793448A9">
      <w:pPr>
        <w:pStyle w:val="35"/>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四、</w:t>
      </w:r>
      <w:r>
        <w:rPr>
          <w:rFonts w:hint="eastAsia" w:ascii="仿宋" w:hAnsi="仿宋" w:eastAsia="仿宋" w:cs="仿宋"/>
          <w:color w:val="auto"/>
          <w:highlight w:val="none"/>
          <w:lang w:val="zh-CN"/>
        </w:rPr>
        <w:t>商务条款偏离表………………………………</w:t>
      </w:r>
      <w:r>
        <w:rPr>
          <w:rFonts w:hint="eastAsia" w:ascii="仿宋" w:hAnsi="仿宋" w:eastAsia="仿宋" w:cs="仿宋"/>
          <w:color w:val="auto"/>
          <w:highlight w:val="none"/>
        </w:rPr>
        <w:t>………………………………（页码）</w:t>
      </w:r>
    </w:p>
    <w:p w14:paraId="74374EA5">
      <w:pPr>
        <w:pStyle w:val="35"/>
        <w:spacing w:line="360" w:lineRule="auto"/>
        <w:rPr>
          <w:rFonts w:hint="eastAsia" w:ascii="仿宋" w:hAnsi="仿宋" w:eastAsia="仿宋" w:cs="仿宋"/>
          <w:color w:val="auto"/>
          <w:highlight w:val="none"/>
        </w:rPr>
      </w:pPr>
      <w:bookmarkStart w:id="179" w:name="OLE_LINK6"/>
      <w:bookmarkStart w:id="180" w:name="OLE_LINK7"/>
      <w:bookmarkStart w:id="181" w:name="OLE_LINK5"/>
      <w:r>
        <w:rPr>
          <w:rFonts w:hint="eastAsia" w:ascii="仿宋" w:hAnsi="仿宋" w:eastAsia="仿宋" w:cs="仿宋"/>
          <w:color w:val="auto"/>
          <w:highlight w:val="none"/>
        </w:rPr>
        <w:t>五、竞标人情况介绍</w:t>
      </w:r>
      <w:r>
        <w:rPr>
          <w:rFonts w:hint="eastAsia" w:ascii="仿宋" w:hAnsi="仿宋" w:eastAsia="仿宋" w:cs="仿宋"/>
          <w:color w:val="auto"/>
          <w:highlight w:val="none"/>
          <w:lang w:val="zh-CN"/>
        </w:rPr>
        <w:t>………………………………</w:t>
      </w:r>
      <w:r>
        <w:rPr>
          <w:rFonts w:hint="eastAsia" w:ascii="仿宋" w:hAnsi="仿宋" w:eastAsia="仿宋" w:cs="仿宋"/>
          <w:color w:val="auto"/>
          <w:highlight w:val="none"/>
        </w:rPr>
        <w:t>………………………………（页码）</w:t>
      </w:r>
    </w:p>
    <w:p w14:paraId="4F3D08A2">
      <w:pPr>
        <w:pStyle w:val="35"/>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六、建设工程项目管理承诺书</w:t>
      </w:r>
      <w:r>
        <w:rPr>
          <w:rFonts w:hint="eastAsia" w:ascii="仿宋" w:hAnsi="仿宋" w:eastAsia="仿宋" w:cs="仿宋"/>
          <w:color w:val="auto"/>
          <w:highlight w:val="none"/>
          <w:lang w:val="zh-CN"/>
        </w:rPr>
        <w:t>……………………………………………………</w:t>
      </w:r>
      <w:r>
        <w:rPr>
          <w:rFonts w:hint="eastAsia" w:ascii="仿宋" w:hAnsi="仿宋" w:eastAsia="仿宋" w:cs="仿宋"/>
          <w:color w:val="auto"/>
          <w:highlight w:val="none"/>
        </w:rPr>
        <w:t>（页码）</w:t>
      </w:r>
    </w:p>
    <w:p w14:paraId="567C17A3">
      <w:pPr>
        <w:pStyle w:val="35"/>
        <w:spacing w:line="360" w:lineRule="auto"/>
        <w:rPr>
          <w:rFonts w:hint="eastAsia" w:ascii="仿宋" w:hAnsi="仿宋" w:eastAsia="仿宋" w:cs="仿宋"/>
          <w:color w:val="auto"/>
          <w:highlight w:val="none"/>
        </w:rPr>
      </w:pPr>
      <w:r>
        <w:rPr>
          <w:rFonts w:hint="eastAsia" w:ascii="仿宋" w:eastAsia="仿宋" w:cs="仿宋"/>
          <w:color w:val="auto"/>
          <w:highlight w:val="none"/>
          <w:lang w:val="en-US" w:eastAsia="zh-CN"/>
        </w:rPr>
        <w:t>七</w:t>
      </w:r>
      <w:r>
        <w:rPr>
          <w:rFonts w:hint="eastAsia" w:ascii="仿宋" w:hAnsi="仿宋" w:eastAsia="仿宋" w:cs="仿宋"/>
          <w:color w:val="auto"/>
          <w:highlight w:val="none"/>
        </w:rPr>
        <w:t>、供应商类似业绩的证明文件</w:t>
      </w:r>
      <w:r>
        <w:rPr>
          <w:rFonts w:hint="eastAsia" w:ascii="仿宋" w:hAnsi="仿宋" w:eastAsia="仿宋" w:cs="仿宋"/>
          <w:color w:val="auto"/>
          <w:highlight w:val="none"/>
          <w:lang w:val="zh-CN"/>
        </w:rPr>
        <w:t>…………………………………………………</w:t>
      </w:r>
      <w:r>
        <w:rPr>
          <w:rFonts w:hint="eastAsia" w:ascii="仿宋" w:hAnsi="仿宋" w:eastAsia="仿宋" w:cs="仿宋"/>
          <w:color w:val="auto"/>
          <w:highlight w:val="none"/>
        </w:rPr>
        <w:t>（页码）</w:t>
      </w:r>
    </w:p>
    <w:p w14:paraId="53C1106B">
      <w:pPr>
        <w:pStyle w:val="35"/>
        <w:spacing w:line="360" w:lineRule="auto"/>
        <w:ind w:left="0"/>
        <w:rPr>
          <w:rFonts w:hint="eastAsia" w:ascii="仿宋" w:hAnsi="仿宋" w:eastAsia="仿宋" w:cs="仿宋"/>
          <w:color w:val="auto"/>
          <w:highlight w:val="none"/>
          <w:lang w:val="en-US" w:eastAsia="zh-CN"/>
        </w:rPr>
      </w:pPr>
      <w:r>
        <w:rPr>
          <w:rFonts w:hint="eastAsia" w:ascii="仿宋" w:eastAsia="仿宋" w:cs="仿宋"/>
          <w:color w:val="auto"/>
          <w:highlight w:val="none"/>
          <w:lang w:val="en-US" w:eastAsia="zh-CN"/>
        </w:rPr>
        <w:t>八</w:t>
      </w:r>
      <w:r>
        <w:rPr>
          <w:rFonts w:hint="eastAsia" w:ascii="仿宋" w:hAnsi="仿宋" w:eastAsia="仿宋" w:cs="仿宋"/>
          <w:color w:val="auto"/>
          <w:highlight w:val="none"/>
          <w:lang w:val="en-US" w:eastAsia="zh-CN"/>
        </w:rPr>
        <w:t>、供应商认为需要提供的其他有关资料</w:t>
      </w:r>
      <w:r>
        <w:rPr>
          <w:rFonts w:hint="eastAsia" w:ascii="仿宋" w:hAnsi="仿宋" w:eastAsia="仿宋" w:cs="仿宋"/>
          <w:color w:val="auto"/>
          <w:highlight w:val="none"/>
          <w:lang w:val="zh-CN" w:eastAsia="zh-CN"/>
        </w:rPr>
        <w:t>………………………………………</w:t>
      </w:r>
      <w:r>
        <w:rPr>
          <w:rFonts w:hint="eastAsia" w:ascii="仿宋" w:hAnsi="仿宋" w:eastAsia="仿宋" w:cs="仿宋"/>
          <w:color w:val="auto"/>
          <w:highlight w:val="none"/>
          <w:lang w:val="en-US" w:eastAsia="zh-CN"/>
        </w:rPr>
        <w:t>（页码）</w:t>
      </w:r>
      <w:bookmarkEnd w:id="179"/>
      <w:bookmarkEnd w:id="180"/>
    </w:p>
    <w:bookmarkEnd w:id="181"/>
    <w:p w14:paraId="57D6B97B">
      <w:pPr>
        <w:pStyle w:val="35"/>
        <w:spacing w:line="360" w:lineRule="auto"/>
        <w:ind w:left="0"/>
        <w:rPr>
          <w:rFonts w:hint="eastAsia" w:ascii="仿宋" w:hAnsi="仿宋" w:eastAsia="仿宋" w:cs="仿宋"/>
          <w:color w:val="auto"/>
          <w:highlight w:val="none"/>
          <w:lang w:val="en-US" w:eastAsia="zh-CN"/>
        </w:rPr>
      </w:pPr>
      <w:r>
        <w:rPr>
          <w:rFonts w:hint="eastAsia" w:ascii="仿宋" w:eastAsia="仿宋" w:cs="仿宋"/>
          <w:color w:val="auto"/>
          <w:highlight w:val="none"/>
          <w:lang w:val="en-US" w:eastAsia="zh-CN"/>
        </w:rPr>
        <w:t>九</w:t>
      </w:r>
      <w:r>
        <w:rPr>
          <w:rFonts w:hint="eastAsia" w:ascii="仿宋" w:hAnsi="仿宋" w:eastAsia="仿宋" w:cs="仿宋"/>
          <w:color w:val="auto"/>
          <w:highlight w:val="none"/>
          <w:lang w:val="en-US" w:eastAsia="zh-CN"/>
        </w:rPr>
        <w:t>、技术需求偏离表</w:t>
      </w:r>
      <w:r>
        <w:rPr>
          <w:rFonts w:hint="eastAsia" w:ascii="仿宋" w:hAnsi="仿宋" w:eastAsia="仿宋" w:cs="仿宋"/>
          <w:color w:val="auto"/>
          <w:highlight w:val="none"/>
          <w:lang w:val="zh-CN" w:eastAsia="zh-CN"/>
        </w:rPr>
        <w:t>……………………………………………</w:t>
      </w: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（页码）</w:t>
      </w:r>
    </w:p>
    <w:p w14:paraId="6D096C9F">
      <w:pPr>
        <w:pStyle w:val="35"/>
        <w:spacing w:line="360" w:lineRule="auto"/>
        <w:ind w:left="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十、施工组织设计…………………………………………………………</w:t>
      </w: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（页码）</w:t>
      </w:r>
    </w:p>
    <w:p w14:paraId="50DFCAEB">
      <w:pPr>
        <w:pStyle w:val="35"/>
        <w:spacing w:line="360" w:lineRule="auto"/>
        <w:ind w:left="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十一、项目管理机构配备情况表…………………………………………………（页码）</w:t>
      </w:r>
    </w:p>
    <w:p w14:paraId="30E8147A">
      <w:pPr>
        <w:pStyle w:val="35"/>
        <w:spacing w:line="360" w:lineRule="auto"/>
        <w:ind w:left="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十</w:t>
      </w:r>
      <w:r>
        <w:rPr>
          <w:rFonts w:hint="eastAsia" w:ascii="仿宋" w:eastAsia="仿宋" w:cs="仿宋"/>
          <w:color w:val="auto"/>
          <w:highlight w:val="none"/>
          <w:lang w:val="en-US" w:eastAsia="zh-CN"/>
        </w:rPr>
        <w:t>二</w:t>
      </w:r>
      <w:r>
        <w:rPr>
          <w:rFonts w:hint="eastAsia" w:ascii="仿宋" w:hAnsi="仿宋" w:eastAsia="仿宋" w:cs="仿宋"/>
          <w:color w:val="auto"/>
          <w:highlight w:val="none"/>
          <w:lang w:val="en-US" w:eastAsia="zh-CN"/>
        </w:rPr>
        <w:t>、项目经理简历表……………………………………………………………（页码）</w:t>
      </w:r>
    </w:p>
    <w:p w14:paraId="4F40A6DD">
      <w:pPr>
        <w:pStyle w:val="35"/>
        <w:spacing w:line="360" w:lineRule="auto"/>
        <w:ind w:left="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十</w:t>
      </w:r>
      <w:r>
        <w:rPr>
          <w:rFonts w:hint="eastAsia" w:ascii="仿宋" w:eastAsia="仿宋" w:cs="仿宋"/>
          <w:color w:val="auto"/>
          <w:highlight w:val="none"/>
          <w:lang w:val="en-US" w:eastAsia="zh-CN"/>
        </w:rPr>
        <w:t>三</w:t>
      </w:r>
      <w:r>
        <w:rPr>
          <w:rFonts w:hint="eastAsia" w:ascii="仿宋" w:hAnsi="仿宋" w:eastAsia="仿宋" w:cs="仿宋"/>
          <w:color w:val="auto"/>
          <w:highlight w:val="none"/>
          <w:lang w:val="en-US" w:eastAsia="zh-CN"/>
        </w:rPr>
        <w:t>、供应商认为需要提供的其他有关资料……………………………………（页码）</w:t>
      </w:r>
    </w:p>
    <w:p w14:paraId="35A370BC">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注：以上目录是基本格式要求，各供应商可根据自身情况进一步向下增加内容或细化。</w:t>
      </w:r>
    </w:p>
    <w:p w14:paraId="24384478">
      <w:pPr>
        <w:spacing w:line="360" w:lineRule="auto"/>
        <w:ind w:firstLine="880" w:firstLineChars="200"/>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r>
        <w:rPr>
          <w:rFonts w:hint="eastAsia" w:ascii="仿宋" w:hAnsi="仿宋" w:eastAsia="仿宋" w:cs="仿宋"/>
          <w:b/>
          <w:color w:val="auto"/>
          <w:sz w:val="30"/>
          <w:szCs w:val="30"/>
          <w:highlight w:val="none"/>
        </w:rPr>
        <w:t>一、无串通竞标行为的承诺函</w:t>
      </w:r>
    </w:p>
    <w:p w14:paraId="5C6EA8B3">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44"/>
          <w:szCs w:val="44"/>
          <w:highlight w:val="none"/>
        </w:rPr>
        <w:t>无串通竞标行为的承诺函</w:t>
      </w:r>
    </w:p>
    <w:p w14:paraId="21ECB11E">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一、我方承诺无下列相互串通竞标的情形：</w:t>
      </w:r>
    </w:p>
    <w:p w14:paraId="4AA53AC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1.不同供应商的响应文件由同一单位或者个人编制； </w:t>
      </w:r>
    </w:p>
    <w:p w14:paraId="39AA7C8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2.不同供应商委托同一单位或者个人办理竞标事宜；</w:t>
      </w:r>
    </w:p>
    <w:p w14:paraId="1000C8A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3.不同供应商的响应文件载明的项目管理员为同一个人；</w:t>
      </w:r>
    </w:p>
    <w:p w14:paraId="6C81793C">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4.不</w:t>
      </w:r>
      <w:r>
        <w:rPr>
          <w:rFonts w:hint="eastAsia" w:ascii="宋体" w:hAnsi="宋体" w:eastAsia="宋体" w:cs="宋体"/>
          <w:color w:val="auto"/>
          <w:spacing w:val="-6"/>
          <w:sz w:val="24"/>
          <w:highlight w:val="none"/>
        </w:rPr>
        <w:t>同供应商的响应文件异常一致或者响应报价呈规律性差异；</w:t>
      </w:r>
    </w:p>
    <w:p w14:paraId="536DC2C5">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5.不同供应商的响应文件相互混装；</w:t>
      </w:r>
    </w:p>
    <w:p w14:paraId="44F1FFB6">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6.不同供应商的磋商保证金从同一单位或者个人账户转出。</w:t>
      </w:r>
    </w:p>
    <w:p w14:paraId="675511EF">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二、我方承诺无下列恶意串通的情形：</w:t>
      </w:r>
    </w:p>
    <w:p w14:paraId="54447CF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1.供应商直接或者间接从采购人或者采购代理机构处获得其他供应商的相关信息并修改其响应文件；</w:t>
      </w:r>
    </w:p>
    <w:p w14:paraId="53D057F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2.供应商按照采购人或者采购代理机构的授意撤换、修改响应文件；</w:t>
      </w:r>
    </w:p>
    <w:p w14:paraId="03E0F17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3.供</w:t>
      </w:r>
      <w:r>
        <w:rPr>
          <w:rFonts w:hint="eastAsia" w:ascii="宋体" w:hAnsi="宋体" w:eastAsia="宋体" w:cs="宋体"/>
          <w:color w:val="auto"/>
          <w:spacing w:val="-6"/>
          <w:sz w:val="24"/>
          <w:highlight w:val="none"/>
        </w:rPr>
        <w:t>应商之间协商报价、技术方案等响应文件的实质性内容；</w:t>
      </w:r>
    </w:p>
    <w:p w14:paraId="5D37A8C7">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4.属于同一集团、协会、商会等组织成员的供应商按照该组织要求协同参加政府采购活动；</w:t>
      </w:r>
    </w:p>
    <w:p w14:paraId="6031A5EE">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5.供应商之间事先约定一致抬高或者压低响应报价，或者在竞争性磋商项目中事先约定轮流以高价位或者低价位成交，或者事先约定由某一特定供应商成交，然后再参加竞标；</w:t>
      </w:r>
    </w:p>
    <w:p w14:paraId="2A79F1DF">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6.供应商之间商定部分供应商放弃参加政府采购活动或者放弃成交；</w:t>
      </w:r>
    </w:p>
    <w:p w14:paraId="1203E14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7.供应商与采购人或者采购代理机构之间、供应商相互之间，为</w:t>
      </w:r>
      <w:r>
        <w:rPr>
          <w:rFonts w:hint="eastAsia" w:ascii="宋体" w:hAnsi="宋体" w:eastAsia="宋体" w:cs="宋体"/>
          <w:color w:val="auto"/>
          <w:spacing w:val="-6"/>
          <w:sz w:val="24"/>
          <w:highlight w:val="none"/>
        </w:rPr>
        <w:t>谋求特定供应商成交或者排斥其他供应商的其他串通行为。</w:t>
      </w:r>
    </w:p>
    <w:p w14:paraId="69040AEA">
      <w:pPr>
        <w:spacing w:line="360" w:lineRule="auto"/>
        <w:ind w:firstLine="480" w:firstLineChars="200"/>
        <w:contextualSpacing/>
        <w:rPr>
          <w:rFonts w:hint="eastAsia" w:ascii="宋体" w:hAnsi="宋体" w:eastAsia="宋体" w:cs="宋体"/>
          <w:color w:val="auto"/>
          <w:sz w:val="24"/>
          <w:highlight w:val="none"/>
        </w:rPr>
      </w:pPr>
    </w:p>
    <w:p w14:paraId="614E025C">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以上情形一经核查属实，我方愿意承担一切后果，并不再寻求任何旨在减轻或者免除法律责任的辩解。</w:t>
      </w:r>
    </w:p>
    <w:p w14:paraId="55B90AD0">
      <w:pPr>
        <w:autoSpaceDE w:val="0"/>
        <w:autoSpaceDN w:val="0"/>
        <w:spacing w:line="360" w:lineRule="auto"/>
        <w:ind w:left="4335" w:leftChars="1950" w:hanging="240" w:hangingChars="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5731C6F4">
      <w:pPr>
        <w:spacing w:line="360" w:lineRule="auto"/>
        <w:ind w:left="237" w:leftChars="113" w:firstLine="5860" w:firstLineChars="2442"/>
        <w:jc w:val="left"/>
        <w:rPr>
          <w:rFonts w:hint="eastAsia" w:ascii="仿宋" w:hAnsi="仿宋" w:eastAsia="仿宋" w:cs="仿宋"/>
          <w:bCs/>
          <w:color w:val="auto"/>
          <w:sz w:val="44"/>
          <w:szCs w:val="44"/>
          <w:highlight w:val="none"/>
        </w:rPr>
      </w:pPr>
      <w:r>
        <w:rPr>
          <w:rFonts w:hint="eastAsia" w:ascii="仿宋" w:hAnsi="仿宋" w:eastAsia="仿宋" w:cs="仿宋"/>
          <w:color w:val="auto"/>
          <w:kern w:val="0"/>
          <w:sz w:val="24"/>
          <w:highlight w:val="none"/>
          <w:lang w:val="zh-CN"/>
        </w:rPr>
        <w:t xml:space="preserve">日期：  年  月   日  </w:t>
      </w:r>
      <w:r>
        <w:rPr>
          <w:rFonts w:hint="eastAsia" w:ascii="宋体" w:hAnsi="宋体" w:eastAsia="宋体" w:cs="宋体"/>
          <w:color w:val="auto"/>
          <w:kern w:val="0"/>
          <w:sz w:val="24"/>
          <w:highlight w:val="none"/>
          <w:lang w:val="zh-CN"/>
        </w:rPr>
        <w:t xml:space="preserve"> </w:t>
      </w:r>
      <w:r>
        <w:rPr>
          <w:rFonts w:hint="eastAsia" w:ascii="宋体" w:hAnsi="宋体" w:eastAsia="宋体" w:cs="宋体"/>
          <w:b/>
          <w:bCs/>
          <w:color w:val="auto"/>
          <w:sz w:val="32"/>
          <w:szCs w:val="32"/>
          <w:highlight w:val="none"/>
        </w:rPr>
        <w:br w:type="page"/>
      </w:r>
      <w:r>
        <w:rPr>
          <w:rFonts w:hint="eastAsia" w:ascii="仿宋" w:hAnsi="仿宋" w:eastAsia="仿宋" w:cs="仿宋"/>
          <w:b/>
          <w:color w:val="auto"/>
          <w:sz w:val="30"/>
          <w:szCs w:val="30"/>
          <w:highlight w:val="none"/>
        </w:rPr>
        <w:t>二、法定代表人身份证明及法定代表人有效身份证正反面复印件</w:t>
      </w:r>
    </w:p>
    <w:p w14:paraId="7C4F380D">
      <w:pPr>
        <w:spacing w:line="360" w:lineRule="auto"/>
        <w:jc w:val="center"/>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44"/>
          <w:szCs w:val="44"/>
          <w:highlight w:val="none"/>
        </w:rPr>
        <w:t>法定代表人证明书</w:t>
      </w:r>
    </w:p>
    <w:p w14:paraId="61E1D720">
      <w:pPr>
        <w:spacing w:line="360" w:lineRule="auto"/>
        <w:ind w:left="540"/>
        <w:contextualSpacing/>
        <w:rPr>
          <w:rFonts w:hint="eastAsia" w:ascii="宋体" w:hAnsi="宋体" w:eastAsia="宋体" w:cs="宋体"/>
          <w:color w:val="auto"/>
          <w:sz w:val="32"/>
          <w:szCs w:val="32"/>
          <w:highlight w:val="none"/>
        </w:rPr>
      </w:pPr>
    </w:p>
    <w:p w14:paraId="0E82AA19">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p>
    <w:p w14:paraId="14340A67">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14:paraId="65A8E01A">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     别：</w:t>
      </w:r>
      <w:r>
        <w:rPr>
          <w:rFonts w:hint="eastAsia" w:ascii="宋体" w:hAnsi="宋体" w:eastAsia="宋体" w:cs="宋体"/>
          <w:color w:val="auto"/>
          <w:sz w:val="24"/>
          <w:highlight w:val="none"/>
          <w:u w:val="single"/>
        </w:rPr>
        <w:t xml:space="preserve">                </w:t>
      </w:r>
    </w:p>
    <w:p w14:paraId="2AE42040">
      <w:pPr>
        <w:spacing w:line="360" w:lineRule="auto"/>
        <w:ind w:left="54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年    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     务：</w:t>
      </w:r>
      <w:r>
        <w:rPr>
          <w:rFonts w:hint="eastAsia" w:ascii="宋体" w:hAnsi="宋体" w:eastAsia="宋体" w:cs="宋体"/>
          <w:color w:val="auto"/>
          <w:sz w:val="24"/>
          <w:highlight w:val="none"/>
          <w:u w:val="single"/>
        </w:rPr>
        <w:t xml:space="preserve">                </w:t>
      </w:r>
    </w:p>
    <w:p w14:paraId="1DC54EEA">
      <w:pPr>
        <w:spacing w:line="360" w:lineRule="auto"/>
        <w:ind w:left="540"/>
        <w:contextualSpacing/>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p>
    <w:p w14:paraId="70FA7F5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的法定代表人。</w:t>
      </w:r>
    </w:p>
    <w:p w14:paraId="38B7F3D8">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55AD2C1F">
      <w:pPr>
        <w:spacing w:line="360" w:lineRule="auto"/>
        <w:ind w:left="540"/>
        <w:contextualSpacing/>
        <w:rPr>
          <w:rFonts w:hint="eastAsia" w:ascii="宋体" w:hAnsi="宋体" w:eastAsia="宋体" w:cs="宋体"/>
          <w:color w:val="auto"/>
          <w:sz w:val="24"/>
          <w:highlight w:val="none"/>
        </w:rPr>
      </w:pPr>
    </w:p>
    <w:p w14:paraId="6DA60646">
      <w:pPr>
        <w:spacing w:line="360" w:lineRule="auto"/>
        <w:ind w:left="540"/>
        <w:contextualSpacing/>
        <w:rPr>
          <w:rFonts w:hint="eastAsia" w:ascii="宋体" w:hAnsi="宋体" w:eastAsia="宋体" w:cs="宋体"/>
          <w:color w:val="auto"/>
          <w:sz w:val="24"/>
          <w:highlight w:val="none"/>
        </w:rPr>
      </w:pPr>
    </w:p>
    <w:p w14:paraId="7E8059B8">
      <w:pPr>
        <w:spacing w:line="360" w:lineRule="auto"/>
        <w:ind w:left="540"/>
        <w:contextualSpacing/>
        <w:rPr>
          <w:rFonts w:hint="eastAsia" w:ascii="宋体" w:hAnsi="宋体" w:eastAsia="宋体" w:cs="宋体"/>
          <w:color w:val="auto"/>
          <w:sz w:val="24"/>
          <w:highlight w:val="none"/>
        </w:rPr>
      </w:pPr>
    </w:p>
    <w:p w14:paraId="17F05EAD">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附件：法定代表人有效身份证正反面复印件</w:t>
      </w:r>
    </w:p>
    <w:p w14:paraId="5BC375AB">
      <w:pPr>
        <w:spacing w:line="360" w:lineRule="auto"/>
        <w:ind w:left="540"/>
        <w:contextualSpacing/>
        <w:rPr>
          <w:rFonts w:hint="eastAsia" w:ascii="宋体" w:hAnsi="宋体" w:eastAsia="宋体" w:cs="宋体"/>
          <w:color w:val="auto"/>
          <w:sz w:val="24"/>
          <w:highlight w:val="none"/>
        </w:rPr>
      </w:pPr>
    </w:p>
    <w:p w14:paraId="02D622BE">
      <w:pPr>
        <w:autoSpaceDE w:val="0"/>
        <w:autoSpaceDN w:val="0"/>
        <w:spacing w:line="360" w:lineRule="auto"/>
        <w:ind w:left="4335" w:leftChars="1950" w:hanging="240" w:hangingChars="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2E6BFA69">
      <w:pPr>
        <w:spacing w:line="360" w:lineRule="auto"/>
        <w:contextualSpacing/>
        <w:jc w:val="center"/>
        <w:rPr>
          <w:rFonts w:hint="eastAsia" w:ascii="仿宋" w:hAnsi="仿宋" w:eastAsia="仿宋" w:cs="仿宋"/>
          <w:b/>
          <w:color w:val="auto"/>
          <w:sz w:val="24"/>
          <w:highlight w:val="none"/>
        </w:rPr>
      </w:pPr>
      <w:r>
        <w:rPr>
          <w:rFonts w:hint="eastAsia" w:ascii="仿宋" w:hAnsi="仿宋" w:eastAsia="仿宋" w:cs="仿宋"/>
          <w:color w:val="auto"/>
          <w:kern w:val="0"/>
          <w:sz w:val="24"/>
          <w:highlight w:val="none"/>
          <w:lang w:val="zh-CN"/>
        </w:rPr>
        <w:t xml:space="preserve">                                                   日期：  年  月   日</w:t>
      </w:r>
    </w:p>
    <w:p w14:paraId="1479AA40">
      <w:pPr>
        <w:spacing w:line="360" w:lineRule="auto"/>
        <w:contextualSpacing/>
        <w:jc w:val="left"/>
        <w:rPr>
          <w:rFonts w:hint="eastAsia" w:ascii="宋体" w:hAnsi="宋体" w:eastAsia="宋体" w:cs="宋体"/>
          <w:color w:val="auto"/>
          <w:sz w:val="24"/>
          <w:highlight w:val="none"/>
        </w:rPr>
      </w:pPr>
    </w:p>
    <w:p w14:paraId="4751F89C">
      <w:pPr>
        <w:spacing w:line="360" w:lineRule="auto"/>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注：1.自然人竞标的无需提供，联合体竞标的只需牵头人出具。</w:t>
      </w:r>
    </w:p>
    <w:p w14:paraId="3DEE0E1D">
      <w:pPr>
        <w:spacing w:line="360" w:lineRule="auto"/>
        <w:ind w:firstLine="480" w:firstLineChars="200"/>
        <w:contextualSpacing/>
        <w:jc w:val="left"/>
        <w:rPr>
          <w:rFonts w:hint="eastAsia" w:ascii="宋体" w:hAnsi="宋体" w:eastAsia="宋体" w:cs="宋体"/>
          <w:color w:val="auto"/>
          <w:sz w:val="24"/>
          <w:highlight w:val="none"/>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r>
        <w:rPr>
          <w:rFonts w:hint="eastAsia" w:ascii="宋体" w:hAnsi="宋体" w:eastAsia="宋体" w:cs="宋体"/>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tbl>
      <w:tblPr>
        <w:tblStyle w:val="27"/>
        <w:tblpPr w:leftFromText="180" w:rightFromText="180" w:vertAnchor="text" w:horzAnchor="page" w:tblpX="1078" w:tblpY="9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0"/>
      </w:tblGrid>
      <w:tr w14:paraId="2AE5D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0" w:hRule="atLeast"/>
        </w:trPr>
        <w:tc>
          <w:tcPr>
            <w:tcW w:w="9400" w:type="dxa"/>
            <w:noWrap w:val="0"/>
            <w:vAlign w:val="top"/>
          </w:tcPr>
          <w:p w14:paraId="6B2B9910">
            <w:pPr>
              <w:spacing w:line="360" w:lineRule="auto"/>
              <w:rPr>
                <w:rFonts w:hint="eastAsia" w:ascii="宋体" w:hAnsi="宋体" w:eastAsia="宋体" w:cs="宋体"/>
                <w:b/>
                <w:color w:val="auto"/>
                <w:sz w:val="24"/>
                <w:highlight w:val="none"/>
              </w:rPr>
            </w:pPr>
          </w:p>
          <w:p w14:paraId="714D4EB4">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法定代表身份证复印件</w:t>
            </w:r>
            <w:r>
              <w:rPr>
                <w:rFonts w:hint="eastAsia" w:ascii="宋体" w:hAnsi="宋体" w:eastAsia="宋体" w:cs="宋体"/>
                <w:b/>
                <w:color w:val="auto"/>
                <w:sz w:val="24"/>
                <w:highlight w:val="none"/>
                <w:lang w:eastAsia="zh-CN"/>
              </w:rPr>
              <w:t>粘贴</w:t>
            </w:r>
            <w:r>
              <w:rPr>
                <w:rFonts w:hint="eastAsia" w:ascii="宋体" w:hAnsi="宋体" w:eastAsia="宋体" w:cs="宋体"/>
                <w:b/>
                <w:color w:val="auto"/>
                <w:sz w:val="24"/>
                <w:highlight w:val="none"/>
              </w:rPr>
              <w:t>处（正、反面）</w:t>
            </w:r>
          </w:p>
        </w:tc>
      </w:tr>
    </w:tbl>
    <w:p w14:paraId="63097CE8">
      <w:pPr>
        <w:spacing w:line="360" w:lineRule="auto"/>
        <w:ind w:firstLine="482" w:firstLineChars="200"/>
        <w:contextualSpacing/>
        <w:jc w:val="left"/>
        <w:rPr>
          <w:rFonts w:hint="eastAsia" w:ascii="仿宋" w:hAnsi="仿宋" w:eastAsia="仿宋" w:cs="仿宋"/>
          <w:bCs/>
          <w:color w:val="auto"/>
          <w:sz w:val="44"/>
          <w:szCs w:val="44"/>
          <w:highlight w:val="none"/>
        </w:rPr>
      </w:pPr>
      <w:r>
        <w:rPr>
          <w:rFonts w:hint="eastAsia" w:ascii="宋体" w:hAnsi="宋体" w:eastAsia="宋体" w:cs="宋体"/>
          <w:b/>
          <w:color w:val="auto"/>
          <w:sz w:val="24"/>
          <w:highlight w:val="none"/>
        </w:rPr>
        <w:t>附件：</w:t>
      </w:r>
      <w:r>
        <w:rPr>
          <w:rFonts w:hint="eastAsia" w:ascii="宋体" w:hAnsi="宋体" w:eastAsia="宋体" w:cs="宋体"/>
          <w:color w:val="auto"/>
          <w:sz w:val="44"/>
          <w:szCs w:val="44"/>
          <w:highlight w:val="none"/>
        </w:rPr>
        <w:br w:type="page"/>
      </w:r>
      <w:r>
        <w:rPr>
          <w:rFonts w:hint="eastAsia" w:ascii="仿宋" w:hAnsi="仿宋" w:eastAsia="仿宋" w:cs="仿宋"/>
          <w:b/>
          <w:color w:val="auto"/>
          <w:sz w:val="30"/>
          <w:szCs w:val="30"/>
          <w:highlight w:val="none"/>
        </w:rPr>
        <w:t>三、法定代表人授权委托书及委托代理人有效身份证正反面复印件</w:t>
      </w:r>
    </w:p>
    <w:p w14:paraId="4261678E">
      <w:pPr>
        <w:spacing w:line="360" w:lineRule="auto"/>
        <w:jc w:val="center"/>
        <w:rPr>
          <w:rFonts w:hint="eastAsia" w:ascii="宋体" w:hAnsi="宋体" w:eastAsia="宋体" w:cs="宋体"/>
          <w:color w:val="auto"/>
          <w:sz w:val="44"/>
          <w:szCs w:val="44"/>
          <w:highlight w:val="none"/>
        </w:rPr>
      </w:pPr>
    </w:p>
    <w:p w14:paraId="72F10E51">
      <w:pPr>
        <w:spacing w:line="360" w:lineRule="auto"/>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授权委托书（非联合体竞标格式）</w:t>
      </w:r>
    </w:p>
    <w:p w14:paraId="45B2D117">
      <w:pPr>
        <w:spacing w:line="360" w:lineRule="auto"/>
        <w:jc w:val="center"/>
        <w:rPr>
          <w:rFonts w:hint="eastAsia" w:ascii="宋体" w:hAnsi="宋体" w:eastAsia="宋体" w:cs="宋体"/>
          <w:color w:val="auto"/>
          <w:sz w:val="44"/>
          <w:szCs w:val="44"/>
          <w:highlight w:val="none"/>
        </w:rPr>
      </w:pPr>
      <w:r>
        <w:rPr>
          <w:rFonts w:hint="eastAsia" w:ascii="宋体" w:hAnsi="宋体" w:eastAsia="宋体" w:cs="宋体"/>
          <w:b/>
          <w:bCs/>
          <w:color w:val="auto"/>
          <w:sz w:val="44"/>
          <w:szCs w:val="44"/>
          <w:highlight w:val="none"/>
        </w:rPr>
        <w:t>（如有委托时）</w:t>
      </w:r>
    </w:p>
    <w:p w14:paraId="72741FA6">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（采购人名称）</w:t>
      </w:r>
      <w:r>
        <w:rPr>
          <w:rFonts w:hint="eastAsia" w:ascii="宋体" w:hAnsi="宋体" w:eastAsia="宋体" w:cs="宋体"/>
          <w:color w:val="auto"/>
          <w:sz w:val="24"/>
          <w:highlight w:val="none"/>
        </w:rPr>
        <w:t>：</w:t>
      </w:r>
    </w:p>
    <w:p w14:paraId="240A45F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（供应商名称）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□法定代表人/□负责人/□自然人本人</w:t>
      </w:r>
      <w:r>
        <w:rPr>
          <w:rFonts w:hint="eastAsia" w:ascii="宋体" w:hAnsi="宋体" w:eastAsia="宋体" w:cs="宋体"/>
          <w:color w:val="auto"/>
          <w:sz w:val="24"/>
          <w:highlight w:val="none"/>
        </w:rPr>
        <w:t>），现授权</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以我方的名义参加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项目的竞标活动，并代表我方全权办理针对上述项目的所有采购程序和环节的具体事务和签署相关文件。</w:t>
      </w:r>
    </w:p>
    <w:p w14:paraId="474143D2">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我方对委托代理人的签字事项负全部责任。</w:t>
      </w:r>
    </w:p>
    <w:p w14:paraId="660408B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3A41424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7EA17B3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附：法定代表人身份证明书及委托代理人有效身份证正反面复印件</w:t>
      </w:r>
    </w:p>
    <w:p w14:paraId="76CCDDAB">
      <w:pPr>
        <w:spacing w:line="360" w:lineRule="auto"/>
        <w:rPr>
          <w:rFonts w:hint="eastAsia" w:ascii="宋体" w:hAnsi="宋体" w:eastAsia="宋体" w:cs="宋体"/>
          <w:color w:val="auto"/>
          <w:sz w:val="24"/>
          <w:highlight w:val="none"/>
        </w:rPr>
      </w:pPr>
    </w:p>
    <w:p w14:paraId="7D3A17BD">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委托代理人（签字）：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     法定代表人（签字或盖章）：                    </w:t>
      </w:r>
    </w:p>
    <w:p w14:paraId="710444B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委托代理人身份证号码：                                     </w:t>
      </w:r>
    </w:p>
    <w:p w14:paraId="3AEAEAD7">
      <w:pPr>
        <w:spacing w:line="360" w:lineRule="auto"/>
        <w:rPr>
          <w:rFonts w:hint="eastAsia" w:ascii="仿宋" w:hAnsi="仿宋" w:eastAsia="仿宋" w:cs="仿宋"/>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kern w:val="0"/>
          <w:sz w:val="24"/>
          <w:highlight w:val="none"/>
        </w:rPr>
        <w:t>供应商名称（电子签章）：</w:t>
      </w:r>
    </w:p>
    <w:p w14:paraId="6EBD6511">
      <w:pPr>
        <w:spacing w:line="360" w:lineRule="auto"/>
        <w:contextualSpacing/>
        <w:jc w:val="center"/>
        <w:rPr>
          <w:rFonts w:hint="eastAsia" w:ascii="仿宋" w:hAnsi="仿宋" w:eastAsia="仿宋" w:cs="仿宋"/>
          <w:b/>
          <w:color w:val="auto"/>
          <w:sz w:val="24"/>
          <w:highlight w:val="none"/>
        </w:rPr>
      </w:pPr>
      <w:r>
        <w:rPr>
          <w:rFonts w:hint="eastAsia" w:ascii="仿宋" w:hAnsi="仿宋" w:eastAsia="仿宋" w:cs="仿宋"/>
          <w:color w:val="auto"/>
          <w:kern w:val="0"/>
          <w:sz w:val="24"/>
          <w:highlight w:val="none"/>
          <w:lang w:val="zh-CN"/>
        </w:rPr>
        <w:t xml:space="preserve">                                                   日期：  年  月   日</w:t>
      </w:r>
    </w:p>
    <w:p w14:paraId="5D41356B">
      <w:pPr>
        <w:spacing w:line="360" w:lineRule="auto"/>
        <w:rPr>
          <w:rFonts w:hint="eastAsia" w:ascii="宋体" w:hAnsi="宋体" w:eastAsia="宋体" w:cs="宋体"/>
          <w:color w:val="auto"/>
          <w:sz w:val="24"/>
          <w:highlight w:val="none"/>
        </w:rPr>
      </w:pPr>
    </w:p>
    <w:p w14:paraId="076998F6">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注：1. 法定代表人必须在授权委托书上亲笔签字或盖章，委托代理人必须在授权委托书上亲笔签字，</w:t>
      </w:r>
      <w:r>
        <w:rPr>
          <w:rFonts w:hint="eastAsia" w:ascii="宋体" w:hAnsi="宋体" w:eastAsia="宋体" w:cs="宋体"/>
          <w:b/>
          <w:color w:val="auto"/>
          <w:sz w:val="24"/>
          <w:highlight w:val="none"/>
        </w:rPr>
        <w:t>否则其响应文件按无效响应处理。</w:t>
      </w:r>
    </w:p>
    <w:p w14:paraId="1A4E9F08">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66928214">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 w:val="24"/>
          <w:highlight w:val="none"/>
        </w:rPr>
        <w:t>3. 法人、其他组织竞标时“我方”是指“我单位”，自然人竞标时“我方”是指“本人”。</w:t>
      </w:r>
    </w:p>
    <w:p w14:paraId="2F101C0A">
      <w:pPr>
        <w:spacing w:line="360" w:lineRule="auto"/>
        <w:jc w:val="center"/>
        <w:rPr>
          <w:rFonts w:hint="eastAsia" w:ascii="宋体" w:hAnsi="宋体" w:eastAsia="宋体" w:cs="宋体"/>
          <w:b/>
          <w:bCs/>
          <w:color w:val="auto"/>
          <w:sz w:val="44"/>
          <w:szCs w:val="44"/>
          <w:highlight w:val="none"/>
        </w:rPr>
      </w:pPr>
      <w:r>
        <w:rPr>
          <w:rFonts w:hint="eastAsia" w:ascii="宋体" w:hAnsi="宋体" w:eastAsia="宋体" w:cs="宋体"/>
          <w:color w:val="auto"/>
          <w:szCs w:val="21"/>
          <w:highlight w:val="none"/>
        </w:rPr>
        <w:br w:type="page"/>
      </w:r>
      <w:r>
        <w:rPr>
          <w:rFonts w:hint="eastAsia" w:ascii="宋体" w:hAnsi="宋体" w:eastAsia="宋体" w:cs="宋体"/>
          <w:b/>
          <w:bCs/>
          <w:color w:val="auto"/>
          <w:sz w:val="44"/>
          <w:szCs w:val="44"/>
          <w:highlight w:val="none"/>
        </w:rPr>
        <w:t>授权委托书（联合体竞标格式）</w:t>
      </w:r>
    </w:p>
    <w:p w14:paraId="72F315D9">
      <w:pPr>
        <w:spacing w:line="360" w:lineRule="auto"/>
        <w:jc w:val="center"/>
        <w:rPr>
          <w:rFonts w:hint="eastAsia" w:ascii="宋体" w:hAnsi="宋体" w:eastAsia="宋体" w:cs="宋体"/>
          <w:color w:val="auto"/>
          <w:sz w:val="44"/>
          <w:szCs w:val="44"/>
          <w:highlight w:val="none"/>
        </w:rPr>
      </w:pPr>
      <w:r>
        <w:rPr>
          <w:rFonts w:hint="eastAsia" w:ascii="宋体" w:hAnsi="宋体" w:eastAsia="宋体" w:cs="宋体"/>
          <w:b/>
          <w:bCs/>
          <w:color w:val="auto"/>
          <w:sz w:val="44"/>
          <w:szCs w:val="44"/>
          <w:highlight w:val="none"/>
        </w:rPr>
        <w:t>（如有委托时）</w:t>
      </w:r>
    </w:p>
    <w:p w14:paraId="5005A99C">
      <w:pPr>
        <w:spacing w:line="360" w:lineRule="auto"/>
        <w:jc w:val="center"/>
        <w:rPr>
          <w:rFonts w:hint="eastAsia" w:ascii="宋体" w:hAnsi="宋体" w:eastAsia="宋体" w:cs="宋体"/>
          <w:color w:val="auto"/>
          <w:sz w:val="32"/>
          <w:szCs w:val="32"/>
          <w:highlight w:val="none"/>
        </w:rPr>
      </w:pPr>
    </w:p>
    <w:p w14:paraId="19F389D9">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本授权委托书声明：根据</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（牵头人名称）与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（联合体其他成员名称）签订的《联合体竞标协议书》的内容，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（牵头人名称）的法定代表人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（姓名）现授权</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（姓名）为联合委托代理人，并代表我方全权办理针对上述项目的所有采购程序和环节的具体事务和签署相关文件。</w:t>
      </w:r>
    </w:p>
    <w:p w14:paraId="0D02D05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我方对委托代理人的签字事项负全部责任。</w:t>
      </w:r>
    </w:p>
    <w:p w14:paraId="34FF858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09A375E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5CA39728">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05D53987">
      <w:pPr>
        <w:spacing w:line="360" w:lineRule="auto"/>
        <w:ind w:firstLine="1560" w:firstLineChars="650"/>
        <w:rPr>
          <w:rFonts w:hint="eastAsia" w:ascii="宋体" w:hAnsi="宋体" w:eastAsia="宋体" w:cs="宋体"/>
          <w:color w:val="auto"/>
          <w:sz w:val="24"/>
          <w:highlight w:val="none"/>
        </w:rPr>
      </w:pPr>
      <w:r>
        <w:rPr>
          <w:rFonts w:hint="eastAsia" w:ascii="宋体" w:hAnsi="宋体" w:eastAsia="宋体" w:cs="宋体"/>
          <w:color w:val="auto"/>
          <w:sz w:val="24"/>
          <w:highlight w:val="none"/>
        </w:rPr>
        <w:t>牵头人法定代表人（签字或盖章）：</w:t>
      </w:r>
    </w:p>
    <w:p w14:paraId="23AA4338">
      <w:pPr>
        <w:spacing w:line="360" w:lineRule="auto"/>
        <w:ind w:firstLine="3120" w:firstLineChars="1300"/>
        <w:rPr>
          <w:rFonts w:hint="eastAsia" w:ascii="宋体" w:hAnsi="宋体" w:eastAsia="宋体" w:cs="宋体"/>
          <w:color w:val="auto"/>
          <w:sz w:val="24"/>
          <w:highlight w:val="none"/>
        </w:rPr>
      </w:pPr>
      <w:r>
        <w:rPr>
          <w:rFonts w:hint="eastAsia" w:ascii="宋体" w:hAnsi="宋体" w:eastAsia="宋体" w:cs="宋体"/>
          <w:color w:val="auto"/>
          <w:sz w:val="24"/>
          <w:highlight w:val="none"/>
        </w:rPr>
        <w:t>牵头人（电子签章）：</w:t>
      </w:r>
    </w:p>
    <w:p w14:paraId="11008F20">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43414543">
      <w:pPr>
        <w:spacing w:line="360" w:lineRule="auto"/>
        <w:rPr>
          <w:rFonts w:hint="eastAsia" w:ascii="宋体" w:hAnsi="宋体" w:eastAsia="宋体" w:cs="宋体"/>
          <w:color w:val="auto"/>
          <w:sz w:val="24"/>
          <w:highlight w:val="none"/>
        </w:rPr>
      </w:pPr>
    </w:p>
    <w:p w14:paraId="65AB6ABA">
      <w:pPr>
        <w:spacing w:line="360" w:lineRule="auto"/>
        <w:ind w:firstLine="3120" w:firstLineChars="1300"/>
        <w:rPr>
          <w:rFonts w:hint="eastAsia" w:ascii="宋体" w:hAnsi="宋体" w:eastAsia="宋体" w:cs="宋体"/>
          <w:color w:val="auto"/>
          <w:sz w:val="24"/>
          <w:highlight w:val="none"/>
        </w:rPr>
      </w:pPr>
      <w:r>
        <w:rPr>
          <w:rFonts w:hint="eastAsia" w:ascii="宋体" w:hAnsi="宋体" w:eastAsia="宋体" w:cs="宋体"/>
          <w:color w:val="auto"/>
          <w:sz w:val="24"/>
          <w:highlight w:val="none"/>
        </w:rPr>
        <w:t>被授权人（签字）：</w:t>
      </w:r>
    </w:p>
    <w:p w14:paraId="28BEA3D5">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3B619111">
      <w:pPr>
        <w:spacing w:line="360" w:lineRule="auto"/>
        <w:rPr>
          <w:rFonts w:hint="eastAsia" w:ascii="宋体" w:hAnsi="宋体" w:eastAsia="宋体" w:cs="宋体"/>
          <w:color w:val="auto"/>
          <w:sz w:val="24"/>
          <w:highlight w:val="none"/>
        </w:rPr>
      </w:pPr>
    </w:p>
    <w:p w14:paraId="6D4D63F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注：1. 法定代表人必须在授权委托书上亲笔签字或盖章，委托代理人必须在授权委托书上亲笔签字，</w:t>
      </w:r>
      <w:r>
        <w:rPr>
          <w:rFonts w:hint="eastAsia" w:ascii="宋体" w:hAnsi="宋体" w:eastAsia="宋体" w:cs="宋体"/>
          <w:b/>
          <w:color w:val="auto"/>
          <w:sz w:val="24"/>
          <w:highlight w:val="none"/>
        </w:rPr>
        <w:t>否则其响应文件按无效响应处理。</w:t>
      </w:r>
    </w:p>
    <w:p w14:paraId="03F8A64B">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2.本授权委托书应由联合体牵头人的法定代表人按上述规定签署。</w:t>
      </w:r>
    </w:p>
    <w:p w14:paraId="3187C2A6">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35CE8089">
      <w:pPr>
        <w:spacing w:line="360" w:lineRule="auto"/>
        <w:ind w:firstLine="480" w:firstLineChars="200"/>
        <w:jc w:val="left"/>
        <w:rPr>
          <w:rFonts w:hint="eastAsia" w:ascii="宋体" w:hAnsi="宋体" w:eastAsia="宋体" w:cs="宋体"/>
          <w:b/>
          <w:color w:val="auto"/>
          <w:sz w:val="30"/>
          <w:szCs w:val="30"/>
          <w:highlight w:val="none"/>
        </w:rPr>
      </w:pPr>
      <w:r>
        <w:rPr>
          <w:rFonts w:hint="eastAsia" w:ascii="宋体" w:hAnsi="宋体" w:eastAsia="宋体" w:cs="宋体"/>
          <w:color w:val="auto"/>
          <w:sz w:val="24"/>
          <w:highlight w:val="none"/>
        </w:rPr>
        <w:t>4.法人、其他组织竞标时“我方”是指“我单位”，自然人竞标时“我方”是指“本人”。</w:t>
      </w:r>
      <w:r>
        <w:rPr>
          <w:rFonts w:hint="eastAsia" w:ascii="宋体" w:hAnsi="宋体" w:eastAsia="宋体" w:cs="宋体"/>
          <w:color w:val="auto"/>
          <w:sz w:val="32"/>
          <w:szCs w:val="32"/>
          <w:highlight w:val="none"/>
        </w:rPr>
        <w:br w:type="page"/>
      </w:r>
      <w:r>
        <w:rPr>
          <w:rFonts w:hint="eastAsia" w:ascii="仿宋" w:hAnsi="仿宋" w:eastAsia="仿宋" w:cs="仿宋"/>
          <w:b/>
          <w:color w:val="auto"/>
          <w:sz w:val="30"/>
          <w:szCs w:val="30"/>
          <w:highlight w:val="none"/>
        </w:rPr>
        <w:t>四、商务条款偏离表</w:t>
      </w:r>
    </w:p>
    <w:p w14:paraId="6FBF0422">
      <w:pPr>
        <w:spacing w:line="360" w:lineRule="auto"/>
        <w:jc w:val="center"/>
        <w:rPr>
          <w:rFonts w:hint="eastAsia" w:ascii="宋体" w:hAnsi="宋体" w:eastAsia="宋体" w:cs="宋体"/>
          <w:bCs/>
          <w:color w:val="auto"/>
          <w:sz w:val="44"/>
          <w:szCs w:val="44"/>
          <w:highlight w:val="none"/>
        </w:rPr>
      </w:pPr>
      <w:r>
        <w:rPr>
          <w:rFonts w:hint="eastAsia" w:ascii="宋体" w:hAnsi="宋体" w:eastAsia="宋体" w:cs="宋体"/>
          <w:b/>
          <w:bCs w:val="0"/>
          <w:color w:val="auto"/>
          <w:sz w:val="44"/>
          <w:szCs w:val="44"/>
          <w:highlight w:val="none"/>
        </w:rPr>
        <w:t>商务条款偏离表</w:t>
      </w:r>
    </w:p>
    <w:p w14:paraId="56D87784">
      <w:pPr>
        <w:spacing w:line="360" w:lineRule="auto"/>
        <w:contextualSpacing/>
        <w:rPr>
          <w:rFonts w:hint="default" w:ascii="宋体" w:hAnsi="宋体" w:eastAsia="宋体" w:cs="宋体"/>
          <w:color w:val="auto"/>
          <w:sz w:val="24"/>
          <w:highlight w:val="none"/>
          <w:u w:val="single"/>
          <w:lang w:val="en-US"/>
        </w:rPr>
      </w:pPr>
      <w:r>
        <w:rPr>
          <w:rFonts w:hint="eastAsia" w:ascii="宋体" w:hAnsi="宋体" w:eastAsia="宋体" w:cs="宋体"/>
          <w:color w:val="auto"/>
          <w:sz w:val="24"/>
          <w:highlight w:val="none"/>
        </w:rPr>
        <w:t>采购项目编号：</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highlight w:val="none"/>
          <w:u w:val="single"/>
          <w:lang w:val="en-US" w:eastAsia="zh-CN"/>
        </w:rPr>
        <w:t xml:space="preserve">NNZC2026-C2-230022-JHGC   </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highlight w:val="none"/>
          <w:u w:val="single"/>
          <w:lang w:val="en-US" w:eastAsia="zh-CN"/>
        </w:rPr>
        <w:t xml:space="preserve">       </w:t>
      </w:r>
    </w:p>
    <w:p w14:paraId="24DB78DF">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采购项目名称：</w:t>
      </w:r>
      <w:r>
        <w:rPr>
          <w:rFonts w:hint="eastAsia" w:ascii="宋体" w:hAnsi="宋体" w:cs="宋体"/>
          <w:color w:val="auto"/>
          <w:sz w:val="24"/>
          <w:highlight w:val="none"/>
          <w:u w:val="single"/>
          <w:lang w:eastAsia="zh-CN"/>
        </w:rPr>
        <w:t>隆安县屏山乡刘家村刘家屯农田水利设施项目</w:t>
      </w:r>
      <w:r>
        <w:rPr>
          <w:rFonts w:hint="eastAsia" w:ascii="宋体" w:hAnsi="宋体" w:eastAsia="宋体" w:cs="宋体"/>
          <w:color w:val="auto"/>
          <w:sz w:val="24"/>
          <w:highlight w:val="none"/>
          <w:u w:val="single"/>
        </w:rPr>
        <w:t xml:space="preserve"> </w:t>
      </w:r>
    </w:p>
    <w:tbl>
      <w:tblPr>
        <w:tblStyle w:val="27"/>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248"/>
        <w:gridCol w:w="1615"/>
      </w:tblGrid>
      <w:tr w14:paraId="198CA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1"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4257419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3C0A5E5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竞争性磋商文件的商务需求</w:t>
            </w:r>
          </w:p>
        </w:tc>
        <w:tc>
          <w:tcPr>
            <w:tcW w:w="3248" w:type="dxa"/>
            <w:tcBorders>
              <w:top w:val="single" w:color="auto" w:sz="4" w:space="0"/>
              <w:left w:val="single" w:color="auto" w:sz="4" w:space="0"/>
              <w:bottom w:val="single" w:color="auto" w:sz="4" w:space="0"/>
              <w:right w:val="single" w:color="auto" w:sz="4" w:space="0"/>
            </w:tcBorders>
            <w:noWrap w:val="0"/>
            <w:vAlign w:val="center"/>
          </w:tcPr>
          <w:p w14:paraId="3F049CB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响应文件承诺的商务条款</w:t>
            </w:r>
          </w:p>
        </w:tc>
        <w:tc>
          <w:tcPr>
            <w:tcW w:w="1615" w:type="dxa"/>
            <w:tcBorders>
              <w:top w:val="single" w:color="auto" w:sz="4" w:space="0"/>
              <w:left w:val="single" w:color="auto" w:sz="4" w:space="0"/>
              <w:bottom w:val="single" w:color="auto" w:sz="4" w:space="0"/>
              <w:right w:val="single" w:color="auto" w:sz="4" w:space="0"/>
            </w:tcBorders>
            <w:noWrap w:val="0"/>
            <w:vAlign w:val="center"/>
          </w:tcPr>
          <w:p w14:paraId="2C8CD18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7A599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011B333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7BF3EC7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2B30004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77C6E5F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6D3FEB7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248" w:type="dxa"/>
            <w:tcBorders>
              <w:top w:val="single" w:color="auto" w:sz="4" w:space="0"/>
              <w:left w:val="single" w:color="auto" w:sz="4" w:space="0"/>
              <w:bottom w:val="single" w:color="auto" w:sz="4" w:space="0"/>
              <w:right w:val="single" w:color="auto" w:sz="4" w:space="0"/>
            </w:tcBorders>
            <w:noWrap w:val="0"/>
            <w:vAlign w:val="top"/>
          </w:tcPr>
          <w:p w14:paraId="1409CEE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4898F7C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29A0464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7DDBBAB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615" w:type="dxa"/>
            <w:tcBorders>
              <w:top w:val="single" w:color="auto" w:sz="4" w:space="0"/>
              <w:left w:val="single" w:color="auto" w:sz="4" w:space="0"/>
              <w:bottom w:val="single" w:color="auto" w:sz="4" w:space="0"/>
              <w:right w:val="single" w:color="auto" w:sz="4" w:space="0"/>
            </w:tcBorders>
            <w:noWrap w:val="0"/>
            <w:vAlign w:val="top"/>
          </w:tcPr>
          <w:p w14:paraId="78B5438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正偏离（负偏离或无偏离）</w:t>
            </w:r>
          </w:p>
        </w:tc>
      </w:tr>
      <w:tr w14:paraId="36148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302122B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7106654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7C89876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1BAE410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5D268EE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248" w:type="dxa"/>
            <w:tcBorders>
              <w:top w:val="single" w:color="auto" w:sz="4" w:space="0"/>
              <w:left w:val="single" w:color="auto" w:sz="4" w:space="0"/>
              <w:bottom w:val="single" w:color="auto" w:sz="4" w:space="0"/>
              <w:right w:val="single" w:color="auto" w:sz="4" w:space="0"/>
            </w:tcBorders>
            <w:noWrap w:val="0"/>
            <w:vAlign w:val="top"/>
          </w:tcPr>
          <w:p w14:paraId="4AA4916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5B1CF0F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4CED7B3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6557B54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615" w:type="dxa"/>
            <w:tcBorders>
              <w:top w:val="single" w:color="auto" w:sz="4" w:space="0"/>
              <w:left w:val="single" w:color="auto" w:sz="4" w:space="0"/>
              <w:bottom w:val="single" w:color="auto" w:sz="4" w:space="0"/>
              <w:right w:val="single" w:color="auto" w:sz="4" w:space="0"/>
            </w:tcBorders>
            <w:noWrap w:val="0"/>
            <w:vAlign w:val="top"/>
          </w:tcPr>
          <w:p w14:paraId="510ADDB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正偏离（负偏离或无偏离）</w:t>
            </w:r>
          </w:p>
        </w:tc>
      </w:tr>
      <w:tr w14:paraId="535FA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4ED1619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15F3037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0B4FA10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2B1F750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06987D6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248" w:type="dxa"/>
            <w:tcBorders>
              <w:top w:val="single" w:color="auto" w:sz="4" w:space="0"/>
              <w:left w:val="single" w:color="auto" w:sz="4" w:space="0"/>
              <w:bottom w:val="single" w:color="auto" w:sz="4" w:space="0"/>
              <w:right w:val="single" w:color="auto" w:sz="4" w:space="0"/>
            </w:tcBorders>
            <w:noWrap w:val="0"/>
            <w:vAlign w:val="top"/>
          </w:tcPr>
          <w:p w14:paraId="621D21A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39B05DB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0F73036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088D49A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615" w:type="dxa"/>
            <w:tcBorders>
              <w:top w:val="single" w:color="auto" w:sz="4" w:space="0"/>
              <w:left w:val="single" w:color="auto" w:sz="4" w:space="0"/>
              <w:bottom w:val="single" w:color="auto" w:sz="4" w:space="0"/>
              <w:right w:val="single" w:color="auto" w:sz="4" w:space="0"/>
            </w:tcBorders>
            <w:noWrap w:val="0"/>
            <w:vAlign w:val="top"/>
          </w:tcPr>
          <w:p w14:paraId="18BB764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正偏离（负偏离或无偏离）</w:t>
            </w:r>
          </w:p>
        </w:tc>
      </w:tr>
    </w:tbl>
    <w:p w14:paraId="24D8192D">
      <w:pPr>
        <w:pStyle w:val="13"/>
        <w:keepNext w:val="0"/>
        <w:keepLines w:val="0"/>
        <w:pageBreakBefore w:val="0"/>
        <w:widowControl w:val="0"/>
        <w:kinsoku/>
        <w:wordWrap/>
        <w:overflowPunct/>
        <w:topLinePunct w:val="0"/>
        <w:autoSpaceDE/>
        <w:autoSpaceDN/>
        <w:bidi w:val="0"/>
        <w:adjustRightInd/>
        <w:snapToGrid/>
        <w:spacing w:line="400" w:lineRule="exact"/>
        <w:ind w:firstLine="0" w:firstLineChars="0"/>
        <w:contextualSpacing/>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w:t>
      </w:r>
    </w:p>
    <w:p w14:paraId="0AB24C9A">
      <w:pPr>
        <w:pStyle w:val="16"/>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1.说明：应对照磋商文件“第二章 采购需求”中的商务条款逐条作出明确响应，并</w:t>
      </w:r>
      <w:r>
        <w:rPr>
          <w:rFonts w:hint="eastAsia" w:hAnsi="宋体" w:eastAsia="宋体" w:cs="宋体"/>
          <w:color w:val="auto"/>
          <w:sz w:val="22"/>
          <w:szCs w:val="22"/>
          <w:highlight w:val="none"/>
          <w:lang w:eastAsia="zh-CN"/>
        </w:rPr>
        <w:t>做出</w:t>
      </w:r>
      <w:r>
        <w:rPr>
          <w:rFonts w:hint="eastAsia" w:ascii="宋体" w:hAnsi="宋体" w:eastAsia="宋体" w:cs="宋体"/>
          <w:color w:val="auto"/>
          <w:sz w:val="22"/>
          <w:szCs w:val="22"/>
          <w:highlight w:val="none"/>
          <w:lang w:eastAsia="zh-CN"/>
        </w:rPr>
        <w:t>偏离说明。</w:t>
      </w:r>
    </w:p>
    <w:p w14:paraId="57A358F8">
      <w:pPr>
        <w:pStyle w:val="16"/>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2.供应商应根据自身的承诺，对照磋商文件要求，在“偏离说明”中注明“正偏离”、“负偏离”或者“无偏离”。既不属于“正偏离”也不属于“负偏离”即为“无偏离”。</w:t>
      </w:r>
      <w:r>
        <w:rPr>
          <w:rFonts w:hint="eastAsia" w:ascii="宋体" w:hAnsi="宋体" w:eastAsia="宋体" w:cs="宋体"/>
          <w:b/>
          <w:bCs/>
          <w:color w:val="auto"/>
          <w:sz w:val="22"/>
          <w:szCs w:val="22"/>
          <w:highlight w:val="none"/>
          <w:lang w:eastAsia="zh-CN"/>
        </w:rPr>
        <w:t>当响应文件的</w:t>
      </w:r>
      <w:r>
        <w:rPr>
          <w:rFonts w:hint="eastAsia" w:ascii="宋体" w:hAnsi="宋体" w:eastAsia="宋体" w:cs="宋体"/>
          <w:color w:val="auto"/>
          <w:sz w:val="22"/>
          <w:szCs w:val="22"/>
          <w:highlight w:val="none"/>
          <w:lang w:eastAsia="zh-CN"/>
        </w:rPr>
        <w:t>商务内容低于竞争性磋商文件要求时，竞标人应当如实写明“负偏离”，否则视为虚假应标</w:t>
      </w:r>
    </w:p>
    <w:p w14:paraId="7A6441B9">
      <w:pPr>
        <w:pStyle w:val="16"/>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3.表格内容均需按要求填写，不得留空，否则按竞标无效处理。</w:t>
      </w:r>
    </w:p>
    <w:p w14:paraId="2EA3FD56">
      <w:pPr>
        <w:pStyle w:val="16"/>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如果采购需求为小于、小于等于、大于或大于等于某个数值标准时，响应文件承诺不得直接复制采购需求，响应文件承诺内容应当写明竞标货物具体参数或商务响应承诺的具体数值，否则按竞标无效处理。如该采购需求属于不能明确具体数值的，采购人应在此采购需求的数值后标注◆号，对标注◆号的采购需求不适用上述“竞标无效”条款。</w:t>
      </w:r>
    </w:p>
    <w:p w14:paraId="3FB79BA1">
      <w:pPr>
        <w:pStyle w:val="16"/>
        <w:spacing w:line="360" w:lineRule="auto"/>
        <w:contextualSpacing/>
        <w:rPr>
          <w:rFonts w:hint="eastAsia" w:ascii="宋体" w:hAnsi="宋体" w:eastAsia="宋体" w:cs="宋体"/>
          <w:color w:val="auto"/>
          <w:sz w:val="24"/>
          <w:highlight w:val="none"/>
          <w:lang w:eastAsia="zh-CN"/>
        </w:rPr>
      </w:pPr>
    </w:p>
    <w:p w14:paraId="74F1C112">
      <w:pPr>
        <w:spacing w:line="360" w:lineRule="auto"/>
        <w:ind w:firstLine="3840" w:firstLineChars="160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供应商名称（电子签章）：</w:t>
      </w:r>
    </w:p>
    <w:p w14:paraId="6D96A5E4">
      <w:pPr>
        <w:spacing w:line="360" w:lineRule="auto"/>
        <w:contextualSpacing/>
        <w:jc w:val="center"/>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                                                   日期：  年  月   日</w:t>
      </w:r>
    </w:p>
    <w:p w14:paraId="27A9955A">
      <w:pPr>
        <w:spacing w:line="360" w:lineRule="auto"/>
        <w:contextualSpacing/>
        <w:jc w:val="center"/>
        <w:rPr>
          <w:rFonts w:hint="eastAsia" w:ascii="仿宋" w:hAnsi="仿宋" w:eastAsia="仿宋" w:cs="仿宋"/>
          <w:color w:val="auto"/>
          <w:kern w:val="0"/>
          <w:sz w:val="24"/>
          <w:highlight w:val="none"/>
          <w:lang w:val="zh-CN"/>
        </w:rPr>
      </w:pPr>
    </w:p>
    <w:p w14:paraId="3D2984D3">
      <w:pPr>
        <w:snapToGrid w:val="0"/>
        <w:spacing w:line="360" w:lineRule="auto"/>
        <w:ind w:firstLine="602" w:firstLineChars="20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五、竞标人情况介绍</w:t>
      </w:r>
    </w:p>
    <w:p w14:paraId="39B53B81">
      <w:pPr>
        <w:snapToGrid w:val="0"/>
        <w:spacing w:line="360" w:lineRule="auto"/>
        <w:ind w:firstLine="602" w:firstLineChars="200"/>
        <w:rPr>
          <w:rFonts w:hint="eastAsia" w:ascii="宋体" w:hAnsi="宋体" w:eastAsia="宋体" w:cs="宋体"/>
          <w:b/>
          <w:color w:val="auto"/>
          <w:sz w:val="30"/>
          <w:szCs w:val="30"/>
          <w:highlight w:val="none"/>
        </w:rPr>
      </w:pPr>
    </w:p>
    <w:p w14:paraId="695CB866">
      <w:pPr>
        <w:pStyle w:val="12"/>
        <w:spacing w:line="360" w:lineRule="auto"/>
        <w:rPr>
          <w:rFonts w:hint="eastAsia" w:ascii="宋体" w:hAnsi="宋体" w:eastAsia="宋体" w:cs="宋体"/>
          <w:b/>
          <w:color w:val="auto"/>
          <w:sz w:val="30"/>
          <w:szCs w:val="30"/>
          <w:highlight w:val="none"/>
        </w:rPr>
      </w:pPr>
    </w:p>
    <w:p w14:paraId="3AEEA94E">
      <w:pPr>
        <w:pStyle w:val="12"/>
        <w:spacing w:line="360" w:lineRule="auto"/>
        <w:rPr>
          <w:rFonts w:hint="eastAsia" w:ascii="仿宋" w:hAnsi="仿宋" w:eastAsia="仿宋" w:cs="仿宋"/>
          <w:b/>
          <w:color w:val="auto"/>
          <w:sz w:val="30"/>
          <w:szCs w:val="30"/>
          <w:highlight w:val="none"/>
        </w:rPr>
      </w:pPr>
    </w:p>
    <w:p w14:paraId="134C06BE">
      <w:pPr>
        <w:autoSpaceDE w:val="0"/>
        <w:autoSpaceDN w:val="0"/>
        <w:spacing w:line="360" w:lineRule="auto"/>
        <w:ind w:left="4335" w:leftChars="1950" w:hanging="240" w:hangingChars="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3FC4FCDC">
      <w:pPr>
        <w:spacing w:line="360" w:lineRule="auto"/>
        <w:ind w:left="0" w:leftChars="0" w:firstLine="6098" w:firstLineChars="2541"/>
        <w:contextualSpacing/>
        <w:jc w:val="both"/>
        <w:rPr>
          <w:rFonts w:hint="eastAsia" w:ascii="仿宋" w:hAnsi="仿宋" w:eastAsia="仿宋" w:cs="仿宋"/>
          <w:b/>
          <w:bCs/>
          <w:color w:val="auto"/>
          <w:sz w:val="24"/>
          <w:highlight w:val="none"/>
        </w:rPr>
      </w:pPr>
      <w:r>
        <w:rPr>
          <w:rFonts w:hint="eastAsia" w:ascii="仿宋" w:hAnsi="仿宋" w:eastAsia="仿宋" w:cs="仿宋"/>
          <w:color w:val="auto"/>
          <w:kern w:val="0"/>
          <w:sz w:val="24"/>
          <w:highlight w:val="none"/>
          <w:lang w:val="zh-CN"/>
        </w:rPr>
        <w:t>日期：  年  月   日</w:t>
      </w:r>
    </w:p>
    <w:p w14:paraId="209EF38C">
      <w:pPr>
        <w:snapToGrid w:val="0"/>
        <w:spacing w:before="120" w:beforeLines="50" w:after="50" w:line="360" w:lineRule="auto"/>
        <w:ind w:firstLine="602" w:firstLineChars="200"/>
        <w:rPr>
          <w:rFonts w:hint="eastAsia" w:ascii="宋体" w:hAnsi="宋体" w:eastAsia="宋体" w:cs="宋体"/>
          <w:b/>
          <w:color w:val="auto"/>
          <w:sz w:val="30"/>
          <w:szCs w:val="30"/>
          <w:highlight w:val="none"/>
        </w:rPr>
      </w:pPr>
    </w:p>
    <w:p w14:paraId="71894C43">
      <w:pPr>
        <w:snapToGrid w:val="0"/>
        <w:spacing w:before="120" w:beforeLines="50" w:after="50" w:line="360" w:lineRule="auto"/>
        <w:ind w:firstLine="602" w:firstLineChars="200"/>
        <w:rPr>
          <w:rFonts w:hint="eastAsia" w:ascii="宋体" w:hAnsi="宋体" w:eastAsia="宋体" w:cs="宋体"/>
          <w:b/>
          <w:color w:val="auto"/>
          <w:sz w:val="30"/>
          <w:szCs w:val="30"/>
          <w:highlight w:val="none"/>
        </w:rPr>
      </w:pPr>
    </w:p>
    <w:p w14:paraId="3212A641">
      <w:pPr>
        <w:snapToGrid w:val="0"/>
        <w:spacing w:before="120" w:beforeLines="50" w:after="50" w:line="360" w:lineRule="auto"/>
        <w:ind w:firstLine="602" w:firstLineChars="200"/>
        <w:rPr>
          <w:rFonts w:hint="eastAsia" w:ascii="宋体" w:hAnsi="宋体" w:eastAsia="宋体" w:cs="宋体"/>
          <w:b/>
          <w:color w:val="auto"/>
          <w:sz w:val="30"/>
          <w:szCs w:val="30"/>
          <w:highlight w:val="none"/>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p>
    <w:p w14:paraId="2D77AAAD">
      <w:pPr>
        <w:tabs>
          <w:tab w:val="left" w:pos="826"/>
        </w:tabs>
        <w:snapToGrid w:val="0"/>
        <w:ind w:firstLine="602" w:firstLineChars="200"/>
        <w:rPr>
          <w:rFonts w:hint="eastAsia" w:ascii="仿宋" w:hAnsi="仿宋" w:eastAsia="仿宋" w:cs="仿宋"/>
          <w:b/>
          <w:color w:val="auto"/>
          <w:sz w:val="30"/>
          <w:szCs w:val="30"/>
          <w:highlight w:val="none"/>
          <w:lang w:eastAsia="zh-CN"/>
        </w:rPr>
      </w:pPr>
      <w:r>
        <w:rPr>
          <w:rFonts w:hint="eastAsia" w:ascii="仿宋" w:hAnsi="仿宋" w:eastAsia="仿宋" w:cs="仿宋"/>
          <w:b/>
          <w:color w:val="auto"/>
          <w:sz w:val="30"/>
          <w:szCs w:val="30"/>
          <w:highlight w:val="none"/>
          <w:lang w:val="en-US" w:eastAsia="zh-CN"/>
        </w:rPr>
        <w:t>六</w:t>
      </w:r>
      <w:r>
        <w:rPr>
          <w:rFonts w:hint="eastAsia" w:ascii="仿宋" w:hAnsi="仿宋" w:eastAsia="仿宋" w:cs="仿宋"/>
          <w:b/>
          <w:color w:val="auto"/>
          <w:sz w:val="30"/>
          <w:szCs w:val="30"/>
          <w:highlight w:val="none"/>
          <w:lang w:eastAsia="zh-CN"/>
        </w:rPr>
        <w:t>、建设工程项目管理承诺书</w:t>
      </w:r>
    </w:p>
    <w:p w14:paraId="6263918E">
      <w:pPr>
        <w:jc w:val="center"/>
        <w:rPr>
          <w:rFonts w:ascii="宋体" w:hAnsi="宋体" w:eastAsia="宋体" w:cs="宋体"/>
          <w:color w:val="auto"/>
          <w:sz w:val="32"/>
          <w:szCs w:val="32"/>
          <w:highlight w:val="none"/>
        </w:rPr>
      </w:pPr>
    </w:p>
    <w:p w14:paraId="07923581">
      <w:pPr>
        <w:jc w:val="center"/>
        <w:rPr>
          <w:rFonts w:ascii="宋体" w:hAnsi="宋体" w:eastAsia="宋体" w:cs="宋体"/>
          <w:color w:val="auto"/>
          <w:sz w:val="24"/>
          <w:szCs w:val="24"/>
          <w:highlight w:val="none"/>
        </w:rPr>
      </w:pPr>
      <w:r>
        <w:rPr>
          <w:rFonts w:ascii="宋体" w:hAnsi="宋体" w:eastAsia="宋体" w:cs="宋体"/>
          <w:color w:val="auto"/>
          <w:sz w:val="32"/>
          <w:szCs w:val="32"/>
          <w:highlight w:val="none"/>
        </w:rPr>
        <w:t>建设工程项目管理承诺书</w:t>
      </w:r>
    </w:p>
    <w:p w14:paraId="274C7736">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color w:val="auto"/>
          <w:sz w:val="24"/>
          <w:szCs w:val="24"/>
          <w:highlight w:val="none"/>
        </w:rPr>
      </w:pPr>
    </w:p>
    <w:p w14:paraId="6CC26072">
      <w:pPr>
        <w:pStyle w:val="36"/>
        <w:spacing w:line="480" w:lineRule="auto"/>
        <w:jc w:val="left"/>
        <w:rPr>
          <w:rStyle w:val="29"/>
          <w:rFonts w:hint="eastAsia" w:ascii="宋体" w:hAnsi="宋体" w:eastAsia="宋体" w:cs="宋体"/>
          <w:color w:val="auto"/>
          <w:szCs w:val="21"/>
          <w:highlight w:val="none"/>
        </w:rPr>
      </w:pPr>
      <w:r>
        <w:rPr>
          <w:rStyle w:val="29"/>
          <w:rFonts w:hint="eastAsia" w:ascii="宋体" w:hAnsi="宋体" w:eastAsia="宋体" w:cs="宋体"/>
          <w:color w:val="auto"/>
          <w:szCs w:val="21"/>
          <w:highlight w:val="none"/>
        </w:rPr>
        <w:t>致</w:t>
      </w:r>
      <w:r>
        <w:rPr>
          <w:rStyle w:val="29"/>
          <w:rFonts w:hint="eastAsia" w:ascii="宋体" w:hAnsi="宋体" w:eastAsia="宋体" w:cs="宋体"/>
          <w:color w:val="auto"/>
          <w:szCs w:val="21"/>
          <w:highlight w:val="none"/>
          <w:u w:val="single"/>
        </w:rPr>
        <w:t xml:space="preserve">                        </w:t>
      </w:r>
      <w:r>
        <w:rPr>
          <w:rStyle w:val="29"/>
          <w:rFonts w:hint="eastAsia" w:ascii="宋体" w:hAnsi="宋体" w:eastAsia="宋体" w:cs="宋体"/>
          <w:color w:val="auto"/>
          <w:szCs w:val="21"/>
          <w:highlight w:val="none"/>
        </w:rPr>
        <w:t>（</w:t>
      </w:r>
      <w:r>
        <w:rPr>
          <w:rStyle w:val="29"/>
          <w:rFonts w:hint="eastAsia" w:ascii="宋体" w:hAnsi="宋体" w:eastAsia="宋体" w:cs="宋体"/>
          <w:color w:val="auto"/>
          <w:szCs w:val="21"/>
          <w:highlight w:val="none"/>
          <w:lang w:eastAsia="zh-CN"/>
        </w:rPr>
        <w:t>采购人</w:t>
      </w:r>
      <w:r>
        <w:rPr>
          <w:rStyle w:val="29"/>
          <w:rFonts w:hint="eastAsia" w:ascii="宋体" w:hAnsi="宋体" w:eastAsia="宋体" w:cs="宋体"/>
          <w:color w:val="auto"/>
          <w:szCs w:val="21"/>
          <w:highlight w:val="none"/>
        </w:rPr>
        <w:t>名称）：</w:t>
      </w:r>
    </w:p>
    <w:p w14:paraId="27B86ECE">
      <w:pPr>
        <w:pStyle w:val="36"/>
        <w:spacing w:line="520" w:lineRule="exact"/>
        <w:ind w:left="-10" w:firstLine="455" w:firstLineChars="217"/>
        <w:jc w:val="left"/>
        <w:rPr>
          <w:rStyle w:val="29"/>
          <w:rFonts w:hint="eastAsia" w:ascii="宋体" w:hAnsi="宋体" w:eastAsia="宋体" w:cs="宋体"/>
          <w:color w:val="auto"/>
          <w:szCs w:val="21"/>
          <w:highlight w:val="none"/>
        </w:rPr>
      </w:pPr>
      <w:r>
        <w:rPr>
          <w:rStyle w:val="29"/>
          <w:rFonts w:hint="eastAsia" w:ascii="宋体" w:hAnsi="宋体" w:eastAsia="宋体" w:cs="宋体"/>
          <w:color w:val="auto"/>
          <w:szCs w:val="21"/>
          <w:highlight w:val="none"/>
        </w:rPr>
        <w:t>作为参与</w:t>
      </w:r>
      <w:r>
        <w:rPr>
          <w:rStyle w:val="29"/>
          <w:rFonts w:hint="eastAsia" w:ascii="宋体" w:hAnsi="宋体" w:eastAsia="宋体" w:cs="宋体"/>
          <w:color w:val="auto"/>
          <w:szCs w:val="21"/>
          <w:highlight w:val="none"/>
          <w:u w:val="single"/>
        </w:rPr>
        <w:t xml:space="preserve">                  </w:t>
      </w:r>
      <w:r>
        <w:rPr>
          <w:rStyle w:val="29"/>
          <w:rFonts w:hint="eastAsia" w:ascii="宋体" w:hAnsi="宋体" w:eastAsia="宋体" w:cs="宋体"/>
          <w:color w:val="auto"/>
          <w:szCs w:val="21"/>
          <w:highlight w:val="none"/>
        </w:rPr>
        <w:t>（工程名称）项目的投标方，根据国家、自治区相关文件规定，我方在此向招标人承诺：</w:t>
      </w:r>
    </w:p>
    <w:p w14:paraId="1FCAD463">
      <w:pPr>
        <w:pStyle w:val="36"/>
        <w:spacing w:line="520" w:lineRule="exact"/>
        <w:ind w:left="-10" w:firstLine="455" w:firstLineChars="217"/>
        <w:jc w:val="left"/>
        <w:rPr>
          <w:rStyle w:val="29"/>
          <w:rFonts w:hint="eastAsia" w:ascii="宋体" w:hAnsi="宋体" w:eastAsia="宋体" w:cs="宋体"/>
          <w:color w:val="auto"/>
          <w:szCs w:val="21"/>
          <w:highlight w:val="none"/>
        </w:rPr>
      </w:pPr>
      <w:r>
        <w:rPr>
          <w:rStyle w:val="29"/>
          <w:rFonts w:hint="eastAsia" w:ascii="宋体" w:hAnsi="宋体" w:eastAsia="宋体" w:cs="宋体"/>
          <w:color w:val="auto"/>
          <w:szCs w:val="21"/>
          <w:highlight w:val="none"/>
        </w:rPr>
        <w:t>1、一旦中标，我方保证按照</w:t>
      </w:r>
      <w:r>
        <w:rPr>
          <w:rStyle w:val="29"/>
          <w:rFonts w:hint="eastAsia" w:ascii="宋体" w:hAnsi="宋体" w:eastAsia="宋体" w:cs="宋体"/>
          <w:color w:val="auto"/>
          <w:szCs w:val="21"/>
          <w:highlight w:val="none"/>
          <w:lang w:val="zh-CN" w:eastAsia="zh-CN"/>
        </w:rPr>
        <w:t>《广西壮族自治区人力资源和社会保障厅等8部门关于印发广西壮族自治区工程建设领域农民工工资专用账广管理暂行办法实施顺的通知》（桂人社规〔2022〕5号）</w:t>
      </w:r>
      <w:r>
        <w:rPr>
          <w:rStyle w:val="29"/>
          <w:rFonts w:hint="eastAsia" w:ascii="宋体" w:hAnsi="宋体" w:cs="宋体"/>
          <w:color w:val="auto"/>
          <w:szCs w:val="21"/>
          <w:highlight w:val="none"/>
          <w:lang w:val="zh-CN" w:eastAsia="zh-CN"/>
        </w:rPr>
        <w:t>的</w:t>
      </w:r>
      <w:r>
        <w:rPr>
          <w:rStyle w:val="29"/>
          <w:rFonts w:hint="eastAsia" w:ascii="宋体" w:hAnsi="宋体" w:eastAsia="宋体" w:cs="宋体"/>
          <w:color w:val="auto"/>
          <w:szCs w:val="21"/>
          <w:highlight w:val="none"/>
          <w:lang w:val="zh-CN" w:eastAsia="zh-CN"/>
        </w:rPr>
        <w:t>有关</w:t>
      </w:r>
      <w:r>
        <w:rPr>
          <w:rStyle w:val="29"/>
          <w:rFonts w:hint="eastAsia" w:ascii="宋体" w:hAnsi="宋体" w:cs="宋体"/>
          <w:color w:val="auto"/>
          <w:szCs w:val="21"/>
          <w:highlight w:val="none"/>
          <w:lang w:val="en-US" w:eastAsia="zh-CN"/>
        </w:rPr>
        <w:t>规定</w:t>
      </w:r>
      <w:r>
        <w:rPr>
          <w:rStyle w:val="29"/>
          <w:rFonts w:hint="eastAsia" w:ascii="宋体" w:hAnsi="宋体" w:eastAsia="宋体" w:cs="宋体"/>
          <w:color w:val="auto"/>
          <w:szCs w:val="21"/>
          <w:highlight w:val="none"/>
          <w:lang w:val="zh-CN" w:eastAsia="zh-CN"/>
        </w:rPr>
        <w:t>，将农民工工资直接支付到农民工本人的银行账户。</w:t>
      </w:r>
      <w:r>
        <w:rPr>
          <w:rStyle w:val="29"/>
          <w:rFonts w:hint="eastAsia" w:ascii="宋体" w:hAnsi="宋体" w:eastAsia="宋体" w:cs="宋体"/>
          <w:color w:val="auto"/>
          <w:szCs w:val="21"/>
          <w:highlight w:val="none"/>
        </w:rPr>
        <w:t>按照与农民工依法约定的工资支付周期和具体支付日期支付工资，保证每月至少向农民工足额支付一次工资。</w:t>
      </w:r>
    </w:p>
    <w:p w14:paraId="4B873F07">
      <w:pPr>
        <w:pStyle w:val="36"/>
        <w:spacing w:line="520" w:lineRule="exact"/>
        <w:ind w:left="-10" w:firstLine="455" w:firstLineChars="217"/>
        <w:jc w:val="left"/>
        <w:rPr>
          <w:rStyle w:val="29"/>
          <w:rFonts w:hint="eastAsia" w:ascii="宋体" w:hAnsi="宋体" w:eastAsia="宋体" w:cs="宋体"/>
          <w:color w:val="auto"/>
          <w:szCs w:val="21"/>
          <w:highlight w:val="none"/>
        </w:rPr>
      </w:pPr>
      <w:r>
        <w:rPr>
          <w:rStyle w:val="29"/>
          <w:rFonts w:hint="eastAsia" w:ascii="宋体" w:hAnsi="宋体" w:eastAsia="宋体" w:cs="宋体"/>
          <w:color w:val="auto"/>
          <w:szCs w:val="21"/>
          <w:highlight w:val="none"/>
        </w:rPr>
        <w:t>2、一旦中标，我方保证在施工过程中，严格执行《广西壮族自治区建筑工程安全文明施工费使用管理细则》（桂建质〔2015〕16号）的有关规定，确保建设工程各项安全防护、文明施工措施落实到位。如我方在该项目的承包中出现未按桂建质〔2015〕16号文附件一规定执行的情形，我方愿意按照相关规定接受建设单位及有关主管部门的处罚。</w:t>
      </w:r>
    </w:p>
    <w:p w14:paraId="6CE6D198">
      <w:pPr>
        <w:pStyle w:val="36"/>
        <w:spacing w:line="520" w:lineRule="exact"/>
        <w:ind w:left="-2" w:leftChars="-1" w:firstLine="449" w:firstLineChars="214"/>
        <w:jc w:val="left"/>
        <w:rPr>
          <w:rStyle w:val="29"/>
          <w:rFonts w:hint="eastAsia" w:ascii="宋体" w:hAnsi="宋体" w:eastAsia="宋体" w:cs="宋体"/>
          <w:color w:val="auto"/>
          <w:szCs w:val="21"/>
          <w:highlight w:val="none"/>
        </w:rPr>
      </w:pPr>
      <w:r>
        <w:rPr>
          <w:rStyle w:val="29"/>
          <w:rFonts w:hint="eastAsia" w:ascii="宋体" w:hAnsi="宋体" w:eastAsia="宋体" w:cs="宋体"/>
          <w:color w:val="auto"/>
          <w:szCs w:val="21"/>
          <w:highlight w:val="none"/>
        </w:rPr>
        <w:t>3、一旦中标，我方保证在施工过程中，严格执行散装水泥和预拌混凝土管理的有关规定，确保建设工程按规定使用散装水泥和预拌混凝土。如我方在该项目的承包中出现未按规定执行的情形，我方愿意按照相关规定接受建设单位及有关主管部门的处罚。</w:t>
      </w:r>
    </w:p>
    <w:p w14:paraId="50C509C7">
      <w:pPr>
        <w:pStyle w:val="36"/>
        <w:spacing w:line="520" w:lineRule="exact"/>
        <w:ind w:left="-10" w:firstLine="455" w:firstLineChars="217"/>
        <w:jc w:val="left"/>
        <w:rPr>
          <w:rStyle w:val="29"/>
          <w:rFonts w:hint="eastAsia" w:ascii="宋体" w:hAnsi="宋体" w:eastAsia="宋体" w:cs="宋体"/>
          <w:color w:val="auto"/>
          <w:szCs w:val="21"/>
          <w:highlight w:val="none"/>
        </w:rPr>
      </w:pPr>
      <w:r>
        <w:rPr>
          <w:rStyle w:val="29"/>
          <w:rFonts w:hint="eastAsia" w:ascii="宋体" w:hAnsi="宋体" w:eastAsia="宋体" w:cs="宋体"/>
          <w:color w:val="auto"/>
          <w:szCs w:val="21"/>
          <w:highlight w:val="none"/>
        </w:rPr>
        <w:t>4、一旦中标，我方保证在施工过程中，严格执行《关于禁止使用不符合规范要求的竹脚手架的通知》（桂建管字〔2003〕40号）的有关规定，不使用竹脚手架。如我方在该项目的承包中出现未按规定执行的情形，我方愿意按照相关规定接受建设单位及有关主管部门的处罚。</w:t>
      </w:r>
    </w:p>
    <w:p w14:paraId="573574DD">
      <w:pPr>
        <w:pStyle w:val="36"/>
        <w:spacing w:line="520" w:lineRule="exact"/>
        <w:ind w:left="-10" w:firstLine="455" w:firstLineChars="217"/>
        <w:jc w:val="left"/>
        <w:rPr>
          <w:rStyle w:val="29"/>
          <w:rFonts w:hint="eastAsia" w:ascii="宋体" w:hAnsi="宋体" w:eastAsia="宋体" w:cs="宋体"/>
          <w:color w:val="auto"/>
          <w:szCs w:val="21"/>
          <w:highlight w:val="none"/>
        </w:rPr>
      </w:pPr>
      <w:r>
        <w:rPr>
          <w:rStyle w:val="29"/>
          <w:rFonts w:hint="eastAsia" w:ascii="宋体" w:hAnsi="宋体" w:eastAsia="宋体" w:cs="宋体"/>
          <w:color w:val="auto"/>
          <w:szCs w:val="21"/>
          <w:highlight w:val="none"/>
        </w:rPr>
        <w:t>5、一旦中标，我方保证严格执行《危险性较大的分部分项工程安全管理规定》（建办质〔2018〕31号）的规定，强化对深基坑、高切坡、高大模板、人工挖孔桩、起重吊装、临时活动板房等重大危险源的专项施工方案的编制、论证、审批、实施、检测的风险管理。</w:t>
      </w:r>
    </w:p>
    <w:p w14:paraId="69C840C8">
      <w:pPr>
        <w:pStyle w:val="36"/>
        <w:spacing w:line="520" w:lineRule="exact"/>
        <w:ind w:left="-10" w:firstLine="455" w:firstLineChars="217"/>
        <w:jc w:val="left"/>
        <w:rPr>
          <w:rStyle w:val="29"/>
          <w:rFonts w:hint="eastAsia" w:ascii="宋体" w:hAnsi="宋体" w:eastAsia="宋体" w:cs="宋体"/>
          <w:color w:val="auto"/>
          <w:szCs w:val="21"/>
          <w:highlight w:val="none"/>
        </w:rPr>
      </w:pPr>
    </w:p>
    <w:p w14:paraId="6D5147FC">
      <w:pPr>
        <w:autoSpaceDE w:val="0"/>
        <w:autoSpaceDN w:val="0"/>
        <w:spacing w:line="360" w:lineRule="auto"/>
        <w:ind w:left="4335" w:leftChars="1950" w:hanging="240" w:hangingChars="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0AFD8B17">
      <w:pPr>
        <w:snapToGrid w:val="0"/>
        <w:spacing w:before="120" w:beforeLines="50" w:after="50" w:line="360" w:lineRule="auto"/>
        <w:ind w:firstLine="6000" w:firstLineChars="2500"/>
        <w:rPr>
          <w:rFonts w:hint="eastAsia" w:ascii="仿宋" w:hAnsi="仿宋" w:eastAsia="仿宋" w:cs="仿宋"/>
          <w:b/>
          <w:color w:val="auto"/>
          <w:sz w:val="30"/>
          <w:szCs w:val="30"/>
          <w:highlight w:val="none"/>
          <w:lang w:eastAsia="zh-CN"/>
        </w:rPr>
      </w:pPr>
      <w:r>
        <w:rPr>
          <w:rFonts w:hint="eastAsia" w:ascii="仿宋" w:hAnsi="仿宋" w:eastAsia="仿宋" w:cs="仿宋"/>
          <w:color w:val="auto"/>
          <w:kern w:val="0"/>
          <w:sz w:val="24"/>
          <w:highlight w:val="none"/>
          <w:lang w:val="zh-CN"/>
        </w:rPr>
        <w:t>日期：  年  月   日</w:t>
      </w:r>
    </w:p>
    <w:p w14:paraId="17578940">
      <w:pPr>
        <w:tabs>
          <w:tab w:val="left" w:pos="826"/>
        </w:tabs>
        <w:snapToGrid w:val="0"/>
        <w:ind w:firstLine="602" w:firstLineChars="20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lang w:val="en-US" w:eastAsia="zh-CN"/>
        </w:rPr>
        <w:t>七、</w:t>
      </w:r>
      <w:r>
        <w:rPr>
          <w:rFonts w:hint="eastAsia" w:ascii="仿宋" w:hAnsi="仿宋" w:eastAsia="仿宋" w:cs="仿宋"/>
          <w:b/>
          <w:color w:val="auto"/>
          <w:sz w:val="30"/>
          <w:szCs w:val="30"/>
          <w:highlight w:val="none"/>
        </w:rPr>
        <w:t>供应商类似业绩的证明文件</w:t>
      </w:r>
    </w:p>
    <w:p w14:paraId="325C7972">
      <w:pPr>
        <w:tabs>
          <w:tab w:val="left" w:pos="826"/>
        </w:tabs>
        <w:snapToGrid w:val="0"/>
        <w:ind w:firstLine="602" w:firstLineChars="200"/>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类似</w:t>
      </w:r>
      <w:r>
        <w:rPr>
          <w:rFonts w:hint="eastAsia" w:ascii="宋体" w:hAnsi="宋体" w:cs="宋体"/>
          <w:b/>
          <w:color w:val="auto"/>
          <w:sz w:val="30"/>
          <w:szCs w:val="30"/>
          <w:highlight w:val="none"/>
          <w:lang w:val="en-US" w:eastAsia="zh-CN"/>
        </w:rPr>
        <w:t>业绩</w:t>
      </w:r>
      <w:r>
        <w:rPr>
          <w:rFonts w:hint="eastAsia" w:ascii="宋体" w:hAnsi="宋体" w:cs="宋体"/>
          <w:b/>
          <w:color w:val="auto"/>
          <w:sz w:val="30"/>
          <w:szCs w:val="30"/>
          <w:highlight w:val="none"/>
        </w:rPr>
        <w:t>一览表</w:t>
      </w:r>
    </w:p>
    <w:p w14:paraId="5C882378">
      <w:pPr>
        <w:pStyle w:val="12"/>
        <w:rPr>
          <w:color w:val="auto"/>
          <w:highlight w:val="none"/>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0"/>
        <w:gridCol w:w="1846"/>
        <w:gridCol w:w="2850"/>
        <w:gridCol w:w="1519"/>
        <w:gridCol w:w="2013"/>
      </w:tblGrid>
      <w:tr w14:paraId="7F22C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1150" w:type="dxa"/>
            <w:tcBorders>
              <w:top w:val="single" w:color="auto" w:sz="4" w:space="0"/>
              <w:left w:val="single" w:color="auto" w:sz="4" w:space="0"/>
              <w:bottom w:val="single" w:color="auto" w:sz="4" w:space="0"/>
              <w:right w:val="single" w:color="auto" w:sz="4" w:space="0"/>
            </w:tcBorders>
            <w:noWrap w:val="0"/>
            <w:vAlign w:val="center"/>
          </w:tcPr>
          <w:p w14:paraId="614F2313">
            <w:pPr>
              <w:jc w:val="center"/>
              <w:rPr>
                <w:rFonts w:ascii="宋体" w:hAnsi="宋体"/>
                <w:color w:val="auto"/>
                <w:sz w:val="24"/>
                <w:szCs w:val="24"/>
                <w:highlight w:val="none"/>
              </w:rPr>
            </w:pPr>
            <w:r>
              <w:rPr>
                <w:rFonts w:hint="eastAsia" w:ascii="宋体" w:hAnsi="宋体" w:cs="宋体"/>
                <w:color w:val="auto"/>
                <w:sz w:val="24"/>
                <w:szCs w:val="24"/>
                <w:highlight w:val="none"/>
              </w:rPr>
              <w:t>序号</w:t>
            </w:r>
          </w:p>
        </w:tc>
        <w:tc>
          <w:tcPr>
            <w:tcW w:w="1846" w:type="dxa"/>
            <w:tcBorders>
              <w:top w:val="single" w:color="auto" w:sz="4" w:space="0"/>
              <w:left w:val="single" w:color="auto" w:sz="4" w:space="0"/>
              <w:bottom w:val="single" w:color="auto" w:sz="4" w:space="0"/>
              <w:right w:val="single" w:color="auto" w:sz="4" w:space="0"/>
            </w:tcBorders>
            <w:noWrap w:val="0"/>
            <w:vAlign w:val="center"/>
          </w:tcPr>
          <w:p w14:paraId="6791E031">
            <w:pPr>
              <w:jc w:val="center"/>
              <w:rPr>
                <w:rFonts w:ascii="宋体" w:hAnsi="宋体"/>
                <w:color w:val="auto"/>
                <w:sz w:val="24"/>
                <w:szCs w:val="24"/>
                <w:highlight w:val="none"/>
              </w:rPr>
            </w:pPr>
            <w:r>
              <w:rPr>
                <w:rFonts w:hint="eastAsia" w:ascii="宋体" w:hAnsi="宋体" w:cs="宋体"/>
                <w:color w:val="auto"/>
                <w:sz w:val="24"/>
                <w:szCs w:val="24"/>
                <w:highlight w:val="none"/>
              </w:rPr>
              <w:t>发包人名称</w:t>
            </w:r>
          </w:p>
        </w:tc>
        <w:tc>
          <w:tcPr>
            <w:tcW w:w="2850" w:type="dxa"/>
            <w:tcBorders>
              <w:top w:val="single" w:color="auto" w:sz="4" w:space="0"/>
              <w:left w:val="single" w:color="auto" w:sz="4" w:space="0"/>
              <w:bottom w:val="single" w:color="auto" w:sz="4" w:space="0"/>
              <w:right w:val="single" w:color="auto" w:sz="4" w:space="0"/>
            </w:tcBorders>
            <w:noWrap w:val="0"/>
            <w:vAlign w:val="center"/>
          </w:tcPr>
          <w:p w14:paraId="33C5A792">
            <w:pPr>
              <w:jc w:val="center"/>
              <w:rPr>
                <w:rFonts w:ascii="宋体" w:hAnsi="宋体"/>
                <w:color w:val="auto"/>
                <w:sz w:val="24"/>
                <w:szCs w:val="24"/>
                <w:highlight w:val="none"/>
              </w:rPr>
            </w:pPr>
            <w:r>
              <w:rPr>
                <w:rFonts w:hint="eastAsia" w:ascii="宋体" w:hAnsi="宋体" w:cs="宋体"/>
                <w:color w:val="auto"/>
                <w:sz w:val="24"/>
                <w:szCs w:val="24"/>
                <w:highlight w:val="none"/>
              </w:rPr>
              <w:t>工程名称</w:t>
            </w:r>
          </w:p>
          <w:p w14:paraId="72634EFF">
            <w:pPr>
              <w:jc w:val="center"/>
              <w:rPr>
                <w:rFonts w:ascii="宋体" w:hAnsi="宋体"/>
                <w:color w:val="auto"/>
                <w:sz w:val="24"/>
                <w:szCs w:val="24"/>
                <w:highlight w:val="none"/>
              </w:rPr>
            </w:pPr>
            <w:r>
              <w:rPr>
                <w:rFonts w:hint="eastAsia" w:ascii="宋体" w:hAnsi="宋体" w:cs="宋体"/>
                <w:color w:val="auto"/>
                <w:sz w:val="24"/>
                <w:szCs w:val="24"/>
                <w:highlight w:val="none"/>
              </w:rPr>
              <w:t>及建设地点</w:t>
            </w:r>
          </w:p>
        </w:tc>
        <w:tc>
          <w:tcPr>
            <w:tcW w:w="1519" w:type="dxa"/>
            <w:tcBorders>
              <w:top w:val="single" w:color="auto" w:sz="4" w:space="0"/>
              <w:left w:val="single" w:color="auto" w:sz="4" w:space="0"/>
              <w:bottom w:val="single" w:color="auto" w:sz="4" w:space="0"/>
              <w:right w:val="single" w:color="auto" w:sz="4" w:space="0"/>
            </w:tcBorders>
            <w:noWrap w:val="0"/>
            <w:vAlign w:val="center"/>
          </w:tcPr>
          <w:p w14:paraId="1C69E9CB">
            <w:pPr>
              <w:jc w:val="center"/>
              <w:rPr>
                <w:rFonts w:ascii="宋体" w:hAnsi="宋体"/>
                <w:color w:val="auto"/>
                <w:sz w:val="24"/>
                <w:szCs w:val="24"/>
                <w:highlight w:val="none"/>
              </w:rPr>
            </w:pPr>
            <w:r>
              <w:rPr>
                <w:rFonts w:hint="eastAsia" w:ascii="宋体" w:hAnsi="宋体" w:cs="宋体"/>
                <w:color w:val="auto"/>
                <w:sz w:val="24"/>
                <w:szCs w:val="24"/>
                <w:highlight w:val="none"/>
              </w:rPr>
              <w:t>建设规模</w:t>
            </w:r>
          </w:p>
        </w:tc>
        <w:tc>
          <w:tcPr>
            <w:tcW w:w="2013" w:type="dxa"/>
            <w:tcBorders>
              <w:top w:val="single" w:color="auto" w:sz="4" w:space="0"/>
              <w:left w:val="single" w:color="auto" w:sz="4" w:space="0"/>
              <w:bottom w:val="single" w:color="auto" w:sz="4" w:space="0"/>
              <w:right w:val="single" w:color="auto" w:sz="4" w:space="0"/>
            </w:tcBorders>
            <w:noWrap w:val="0"/>
            <w:vAlign w:val="center"/>
          </w:tcPr>
          <w:p w14:paraId="25639A92">
            <w:pPr>
              <w:jc w:val="center"/>
              <w:rPr>
                <w:rFonts w:ascii="宋体" w:hAnsi="宋体"/>
                <w:color w:val="auto"/>
                <w:sz w:val="24"/>
                <w:szCs w:val="24"/>
                <w:highlight w:val="none"/>
              </w:rPr>
            </w:pPr>
            <w:r>
              <w:rPr>
                <w:rFonts w:hint="eastAsia" w:ascii="宋体" w:hAnsi="宋体" w:cs="宋体"/>
                <w:color w:val="auto"/>
                <w:sz w:val="24"/>
                <w:szCs w:val="24"/>
                <w:highlight w:val="none"/>
              </w:rPr>
              <w:t>合同金额</w:t>
            </w:r>
          </w:p>
          <w:p w14:paraId="6B915338">
            <w:pPr>
              <w:jc w:val="center"/>
              <w:rPr>
                <w:rFonts w:ascii="宋体" w:hAnsi="宋体"/>
                <w:color w:val="auto"/>
                <w:sz w:val="24"/>
                <w:szCs w:val="24"/>
                <w:highlight w:val="none"/>
              </w:rPr>
            </w:pPr>
            <w:r>
              <w:rPr>
                <w:rFonts w:hint="eastAsia" w:ascii="宋体" w:hAnsi="宋体" w:cs="宋体"/>
                <w:color w:val="auto"/>
                <w:sz w:val="24"/>
                <w:szCs w:val="24"/>
                <w:highlight w:val="none"/>
              </w:rPr>
              <w:t>（万元）</w:t>
            </w:r>
          </w:p>
        </w:tc>
      </w:tr>
      <w:tr w14:paraId="309AD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150" w:type="dxa"/>
            <w:tcBorders>
              <w:top w:val="single" w:color="auto" w:sz="4" w:space="0"/>
              <w:left w:val="single" w:color="auto" w:sz="4" w:space="0"/>
              <w:bottom w:val="single" w:color="auto" w:sz="4" w:space="0"/>
              <w:right w:val="single" w:color="auto" w:sz="4" w:space="0"/>
            </w:tcBorders>
            <w:noWrap w:val="0"/>
            <w:vAlign w:val="center"/>
          </w:tcPr>
          <w:p w14:paraId="6C5A1B9D">
            <w:pPr>
              <w:jc w:val="center"/>
              <w:rPr>
                <w:rFonts w:ascii="宋体" w:hAnsi="宋体"/>
                <w:color w:val="auto"/>
                <w:sz w:val="24"/>
                <w:szCs w:val="24"/>
                <w:highlight w:val="none"/>
              </w:rPr>
            </w:pPr>
          </w:p>
        </w:tc>
        <w:tc>
          <w:tcPr>
            <w:tcW w:w="1846" w:type="dxa"/>
            <w:tcBorders>
              <w:top w:val="single" w:color="auto" w:sz="4" w:space="0"/>
              <w:left w:val="single" w:color="auto" w:sz="4" w:space="0"/>
              <w:bottom w:val="single" w:color="auto" w:sz="4" w:space="0"/>
              <w:right w:val="single" w:color="auto" w:sz="4" w:space="0"/>
            </w:tcBorders>
            <w:noWrap w:val="0"/>
            <w:vAlign w:val="center"/>
          </w:tcPr>
          <w:p w14:paraId="5FAAD14F">
            <w:pPr>
              <w:jc w:val="center"/>
              <w:rPr>
                <w:rFonts w:ascii="宋体" w:hAnsi="宋体"/>
                <w:color w:val="auto"/>
                <w:sz w:val="24"/>
                <w:szCs w:val="24"/>
                <w:highlight w:val="none"/>
              </w:rPr>
            </w:pPr>
          </w:p>
        </w:tc>
        <w:tc>
          <w:tcPr>
            <w:tcW w:w="2850" w:type="dxa"/>
            <w:tcBorders>
              <w:top w:val="single" w:color="auto" w:sz="4" w:space="0"/>
              <w:left w:val="single" w:color="auto" w:sz="4" w:space="0"/>
              <w:bottom w:val="single" w:color="auto" w:sz="4" w:space="0"/>
              <w:right w:val="single" w:color="auto" w:sz="4" w:space="0"/>
            </w:tcBorders>
            <w:noWrap w:val="0"/>
            <w:vAlign w:val="center"/>
          </w:tcPr>
          <w:p w14:paraId="1DFFA4C0">
            <w:pPr>
              <w:jc w:val="center"/>
              <w:rPr>
                <w:rFonts w:ascii="宋体" w:hAnsi="宋体"/>
                <w:color w:val="auto"/>
                <w:sz w:val="24"/>
                <w:szCs w:val="24"/>
                <w:highlight w:val="none"/>
              </w:rPr>
            </w:pPr>
          </w:p>
        </w:tc>
        <w:tc>
          <w:tcPr>
            <w:tcW w:w="1519" w:type="dxa"/>
            <w:tcBorders>
              <w:top w:val="single" w:color="auto" w:sz="4" w:space="0"/>
              <w:left w:val="single" w:color="auto" w:sz="4" w:space="0"/>
              <w:bottom w:val="single" w:color="auto" w:sz="4" w:space="0"/>
              <w:right w:val="single" w:color="auto" w:sz="4" w:space="0"/>
            </w:tcBorders>
            <w:noWrap w:val="0"/>
            <w:vAlign w:val="center"/>
          </w:tcPr>
          <w:p w14:paraId="2289756D">
            <w:pPr>
              <w:jc w:val="center"/>
              <w:rPr>
                <w:rFonts w:ascii="宋体" w:hAnsi="宋体"/>
                <w:color w:val="auto"/>
                <w:sz w:val="24"/>
                <w:szCs w:val="24"/>
                <w:highlight w:val="none"/>
              </w:rPr>
            </w:pPr>
          </w:p>
        </w:tc>
        <w:tc>
          <w:tcPr>
            <w:tcW w:w="2013" w:type="dxa"/>
            <w:tcBorders>
              <w:top w:val="single" w:color="auto" w:sz="4" w:space="0"/>
              <w:left w:val="single" w:color="auto" w:sz="4" w:space="0"/>
              <w:bottom w:val="single" w:color="auto" w:sz="4" w:space="0"/>
              <w:right w:val="single" w:color="auto" w:sz="4" w:space="0"/>
            </w:tcBorders>
            <w:noWrap w:val="0"/>
            <w:vAlign w:val="center"/>
          </w:tcPr>
          <w:p w14:paraId="31B0F828">
            <w:pPr>
              <w:jc w:val="center"/>
              <w:rPr>
                <w:rFonts w:ascii="宋体" w:hAnsi="宋体"/>
                <w:color w:val="auto"/>
                <w:sz w:val="24"/>
                <w:szCs w:val="24"/>
                <w:highlight w:val="none"/>
              </w:rPr>
            </w:pPr>
          </w:p>
        </w:tc>
      </w:tr>
      <w:tr w14:paraId="5F642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150" w:type="dxa"/>
            <w:tcBorders>
              <w:top w:val="single" w:color="auto" w:sz="4" w:space="0"/>
              <w:left w:val="single" w:color="auto" w:sz="4" w:space="0"/>
              <w:bottom w:val="single" w:color="auto" w:sz="4" w:space="0"/>
              <w:right w:val="single" w:color="auto" w:sz="4" w:space="0"/>
            </w:tcBorders>
            <w:noWrap w:val="0"/>
            <w:vAlign w:val="center"/>
          </w:tcPr>
          <w:p w14:paraId="7FED4A46">
            <w:pPr>
              <w:jc w:val="center"/>
              <w:rPr>
                <w:rFonts w:ascii="宋体" w:hAnsi="宋体"/>
                <w:color w:val="auto"/>
                <w:sz w:val="24"/>
                <w:szCs w:val="24"/>
                <w:highlight w:val="none"/>
              </w:rPr>
            </w:pPr>
          </w:p>
        </w:tc>
        <w:tc>
          <w:tcPr>
            <w:tcW w:w="1846" w:type="dxa"/>
            <w:tcBorders>
              <w:top w:val="single" w:color="auto" w:sz="4" w:space="0"/>
              <w:left w:val="single" w:color="auto" w:sz="4" w:space="0"/>
              <w:bottom w:val="single" w:color="auto" w:sz="4" w:space="0"/>
              <w:right w:val="single" w:color="auto" w:sz="4" w:space="0"/>
            </w:tcBorders>
            <w:noWrap w:val="0"/>
            <w:vAlign w:val="center"/>
          </w:tcPr>
          <w:p w14:paraId="1667F9DE">
            <w:pPr>
              <w:jc w:val="center"/>
              <w:rPr>
                <w:rFonts w:ascii="宋体" w:hAnsi="宋体"/>
                <w:color w:val="auto"/>
                <w:sz w:val="24"/>
                <w:szCs w:val="24"/>
                <w:highlight w:val="none"/>
              </w:rPr>
            </w:pPr>
          </w:p>
        </w:tc>
        <w:tc>
          <w:tcPr>
            <w:tcW w:w="2850" w:type="dxa"/>
            <w:tcBorders>
              <w:top w:val="single" w:color="auto" w:sz="4" w:space="0"/>
              <w:left w:val="single" w:color="auto" w:sz="4" w:space="0"/>
              <w:bottom w:val="single" w:color="auto" w:sz="4" w:space="0"/>
              <w:right w:val="single" w:color="auto" w:sz="4" w:space="0"/>
            </w:tcBorders>
            <w:noWrap w:val="0"/>
            <w:vAlign w:val="center"/>
          </w:tcPr>
          <w:p w14:paraId="305D0546">
            <w:pPr>
              <w:jc w:val="center"/>
              <w:rPr>
                <w:rFonts w:ascii="宋体" w:hAnsi="宋体"/>
                <w:color w:val="auto"/>
                <w:sz w:val="24"/>
                <w:szCs w:val="24"/>
                <w:highlight w:val="none"/>
              </w:rPr>
            </w:pPr>
          </w:p>
        </w:tc>
        <w:tc>
          <w:tcPr>
            <w:tcW w:w="1519" w:type="dxa"/>
            <w:tcBorders>
              <w:top w:val="single" w:color="auto" w:sz="4" w:space="0"/>
              <w:left w:val="single" w:color="auto" w:sz="4" w:space="0"/>
              <w:bottom w:val="single" w:color="auto" w:sz="4" w:space="0"/>
              <w:right w:val="single" w:color="auto" w:sz="4" w:space="0"/>
            </w:tcBorders>
            <w:noWrap w:val="0"/>
            <w:vAlign w:val="center"/>
          </w:tcPr>
          <w:p w14:paraId="6D1C0E73">
            <w:pPr>
              <w:jc w:val="center"/>
              <w:rPr>
                <w:rFonts w:ascii="宋体" w:hAnsi="宋体"/>
                <w:color w:val="auto"/>
                <w:sz w:val="24"/>
                <w:szCs w:val="24"/>
                <w:highlight w:val="none"/>
              </w:rPr>
            </w:pPr>
          </w:p>
        </w:tc>
        <w:tc>
          <w:tcPr>
            <w:tcW w:w="2013" w:type="dxa"/>
            <w:tcBorders>
              <w:top w:val="single" w:color="auto" w:sz="4" w:space="0"/>
              <w:left w:val="single" w:color="auto" w:sz="4" w:space="0"/>
              <w:bottom w:val="single" w:color="auto" w:sz="4" w:space="0"/>
              <w:right w:val="single" w:color="auto" w:sz="4" w:space="0"/>
            </w:tcBorders>
            <w:noWrap w:val="0"/>
            <w:vAlign w:val="center"/>
          </w:tcPr>
          <w:p w14:paraId="030C0B22">
            <w:pPr>
              <w:jc w:val="center"/>
              <w:rPr>
                <w:rFonts w:ascii="宋体" w:hAnsi="宋体"/>
                <w:color w:val="auto"/>
                <w:sz w:val="24"/>
                <w:szCs w:val="24"/>
                <w:highlight w:val="none"/>
              </w:rPr>
            </w:pPr>
          </w:p>
        </w:tc>
      </w:tr>
      <w:tr w14:paraId="16A6A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150" w:type="dxa"/>
            <w:tcBorders>
              <w:top w:val="single" w:color="auto" w:sz="4" w:space="0"/>
              <w:left w:val="single" w:color="auto" w:sz="4" w:space="0"/>
              <w:bottom w:val="single" w:color="auto" w:sz="4" w:space="0"/>
              <w:right w:val="single" w:color="auto" w:sz="4" w:space="0"/>
            </w:tcBorders>
            <w:noWrap w:val="0"/>
            <w:vAlign w:val="center"/>
          </w:tcPr>
          <w:p w14:paraId="09F095D9">
            <w:pPr>
              <w:jc w:val="center"/>
              <w:rPr>
                <w:rFonts w:ascii="宋体" w:hAnsi="宋体"/>
                <w:color w:val="auto"/>
                <w:sz w:val="24"/>
                <w:szCs w:val="24"/>
                <w:highlight w:val="none"/>
              </w:rPr>
            </w:pPr>
          </w:p>
        </w:tc>
        <w:tc>
          <w:tcPr>
            <w:tcW w:w="1846" w:type="dxa"/>
            <w:tcBorders>
              <w:top w:val="single" w:color="auto" w:sz="4" w:space="0"/>
              <w:left w:val="single" w:color="auto" w:sz="4" w:space="0"/>
              <w:bottom w:val="single" w:color="auto" w:sz="4" w:space="0"/>
              <w:right w:val="single" w:color="auto" w:sz="4" w:space="0"/>
            </w:tcBorders>
            <w:noWrap w:val="0"/>
            <w:vAlign w:val="center"/>
          </w:tcPr>
          <w:p w14:paraId="1EBAE040">
            <w:pPr>
              <w:jc w:val="center"/>
              <w:rPr>
                <w:rFonts w:ascii="宋体" w:hAnsi="宋体"/>
                <w:color w:val="auto"/>
                <w:sz w:val="24"/>
                <w:szCs w:val="24"/>
                <w:highlight w:val="none"/>
              </w:rPr>
            </w:pPr>
          </w:p>
        </w:tc>
        <w:tc>
          <w:tcPr>
            <w:tcW w:w="2850" w:type="dxa"/>
            <w:tcBorders>
              <w:top w:val="single" w:color="auto" w:sz="4" w:space="0"/>
              <w:left w:val="single" w:color="auto" w:sz="4" w:space="0"/>
              <w:bottom w:val="single" w:color="auto" w:sz="4" w:space="0"/>
              <w:right w:val="single" w:color="auto" w:sz="4" w:space="0"/>
            </w:tcBorders>
            <w:noWrap w:val="0"/>
            <w:vAlign w:val="center"/>
          </w:tcPr>
          <w:p w14:paraId="68DBA4F1">
            <w:pPr>
              <w:jc w:val="center"/>
              <w:rPr>
                <w:rFonts w:ascii="宋体" w:hAnsi="宋体"/>
                <w:color w:val="auto"/>
                <w:sz w:val="24"/>
                <w:szCs w:val="24"/>
                <w:highlight w:val="none"/>
              </w:rPr>
            </w:pPr>
          </w:p>
        </w:tc>
        <w:tc>
          <w:tcPr>
            <w:tcW w:w="1519" w:type="dxa"/>
            <w:tcBorders>
              <w:top w:val="single" w:color="auto" w:sz="4" w:space="0"/>
              <w:left w:val="single" w:color="auto" w:sz="4" w:space="0"/>
              <w:bottom w:val="single" w:color="auto" w:sz="4" w:space="0"/>
              <w:right w:val="single" w:color="auto" w:sz="4" w:space="0"/>
            </w:tcBorders>
            <w:noWrap w:val="0"/>
            <w:vAlign w:val="center"/>
          </w:tcPr>
          <w:p w14:paraId="14DD6902">
            <w:pPr>
              <w:jc w:val="center"/>
              <w:rPr>
                <w:rFonts w:ascii="宋体" w:hAnsi="宋体"/>
                <w:color w:val="auto"/>
                <w:sz w:val="24"/>
                <w:szCs w:val="24"/>
                <w:highlight w:val="none"/>
              </w:rPr>
            </w:pPr>
          </w:p>
        </w:tc>
        <w:tc>
          <w:tcPr>
            <w:tcW w:w="2013" w:type="dxa"/>
            <w:tcBorders>
              <w:top w:val="single" w:color="auto" w:sz="4" w:space="0"/>
              <w:left w:val="single" w:color="auto" w:sz="4" w:space="0"/>
              <w:bottom w:val="single" w:color="auto" w:sz="4" w:space="0"/>
              <w:right w:val="single" w:color="auto" w:sz="4" w:space="0"/>
            </w:tcBorders>
            <w:noWrap w:val="0"/>
            <w:vAlign w:val="center"/>
          </w:tcPr>
          <w:p w14:paraId="5A9B4EC5">
            <w:pPr>
              <w:jc w:val="center"/>
              <w:rPr>
                <w:rFonts w:ascii="宋体" w:hAnsi="宋体"/>
                <w:color w:val="auto"/>
                <w:sz w:val="24"/>
                <w:szCs w:val="24"/>
                <w:highlight w:val="none"/>
              </w:rPr>
            </w:pPr>
          </w:p>
        </w:tc>
      </w:tr>
      <w:tr w14:paraId="49656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150" w:type="dxa"/>
            <w:tcBorders>
              <w:top w:val="single" w:color="auto" w:sz="4" w:space="0"/>
              <w:left w:val="single" w:color="auto" w:sz="4" w:space="0"/>
              <w:bottom w:val="single" w:color="auto" w:sz="4" w:space="0"/>
              <w:right w:val="single" w:color="auto" w:sz="4" w:space="0"/>
            </w:tcBorders>
            <w:noWrap w:val="0"/>
            <w:vAlign w:val="center"/>
          </w:tcPr>
          <w:p w14:paraId="75943715">
            <w:pPr>
              <w:jc w:val="center"/>
              <w:rPr>
                <w:rFonts w:ascii="宋体" w:hAnsi="宋体"/>
                <w:color w:val="auto"/>
                <w:sz w:val="24"/>
                <w:szCs w:val="24"/>
                <w:highlight w:val="none"/>
              </w:rPr>
            </w:pPr>
          </w:p>
        </w:tc>
        <w:tc>
          <w:tcPr>
            <w:tcW w:w="1846" w:type="dxa"/>
            <w:tcBorders>
              <w:top w:val="single" w:color="auto" w:sz="4" w:space="0"/>
              <w:left w:val="single" w:color="auto" w:sz="4" w:space="0"/>
              <w:bottom w:val="single" w:color="auto" w:sz="4" w:space="0"/>
              <w:right w:val="single" w:color="auto" w:sz="4" w:space="0"/>
            </w:tcBorders>
            <w:noWrap w:val="0"/>
            <w:vAlign w:val="center"/>
          </w:tcPr>
          <w:p w14:paraId="5E43017C">
            <w:pPr>
              <w:jc w:val="center"/>
              <w:rPr>
                <w:rFonts w:ascii="宋体" w:hAnsi="宋体"/>
                <w:color w:val="auto"/>
                <w:sz w:val="24"/>
                <w:szCs w:val="24"/>
                <w:highlight w:val="none"/>
              </w:rPr>
            </w:pPr>
          </w:p>
        </w:tc>
        <w:tc>
          <w:tcPr>
            <w:tcW w:w="2850" w:type="dxa"/>
            <w:tcBorders>
              <w:top w:val="single" w:color="auto" w:sz="4" w:space="0"/>
              <w:left w:val="single" w:color="auto" w:sz="4" w:space="0"/>
              <w:bottom w:val="single" w:color="auto" w:sz="4" w:space="0"/>
              <w:right w:val="single" w:color="auto" w:sz="4" w:space="0"/>
            </w:tcBorders>
            <w:noWrap w:val="0"/>
            <w:vAlign w:val="center"/>
          </w:tcPr>
          <w:p w14:paraId="36693710">
            <w:pPr>
              <w:jc w:val="center"/>
              <w:rPr>
                <w:rFonts w:ascii="宋体" w:hAnsi="宋体"/>
                <w:color w:val="auto"/>
                <w:sz w:val="24"/>
                <w:szCs w:val="24"/>
                <w:highlight w:val="none"/>
              </w:rPr>
            </w:pPr>
          </w:p>
        </w:tc>
        <w:tc>
          <w:tcPr>
            <w:tcW w:w="1519" w:type="dxa"/>
            <w:tcBorders>
              <w:top w:val="single" w:color="auto" w:sz="4" w:space="0"/>
              <w:left w:val="single" w:color="auto" w:sz="4" w:space="0"/>
              <w:bottom w:val="single" w:color="auto" w:sz="4" w:space="0"/>
              <w:right w:val="single" w:color="auto" w:sz="4" w:space="0"/>
            </w:tcBorders>
            <w:noWrap w:val="0"/>
            <w:vAlign w:val="center"/>
          </w:tcPr>
          <w:p w14:paraId="47F811EC">
            <w:pPr>
              <w:jc w:val="center"/>
              <w:rPr>
                <w:rFonts w:ascii="宋体" w:hAnsi="宋体"/>
                <w:color w:val="auto"/>
                <w:sz w:val="24"/>
                <w:szCs w:val="24"/>
                <w:highlight w:val="none"/>
              </w:rPr>
            </w:pPr>
          </w:p>
        </w:tc>
        <w:tc>
          <w:tcPr>
            <w:tcW w:w="2013" w:type="dxa"/>
            <w:tcBorders>
              <w:top w:val="single" w:color="auto" w:sz="4" w:space="0"/>
              <w:left w:val="single" w:color="auto" w:sz="4" w:space="0"/>
              <w:bottom w:val="single" w:color="auto" w:sz="4" w:space="0"/>
              <w:right w:val="single" w:color="auto" w:sz="4" w:space="0"/>
            </w:tcBorders>
            <w:noWrap w:val="0"/>
            <w:vAlign w:val="center"/>
          </w:tcPr>
          <w:p w14:paraId="36645A40">
            <w:pPr>
              <w:jc w:val="center"/>
              <w:rPr>
                <w:rFonts w:ascii="宋体" w:hAnsi="宋体"/>
                <w:color w:val="auto"/>
                <w:sz w:val="24"/>
                <w:szCs w:val="24"/>
                <w:highlight w:val="none"/>
              </w:rPr>
            </w:pPr>
          </w:p>
        </w:tc>
      </w:tr>
      <w:tr w14:paraId="18A64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150" w:type="dxa"/>
            <w:tcBorders>
              <w:top w:val="single" w:color="auto" w:sz="4" w:space="0"/>
              <w:left w:val="single" w:color="auto" w:sz="4" w:space="0"/>
              <w:bottom w:val="single" w:color="auto" w:sz="4" w:space="0"/>
              <w:right w:val="single" w:color="auto" w:sz="4" w:space="0"/>
            </w:tcBorders>
            <w:noWrap w:val="0"/>
            <w:vAlign w:val="center"/>
          </w:tcPr>
          <w:p w14:paraId="18BD2A3A">
            <w:pPr>
              <w:jc w:val="center"/>
              <w:rPr>
                <w:rFonts w:ascii="宋体" w:hAnsi="宋体"/>
                <w:color w:val="auto"/>
                <w:sz w:val="24"/>
                <w:szCs w:val="24"/>
                <w:highlight w:val="none"/>
              </w:rPr>
            </w:pPr>
          </w:p>
        </w:tc>
        <w:tc>
          <w:tcPr>
            <w:tcW w:w="1846" w:type="dxa"/>
            <w:tcBorders>
              <w:top w:val="single" w:color="auto" w:sz="4" w:space="0"/>
              <w:left w:val="single" w:color="auto" w:sz="4" w:space="0"/>
              <w:bottom w:val="single" w:color="auto" w:sz="4" w:space="0"/>
              <w:right w:val="single" w:color="auto" w:sz="4" w:space="0"/>
            </w:tcBorders>
            <w:noWrap w:val="0"/>
            <w:vAlign w:val="center"/>
          </w:tcPr>
          <w:p w14:paraId="6008B0F8">
            <w:pPr>
              <w:jc w:val="center"/>
              <w:rPr>
                <w:rFonts w:ascii="宋体" w:hAnsi="宋体"/>
                <w:color w:val="auto"/>
                <w:sz w:val="24"/>
                <w:szCs w:val="24"/>
                <w:highlight w:val="none"/>
              </w:rPr>
            </w:pPr>
          </w:p>
        </w:tc>
        <w:tc>
          <w:tcPr>
            <w:tcW w:w="2850" w:type="dxa"/>
            <w:tcBorders>
              <w:top w:val="single" w:color="auto" w:sz="4" w:space="0"/>
              <w:left w:val="single" w:color="auto" w:sz="4" w:space="0"/>
              <w:bottom w:val="single" w:color="auto" w:sz="4" w:space="0"/>
              <w:right w:val="single" w:color="auto" w:sz="4" w:space="0"/>
            </w:tcBorders>
            <w:noWrap w:val="0"/>
            <w:vAlign w:val="center"/>
          </w:tcPr>
          <w:p w14:paraId="6878C160">
            <w:pPr>
              <w:jc w:val="center"/>
              <w:rPr>
                <w:rFonts w:ascii="宋体" w:hAnsi="宋体"/>
                <w:color w:val="auto"/>
                <w:sz w:val="24"/>
                <w:szCs w:val="24"/>
                <w:highlight w:val="none"/>
              </w:rPr>
            </w:pPr>
          </w:p>
        </w:tc>
        <w:tc>
          <w:tcPr>
            <w:tcW w:w="1519" w:type="dxa"/>
            <w:tcBorders>
              <w:top w:val="single" w:color="auto" w:sz="4" w:space="0"/>
              <w:left w:val="single" w:color="auto" w:sz="4" w:space="0"/>
              <w:bottom w:val="single" w:color="auto" w:sz="4" w:space="0"/>
              <w:right w:val="single" w:color="auto" w:sz="4" w:space="0"/>
            </w:tcBorders>
            <w:noWrap w:val="0"/>
            <w:vAlign w:val="center"/>
          </w:tcPr>
          <w:p w14:paraId="62C0E544">
            <w:pPr>
              <w:jc w:val="center"/>
              <w:rPr>
                <w:rFonts w:ascii="宋体" w:hAnsi="宋体"/>
                <w:color w:val="auto"/>
                <w:sz w:val="24"/>
                <w:szCs w:val="24"/>
                <w:highlight w:val="none"/>
              </w:rPr>
            </w:pPr>
          </w:p>
        </w:tc>
        <w:tc>
          <w:tcPr>
            <w:tcW w:w="2013" w:type="dxa"/>
            <w:tcBorders>
              <w:top w:val="single" w:color="auto" w:sz="4" w:space="0"/>
              <w:left w:val="single" w:color="auto" w:sz="4" w:space="0"/>
              <w:bottom w:val="single" w:color="auto" w:sz="4" w:space="0"/>
              <w:right w:val="single" w:color="auto" w:sz="4" w:space="0"/>
            </w:tcBorders>
            <w:noWrap w:val="0"/>
            <w:vAlign w:val="center"/>
          </w:tcPr>
          <w:p w14:paraId="69AB42B8">
            <w:pPr>
              <w:jc w:val="center"/>
              <w:rPr>
                <w:rFonts w:ascii="宋体" w:hAnsi="宋体"/>
                <w:color w:val="auto"/>
                <w:sz w:val="24"/>
                <w:szCs w:val="24"/>
                <w:highlight w:val="none"/>
              </w:rPr>
            </w:pPr>
          </w:p>
        </w:tc>
      </w:tr>
      <w:tr w14:paraId="1E7FC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150" w:type="dxa"/>
            <w:tcBorders>
              <w:top w:val="single" w:color="auto" w:sz="4" w:space="0"/>
              <w:left w:val="single" w:color="auto" w:sz="4" w:space="0"/>
              <w:bottom w:val="single" w:color="auto" w:sz="4" w:space="0"/>
              <w:right w:val="single" w:color="auto" w:sz="4" w:space="0"/>
            </w:tcBorders>
            <w:noWrap w:val="0"/>
            <w:vAlign w:val="center"/>
          </w:tcPr>
          <w:p w14:paraId="282AA51E">
            <w:pPr>
              <w:jc w:val="center"/>
              <w:rPr>
                <w:rFonts w:ascii="宋体" w:hAnsi="宋体"/>
                <w:color w:val="auto"/>
                <w:sz w:val="24"/>
                <w:szCs w:val="24"/>
                <w:highlight w:val="none"/>
              </w:rPr>
            </w:pPr>
          </w:p>
        </w:tc>
        <w:tc>
          <w:tcPr>
            <w:tcW w:w="1846" w:type="dxa"/>
            <w:tcBorders>
              <w:top w:val="single" w:color="auto" w:sz="4" w:space="0"/>
              <w:left w:val="single" w:color="auto" w:sz="4" w:space="0"/>
              <w:bottom w:val="single" w:color="auto" w:sz="4" w:space="0"/>
              <w:right w:val="single" w:color="auto" w:sz="4" w:space="0"/>
            </w:tcBorders>
            <w:noWrap w:val="0"/>
            <w:vAlign w:val="center"/>
          </w:tcPr>
          <w:p w14:paraId="167B6C02">
            <w:pPr>
              <w:jc w:val="center"/>
              <w:rPr>
                <w:rFonts w:ascii="宋体" w:hAnsi="宋体"/>
                <w:color w:val="auto"/>
                <w:sz w:val="24"/>
                <w:szCs w:val="24"/>
                <w:highlight w:val="none"/>
              </w:rPr>
            </w:pPr>
          </w:p>
        </w:tc>
        <w:tc>
          <w:tcPr>
            <w:tcW w:w="2850" w:type="dxa"/>
            <w:tcBorders>
              <w:top w:val="single" w:color="auto" w:sz="4" w:space="0"/>
              <w:left w:val="single" w:color="auto" w:sz="4" w:space="0"/>
              <w:bottom w:val="single" w:color="auto" w:sz="4" w:space="0"/>
              <w:right w:val="single" w:color="auto" w:sz="4" w:space="0"/>
            </w:tcBorders>
            <w:noWrap w:val="0"/>
            <w:vAlign w:val="center"/>
          </w:tcPr>
          <w:p w14:paraId="2FD743C5">
            <w:pPr>
              <w:jc w:val="center"/>
              <w:rPr>
                <w:rFonts w:ascii="宋体" w:hAnsi="宋体"/>
                <w:color w:val="auto"/>
                <w:sz w:val="24"/>
                <w:szCs w:val="24"/>
                <w:highlight w:val="none"/>
              </w:rPr>
            </w:pPr>
          </w:p>
        </w:tc>
        <w:tc>
          <w:tcPr>
            <w:tcW w:w="1519" w:type="dxa"/>
            <w:tcBorders>
              <w:top w:val="single" w:color="auto" w:sz="4" w:space="0"/>
              <w:left w:val="single" w:color="auto" w:sz="4" w:space="0"/>
              <w:bottom w:val="single" w:color="auto" w:sz="4" w:space="0"/>
              <w:right w:val="single" w:color="auto" w:sz="4" w:space="0"/>
            </w:tcBorders>
            <w:noWrap w:val="0"/>
            <w:vAlign w:val="center"/>
          </w:tcPr>
          <w:p w14:paraId="1A0E9EEB">
            <w:pPr>
              <w:jc w:val="center"/>
              <w:rPr>
                <w:rFonts w:ascii="宋体" w:hAnsi="宋体"/>
                <w:color w:val="auto"/>
                <w:sz w:val="24"/>
                <w:szCs w:val="24"/>
                <w:highlight w:val="none"/>
              </w:rPr>
            </w:pPr>
          </w:p>
        </w:tc>
        <w:tc>
          <w:tcPr>
            <w:tcW w:w="2013" w:type="dxa"/>
            <w:tcBorders>
              <w:top w:val="single" w:color="auto" w:sz="4" w:space="0"/>
              <w:left w:val="single" w:color="auto" w:sz="4" w:space="0"/>
              <w:bottom w:val="single" w:color="auto" w:sz="4" w:space="0"/>
              <w:right w:val="single" w:color="auto" w:sz="4" w:space="0"/>
            </w:tcBorders>
            <w:noWrap w:val="0"/>
            <w:vAlign w:val="center"/>
          </w:tcPr>
          <w:p w14:paraId="1CB995E2">
            <w:pPr>
              <w:jc w:val="center"/>
              <w:rPr>
                <w:rFonts w:ascii="宋体" w:hAnsi="宋体"/>
                <w:color w:val="auto"/>
                <w:sz w:val="24"/>
                <w:szCs w:val="24"/>
                <w:highlight w:val="none"/>
              </w:rPr>
            </w:pPr>
          </w:p>
        </w:tc>
      </w:tr>
      <w:tr w14:paraId="4F4E8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50" w:type="dxa"/>
            <w:tcBorders>
              <w:top w:val="single" w:color="auto" w:sz="4" w:space="0"/>
              <w:left w:val="single" w:color="auto" w:sz="4" w:space="0"/>
              <w:bottom w:val="single" w:color="auto" w:sz="4" w:space="0"/>
              <w:right w:val="single" w:color="auto" w:sz="4" w:space="0"/>
            </w:tcBorders>
            <w:noWrap w:val="0"/>
            <w:vAlign w:val="center"/>
          </w:tcPr>
          <w:p w14:paraId="056DC5AE">
            <w:pPr>
              <w:jc w:val="center"/>
              <w:rPr>
                <w:rFonts w:ascii="宋体" w:hAnsi="宋体"/>
                <w:color w:val="auto"/>
                <w:sz w:val="24"/>
                <w:szCs w:val="24"/>
                <w:highlight w:val="none"/>
              </w:rPr>
            </w:pPr>
          </w:p>
        </w:tc>
        <w:tc>
          <w:tcPr>
            <w:tcW w:w="1846" w:type="dxa"/>
            <w:tcBorders>
              <w:top w:val="single" w:color="auto" w:sz="4" w:space="0"/>
              <w:left w:val="single" w:color="auto" w:sz="4" w:space="0"/>
              <w:bottom w:val="single" w:color="auto" w:sz="4" w:space="0"/>
              <w:right w:val="single" w:color="auto" w:sz="4" w:space="0"/>
            </w:tcBorders>
            <w:noWrap w:val="0"/>
            <w:vAlign w:val="center"/>
          </w:tcPr>
          <w:p w14:paraId="2453D4F0">
            <w:pPr>
              <w:jc w:val="center"/>
              <w:rPr>
                <w:rFonts w:ascii="宋体" w:hAnsi="宋体"/>
                <w:color w:val="auto"/>
                <w:sz w:val="24"/>
                <w:szCs w:val="24"/>
                <w:highlight w:val="none"/>
              </w:rPr>
            </w:pPr>
          </w:p>
        </w:tc>
        <w:tc>
          <w:tcPr>
            <w:tcW w:w="2850" w:type="dxa"/>
            <w:tcBorders>
              <w:top w:val="single" w:color="auto" w:sz="4" w:space="0"/>
              <w:left w:val="single" w:color="auto" w:sz="4" w:space="0"/>
              <w:bottom w:val="single" w:color="auto" w:sz="4" w:space="0"/>
              <w:right w:val="single" w:color="auto" w:sz="4" w:space="0"/>
            </w:tcBorders>
            <w:noWrap w:val="0"/>
            <w:vAlign w:val="center"/>
          </w:tcPr>
          <w:p w14:paraId="5CECC726">
            <w:pPr>
              <w:jc w:val="center"/>
              <w:rPr>
                <w:rFonts w:ascii="宋体" w:hAnsi="宋体"/>
                <w:color w:val="auto"/>
                <w:sz w:val="24"/>
                <w:szCs w:val="24"/>
                <w:highlight w:val="none"/>
              </w:rPr>
            </w:pPr>
          </w:p>
        </w:tc>
        <w:tc>
          <w:tcPr>
            <w:tcW w:w="1519" w:type="dxa"/>
            <w:tcBorders>
              <w:top w:val="single" w:color="auto" w:sz="4" w:space="0"/>
              <w:left w:val="single" w:color="auto" w:sz="4" w:space="0"/>
              <w:bottom w:val="single" w:color="auto" w:sz="4" w:space="0"/>
              <w:right w:val="single" w:color="auto" w:sz="4" w:space="0"/>
            </w:tcBorders>
            <w:noWrap w:val="0"/>
            <w:vAlign w:val="center"/>
          </w:tcPr>
          <w:p w14:paraId="6D14E4F5">
            <w:pPr>
              <w:jc w:val="center"/>
              <w:rPr>
                <w:rFonts w:ascii="宋体" w:hAnsi="宋体"/>
                <w:color w:val="auto"/>
                <w:sz w:val="24"/>
                <w:szCs w:val="24"/>
                <w:highlight w:val="none"/>
              </w:rPr>
            </w:pPr>
          </w:p>
        </w:tc>
        <w:tc>
          <w:tcPr>
            <w:tcW w:w="2013" w:type="dxa"/>
            <w:tcBorders>
              <w:top w:val="single" w:color="auto" w:sz="4" w:space="0"/>
              <w:left w:val="single" w:color="auto" w:sz="4" w:space="0"/>
              <w:bottom w:val="single" w:color="auto" w:sz="4" w:space="0"/>
              <w:right w:val="single" w:color="auto" w:sz="4" w:space="0"/>
            </w:tcBorders>
            <w:noWrap w:val="0"/>
            <w:vAlign w:val="center"/>
          </w:tcPr>
          <w:p w14:paraId="461FBB9C">
            <w:pPr>
              <w:jc w:val="center"/>
              <w:rPr>
                <w:rFonts w:ascii="宋体" w:hAnsi="宋体"/>
                <w:color w:val="auto"/>
                <w:sz w:val="24"/>
                <w:szCs w:val="24"/>
                <w:highlight w:val="none"/>
              </w:rPr>
            </w:pPr>
          </w:p>
        </w:tc>
      </w:tr>
    </w:tbl>
    <w:p w14:paraId="66DF125B">
      <w:pPr>
        <w:ind w:firstLine="480" w:firstLineChars="200"/>
        <w:rPr>
          <w:rFonts w:hint="eastAsia" w:ascii="宋体" w:hAnsi="宋体" w:cs="楷体_GB2312"/>
          <w:color w:val="auto"/>
          <w:sz w:val="24"/>
          <w:szCs w:val="24"/>
          <w:highlight w:val="none"/>
        </w:rPr>
      </w:pPr>
    </w:p>
    <w:p w14:paraId="22A8D7C8">
      <w:pPr>
        <w:ind w:firstLine="480" w:firstLineChars="200"/>
        <w:rPr>
          <w:rFonts w:ascii="宋体" w:hAnsi="宋体"/>
          <w:color w:val="auto"/>
          <w:sz w:val="24"/>
          <w:szCs w:val="24"/>
          <w:highlight w:val="none"/>
        </w:rPr>
      </w:pPr>
      <w:r>
        <w:rPr>
          <w:rFonts w:hint="eastAsia" w:ascii="宋体" w:hAnsi="宋体" w:cs="楷体_GB2312"/>
          <w:color w:val="auto"/>
          <w:sz w:val="24"/>
          <w:szCs w:val="24"/>
          <w:highlight w:val="none"/>
        </w:rPr>
        <w:t>备注：</w:t>
      </w:r>
    </w:p>
    <w:p w14:paraId="1811FBCD">
      <w:pPr>
        <w:ind w:firstLine="720" w:firstLineChars="300"/>
        <w:rPr>
          <w:rFonts w:ascii="宋体" w:hAnsi="宋体"/>
          <w:color w:val="auto"/>
          <w:sz w:val="24"/>
          <w:szCs w:val="24"/>
          <w:highlight w:val="none"/>
        </w:rPr>
      </w:pPr>
      <w:bookmarkStart w:id="182" w:name="OLE_LINK26"/>
      <w:r>
        <w:rPr>
          <w:rFonts w:ascii="宋体" w:hAnsi="宋体"/>
          <w:color w:val="auto"/>
          <w:sz w:val="24"/>
          <w:szCs w:val="24"/>
          <w:highlight w:val="none"/>
        </w:rPr>
        <w:t>1</w:t>
      </w:r>
      <w:r>
        <w:rPr>
          <w:rFonts w:hint="eastAsia" w:ascii="宋体" w:hAnsi="宋体" w:cs="楷体_GB2312"/>
          <w:color w:val="auto"/>
          <w:sz w:val="24"/>
          <w:szCs w:val="24"/>
          <w:highlight w:val="none"/>
        </w:rPr>
        <w:t>、</w:t>
      </w:r>
      <w:r>
        <w:rPr>
          <w:rFonts w:hint="eastAsia" w:ascii="宋体" w:hAnsi="宋体" w:eastAsia="宋体" w:cs="楷体_GB2312"/>
          <w:color w:val="auto"/>
          <w:sz w:val="24"/>
          <w:szCs w:val="24"/>
          <w:highlight w:val="none"/>
        </w:rPr>
        <w:t>附以上类似工程的</w:t>
      </w:r>
      <w:r>
        <w:rPr>
          <w:rFonts w:hint="eastAsia" w:ascii="宋体" w:hAnsi="宋体" w:eastAsia="宋体" w:cs="Tahoma"/>
          <w:color w:val="auto"/>
          <w:kern w:val="0"/>
          <w:sz w:val="24"/>
          <w:szCs w:val="24"/>
          <w:highlight w:val="none"/>
          <w:lang w:val="en-US" w:eastAsia="zh-CN"/>
        </w:rPr>
        <w:t>中标（</w:t>
      </w:r>
      <w:r>
        <w:rPr>
          <w:rFonts w:ascii="宋体" w:hAnsi="宋体" w:eastAsia="宋体" w:cs="Tahoma"/>
          <w:color w:val="auto"/>
          <w:kern w:val="0"/>
          <w:sz w:val="24"/>
          <w:szCs w:val="24"/>
          <w:highlight w:val="none"/>
        </w:rPr>
        <w:t>成交</w:t>
      </w:r>
      <w:r>
        <w:rPr>
          <w:rFonts w:hint="eastAsia" w:ascii="宋体" w:hAnsi="宋体" w:eastAsia="宋体" w:cs="Tahoma"/>
          <w:color w:val="auto"/>
          <w:kern w:val="0"/>
          <w:sz w:val="24"/>
          <w:szCs w:val="24"/>
          <w:highlight w:val="none"/>
          <w:lang w:eastAsia="zh-CN"/>
        </w:rPr>
        <w:t>）</w:t>
      </w:r>
      <w:r>
        <w:rPr>
          <w:rFonts w:hint="eastAsia" w:ascii="宋体" w:hAnsi="宋体" w:eastAsia="宋体" w:cs="楷体_GB2312"/>
          <w:color w:val="auto"/>
          <w:sz w:val="24"/>
          <w:szCs w:val="24"/>
          <w:highlight w:val="none"/>
        </w:rPr>
        <w:t>通知书或工程合同</w:t>
      </w:r>
      <w:r>
        <w:rPr>
          <w:rFonts w:hint="eastAsia" w:ascii="宋体" w:hAnsi="宋体" w:cs="楷体_GB2312"/>
          <w:color w:val="auto"/>
          <w:sz w:val="24"/>
          <w:szCs w:val="24"/>
          <w:highlight w:val="none"/>
        </w:rPr>
        <w:t>。</w:t>
      </w:r>
    </w:p>
    <w:bookmarkEnd w:id="182"/>
    <w:p w14:paraId="14D7E0C0">
      <w:pPr>
        <w:jc w:val="center"/>
        <w:rPr>
          <w:rFonts w:ascii="宋体" w:hAnsi="宋体"/>
          <w:color w:val="auto"/>
          <w:sz w:val="24"/>
          <w:szCs w:val="24"/>
          <w:highlight w:val="none"/>
        </w:rPr>
      </w:pPr>
    </w:p>
    <w:p w14:paraId="60E1797B">
      <w:pPr>
        <w:widowControl/>
        <w:tabs>
          <w:tab w:val="center" w:pos="4153"/>
          <w:tab w:val="right" w:pos="8306"/>
        </w:tabs>
        <w:snapToGrid w:val="0"/>
        <w:jc w:val="left"/>
        <w:rPr>
          <w:rFonts w:ascii="宋体" w:hAnsi="宋体"/>
          <w:color w:val="auto"/>
          <w:kern w:val="0"/>
          <w:sz w:val="24"/>
          <w:szCs w:val="24"/>
          <w:highlight w:val="none"/>
        </w:rPr>
      </w:pPr>
    </w:p>
    <w:p w14:paraId="627B4B24">
      <w:pPr>
        <w:widowControl/>
        <w:tabs>
          <w:tab w:val="center" w:pos="4153"/>
          <w:tab w:val="right" w:pos="8306"/>
        </w:tabs>
        <w:snapToGrid w:val="0"/>
        <w:jc w:val="left"/>
        <w:rPr>
          <w:rFonts w:ascii="宋体" w:hAnsi="宋体"/>
          <w:color w:val="auto"/>
          <w:kern w:val="0"/>
          <w:sz w:val="24"/>
          <w:szCs w:val="24"/>
          <w:highlight w:val="none"/>
        </w:rPr>
      </w:pPr>
    </w:p>
    <w:p w14:paraId="32FA4567">
      <w:pPr>
        <w:autoSpaceDE w:val="0"/>
        <w:autoSpaceDN w:val="0"/>
        <w:spacing w:line="360" w:lineRule="auto"/>
        <w:ind w:left="4335" w:leftChars="1950" w:hanging="240" w:hanging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供应商名称（电子签章）：</w:t>
      </w:r>
    </w:p>
    <w:p w14:paraId="6E22177D">
      <w:pPr>
        <w:snapToGrid w:val="0"/>
        <w:spacing w:before="120" w:beforeLines="50" w:after="50" w:line="360" w:lineRule="auto"/>
        <w:ind w:firstLine="6720" w:firstLineChars="2800"/>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日期：  年  月   日</w:t>
      </w:r>
    </w:p>
    <w:p w14:paraId="6E81F2E1">
      <w:pPr>
        <w:snapToGrid w:val="0"/>
        <w:spacing w:before="120" w:beforeLines="50" w:after="50" w:line="360" w:lineRule="auto"/>
        <w:ind w:firstLine="6720" w:firstLineChars="2800"/>
        <w:rPr>
          <w:rFonts w:hint="eastAsia" w:ascii="宋体" w:hAnsi="宋体" w:cs="仿宋_GB2312"/>
          <w:color w:val="auto"/>
          <w:kern w:val="0"/>
          <w:sz w:val="24"/>
          <w:szCs w:val="24"/>
          <w:highlight w:val="none"/>
          <w:lang w:val="zh-CN"/>
        </w:rPr>
      </w:pPr>
    </w:p>
    <w:p w14:paraId="1A47DF79">
      <w:pPr>
        <w:snapToGrid w:val="0"/>
        <w:spacing w:before="120" w:beforeLines="50" w:after="50" w:line="360" w:lineRule="auto"/>
        <w:ind w:firstLine="6720" w:firstLineChars="2800"/>
        <w:rPr>
          <w:rFonts w:hint="eastAsia" w:ascii="宋体" w:hAnsi="宋体" w:cs="仿宋_GB2312"/>
          <w:color w:val="auto"/>
          <w:kern w:val="0"/>
          <w:sz w:val="24"/>
          <w:szCs w:val="24"/>
          <w:highlight w:val="none"/>
          <w:lang w:val="zh-CN"/>
        </w:rPr>
      </w:pPr>
    </w:p>
    <w:p w14:paraId="46913AD5">
      <w:pPr>
        <w:snapToGrid w:val="0"/>
        <w:spacing w:before="120" w:beforeLines="50" w:after="50" w:line="360" w:lineRule="auto"/>
        <w:ind w:firstLine="6720" w:firstLineChars="2800"/>
        <w:rPr>
          <w:rFonts w:hint="eastAsia" w:ascii="宋体" w:hAnsi="宋体" w:cs="仿宋_GB2312"/>
          <w:color w:val="auto"/>
          <w:kern w:val="0"/>
          <w:sz w:val="24"/>
          <w:szCs w:val="24"/>
          <w:highlight w:val="none"/>
          <w:lang w:val="zh-CN"/>
        </w:rPr>
      </w:pPr>
    </w:p>
    <w:p w14:paraId="7BD55874">
      <w:pPr>
        <w:snapToGrid w:val="0"/>
        <w:spacing w:before="120" w:beforeLines="50" w:after="50" w:line="360" w:lineRule="auto"/>
        <w:ind w:firstLine="6720" w:firstLineChars="2800"/>
        <w:rPr>
          <w:rFonts w:hint="eastAsia" w:ascii="宋体" w:hAnsi="宋体" w:cs="仿宋_GB2312"/>
          <w:color w:val="auto"/>
          <w:kern w:val="0"/>
          <w:sz w:val="24"/>
          <w:szCs w:val="24"/>
          <w:highlight w:val="none"/>
          <w:lang w:val="zh-CN"/>
        </w:rPr>
      </w:pPr>
    </w:p>
    <w:p w14:paraId="596F8CA6">
      <w:pPr>
        <w:snapToGrid w:val="0"/>
        <w:spacing w:before="120" w:beforeLines="50" w:after="50" w:line="360" w:lineRule="auto"/>
        <w:ind w:firstLine="6720" w:firstLineChars="2800"/>
        <w:rPr>
          <w:rFonts w:hint="eastAsia" w:ascii="宋体" w:hAnsi="宋体" w:cs="仿宋_GB2312"/>
          <w:color w:val="auto"/>
          <w:kern w:val="0"/>
          <w:sz w:val="24"/>
          <w:szCs w:val="24"/>
          <w:highlight w:val="none"/>
          <w:lang w:val="zh-CN"/>
        </w:rPr>
      </w:pPr>
    </w:p>
    <w:p w14:paraId="2D611C77">
      <w:pPr>
        <w:snapToGrid w:val="0"/>
        <w:spacing w:before="120" w:beforeLines="50" w:after="50" w:line="360" w:lineRule="auto"/>
        <w:ind w:firstLine="6720" w:firstLineChars="2800"/>
        <w:rPr>
          <w:rFonts w:hint="eastAsia" w:ascii="宋体" w:hAnsi="宋体" w:cs="仿宋_GB2312"/>
          <w:color w:val="auto"/>
          <w:kern w:val="0"/>
          <w:sz w:val="24"/>
          <w:szCs w:val="24"/>
          <w:highlight w:val="none"/>
          <w:lang w:val="zh-CN"/>
        </w:rPr>
      </w:pPr>
    </w:p>
    <w:p w14:paraId="405940F3">
      <w:pPr>
        <w:snapToGrid w:val="0"/>
        <w:spacing w:before="120" w:beforeLines="50" w:after="50" w:line="360" w:lineRule="auto"/>
        <w:ind w:firstLine="6720" w:firstLineChars="2800"/>
        <w:rPr>
          <w:rFonts w:hint="eastAsia" w:ascii="宋体" w:hAnsi="宋体" w:cs="仿宋_GB2312"/>
          <w:color w:val="auto"/>
          <w:kern w:val="0"/>
          <w:sz w:val="24"/>
          <w:szCs w:val="24"/>
          <w:highlight w:val="none"/>
          <w:lang w:val="zh-CN" w:eastAsia="zh-CN"/>
        </w:rPr>
      </w:pPr>
    </w:p>
    <w:p w14:paraId="73DFFA35">
      <w:pPr>
        <w:pStyle w:val="23"/>
        <w:snapToGrid w:val="0"/>
        <w:spacing w:line="360" w:lineRule="auto"/>
        <w:ind w:left="480" w:hanging="480"/>
        <w:rPr>
          <w:rFonts w:hint="eastAsia" w:ascii="宋体" w:hAnsi="宋体" w:eastAsia="宋体" w:cs="宋体"/>
          <w:color w:val="auto"/>
          <w:sz w:val="24"/>
          <w:highlight w:val="none"/>
        </w:rPr>
      </w:pPr>
    </w:p>
    <w:p w14:paraId="4558E693">
      <w:pPr>
        <w:jc w:val="center"/>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lang w:val="en-US" w:eastAsia="zh-CN"/>
        </w:rPr>
        <w:t>八</w:t>
      </w:r>
      <w:r>
        <w:rPr>
          <w:rFonts w:hint="eastAsia" w:ascii="仿宋" w:hAnsi="仿宋" w:eastAsia="仿宋" w:cs="仿宋"/>
          <w:b/>
          <w:color w:val="auto"/>
          <w:sz w:val="30"/>
          <w:szCs w:val="30"/>
          <w:highlight w:val="none"/>
        </w:rPr>
        <w:t>、供应商认为需要提供的其他有关资料</w:t>
      </w:r>
    </w:p>
    <w:p w14:paraId="0FBB8168">
      <w:pPr>
        <w:jc w:val="center"/>
        <w:rPr>
          <w:rFonts w:hint="eastAsia" w:ascii="仿宋" w:hAnsi="仿宋" w:eastAsia="仿宋" w:cs="仿宋"/>
          <w:b/>
          <w:color w:val="auto"/>
          <w:sz w:val="30"/>
          <w:szCs w:val="30"/>
          <w:highlight w:val="none"/>
        </w:rPr>
      </w:pPr>
    </w:p>
    <w:p w14:paraId="77BA87F0">
      <w:pPr>
        <w:jc w:val="center"/>
        <w:rPr>
          <w:rFonts w:hint="eastAsia" w:ascii="仿宋" w:hAnsi="仿宋" w:eastAsia="仿宋" w:cs="仿宋"/>
          <w:b/>
          <w:color w:val="auto"/>
          <w:sz w:val="30"/>
          <w:szCs w:val="30"/>
          <w:highlight w:val="none"/>
        </w:rPr>
      </w:pPr>
    </w:p>
    <w:p w14:paraId="00E6E558">
      <w:pPr>
        <w:jc w:val="center"/>
        <w:rPr>
          <w:rFonts w:hint="eastAsia" w:ascii="仿宋" w:hAnsi="仿宋" w:eastAsia="仿宋" w:cs="仿宋"/>
          <w:b/>
          <w:color w:val="auto"/>
          <w:sz w:val="30"/>
          <w:szCs w:val="30"/>
          <w:highlight w:val="none"/>
        </w:rPr>
      </w:pPr>
    </w:p>
    <w:p w14:paraId="469768BB">
      <w:pPr>
        <w:autoSpaceDE w:val="0"/>
        <w:autoSpaceDN w:val="0"/>
        <w:spacing w:line="360" w:lineRule="auto"/>
        <w:ind w:left="4335" w:leftChars="1950" w:hanging="240" w:hanging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供应商名称（电子签章）：</w:t>
      </w:r>
    </w:p>
    <w:p w14:paraId="0F68406D">
      <w:pPr>
        <w:snapToGrid w:val="0"/>
        <w:spacing w:before="120" w:beforeLines="50" w:after="50" w:line="360" w:lineRule="auto"/>
        <w:ind w:firstLine="6720" w:firstLineChars="2800"/>
        <w:rPr>
          <w:rFonts w:hint="eastAsia" w:ascii="宋体" w:hAnsi="宋体" w:cs="仿宋_GB2312"/>
          <w:color w:val="auto"/>
          <w:kern w:val="0"/>
          <w:sz w:val="24"/>
          <w:szCs w:val="24"/>
          <w:highlight w:val="none"/>
          <w:lang w:val="zh-CN"/>
        </w:rPr>
      </w:pPr>
      <w:r>
        <w:rPr>
          <w:rFonts w:hint="eastAsia" w:ascii="仿宋" w:hAnsi="仿宋" w:eastAsia="仿宋" w:cs="仿宋"/>
          <w:color w:val="auto"/>
          <w:kern w:val="0"/>
          <w:sz w:val="24"/>
          <w:szCs w:val="24"/>
          <w:highlight w:val="none"/>
          <w:lang w:val="zh-CN"/>
        </w:rPr>
        <w:t>日期：  年  月   日</w:t>
      </w:r>
    </w:p>
    <w:p w14:paraId="35865DFB">
      <w:pPr>
        <w:jc w:val="center"/>
        <w:rPr>
          <w:rFonts w:hint="eastAsia" w:ascii="宋体" w:hAnsi="宋体" w:cs="宋体"/>
          <w:b/>
          <w:color w:val="auto"/>
          <w:sz w:val="30"/>
          <w:szCs w:val="30"/>
          <w:highlight w:val="none"/>
        </w:rPr>
      </w:pPr>
    </w:p>
    <w:p w14:paraId="2B0523FA">
      <w:pPr>
        <w:jc w:val="center"/>
        <w:rPr>
          <w:rFonts w:hint="eastAsia" w:ascii="宋体" w:hAnsi="宋体" w:cs="宋体"/>
          <w:b/>
          <w:color w:val="auto"/>
          <w:sz w:val="30"/>
          <w:szCs w:val="30"/>
          <w:highlight w:val="none"/>
        </w:rPr>
      </w:pPr>
    </w:p>
    <w:p w14:paraId="0984CC12">
      <w:pPr>
        <w:jc w:val="center"/>
        <w:rPr>
          <w:rFonts w:hint="eastAsia" w:ascii="宋体" w:hAnsi="宋体" w:cs="宋体"/>
          <w:b/>
          <w:color w:val="auto"/>
          <w:sz w:val="30"/>
          <w:szCs w:val="30"/>
          <w:highlight w:val="none"/>
        </w:rPr>
      </w:pPr>
    </w:p>
    <w:p w14:paraId="1EA489F4">
      <w:pPr>
        <w:jc w:val="center"/>
        <w:rPr>
          <w:rFonts w:hint="eastAsia" w:ascii="宋体" w:hAnsi="宋体" w:cs="宋体"/>
          <w:b/>
          <w:color w:val="auto"/>
          <w:sz w:val="30"/>
          <w:szCs w:val="30"/>
          <w:highlight w:val="none"/>
        </w:rPr>
      </w:pPr>
    </w:p>
    <w:p w14:paraId="592FF357">
      <w:pPr>
        <w:pStyle w:val="43"/>
        <w:rPr>
          <w:rFonts w:hint="eastAsia" w:ascii="宋体" w:hAnsi="宋体" w:cs="宋体"/>
          <w:b/>
          <w:color w:val="auto"/>
          <w:sz w:val="30"/>
          <w:szCs w:val="30"/>
          <w:highlight w:val="none"/>
        </w:rPr>
      </w:pPr>
    </w:p>
    <w:p w14:paraId="54E2DFD4">
      <w:pPr>
        <w:pStyle w:val="43"/>
        <w:rPr>
          <w:rFonts w:hint="eastAsia" w:ascii="宋体" w:hAnsi="宋体" w:cs="宋体"/>
          <w:b/>
          <w:color w:val="auto"/>
          <w:sz w:val="30"/>
          <w:szCs w:val="30"/>
          <w:highlight w:val="none"/>
        </w:rPr>
      </w:pPr>
    </w:p>
    <w:p w14:paraId="615E49E3">
      <w:pPr>
        <w:pStyle w:val="43"/>
        <w:rPr>
          <w:rFonts w:hint="eastAsia" w:ascii="宋体" w:hAnsi="宋体" w:cs="宋体"/>
          <w:b/>
          <w:color w:val="auto"/>
          <w:sz w:val="30"/>
          <w:szCs w:val="30"/>
          <w:highlight w:val="none"/>
        </w:rPr>
      </w:pPr>
    </w:p>
    <w:p w14:paraId="12BFD1EB">
      <w:pPr>
        <w:pStyle w:val="43"/>
        <w:rPr>
          <w:rFonts w:hint="eastAsia" w:ascii="宋体" w:hAnsi="宋体" w:cs="宋体"/>
          <w:b/>
          <w:color w:val="auto"/>
          <w:sz w:val="30"/>
          <w:szCs w:val="30"/>
          <w:highlight w:val="none"/>
        </w:rPr>
      </w:pPr>
    </w:p>
    <w:p w14:paraId="7F7E2B6C">
      <w:pPr>
        <w:pStyle w:val="43"/>
        <w:rPr>
          <w:rFonts w:hint="eastAsia" w:ascii="宋体" w:hAnsi="宋体" w:cs="宋体"/>
          <w:b/>
          <w:color w:val="auto"/>
          <w:sz w:val="30"/>
          <w:szCs w:val="30"/>
          <w:highlight w:val="none"/>
        </w:rPr>
      </w:pPr>
    </w:p>
    <w:p w14:paraId="7A91B3EF">
      <w:pPr>
        <w:pStyle w:val="43"/>
        <w:rPr>
          <w:rFonts w:hint="eastAsia" w:ascii="宋体" w:hAnsi="宋体" w:cs="宋体"/>
          <w:b/>
          <w:color w:val="auto"/>
          <w:sz w:val="30"/>
          <w:szCs w:val="30"/>
          <w:highlight w:val="none"/>
        </w:rPr>
      </w:pPr>
    </w:p>
    <w:p w14:paraId="5EA63CB0">
      <w:pPr>
        <w:pStyle w:val="43"/>
        <w:rPr>
          <w:rFonts w:hint="eastAsia" w:ascii="宋体" w:hAnsi="宋体" w:cs="宋体"/>
          <w:b/>
          <w:color w:val="auto"/>
          <w:sz w:val="30"/>
          <w:szCs w:val="30"/>
          <w:highlight w:val="none"/>
        </w:rPr>
      </w:pPr>
    </w:p>
    <w:p w14:paraId="31638BDC">
      <w:pPr>
        <w:pStyle w:val="43"/>
        <w:rPr>
          <w:rFonts w:hint="eastAsia" w:ascii="宋体" w:hAnsi="宋体" w:cs="宋体"/>
          <w:b/>
          <w:color w:val="auto"/>
          <w:sz w:val="30"/>
          <w:szCs w:val="30"/>
          <w:highlight w:val="none"/>
        </w:rPr>
      </w:pPr>
    </w:p>
    <w:p w14:paraId="7C650750">
      <w:pPr>
        <w:pStyle w:val="43"/>
        <w:rPr>
          <w:rFonts w:hint="eastAsia" w:ascii="宋体" w:hAnsi="宋体" w:cs="宋体"/>
          <w:b/>
          <w:color w:val="auto"/>
          <w:sz w:val="30"/>
          <w:szCs w:val="30"/>
          <w:highlight w:val="none"/>
        </w:rPr>
      </w:pPr>
    </w:p>
    <w:p w14:paraId="3F07D017">
      <w:pPr>
        <w:pStyle w:val="43"/>
        <w:rPr>
          <w:rFonts w:hint="eastAsia" w:ascii="宋体" w:hAnsi="宋体" w:cs="宋体"/>
          <w:b/>
          <w:color w:val="auto"/>
          <w:sz w:val="30"/>
          <w:szCs w:val="30"/>
          <w:highlight w:val="none"/>
        </w:rPr>
      </w:pPr>
    </w:p>
    <w:p w14:paraId="7A3B62DE">
      <w:pPr>
        <w:pStyle w:val="43"/>
        <w:rPr>
          <w:rFonts w:hint="eastAsia" w:ascii="宋体" w:hAnsi="宋体" w:cs="宋体"/>
          <w:b/>
          <w:color w:val="auto"/>
          <w:sz w:val="30"/>
          <w:szCs w:val="30"/>
          <w:highlight w:val="none"/>
        </w:rPr>
      </w:pPr>
    </w:p>
    <w:p w14:paraId="2CA2D380">
      <w:pPr>
        <w:pStyle w:val="43"/>
        <w:rPr>
          <w:rFonts w:hint="eastAsia" w:ascii="宋体" w:hAnsi="宋体" w:cs="宋体"/>
          <w:b/>
          <w:color w:val="auto"/>
          <w:sz w:val="30"/>
          <w:szCs w:val="30"/>
          <w:highlight w:val="none"/>
        </w:rPr>
      </w:pPr>
    </w:p>
    <w:p w14:paraId="25359027">
      <w:pPr>
        <w:pStyle w:val="43"/>
        <w:rPr>
          <w:rFonts w:hint="eastAsia" w:ascii="宋体" w:hAnsi="宋体" w:cs="宋体"/>
          <w:b/>
          <w:color w:val="auto"/>
          <w:sz w:val="30"/>
          <w:szCs w:val="30"/>
          <w:highlight w:val="none"/>
        </w:rPr>
      </w:pPr>
    </w:p>
    <w:p w14:paraId="7EF9CF6E">
      <w:pPr>
        <w:pStyle w:val="43"/>
        <w:rPr>
          <w:rFonts w:hint="eastAsia" w:ascii="宋体" w:hAnsi="宋体" w:cs="宋体"/>
          <w:b/>
          <w:color w:val="auto"/>
          <w:sz w:val="30"/>
          <w:szCs w:val="30"/>
          <w:highlight w:val="none"/>
        </w:rPr>
      </w:pPr>
    </w:p>
    <w:p w14:paraId="5C2736C2">
      <w:pPr>
        <w:pStyle w:val="43"/>
        <w:rPr>
          <w:rFonts w:hint="eastAsia" w:ascii="宋体" w:hAnsi="宋体" w:cs="宋体"/>
          <w:b/>
          <w:color w:val="auto"/>
          <w:sz w:val="30"/>
          <w:szCs w:val="30"/>
          <w:highlight w:val="none"/>
        </w:rPr>
      </w:pPr>
    </w:p>
    <w:p w14:paraId="46B157F2">
      <w:pPr>
        <w:pStyle w:val="43"/>
        <w:rPr>
          <w:rFonts w:hint="eastAsia" w:ascii="宋体" w:hAnsi="宋体" w:cs="宋体"/>
          <w:b/>
          <w:color w:val="auto"/>
          <w:sz w:val="30"/>
          <w:szCs w:val="30"/>
          <w:highlight w:val="none"/>
        </w:rPr>
      </w:pPr>
    </w:p>
    <w:p w14:paraId="5AA7B7E8">
      <w:pPr>
        <w:pStyle w:val="43"/>
        <w:rPr>
          <w:rFonts w:hint="eastAsia" w:ascii="宋体" w:hAnsi="宋体" w:cs="宋体"/>
          <w:b/>
          <w:color w:val="auto"/>
          <w:sz w:val="30"/>
          <w:szCs w:val="30"/>
          <w:highlight w:val="none"/>
        </w:rPr>
      </w:pPr>
    </w:p>
    <w:p w14:paraId="0E8C2705">
      <w:pPr>
        <w:pStyle w:val="43"/>
        <w:rPr>
          <w:rFonts w:hint="eastAsia" w:ascii="宋体" w:hAnsi="宋体" w:cs="宋体"/>
          <w:b/>
          <w:color w:val="auto"/>
          <w:sz w:val="30"/>
          <w:szCs w:val="30"/>
          <w:highlight w:val="none"/>
        </w:rPr>
      </w:pPr>
    </w:p>
    <w:p w14:paraId="683FD001">
      <w:pPr>
        <w:pStyle w:val="43"/>
        <w:rPr>
          <w:rFonts w:hint="eastAsia" w:ascii="宋体" w:hAnsi="宋体" w:cs="宋体"/>
          <w:b/>
          <w:color w:val="auto"/>
          <w:sz w:val="30"/>
          <w:szCs w:val="30"/>
          <w:highlight w:val="none"/>
        </w:rPr>
      </w:pPr>
    </w:p>
    <w:p w14:paraId="01972F7D">
      <w:pPr>
        <w:pStyle w:val="43"/>
        <w:rPr>
          <w:rFonts w:hint="eastAsia" w:ascii="宋体" w:hAnsi="宋体" w:cs="宋体"/>
          <w:b/>
          <w:color w:val="auto"/>
          <w:sz w:val="30"/>
          <w:szCs w:val="30"/>
          <w:highlight w:val="none"/>
        </w:rPr>
      </w:pPr>
    </w:p>
    <w:p w14:paraId="00AFEFE3">
      <w:pPr>
        <w:pStyle w:val="43"/>
        <w:rPr>
          <w:rFonts w:hint="eastAsia" w:ascii="宋体" w:hAnsi="宋体" w:cs="宋体"/>
          <w:b/>
          <w:color w:val="auto"/>
          <w:sz w:val="30"/>
          <w:szCs w:val="30"/>
          <w:highlight w:val="none"/>
        </w:rPr>
      </w:pPr>
    </w:p>
    <w:p w14:paraId="26164BD2">
      <w:pPr>
        <w:pStyle w:val="43"/>
        <w:rPr>
          <w:rFonts w:hint="eastAsia" w:ascii="宋体" w:hAnsi="宋体" w:cs="宋体"/>
          <w:b/>
          <w:color w:val="auto"/>
          <w:sz w:val="30"/>
          <w:szCs w:val="30"/>
          <w:highlight w:val="none"/>
        </w:rPr>
      </w:pPr>
    </w:p>
    <w:p w14:paraId="50E68EBC">
      <w:pPr>
        <w:pStyle w:val="43"/>
        <w:rPr>
          <w:rFonts w:hint="eastAsia" w:ascii="宋体" w:hAnsi="宋体" w:cs="宋体"/>
          <w:b/>
          <w:color w:val="auto"/>
          <w:sz w:val="30"/>
          <w:szCs w:val="30"/>
          <w:highlight w:val="none"/>
        </w:rPr>
      </w:pPr>
    </w:p>
    <w:p w14:paraId="63ADE0F2">
      <w:pPr>
        <w:jc w:val="both"/>
        <w:rPr>
          <w:rFonts w:hint="eastAsia" w:ascii="仿宋" w:hAnsi="仿宋" w:eastAsia="仿宋" w:cs="仿宋"/>
          <w:b/>
          <w:color w:val="auto"/>
          <w:sz w:val="30"/>
          <w:szCs w:val="30"/>
          <w:highlight w:val="none"/>
          <w:lang w:eastAsia="zh-CN"/>
        </w:rPr>
      </w:pPr>
      <w:r>
        <w:rPr>
          <w:rFonts w:hint="eastAsia" w:ascii="仿宋" w:hAnsi="仿宋" w:eastAsia="仿宋" w:cs="仿宋"/>
          <w:b/>
          <w:color w:val="auto"/>
          <w:sz w:val="30"/>
          <w:szCs w:val="30"/>
          <w:highlight w:val="none"/>
          <w:lang w:val="en-US" w:eastAsia="zh-CN"/>
        </w:rPr>
        <w:t>九</w:t>
      </w:r>
      <w:r>
        <w:rPr>
          <w:rFonts w:hint="eastAsia" w:ascii="仿宋" w:hAnsi="仿宋" w:eastAsia="仿宋" w:cs="仿宋"/>
          <w:b/>
          <w:color w:val="auto"/>
          <w:sz w:val="30"/>
          <w:szCs w:val="30"/>
          <w:highlight w:val="none"/>
          <w:lang w:eastAsia="zh-CN"/>
        </w:rPr>
        <w:t>、技术需求偏离表</w:t>
      </w:r>
    </w:p>
    <w:p w14:paraId="299E6474">
      <w:pPr>
        <w:jc w:val="center"/>
        <w:rPr>
          <w:rFonts w:hint="eastAsia" w:ascii="宋体" w:hAnsi="宋体" w:cs="宋体"/>
          <w:b/>
          <w:color w:val="auto"/>
          <w:sz w:val="30"/>
          <w:szCs w:val="30"/>
          <w:highlight w:val="none"/>
          <w:lang w:eastAsia="zh-CN"/>
        </w:rPr>
      </w:pPr>
    </w:p>
    <w:p w14:paraId="3F31D698">
      <w:pPr>
        <w:spacing w:line="360" w:lineRule="auto"/>
        <w:jc w:val="center"/>
        <w:rPr>
          <w:rFonts w:hint="eastAsia" w:ascii="宋体" w:hAnsi="宋体" w:eastAsia="宋体" w:cs="宋体"/>
          <w:bCs/>
          <w:color w:val="auto"/>
          <w:sz w:val="36"/>
          <w:szCs w:val="36"/>
          <w:highlight w:val="none"/>
        </w:rPr>
      </w:pPr>
      <w:r>
        <w:rPr>
          <w:rFonts w:hint="eastAsia" w:ascii="方正小标宋简体" w:hAnsi="方正小标宋简体" w:eastAsia="方正小标宋简体" w:cs="方正小标宋简体"/>
          <w:bCs/>
          <w:color w:val="auto"/>
          <w:sz w:val="44"/>
          <w:szCs w:val="44"/>
          <w:highlight w:val="none"/>
          <w:lang w:eastAsia="zh-CN"/>
        </w:rPr>
        <w:t>技术</w:t>
      </w:r>
      <w:r>
        <w:rPr>
          <w:rFonts w:hint="eastAsia" w:ascii="方正小标宋简体" w:hAnsi="方正小标宋简体" w:eastAsia="方正小标宋简体" w:cs="方正小标宋简体"/>
          <w:bCs/>
          <w:color w:val="auto"/>
          <w:sz w:val="44"/>
          <w:szCs w:val="44"/>
          <w:highlight w:val="none"/>
        </w:rPr>
        <w:t>需求偏离表</w:t>
      </w:r>
    </w:p>
    <w:p w14:paraId="7FED677F">
      <w:pPr>
        <w:pStyle w:val="11"/>
        <w:pageBreakBefore w:val="0"/>
        <w:kinsoku/>
        <w:overflowPunct/>
        <w:topLinePunct w:val="0"/>
        <w:bidi w:val="0"/>
        <w:spacing w:after="0"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kern w:val="0"/>
          <w:sz w:val="21"/>
          <w:szCs w:val="21"/>
          <w:highlight w:val="none"/>
        </w:rPr>
        <w:t>分标号（此处有分标时填写具体分标号，无分标时填写“无”）：</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 w:val="24"/>
          <w:highlight w:val="none"/>
          <w:u w:val="single"/>
        </w:rPr>
        <w:t xml:space="preserve"> </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0"/>
        <w:gridCol w:w="1502"/>
        <w:gridCol w:w="790"/>
        <w:gridCol w:w="1692"/>
        <w:gridCol w:w="1318"/>
        <w:gridCol w:w="763"/>
        <w:gridCol w:w="1400"/>
        <w:gridCol w:w="1225"/>
      </w:tblGrid>
      <w:tr w14:paraId="27516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620" w:type="dxa"/>
            <w:vMerge w:val="restart"/>
            <w:tcBorders>
              <w:top w:val="single" w:color="auto" w:sz="4" w:space="0"/>
              <w:left w:val="single" w:color="auto" w:sz="4" w:space="0"/>
              <w:bottom w:val="single" w:color="auto" w:sz="4" w:space="0"/>
              <w:right w:val="single" w:color="auto" w:sz="4" w:space="0"/>
            </w:tcBorders>
            <w:noWrap w:val="0"/>
            <w:vAlign w:val="center"/>
          </w:tcPr>
          <w:p w14:paraId="023D7313">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984" w:type="dxa"/>
            <w:gridSpan w:val="3"/>
            <w:tcBorders>
              <w:top w:val="single" w:color="auto" w:sz="4" w:space="0"/>
              <w:left w:val="single" w:color="auto" w:sz="4" w:space="0"/>
              <w:bottom w:val="single" w:color="auto" w:sz="4" w:space="0"/>
              <w:right w:val="single" w:color="auto" w:sz="4" w:space="0"/>
            </w:tcBorders>
            <w:noWrap w:val="0"/>
            <w:vAlign w:val="center"/>
          </w:tcPr>
          <w:p w14:paraId="65F8CC7C">
            <w:pPr>
              <w:pageBreakBefore w:val="0"/>
              <w:kinsoku/>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竞争性磋商采购文件需求</w:t>
            </w:r>
          </w:p>
        </w:tc>
        <w:tc>
          <w:tcPr>
            <w:tcW w:w="3481" w:type="dxa"/>
            <w:gridSpan w:val="3"/>
            <w:tcBorders>
              <w:top w:val="single" w:color="auto" w:sz="4" w:space="0"/>
              <w:left w:val="single" w:color="auto" w:sz="4" w:space="0"/>
              <w:bottom w:val="single" w:color="auto" w:sz="4" w:space="0"/>
              <w:right w:val="single" w:color="auto" w:sz="4" w:space="0"/>
            </w:tcBorders>
            <w:noWrap w:val="0"/>
            <w:vAlign w:val="center"/>
          </w:tcPr>
          <w:p w14:paraId="4437CAE2">
            <w:pPr>
              <w:pageBreakBefore w:val="0"/>
              <w:kinsoku/>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响应文件承诺</w:t>
            </w:r>
          </w:p>
        </w:tc>
        <w:tc>
          <w:tcPr>
            <w:tcW w:w="1225" w:type="dxa"/>
            <w:vMerge w:val="restart"/>
            <w:tcBorders>
              <w:top w:val="single" w:color="auto" w:sz="4" w:space="0"/>
              <w:left w:val="single" w:color="auto" w:sz="4" w:space="0"/>
              <w:bottom w:val="single" w:color="auto" w:sz="4" w:space="0"/>
              <w:right w:val="single" w:color="auto" w:sz="4" w:space="0"/>
            </w:tcBorders>
            <w:noWrap w:val="0"/>
            <w:vAlign w:val="center"/>
          </w:tcPr>
          <w:p w14:paraId="590FF241">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3CD5D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jc w:val="center"/>
        </w:trPr>
        <w:tc>
          <w:tcPr>
            <w:tcW w:w="620" w:type="dxa"/>
            <w:vMerge w:val="continue"/>
            <w:tcBorders>
              <w:top w:val="single" w:color="auto" w:sz="4" w:space="0"/>
              <w:left w:val="single" w:color="auto" w:sz="4" w:space="0"/>
              <w:bottom w:val="single" w:color="auto" w:sz="4" w:space="0"/>
              <w:right w:val="single" w:color="auto" w:sz="4" w:space="0"/>
            </w:tcBorders>
            <w:noWrap w:val="0"/>
            <w:vAlign w:val="center"/>
          </w:tcPr>
          <w:p w14:paraId="12DE5EB1">
            <w:pPr>
              <w:pageBreakBefore w:val="0"/>
              <w:widowControl/>
              <w:kinsoku/>
              <w:overflowPunct/>
              <w:topLinePunct w:val="0"/>
              <w:bidi w:val="0"/>
              <w:spacing w:line="360" w:lineRule="auto"/>
              <w:jc w:val="left"/>
              <w:rPr>
                <w:rFonts w:hint="eastAsia" w:ascii="宋体" w:hAnsi="宋体" w:eastAsia="宋体" w:cs="宋体"/>
                <w:color w:val="auto"/>
                <w:szCs w:val="21"/>
                <w:highlight w:val="none"/>
              </w:rPr>
            </w:pPr>
          </w:p>
        </w:tc>
        <w:tc>
          <w:tcPr>
            <w:tcW w:w="1502" w:type="dxa"/>
            <w:tcBorders>
              <w:top w:val="single" w:color="auto" w:sz="4" w:space="0"/>
              <w:left w:val="single" w:color="auto" w:sz="4" w:space="0"/>
              <w:bottom w:val="single" w:color="auto" w:sz="4" w:space="0"/>
              <w:right w:val="single" w:color="auto" w:sz="4" w:space="0"/>
            </w:tcBorders>
            <w:noWrap w:val="0"/>
            <w:vAlign w:val="center"/>
          </w:tcPr>
          <w:p w14:paraId="53467249">
            <w:pPr>
              <w:spacing w:line="240" w:lineRule="auto"/>
              <w:jc w:val="center"/>
              <w:rPr>
                <w:rFonts w:hint="eastAsia" w:ascii="宋体" w:hAnsi="宋体" w:eastAsia="宋体" w:cs="宋体"/>
                <w:color w:val="auto"/>
                <w:szCs w:val="21"/>
                <w:highlight w:val="none"/>
              </w:rPr>
            </w:pPr>
            <w:r>
              <w:rPr>
                <w:rFonts w:hint="eastAsia" w:ascii="宋体" w:hAnsi="宋体" w:cs="宋体"/>
                <w:color w:val="auto"/>
                <w:szCs w:val="21"/>
                <w:highlight w:val="none"/>
              </w:rPr>
              <w:t>标的的名称</w:t>
            </w:r>
          </w:p>
        </w:tc>
        <w:tc>
          <w:tcPr>
            <w:tcW w:w="790" w:type="dxa"/>
            <w:tcBorders>
              <w:top w:val="single" w:color="auto" w:sz="4" w:space="0"/>
              <w:left w:val="single" w:color="auto" w:sz="4" w:space="0"/>
              <w:bottom w:val="single" w:color="auto" w:sz="4" w:space="0"/>
              <w:right w:val="single" w:color="auto" w:sz="4" w:space="0"/>
            </w:tcBorders>
            <w:noWrap w:val="0"/>
            <w:vAlign w:val="center"/>
          </w:tcPr>
          <w:p w14:paraId="0FDE8250">
            <w:pPr>
              <w:spacing w:line="240" w:lineRule="auto"/>
              <w:jc w:val="center"/>
              <w:rPr>
                <w:rFonts w:hint="eastAsia" w:ascii="宋体" w:hAnsi="宋体" w:eastAsia="宋体" w:cs="宋体"/>
                <w:color w:val="auto"/>
                <w:szCs w:val="21"/>
                <w:highlight w:val="none"/>
              </w:rPr>
            </w:pPr>
            <w:r>
              <w:rPr>
                <w:rFonts w:hint="eastAsia" w:ascii="宋体" w:hAnsi="宋体" w:cs="宋体"/>
                <w:color w:val="auto"/>
                <w:szCs w:val="21"/>
                <w:highlight w:val="none"/>
              </w:rPr>
              <w:t>数量</w:t>
            </w:r>
            <w:r>
              <w:rPr>
                <w:rFonts w:ascii="宋体" w:hAnsi="宋体" w:cs="宋体"/>
                <w:color w:val="auto"/>
                <w:szCs w:val="21"/>
                <w:highlight w:val="none"/>
              </w:rPr>
              <w:t>及单位</w:t>
            </w:r>
          </w:p>
        </w:tc>
        <w:tc>
          <w:tcPr>
            <w:tcW w:w="1692" w:type="dxa"/>
            <w:tcBorders>
              <w:top w:val="single" w:color="auto" w:sz="4" w:space="0"/>
              <w:left w:val="single" w:color="auto" w:sz="4" w:space="0"/>
              <w:bottom w:val="single" w:color="auto" w:sz="4" w:space="0"/>
              <w:right w:val="single" w:color="auto" w:sz="4" w:space="0"/>
            </w:tcBorders>
            <w:noWrap w:val="0"/>
            <w:vAlign w:val="center"/>
          </w:tcPr>
          <w:p w14:paraId="2561735C">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工程概况及采购范围</w:t>
            </w:r>
          </w:p>
        </w:tc>
        <w:tc>
          <w:tcPr>
            <w:tcW w:w="1318" w:type="dxa"/>
            <w:tcBorders>
              <w:top w:val="single" w:color="auto" w:sz="4" w:space="0"/>
              <w:left w:val="single" w:color="auto" w:sz="4" w:space="0"/>
              <w:bottom w:val="single" w:color="auto" w:sz="4" w:space="0"/>
              <w:right w:val="single" w:color="auto" w:sz="4" w:space="0"/>
            </w:tcBorders>
            <w:noWrap w:val="0"/>
            <w:vAlign w:val="center"/>
          </w:tcPr>
          <w:p w14:paraId="21F98783">
            <w:pPr>
              <w:spacing w:line="240" w:lineRule="auto"/>
              <w:jc w:val="center"/>
              <w:rPr>
                <w:rFonts w:hint="eastAsia" w:ascii="宋体" w:hAnsi="宋体" w:eastAsia="宋体" w:cs="宋体"/>
                <w:color w:val="auto"/>
                <w:szCs w:val="21"/>
                <w:highlight w:val="none"/>
              </w:rPr>
            </w:pPr>
            <w:r>
              <w:rPr>
                <w:rFonts w:hint="eastAsia" w:ascii="宋体" w:hAnsi="宋体" w:cs="宋体"/>
                <w:color w:val="auto"/>
                <w:szCs w:val="21"/>
                <w:highlight w:val="none"/>
              </w:rPr>
              <w:t>标的的名称</w:t>
            </w:r>
          </w:p>
        </w:tc>
        <w:tc>
          <w:tcPr>
            <w:tcW w:w="763" w:type="dxa"/>
            <w:tcBorders>
              <w:top w:val="single" w:color="auto" w:sz="4" w:space="0"/>
              <w:left w:val="single" w:color="auto" w:sz="4" w:space="0"/>
              <w:bottom w:val="single" w:color="auto" w:sz="4" w:space="0"/>
              <w:right w:val="single" w:color="auto" w:sz="4" w:space="0"/>
            </w:tcBorders>
            <w:noWrap w:val="0"/>
            <w:vAlign w:val="center"/>
          </w:tcPr>
          <w:p w14:paraId="0FC65DDB">
            <w:pPr>
              <w:spacing w:line="240" w:lineRule="auto"/>
              <w:jc w:val="center"/>
              <w:rPr>
                <w:rFonts w:hint="eastAsia" w:ascii="宋体" w:hAnsi="宋体" w:eastAsia="宋体" w:cs="宋体"/>
                <w:color w:val="auto"/>
                <w:szCs w:val="21"/>
                <w:highlight w:val="none"/>
              </w:rPr>
            </w:pPr>
            <w:r>
              <w:rPr>
                <w:rFonts w:hint="eastAsia" w:ascii="宋体" w:hAnsi="宋体" w:cs="宋体"/>
                <w:color w:val="auto"/>
                <w:szCs w:val="21"/>
                <w:highlight w:val="none"/>
              </w:rPr>
              <w:t>数量</w:t>
            </w:r>
            <w:r>
              <w:rPr>
                <w:rFonts w:ascii="宋体" w:hAnsi="宋体" w:cs="宋体"/>
                <w:color w:val="auto"/>
                <w:szCs w:val="21"/>
                <w:highlight w:val="none"/>
              </w:rPr>
              <w:t>及单位</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4AC8D112">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承诺的工程概况及采购范围</w:t>
            </w:r>
          </w:p>
        </w:tc>
        <w:tc>
          <w:tcPr>
            <w:tcW w:w="1225" w:type="dxa"/>
            <w:vMerge w:val="continue"/>
            <w:tcBorders>
              <w:top w:val="single" w:color="auto" w:sz="4" w:space="0"/>
              <w:left w:val="single" w:color="auto" w:sz="4" w:space="0"/>
              <w:bottom w:val="single" w:color="auto" w:sz="4" w:space="0"/>
              <w:right w:val="single" w:color="auto" w:sz="4" w:space="0"/>
            </w:tcBorders>
            <w:noWrap w:val="0"/>
            <w:vAlign w:val="center"/>
          </w:tcPr>
          <w:p w14:paraId="6B1C72ED">
            <w:pPr>
              <w:pageBreakBefore w:val="0"/>
              <w:widowControl/>
              <w:kinsoku/>
              <w:overflowPunct/>
              <w:topLinePunct w:val="0"/>
              <w:bidi w:val="0"/>
              <w:spacing w:line="360" w:lineRule="auto"/>
              <w:jc w:val="left"/>
              <w:rPr>
                <w:rFonts w:hint="eastAsia" w:ascii="宋体" w:hAnsi="宋体" w:eastAsia="宋体" w:cs="宋体"/>
                <w:color w:val="auto"/>
                <w:szCs w:val="21"/>
                <w:highlight w:val="none"/>
              </w:rPr>
            </w:pPr>
          </w:p>
        </w:tc>
      </w:tr>
      <w:tr w14:paraId="48BFA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9" w:hRule="atLeast"/>
          <w:jc w:val="center"/>
        </w:trPr>
        <w:tc>
          <w:tcPr>
            <w:tcW w:w="620" w:type="dxa"/>
            <w:tcBorders>
              <w:top w:val="single" w:color="auto" w:sz="4" w:space="0"/>
              <w:left w:val="single" w:color="auto" w:sz="4" w:space="0"/>
              <w:bottom w:val="single" w:color="auto" w:sz="4" w:space="0"/>
              <w:right w:val="single" w:color="auto" w:sz="4" w:space="0"/>
            </w:tcBorders>
            <w:noWrap w:val="0"/>
            <w:vAlign w:val="center"/>
          </w:tcPr>
          <w:p w14:paraId="1FACD361">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02" w:type="dxa"/>
            <w:tcBorders>
              <w:top w:val="single" w:color="auto" w:sz="4" w:space="0"/>
              <w:left w:val="single" w:color="auto" w:sz="4" w:space="0"/>
              <w:bottom w:val="single" w:color="auto" w:sz="4" w:space="0"/>
              <w:right w:val="single" w:color="auto" w:sz="4" w:space="0"/>
            </w:tcBorders>
            <w:noWrap w:val="0"/>
            <w:vAlign w:val="center"/>
          </w:tcPr>
          <w:p w14:paraId="4DE6F23E">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790" w:type="dxa"/>
            <w:tcBorders>
              <w:top w:val="single" w:color="auto" w:sz="4" w:space="0"/>
              <w:left w:val="single" w:color="auto" w:sz="4" w:space="0"/>
              <w:bottom w:val="single" w:color="auto" w:sz="4" w:space="0"/>
              <w:right w:val="single" w:color="auto" w:sz="4" w:space="0"/>
            </w:tcBorders>
            <w:noWrap w:val="0"/>
            <w:vAlign w:val="center"/>
          </w:tcPr>
          <w:p w14:paraId="4B799D3F">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692" w:type="dxa"/>
            <w:tcBorders>
              <w:top w:val="single" w:color="auto" w:sz="4" w:space="0"/>
              <w:left w:val="single" w:color="auto" w:sz="4" w:space="0"/>
              <w:bottom w:val="single" w:color="auto" w:sz="4" w:space="0"/>
              <w:right w:val="single" w:color="auto" w:sz="4" w:space="0"/>
            </w:tcBorders>
            <w:noWrap w:val="0"/>
            <w:vAlign w:val="center"/>
          </w:tcPr>
          <w:p w14:paraId="5B62925C">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39FD662B">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5B634636">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1420A431">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318" w:type="dxa"/>
            <w:tcBorders>
              <w:top w:val="single" w:color="auto" w:sz="4" w:space="0"/>
              <w:left w:val="single" w:color="auto" w:sz="4" w:space="0"/>
              <w:bottom w:val="single" w:color="auto" w:sz="4" w:space="0"/>
              <w:right w:val="single" w:color="auto" w:sz="4" w:space="0"/>
            </w:tcBorders>
            <w:noWrap w:val="0"/>
            <w:vAlign w:val="center"/>
          </w:tcPr>
          <w:p w14:paraId="501A9173">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763" w:type="dxa"/>
            <w:tcBorders>
              <w:top w:val="single" w:color="auto" w:sz="4" w:space="0"/>
              <w:left w:val="single" w:color="auto" w:sz="4" w:space="0"/>
              <w:bottom w:val="single" w:color="auto" w:sz="4" w:space="0"/>
              <w:right w:val="single" w:color="auto" w:sz="4" w:space="0"/>
            </w:tcBorders>
            <w:noWrap w:val="0"/>
            <w:vAlign w:val="center"/>
          </w:tcPr>
          <w:p w14:paraId="547E9942">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7F81EA3D">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63E4A99A">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6A03B524">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22D7734D">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25" w:type="dxa"/>
            <w:tcBorders>
              <w:top w:val="single" w:color="auto" w:sz="4" w:space="0"/>
              <w:left w:val="single" w:color="auto" w:sz="4" w:space="0"/>
              <w:bottom w:val="single" w:color="auto" w:sz="4" w:space="0"/>
              <w:right w:val="single" w:color="auto" w:sz="4" w:space="0"/>
            </w:tcBorders>
            <w:noWrap w:val="0"/>
            <w:vAlign w:val="center"/>
          </w:tcPr>
          <w:p w14:paraId="1344BA80">
            <w:pPr>
              <w:pageBreakBefore w:val="0"/>
              <w:kinsoku/>
              <w:overflowPunct/>
              <w:topLinePunct w:val="0"/>
              <w:bidi w:val="0"/>
              <w:spacing w:line="360" w:lineRule="auto"/>
              <w:rPr>
                <w:rFonts w:hint="eastAsia" w:ascii="宋体" w:hAnsi="宋体" w:eastAsia="宋体" w:cs="宋体"/>
                <w:color w:val="auto"/>
                <w:szCs w:val="21"/>
                <w:highlight w:val="none"/>
              </w:rPr>
            </w:pPr>
          </w:p>
        </w:tc>
      </w:tr>
      <w:tr w14:paraId="5E180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620" w:type="dxa"/>
            <w:tcBorders>
              <w:top w:val="single" w:color="auto" w:sz="4" w:space="0"/>
              <w:left w:val="single" w:color="auto" w:sz="4" w:space="0"/>
              <w:bottom w:val="single" w:color="auto" w:sz="4" w:space="0"/>
              <w:right w:val="single" w:color="auto" w:sz="4" w:space="0"/>
            </w:tcBorders>
            <w:noWrap w:val="0"/>
            <w:vAlign w:val="center"/>
          </w:tcPr>
          <w:p w14:paraId="7BE81AEF">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02" w:type="dxa"/>
            <w:tcBorders>
              <w:top w:val="single" w:color="auto" w:sz="4" w:space="0"/>
              <w:left w:val="single" w:color="auto" w:sz="4" w:space="0"/>
              <w:bottom w:val="single" w:color="auto" w:sz="4" w:space="0"/>
              <w:right w:val="single" w:color="auto" w:sz="4" w:space="0"/>
            </w:tcBorders>
            <w:noWrap w:val="0"/>
            <w:vAlign w:val="center"/>
          </w:tcPr>
          <w:p w14:paraId="0DC8531C">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790" w:type="dxa"/>
            <w:tcBorders>
              <w:top w:val="single" w:color="auto" w:sz="4" w:space="0"/>
              <w:left w:val="single" w:color="auto" w:sz="4" w:space="0"/>
              <w:bottom w:val="single" w:color="auto" w:sz="4" w:space="0"/>
              <w:right w:val="single" w:color="auto" w:sz="4" w:space="0"/>
            </w:tcBorders>
            <w:noWrap w:val="0"/>
            <w:vAlign w:val="center"/>
          </w:tcPr>
          <w:p w14:paraId="586CC254">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692" w:type="dxa"/>
            <w:tcBorders>
              <w:top w:val="single" w:color="auto" w:sz="4" w:space="0"/>
              <w:left w:val="single" w:color="auto" w:sz="4" w:space="0"/>
              <w:bottom w:val="single" w:color="auto" w:sz="4" w:space="0"/>
              <w:right w:val="single" w:color="auto" w:sz="4" w:space="0"/>
            </w:tcBorders>
            <w:noWrap w:val="0"/>
            <w:vAlign w:val="center"/>
          </w:tcPr>
          <w:p w14:paraId="6786BCF3">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72C37407">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0F853315">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5835BC9D">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318" w:type="dxa"/>
            <w:tcBorders>
              <w:top w:val="single" w:color="auto" w:sz="4" w:space="0"/>
              <w:left w:val="single" w:color="auto" w:sz="4" w:space="0"/>
              <w:bottom w:val="single" w:color="auto" w:sz="4" w:space="0"/>
              <w:right w:val="single" w:color="auto" w:sz="4" w:space="0"/>
            </w:tcBorders>
            <w:noWrap w:val="0"/>
            <w:vAlign w:val="center"/>
          </w:tcPr>
          <w:p w14:paraId="0EF182E6">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763" w:type="dxa"/>
            <w:tcBorders>
              <w:top w:val="single" w:color="auto" w:sz="4" w:space="0"/>
              <w:left w:val="single" w:color="auto" w:sz="4" w:space="0"/>
              <w:bottom w:val="single" w:color="auto" w:sz="4" w:space="0"/>
              <w:right w:val="single" w:color="auto" w:sz="4" w:space="0"/>
            </w:tcBorders>
            <w:noWrap w:val="0"/>
            <w:vAlign w:val="center"/>
          </w:tcPr>
          <w:p w14:paraId="3479FE81">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7B736F77">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64FBA482">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671E5565">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21B8AB8">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25" w:type="dxa"/>
            <w:tcBorders>
              <w:top w:val="single" w:color="auto" w:sz="4" w:space="0"/>
              <w:left w:val="single" w:color="auto" w:sz="4" w:space="0"/>
              <w:bottom w:val="single" w:color="auto" w:sz="4" w:space="0"/>
              <w:right w:val="single" w:color="auto" w:sz="4" w:space="0"/>
            </w:tcBorders>
            <w:noWrap w:val="0"/>
            <w:vAlign w:val="center"/>
          </w:tcPr>
          <w:p w14:paraId="0D825C4E">
            <w:pPr>
              <w:pageBreakBefore w:val="0"/>
              <w:kinsoku/>
              <w:overflowPunct/>
              <w:topLinePunct w:val="0"/>
              <w:bidi w:val="0"/>
              <w:spacing w:line="360" w:lineRule="auto"/>
              <w:rPr>
                <w:rFonts w:hint="eastAsia" w:ascii="宋体" w:hAnsi="宋体" w:eastAsia="宋体" w:cs="宋体"/>
                <w:color w:val="auto"/>
                <w:szCs w:val="21"/>
                <w:highlight w:val="none"/>
              </w:rPr>
            </w:pPr>
          </w:p>
        </w:tc>
      </w:tr>
      <w:tr w14:paraId="4BC01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20" w:type="dxa"/>
            <w:tcBorders>
              <w:top w:val="single" w:color="auto" w:sz="4" w:space="0"/>
              <w:left w:val="single" w:color="auto" w:sz="4" w:space="0"/>
              <w:bottom w:val="single" w:color="auto" w:sz="4" w:space="0"/>
              <w:right w:val="single" w:color="auto" w:sz="4" w:space="0"/>
            </w:tcBorders>
            <w:noWrap w:val="0"/>
            <w:vAlign w:val="center"/>
          </w:tcPr>
          <w:p w14:paraId="5ABD3A43">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502" w:type="dxa"/>
            <w:tcBorders>
              <w:top w:val="single" w:color="auto" w:sz="4" w:space="0"/>
              <w:left w:val="single" w:color="auto" w:sz="4" w:space="0"/>
              <w:bottom w:val="single" w:color="auto" w:sz="4" w:space="0"/>
              <w:right w:val="single" w:color="auto" w:sz="4" w:space="0"/>
            </w:tcBorders>
            <w:noWrap w:val="0"/>
            <w:vAlign w:val="center"/>
          </w:tcPr>
          <w:p w14:paraId="024C8352">
            <w:pPr>
              <w:pageBreakBefore w:val="0"/>
              <w:kinsoku/>
              <w:overflowPunct/>
              <w:topLinePunct w:val="0"/>
              <w:bidi w:val="0"/>
              <w:spacing w:line="360" w:lineRule="auto"/>
              <w:rPr>
                <w:rFonts w:hint="eastAsia" w:ascii="宋体" w:hAnsi="宋体" w:eastAsia="宋体" w:cs="宋体"/>
                <w:color w:val="auto"/>
                <w:szCs w:val="21"/>
                <w:highlight w:val="none"/>
              </w:rPr>
            </w:pPr>
          </w:p>
        </w:tc>
        <w:tc>
          <w:tcPr>
            <w:tcW w:w="790" w:type="dxa"/>
            <w:tcBorders>
              <w:top w:val="single" w:color="auto" w:sz="4" w:space="0"/>
              <w:left w:val="single" w:color="auto" w:sz="4" w:space="0"/>
              <w:bottom w:val="single" w:color="auto" w:sz="4" w:space="0"/>
              <w:right w:val="single" w:color="auto" w:sz="4" w:space="0"/>
            </w:tcBorders>
            <w:noWrap w:val="0"/>
            <w:vAlign w:val="center"/>
          </w:tcPr>
          <w:p w14:paraId="6DC232DA">
            <w:pPr>
              <w:pageBreakBefore w:val="0"/>
              <w:kinsoku/>
              <w:overflowPunct/>
              <w:topLinePunct w:val="0"/>
              <w:bidi w:val="0"/>
              <w:spacing w:line="360" w:lineRule="auto"/>
              <w:rPr>
                <w:rFonts w:hint="eastAsia" w:ascii="宋体" w:hAnsi="宋体" w:eastAsia="宋体" w:cs="宋体"/>
                <w:color w:val="auto"/>
                <w:szCs w:val="21"/>
                <w:highlight w:val="none"/>
              </w:rPr>
            </w:pPr>
          </w:p>
        </w:tc>
        <w:tc>
          <w:tcPr>
            <w:tcW w:w="1692" w:type="dxa"/>
            <w:tcBorders>
              <w:top w:val="single" w:color="auto" w:sz="4" w:space="0"/>
              <w:left w:val="single" w:color="auto" w:sz="4" w:space="0"/>
              <w:bottom w:val="single" w:color="auto" w:sz="4" w:space="0"/>
              <w:right w:val="single" w:color="auto" w:sz="4" w:space="0"/>
            </w:tcBorders>
            <w:noWrap w:val="0"/>
            <w:vAlign w:val="center"/>
          </w:tcPr>
          <w:p w14:paraId="4039026D">
            <w:pPr>
              <w:pageBreakBefore w:val="0"/>
              <w:kinsoku/>
              <w:overflowPunct/>
              <w:topLinePunct w:val="0"/>
              <w:bidi w:val="0"/>
              <w:spacing w:line="360" w:lineRule="auto"/>
              <w:rPr>
                <w:rFonts w:hint="eastAsia" w:ascii="宋体" w:hAnsi="宋体" w:eastAsia="宋体" w:cs="宋体"/>
                <w:color w:val="auto"/>
                <w:szCs w:val="21"/>
                <w:highlight w:val="none"/>
              </w:rPr>
            </w:pPr>
          </w:p>
        </w:tc>
        <w:tc>
          <w:tcPr>
            <w:tcW w:w="1318" w:type="dxa"/>
            <w:tcBorders>
              <w:top w:val="single" w:color="auto" w:sz="4" w:space="0"/>
              <w:left w:val="single" w:color="auto" w:sz="4" w:space="0"/>
              <w:bottom w:val="single" w:color="auto" w:sz="4" w:space="0"/>
              <w:right w:val="single" w:color="auto" w:sz="4" w:space="0"/>
            </w:tcBorders>
            <w:noWrap w:val="0"/>
            <w:vAlign w:val="center"/>
          </w:tcPr>
          <w:p w14:paraId="4928AEF2">
            <w:pPr>
              <w:pageBreakBefore w:val="0"/>
              <w:kinsoku/>
              <w:overflowPunct/>
              <w:topLinePunct w:val="0"/>
              <w:bidi w:val="0"/>
              <w:spacing w:line="360" w:lineRule="auto"/>
              <w:rPr>
                <w:rFonts w:hint="eastAsia" w:ascii="宋体" w:hAnsi="宋体" w:eastAsia="宋体" w:cs="宋体"/>
                <w:color w:val="auto"/>
                <w:szCs w:val="21"/>
                <w:highlight w:val="none"/>
              </w:rPr>
            </w:pPr>
          </w:p>
        </w:tc>
        <w:tc>
          <w:tcPr>
            <w:tcW w:w="763" w:type="dxa"/>
            <w:tcBorders>
              <w:top w:val="single" w:color="auto" w:sz="4" w:space="0"/>
              <w:left w:val="single" w:color="auto" w:sz="4" w:space="0"/>
              <w:bottom w:val="single" w:color="auto" w:sz="4" w:space="0"/>
              <w:right w:val="single" w:color="auto" w:sz="4" w:space="0"/>
            </w:tcBorders>
            <w:noWrap w:val="0"/>
            <w:vAlign w:val="center"/>
          </w:tcPr>
          <w:p w14:paraId="078CAB26">
            <w:pPr>
              <w:pageBreakBefore w:val="0"/>
              <w:kinsoku/>
              <w:overflowPunct/>
              <w:topLinePunct w:val="0"/>
              <w:bidi w:val="0"/>
              <w:spacing w:line="360" w:lineRule="auto"/>
              <w:rPr>
                <w:rFonts w:hint="eastAsia" w:ascii="宋体" w:hAnsi="宋体" w:eastAsia="宋体" w:cs="宋体"/>
                <w:color w:val="auto"/>
                <w:szCs w:val="21"/>
                <w:highlight w:val="none"/>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14:paraId="17317677">
            <w:pPr>
              <w:pageBreakBefore w:val="0"/>
              <w:kinsoku/>
              <w:overflowPunct/>
              <w:topLinePunct w:val="0"/>
              <w:bidi w:val="0"/>
              <w:spacing w:line="360" w:lineRule="auto"/>
              <w:rPr>
                <w:rFonts w:hint="eastAsia" w:ascii="宋体" w:hAnsi="宋体" w:eastAsia="宋体" w:cs="宋体"/>
                <w:color w:val="auto"/>
                <w:szCs w:val="21"/>
                <w:highlight w:val="none"/>
              </w:rPr>
            </w:pPr>
          </w:p>
        </w:tc>
        <w:tc>
          <w:tcPr>
            <w:tcW w:w="1225" w:type="dxa"/>
            <w:tcBorders>
              <w:top w:val="single" w:color="auto" w:sz="4" w:space="0"/>
              <w:left w:val="single" w:color="auto" w:sz="4" w:space="0"/>
              <w:bottom w:val="single" w:color="auto" w:sz="4" w:space="0"/>
              <w:right w:val="single" w:color="auto" w:sz="4" w:space="0"/>
            </w:tcBorders>
            <w:noWrap w:val="0"/>
            <w:vAlign w:val="center"/>
          </w:tcPr>
          <w:p w14:paraId="5CD29EDF">
            <w:pPr>
              <w:pageBreakBefore w:val="0"/>
              <w:kinsoku/>
              <w:overflowPunct/>
              <w:topLinePunct w:val="0"/>
              <w:bidi w:val="0"/>
              <w:spacing w:line="360" w:lineRule="auto"/>
              <w:rPr>
                <w:rFonts w:hint="eastAsia" w:ascii="宋体" w:hAnsi="宋体" w:eastAsia="宋体" w:cs="宋体"/>
                <w:color w:val="auto"/>
                <w:szCs w:val="21"/>
                <w:highlight w:val="none"/>
              </w:rPr>
            </w:pPr>
          </w:p>
        </w:tc>
      </w:tr>
    </w:tbl>
    <w:p w14:paraId="74CF010D">
      <w:pPr>
        <w:pStyle w:val="11"/>
        <w:pageBreakBefore w:val="0"/>
        <w:kinsoku/>
        <w:overflowPunct/>
        <w:topLinePunct w:val="0"/>
        <w:bidi w:val="0"/>
        <w:spacing w:after="0" w:line="360" w:lineRule="auto"/>
        <w:contextualSpacing/>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w:t>
      </w:r>
    </w:p>
    <w:p w14:paraId="7C6F9B57">
      <w:pPr>
        <w:pStyle w:val="11"/>
        <w:pageBreakBefore w:val="0"/>
        <w:kinsoku/>
        <w:overflowPunct/>
        <w:topLinePunct w:val="0"/>
        <w:bidi w:val="0"/>
        <w:spacing w:after="0" w:line="360" w:lineRule="auto"/>
        <w:contextualSpacing/>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1.说明：应对照磋商文件</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第二章</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中</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需求</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的工程概况及采购范围逐条作出明确响应，并作出偏离说明。</w:t>
      </w:r>
    </w:p>
    <w:p w14:paraId="2FF6A21E">
      <w:pPr>
        <w:pStyle w:val="13"/>
        <w:pageBreakBefore w:val="0"/>
        <w:kinsoku/>
        <w:overflowPunct/>
        <w:topLinePunct w:val="0"/>
        <w:bidi w:val="0"/>
        <w:spacing w:line="360" w:lineRule="auto"/>
        <w:ind w:firstLine="0" w:firstLineChars="0"/>
        <w:contextualSpacing/>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2.供应商应根据自身的承诺，对照磋商文件要求，在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偏离说明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中注明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正偏离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负偏离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或者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无偏离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。既不属于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正偏离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也不属于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负偏离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即为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无偏离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当响应文件的商务内容低于竞争性磋商采购文件要求时，竞标人应当如实写明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负偏离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，否则视为虚假应标</w:t>
      </w:r>
      <w:r>
        <w:rPr>
          <w:rFonts w:hint="eastAsia" w:ascii="宋体" w:hAnsi="宋体" w:eastAsia="宋体" w:cs="宋体"/>
          <w:color w:val="auto"/>
          <w:sz w:val="21"/>
          <w:szCs w:val="21"/>
          <w:highlight w:val="none"/>
          <w:lang w:eastAsia="zh-CN"/>
        </w:rPr>
        <w:t>。</w:t>
      </w:r>
    </w:p>
    <w:p w14:paraId="15D8CDB8">
      <w:pPr>
        <w:pageBreakBefore w:val="0"/>
        <w:kinsoku/>
        <w:overflowPunct/>
        <w:topLinePunct w:val="0"/>
        <w:bidi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3.表格内容均需按要求填写并盖章，不得留空，否则按竞标无效处理。</w:t>
      </w:r>
    </w:p>
    <w:p w14:paraId="3052DAC2">
      <w:pPr>
        <w:pageBreakBefore w:val="0"/>
        <w:kinsoku/>
        <w:overflowPunct/>
        <w:topLinePunct w:val="0"/>
        <w:bidi w:val="0"/>
        <w:spacing w:line="360" w:lineRule="auto"/>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14:paraId="2832BCA4">
      <w:pPr>
        <w:pageBreakBefore w:val="0"/>
        <w:kinsoku/>
        <w:overflowPunct/>
        <w:topLinePunct w:val="0"/>
        <w:bidi w:val="0"/>
        <w:spacing w:line="360" w:lineRule="auto"/>
        <w:contextualSpacing/>
        <w:rPr>
          <w:rFonts w:hint="eastAsia" w:ascii="宋体" w:hAnsi="宋体" w:eastAsia="宋体" w:cs="宋体"/>
          <w:b/>
          <w:color w:val="auto"/>
          <w:sz w:val="30"/>
          <w:szCs w:val="30"/>
          <w:highlight w:val="none"/>
        </w:rPr>
      </w:pPr>
      <w:r>
        <w:rPr>
          <w:rFonts w:hint="eastAsia" w:ascii="宋体" w:hAnsi="宋体" w:eastAsia="宋体" w:cs="宋体"/>
          <w:color w:val="auto"/>
          <w:kern w:val="0"/>
          <w:szCs w:val="21"/>
          <w:highlight w:val="none"/>
        </w:rPr>
        <w:t>5. 如技术偏离表中的竞标响应与佐证材料不一致的，以佐证材料为准。</w:t>
      </w:r>
    </w:p>
    <w:p w14:paraId="3BB852F3">
      <w:pPr>
        <w:pageBreakBefore w:val="0"/>
        <w:kinsoku/>
        <w:overflowPunct/>
        <w:topLinePunct w:val="0"/>
        <w:autoSpaceDE w:val="0"/>
        <w:autoSpaceDN w:val="0"/>
        <w:bidi w:val="0"/>
        <w:spacing w:line="360" w:lineRule="auto"/>
        <w:ind w:left="4334" w:leftChars="2064" w:firstLine="720" w:firstLineChars="3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35608812">
      <w:pPr>
        <w:pageBreakBefore w:val="0"/>
        <w:kinsoku/>
        <w:overflowPunct/>
        <w:topLinePunct w:val="0"/>
        <w:autoSpaceDE w:val="0"/>
        <w:autoSpaceDN w:val="0"/>
        <w:bidi w:val="0"/>
        <w:spacing w:line="360" w:lineRule="auto"/>
        <w:ind w:firstLine="7440" w:firstLineChars="31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日期：  年  月   日</w:t>
      </w:r>
    </w:p>
    <w:p w14:paraId="11A2ECCE">
      <w:pPr>
        <w:pageBreakBefore w:val="0"/>
        <w:kinsoku/>
        <w:overflowPunct/>
        <w:topLinePunct w:val="0"/>
        <w:autoSpaceDE w:val="0"/>
        <w:autoSpaceDN w:val="0"/>
        <w:bidi w:val="0"/>
        <w:spacing w:line="360" w:lineRule="auto"/>
        <w:ind w:firstLine="7440" w:firstLineChars="3100"/>
        <w:rPr>
          <w:rFonts w:hint="eastAsia" w:ascii="仿宋" w:hAnsi="仿宋" w:eastAsia="仿宋" w:cs="仿宋"/>
          <w:color w:val="auto"/>
          <w:kern w:val="0"/>
          <w:sz w:val="24"/>
          <w:highlight w:val="none"/>
          <w:lang w:val="zh-CN"/>
        </w:rPr>
      </w:pPr>
    </w:p>
    <w:p w14:paraId="5DE58A48">
      <w:pPr>
        <w:jc w:val="center"/>
        <w:rPr>
          <w:rFonts w:hint="eastAsia" w:ascii="宋体" w:hAnsi="宋体" w:cs="宋体"/>
          <w:b/>
          <w:color w:val="auto"/>
          <w:sz w:val="30"/>
          <w:szCs w:val="30"/>
          <w:highlight w:val="none"/>
          <w:lang w:eastAsia="zh-CN"/>
        </w:rPr>
      </w:pPr>
      <w:r>
        <w:rPr>
          <w:rFonts w:hint="eastAsia" w:ascii="仿宋" w:hAnsi="仿宋" w:eastAsia="仿宋" w:cs="仿宋"/>
          <w:b/>
          <w:color w:val="auto"/>
          <w:sz w:val="30"/>
          <w:szCs w:val="30"/>
          <w:highlight w:val="none"/>
          <w:lang w:val="en-US" w:eastAsia="zh-CN"/>
        </w:rPr>
        <w:t>十</w:t>
      </w:r>
      <w:r>
        <w:rPr>
          <w:rFonts w:hint="eastAsia" w:ascii="仿宋" w:hAnsi="仿宋" w:eastAsia="仿宋" w:cs="仿宋"/>
          <w:b/>
          <w:color w:val="auto"/>
          <w:sz w:val="30"/>
          <w:szCs w:val="30"/>
          <w:highlight w:val="none"/>
          <w:lang w:eastAsia="zh-CN"/>
        </w:rPr>
        <w:t>、施工组织设计</w:t>
      </w:r>
    </w:p>
    <w:p w14:paraId="34E66877">
      <w:pPr>
        <w:autoSpaceDE w:val="0"/>
        <w:autoSpaceDN w:val="0"/>
        <w:spacing w:line="360" w:lineRule="auto"/>
        <w:jc w:val="center"/>
        <w:outlineLvl w:val="9"/>
        <w:rPr>
          <w:rFonts w:hint="eastAsia" w:ascii="宋体" w:hAnsi="宋体" w:eastAsia="宋体" w:cs="仿宋_GB2312"/>
          <w:color w:val="auto"/>
          <w:sz w:val="24"/>
          <w:highlight w:val="none"/>
        </w:rPr>
      </w:pPr>
      <w:r>
        <w:rPr>
          <w:rFonts w:hint="eastAsia" w:ascii="宋体" w:hAnsi="宋体" w:eastAsia="宋体" w:cs="仿宋_GB2312"/>
          <w:color w:val="auto"/>
          <w:sz w:val="24"/>
          <w:highlight w:val="none"/>
        </w:rPr>
        <w:t>（格式自拟</w:t>
      </w:r>
      <w:r>
        <w:rPr>
          <w:rFonts w:hint="eastAsia" w:ascii="宋体" w:hAnsi="宋体" w:eastAsia="宋体" w:cs="仿宋_GB2312"/>
          <w:color w:val="auto"/>
          <w:sz w:val="24"/>
          <w:highlight w:val="none"/>
          <w:lang w:eastAsia="zh-CN"/>
        </w:rPr>
        <w:t>，</w:t>
      </w:r>
      <w:r>
        <w:rPr>
          <w:rFonts w:hint="eastAsia" w:ascii="宋体" w:hAnsi="宋体" w:eastAsia="宋体" w:cs="仿宋_GB2312"/>
          <w:color w:val="auto"/>
          <w:sz w:val="24"/>
          <w:highlight w:val="none"/>
        </w:rPr>
        <w:t>由供应商根据采购需求及采购文件要求编制）</w:t>
      </w:r>
    </w:p>
    <w:p w14:paraId="71E6CC9A">
      <w:pPr>
        <w:spacing w:line="500" w:lineRule="exact"/>
        <w:rPr>
          <w:rFonts w:ascii="宋体" w:hAnsi="宋体" w:cs="仿宋_GB2312"/>
          <w:color w:val="auto"/>
          <w:sz w:val="32"/>
          <w:szCs w:val="32"/>
          <w:highlight w:val="none"/>
        </w:rPr>
      </w:pPr>
    </w:p>
    <w:p w14:paraId="5C0412CE">
      <w:pPr>
        <w:pStyle w:val="51"/>
        <w:rPr>
          <w:color w:val="auto"/>
          <w:highlight w:val="none"/>
        </w:rPr>
      </w:pPr>
    </w:p>
    <w:p w14:paraId="797183C7">
      <w:pPr>
        <w:autoSpaceDE w:val="0"/>
        <w:autoSpaceDN w:val="0"/>
        <w:spacing w:line="360" w:lineRule="auto"/>
        <w:ind w:left="4335" w:leftChars="1950" w:hanging="240" w:hangingChars="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6860FB77">
      <w:pPr>
        <w:autoSpaceDE w:val="0"/>
        <w:autoSpaceDN w:val="0"/>
        <w:spacing w:line="360" w:lineRule="auto"/>
        <w:ind w:firstLine="6480" w:firstLineChars="2700"/>
        <w:rPr>
          <w:rFonts w:hint="eastAsia" w:ascii="仿宋" w:hAnsi="仿宋" w:eastAsia="仿宋" w:cs="仿宋"/>
          <w:b/>
          <w:bCs/>
          <w:color w:val="auto"/>
          <w:sz w:val="24"/>
          <w:highlight w:val="none"/>
        </w:rPr>
      </w:pPr>
      <w:r>
        <w:rPr>
          <w:rFonts w:hint="eastAsia" w:ascii="仿宋" w:hAnsi="仿宋" w:eastAsia="仿宋" w:cs="仿宋"/>
          <w:color w:val="auto"/>
          <w:kern w:val="0"/>
          <w:sz w:val="24"/>
          <w:highlight w:val="none"/>
          <w:lang w:val="zh-CN"/>
        </w:rPr>
        <w:t>日期：  年  月   日</w:t>
      </w:r>
    </w:p>
    <w:p w14:paraId="343EB2D8">
      <w:pPr>
        <w:jc w:val="center"/>
        <w:rPr>
          <w:rFonts w:hint="eastAsia" w:ascii="宋体" w:hAnsi="宋体" w:cs="宋体"/>
          <w:b/>
          <w:color w:val="auto"/>
          <w:sz w:val="30"/>
          <w:szCs w:val="30"/>
          <w:highlight w:val="none"/>
          <w:lang w:eastAsia="zh-CN"/>
        </w:rPr>
      </w:pPr>
    </w:p>
    <w:p w14:paraId="421F2BD6">
      <w:pPr>
        <w:jc w:val="center"/>
        <w:rPr>
          <w:rFonts w:hint="eastAsia" w:ascii="宋体" w:hAnsi="宋体" w:cs="宋体"/>
          <w:b/>
          <w:color w:val="auto"/>
          <w:sz w:val="30"/>
          <w:szCs w:val="30"/>
          <w:highlight w:val="none"/>
          <w:lang w:eastAsia="zh-CN"/>
        </w:rPr>
      </w:pPr>
    </w:p>
    <w:p w14:paraId="3F2438D5">
      <w:pPr>
        <w:jc w:val="center"/>
        <w:rPr>
          <w:rFonts w:hint="eastAsia" w:ascii="宋体" w:hAnsi="宋体" w:cs="宋体"/>
          <w:b/>
          <w:color w:val="auto"/>
          <w:sz w:val="30"/>
          <w:szCs w:val="30"/>
          <w:highlight w:val="none"/>
          <w:lang w:eastAsia="zh-CN"/>
        </w:rPr>
      </w:pPr>
    </w:p>
    <w:p w14:paraId="5F91C901">
      <w:pPr>
        <w:snapToGrid w:val="0"/>
        <w:spacing w:line="360" w:lineRule="auto"/>
        <w:ind w:left="480" w:firstLine="0" w:firstLineChars="0"/>
        <w:jc w:val="center"/>
        <w:rPr>
          <w:rFonts w:hint="eastAsia" w:ascii="宋体" w:hAnsi="宋体" w:eastAsia="宋体" w:cs="宋体"/>
          <w:b/>
          <w:color w:val="auto"/>
          <w:sz w:val="30"/>
          <w:szCs w:val="30"/>
          <w:highlight w:val="none"/>
          <w:lang w:val="en-US"/>
        </w:rPr>
      </w:pPr>
      <w:r>
        <w:rPr>
          <w:rFonts w:hint="eastAsia" w:ascii="仿宋" w:hAnsi="仿宋" w:eastAsia="仿宋" w:cs="仿宋"/>
          <w:b/>
          <w:color w:val="auto"/>
          <w:sz w:val="28"/>
          <w:szCs w:val="28"/>
          <w:highlight w:val="none"/>
          <w:lang w:val="en-US" w:eastAsia="zh-CN"/>
        </w:rPr>
        <w:t>十一</w:t>
      </w:r>
      <w:r>
        <w:rPr>
          <w:rFonts w:hint="eastAsia" w:ascii="仿宋" w:hAnsi="仿宋" w:eastAsia="仿宋" w:cs="仿宋"/>
          <w:b/>
          <w:color w:val="auto"/>
          <w:sz w:val="28"/>
          <w:szCs w:val="28"/>
          <w:highlight w:val="none"/>
        </w:rPr>
        <w:t>、项目管理机构配备情况表</w:t>
      </w:r>
    </w:p>
    <w:p w14:paraId="16BC4453">
      <w:pPr>
        <w:widowControl/>
        <w:rPr>
          <w:rFonts w:hint="eastAsia" w:ascii="宋体" w:hAnsi="宋体" w:cs="宋体"/>
          <w:color w:val="auto"/>
          <w:szCs w:val="21"/>
          <w:highlight w:val="none"/>
          <w:u w:val="single"/>
        </w:rPr>
      </w:pPr>
    </w:p>
    <w:p w14:paraId="5388B40C">
      <w:pPr>
        <w:widowControl/>
        <w:ind w:firstLine="210" w:firstLineChars="100"/>
        <w:rPr>
          <w:rFonts w:hint="eastAsia" w:ascii="宋体" w:hAnsi="宋体" w:cs="宋体"/>
          <w:color w:val="auto"/>
          <w:szCs w:val="21"/>
          <w:highlight w:val="none"/>
          <w:u w:val="single"/>
          <w:lang w:eastAsia="zh-CN"/>
        </w:rPr>
      </w:pPr>
      <w:r>
        <w:rPr>
          <w:rFonts w:hint="eastAsia" w:ascii="宋体" w:hAnsi="宋体" w:cs="宋体"/>
          <w:color w:val="auto"/>
          <w:szCs w:val="21"/>
          <w:highlight w:val="none"/>
          <w:u w:val="single"/>
        </w:rPr>
        <w:t>项目名称</w:t>
      </w:r>
      <w:r>
        <w:rPr>
          <w:rFonts w:hint="eastAsia" w:ascii="宋体" w:hAnsi="宋体" w:cs="宋体"/>
          <w:color w:val="auto"/>
          <w:szCs w:val="21"/>
          <w:highlight w:val="none"/>
          <w:u w:val="single"/>
          <w:lang w:eastAsia="zh-CN"/>
        </w:rPr>
        <w:t>：隆安县屏山乡刘家村刘家屯农田水利设施项目</w:t>
      </w:r>
    </w:p>
    <w:p w14:paraId="37C194E0">
      <w:pPr>
        <w:widowControl/>
        <w:ind w:firstLine="210" w:firstLineChars="100"/>
        <w:rPr>
          <w:rFonts w:hint="eastAsia" w:ascii="宋体" w:hAnsi="宋体" w:cs="宋体"/>
          <w:color w:val="auto"/>
          <w:szCs w:val="21"/>
          <w:highlight w:val="none"/>
          <w:u w:val="single"/>
          <w:lang w:val="en-US" w:eastAsia="zh-CN"/>
        </w:rPr>
      </w:pPr>
    </w:p>
    <w:p w14:paraId="59F6AD35">
      <w:pPr>
        <w:widowControl/>
        <w:ind w:firstLine="210" w:firstLineChars="100"/>
        <w:rPr>
          <w:rFonts w:hint="eastAsia" w:ascii="宋体" w:hAnsi="宋体" w:cs="宋体"/>
          <w:color w:val="auto"/>
          <w:szCs w:val="21"/>
          <w:highlight w:val="none"/>
          <w:u w:val="single"/>
          <w:lang w:val="en-US" w:eastAsia="zh-CN"/>
        </w:rPr>
      </w:pPr>
      <w:r>
        <w:rPr>
          <w:rFonts w:hint="eastAsia" w:ascii="宋体" w:hAnsi="宋体" w:cs="宋体"/>
          <w:color w:val="auto"/>
          <w:szCs w:val="21"/>
          <w:highlight w:val="none"/>
          <w:u w:val="single"/>
          <w:lang w:val="en-US" w:eastAsia="zh-CN"/>
        </w:rPr>
        <w:t xml:space="preserve"> 项目编号：NNZC2026-C2-230022-JHGC                        </w:t>
      </w:r>
    </w:p>
    <w:p w14:paraId="68DF7F99">
      <w:pPr>
        <w:widowControl/>
        <w:ind w:firstLine="210" w:firstLineChars="100"/>
        <w:rPr>
          <w:rFonts w:hint="default" w:ascii="宋体" w:hAnsi="宋体" w:cs="宋体"/>
          <w:color w:val="auto"/>
          <w:szCs w:val="21"/>
          <w:highlight w:val="none"/>
          <w:u w:val="single"/>
          <w:lang w:val="en-US" w:eastAsia="zh-CN"/>
        </w:rPr>
      </w:pPr>
    </w:p>
    <w:tbl>
      <w:tblPr>
        <w:tblStyle w:val="27"/>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4"/>
        <w:gridCol w:w="830"/>
        <w:gridCol w:w="817"/>
        <w:gridCol w:w="1148"/>
        <w:gridCol w:w="1148"/>
        <w:gridCol w:w="1148"/>
        <w:gridCol w:w="1148"/>
        <w:gridCol w:w="850"/>
        <w:gridCol w:w="1277"/>
      </w:tblGrid>
      <w:tr w14:paraId="08909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93" w:type="dxa"/>
            <w:vMerge w:val="restart"/>
            <w:tcBorders>
              <w:top w:val="single" w:color="auto" w:sz="4" w:space="0"/>
              <w:left w:val="single" w:color="auto" w:sz="4" w:space="0"/>
              <w:bottom w:val="single" w:color="auto" w:sz="4" w:space="0"/>
              <w:right w:val="single" w:color="auto" w:sz="4" w:space="0"/>
            </w:tcBorders>
            <w:noWrap w:val="0"/>
            <w:vAlign w:val="center"/>
          </w:tcPr>
          <w:p w14:paraId="52069857">
            <w:pPr>
              <w:ind w:left="223" w:hanging="222" w:hangingChars="106"/>
              <w:jc w:val="center"/>
              <w:rPr>
                <w:rFonts w:ascii="宋体" w:hAnsi="宋体"/>
                <w:color w:val="auto"/>
                <w:szCs w:val="21"/>
                <w:highlight w:val="none"/>
              </w:rPr>
            </w:pPr>
            <w:r>
              <w:rPr>
                <w:rFonts w:hint="eastAsia" w:ascii="宋体" w:hAnsi="宋体" w:cs="宋体"/>
                <w:color w:val="auto"/>
                <w:szCs w:val="21"/>
                <w:highlight w:val="none"/>
              </w:rPr>
              <w:t>岗位</w:t>
            </w:r>
          </w:p>
        </w:tc>
        <w:tc>
          <w:tcPr>
            <w:tcW w:w="829" w:type="dxa"/>
            <w:vMerge w:val="restart"/>
            <w:tcBorders>
              <w:top w:val="single" w:color="auto" w:sz="4" w:space="0"/>
              <w:left w:val="single" w:color="auto" w:sz="4" w:space="0"/>
              <w:bottom w:val="single" w:color="auto" w:sz="4" w:space="0"/>
              <w:right w:val="single" w:color="auto" w:sz="4" w:space="0"/>
            </w:tcBorders>
            <w:noWrap w:val="0"/>
            <w:vAlign w:val="center"/>
          </w:tcPr>
          <w:p w14:paraId="793C16E0">
            <w:pPr>
              <w:ind w:left="223" w:hanging="222" w:hangingChars="106"/>
              <w:jc w:val="center"/>
              <w:rPr>
                <w:rFonts w:ascii="宋体" w:hAnsi="宋体"/>
                <w:color w:val="auto"/>
                <w:szCs w:val="21"/>
                <w:highlight w:val="none"/>
              </w:rPr>
            </w:pPr>
            <w:r>
              <w:rPr>
                <w:rFonts w:hint="eastAsia" w:ascii="宋体" w:hAnsi="宋体" w:cs="宋体"/>
                <w:color w:val="auto"/>
                <w:szCs w:val="21"/>
                <w:highlight w:val="none"/>
              </w:rPr>
              <w:t>姓名</w:t>
            </w:r>
          </w:p>
        </w:tc>
        <w:tc>
          <w:tcPr>
            <w:tcW w:w="816" w:type="dxa"/>
            <w:vMerge w:val="restart"/>
            <w:tcBorders>
              <w:top w:val="single" w:color="auto" w:sz="4" w:space="0"/>
              <w:left w:val="single" w:color="auto" w:sz="4" w:space="0"/>
              <w:bottom w:val="single" w:color="auto" w:sz="4" w:space="0"/>
              <w:right w:val="single" w:color="auto" w:sz="4" w:space="0"/>
            </w:tcBorders>
            <w:noWrap w:val="0"/>
            <w:vAlign w:val="center"/>
          </w:tcPr>
          <w:p w14:paraId="1AFD9B6C">
            <w:pPr>
              <w:ind w:left="223" w:hanging="222" w:hangingChars="106"/>
              <w:jc w:val="center"/>
              <w:rPr>
                <w:rFonts w:ascii="宋体" w:hAnsi="宋体"/>
                <w:color w:val="auto"/>
                <w:szCs w:val="21"/>
                <w:highlight w:val="none"/>
              </w:rPr>
            </w:pPr>
            <w:r>
              <w:rPr>
                <w:rFonts w:hint="eastAsia" w:ascii="宋体" w:hAnsi="宋体" w:cs="宋体"/>
                <w:color w:val="auto"/>
                <w:szCs w:val="21"/>
                <w:highlight w:val="none"/>
              </w:rPr>
              <w:t>职称</w:t>
            </w:r>
          </w:p>
        </w:tc>
        <w:tc>
          <w:tcPr>
            <w:tcW w:w="4592" w:type="dxa"/>
            <w:gridSpan w:val="4"/>
            <w:tcBorders>
              <w:top w:val="single" w:color="auto" w:sz="4" w:space="0"/>
              <w:left w:val="single" w:color="auto" w:sz="4" w:space="0"/>
              <w:bottom w:val="single" w:color="auto" w:sz="4" w:space="0"/>
              <w:right w:val="single" w:color="auto" w:sz="4" w:space="0"/>
            </w:tcBorders>
            <w:noWrap w:val="0"/>
            <w:vAlign w:val="center"/>
          </w:tcPr>
          <w:p w14:paraId="4AA3992B">
            <w:pPr>
              <w:ind w:left="223" w:hanging="222" w:hangingChars="106"/>
              <w:jc w:val="center"/>
              <w:rPr>
                <w:rFonts w:ascii="宋体" w:hAnsi="宋体"/>
                <w:color w:val="auto"/>
                <w:szCs w:val="21"/>
                <w:highlight w:val="none"/>
              </w:rPr>
            </w:pPr>
            <w:r>
              <w:rPr>
                <w:rFonts w:hint="eastAsia" w:ascii="宋体" w:hAnsi="宋体" w:cs="宋体"/>
                <w:color w:val="auto"/>
                <w:szCs w:val="21"/>
                <w:highlight w:val="none"/>
              </w:rPr>
              <w:t>执业或职业资格证明</w:t>
            </w: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14:paraId="2E2F93C9">
            <w:pPr>
              <w:ind w:left="223" w:hanging="222" w:hangingChars="106"/>
              <w:jc w:val="center"/>
              <w:rPr>
                <w:rFonts w:ascii="宋体" w:hAnsi="宋体"/>
                <w:color w:val="auto"/>
                <w:szCs w:val="21"/>
                <w:highlight w:val="none"/>
              </w:rPr>
            </w:pPr>
            <w:r>
              <w:rPr>
                <w:rFonts w:hint="eastAsia" w:ascii="宋体" w:hAnsi="宋体" w:cs="宋体"/>
                <w:color w:val="auto"/>
                <w:szCs w:val="21"/>
                <w:highlight w:val="none"/>
              </w:rPr>
              <w:t>承担完工工程情况</w:t>
            </w:r>
          </w:p>
        </w:tc>
      </w:tr>
      <w:tr w14:paraId="209D6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93" w:type="dxa"/>
            <w:vMerge w:val="continue"/>
            <w:tcBorders>
              <w:top w:val="single" w:color="auto" w:sz="4" w:space="0"/>
              <w:left w:val="single" w:color="auto" w:sz="4" w:space="0"/>
              <w:bottom w:val="single" w:color="auto" w:sz="4" w:space="0"/>
              <w:right w:val="single" w:color="auto" w:sz="4" w:space="0"/>
            </w:tcBorders>
            <w:noWrap w:val="0"/>
            <w:vAlign w:val="center"/>
          </w:tcPr>
          <w:p w14:paraId="642C6136">
            <w:pPr>
              <w:rPr>
                <w:rFonts w:ascii="宋体" w:hAnsi="宋体"/>
                <w:color w:val="auto"/>
                <w:szCs w:val="21"/>
                <w:highlight w:val="none"/>
              </w:rPr>
            </w:pPr>
          </w:p>
        </w:tc>
        <w:tc>
          <w:tcPr>
            <w:tcW w:w="829" w:type="dxa"/>
            <w:vMerge w:val="continue"/>
            <w:tcBorders>
              <w:top w:val="single" w:color="auto" w:sz="4" w:space="0"/>
              <w:left w:val="single" w:color="auto" w:sz="4" w:space="0"/>
              <w:bottom w:val="single" w:color="auto" w:sz="4" w:space="0"/>
              <w:right w:val="single" w:color="auto" w:sz="4" w:space="0"/>
            </w:tcBorders>
            <w:noWrap w:val="0"/>
            <w:vAlign w:val="center"/>
          </w:tcPr>
          <w:p w14:paraId="52BE22EB">
            <w:pPr>
              <w:rPr>
                <w:rFonts w:ascii="宋体" w:hAnsi="宋体"/>
                <w:color w:val="auto"/>
                <w:szCs w:val="21"/>
                <w:highlight w:val="none"/>
              </w:rPr>
            </w:pPr>
          </w:p>
        </w:tc>
        <w:tc>
          <w:tcPr>
            <w:tcW w:w="816" w:type="dxa"/>
            <w:vMerge w:val="continue"/>
            <w:tcBorders>
              <w:top w:val="single" w:color="auto" w:sz="4" w:space="0"/>
              <w:left w:val="single" w:color="auto" w:sz="4" w:space="0"/>
              <w:bottom w:val="single" w:color="auto" w:sz="4" w:space="0"/>
              <w:right w:val="single" w:color="auto" w:sz="4" w:space="0"/>
            </w:tcBorders>
            <w:noWrap w:val="0"/>
            <w:vAlign w:val="center"/>
          </w:tcPr>
          <w:p w14:paraId="230D196D">
            <w:pP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73119F8">
            <w:pPr>
              <w:ind w:left="223" w:hanging="222" w:hangingChars="106"/>
              <w:jc w:val="center"/>
              <w:rPr>
                <w:rFonts w:ascii="宋体" w:hAnsi="宋体"/>
                <w:color w:val="auto"/>
                <w:szCs w:val="21"/>
                <w:highlight w:val="none"/>
              </w:rPr>
            </w:pPr>
            <w:r>
              <w:rPr>
                <w:rFonts w:hint="eastAsia" w:ascii="宋体" w:hAnsi="宋体" w:cs="宋体"/>
                <w:color w:val="auto"/>
                <w:szCs w:val="21"/>
                <w:highlight w:val="none"/>
              </w:rPr>
              <w:t>证书名称</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16662C9">
            <w:pPr>
              <w:ind w:left="223" w:hanging="222" w:hangingChars="106"/>
              <w:jc w:val="center"/>
              <w:rPr>
                <w:rFonts w:ascii="宋体" w:hAnsi="宋体"/>
                <w:color w:val="auto"/>
                <w:szCs w:val="21"/>
                <w:highlight w:val="none"/>
              </w:rPr>
            </w:pPr>
            <w:r>
              <w:rPr>
                <w:rFonts w:hint="eastAsia" w:ascii="宋体" w:hAnsi="宋体" w:cs="宋体"/>
                <w:color w:val="auto"/>
                <w:szCs w:val="21"/>
                <w:highlight w:val="none"/>
              </w:rPr>
              <w:t>级别</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0B0F98F">
            <w:pPr>
              <w:ind w:left="223" w:hanging="222" w:hangingChars="106"/>
              <w:jc w:val="center"/>
              <w:rPr>
                <w:rFonts w:ascii="宋体" w:hAnsi="宋体"/>
                <w:color w:val="auto"/>
                <w:szCs w:val="21"/>
                <w:highlight w:val="none"/>
              </w:rPr>
            </w:pPr>
            <w:r>
              <w:rPr>
                <w:rFonts w:hint="eastAsia" w:ascii="宋体" w:hAnsi="宋体" w:cs="宋体"/>
                <w:color w:val="auto"/>
                <w:szCs w:val="21"/>
                <w:highlight w:val="none"/>
              </w:rPr>
              <w:t>证号</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3F4A6D8">
            <w:pPr>
              <w:ind w:left="223" w:hanging="222" w:hangingChars="106"/>
              <w:jc w:val="center"/>
              <w:rPr>
                <w:rFonts w:ascii="宋体" w:hAnsi="宋体"/>
                <w:color w:val="auto"/>
                <w:szCs w:val="21"/>
                <w:highlight w:val="none"/>
              </w:rPr>
            </w:pPr>
            <w:r>
              <w:rPr>
                <w:rFonts w:hint="eastAsia" w:ascii="宋体" w:hAnsi="宋体" w:cs="宋体"/>
                <w:color w:val="auto"/>
                <w:szCs w:val="21"/>
                <w:highlight w:val="none"/>
              </w:rPr>
              <w:t>专业</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49120A5B">
            <w:pPr>
              <w:ind w:left="223" w:hanging="222" w:hangingChars="106"/>
              <w:jc w:val="center"/>
              <w:rPr>
                <w:rFonts w:ascii="宋体" w:hAnsi="宋体"/>
                <w:color w:val="auto"/>
                <w:szCs w:val="21"/>
                <w:highlight w:val="none"/>
              </w:rPr>
            </w:pPr>
            <w:r>
              <w:rPr>
                <w:rFonts w:hint="eastAsia" w:ascii="宋体" w:hAnsi="宋体" w:cs="宋体"/>
                <w:color w:val="auto"/>
                <w:szCs w:val="21"/>
                <w:highlight w:val="none"/>
              </w:rPr>
              <w:t>项目数</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4DDED1E">
            <w:pPr>
              <w:ind w:left="223" w:hanging="222" w:hangingChars="106"/>
              <w:jc w:val="center"/>
              <w:rPr>
                <w:rFonts w:ascii="宋体" w:hAnsi="宋体"/>
                <w:color w:val="auto"/>
                <w:szCs w:val="21"/>
                <w:highlight w:val="none"/>
              </w:rPr>
            </w:pPr>
            <w:r>
              <w:rPr>
                <w:rFonts w:hint="eastAsia" w:ascii="宋体" w:hAnsi="宋体" w:cs="宋体"/>
                <w:color w:val="auto"/>
                <w:szCs w:val="21"/>
                <w:highlight w:val="none"/>
              </w:rPr>
              <w:t>主要项目</w:t>
            </w:r>
          </w:p>
          <w:p w14:paraId="7A0DC0BB">
            <w:pPr>
              <w:ind w:left="223" w:hanging="222" w:hangingChars="106"/>
              <w:jc w:val="center"/>
              <w:rPr>
                <w:rFonts w:ascii="宋体" w:hAnsi="宋体"/>
                <w:color w:val="auto"/>
                <w:szCs w:val="21"/>
                <w:highlight w:val="none"/>
              </w:rPr>
            </w:pPr>
            <w:r>
              <w:rPr>
                <w:rFonts w:hint="eastAsia" w:ascii="宋体" w:hAnsi="宋体" w:cs="宋体"/>
                <w:color w:val="auto"/>
                <w:szCs w:val="21"/>
                <w:highlight w:val="none"/>
              </w:rPr>
              <w:t>名称</w:t>
            </w:r>
          </w:p>
        </w:tc>
      </w:tr>
      <w:tr w14:paraId="32947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tcBorders>
              <w:top w:val="single" w:color="auto" w:sz="4" w:space="0"/>
              <w:left w:val="single" w:color="auto" w:sz="4" w:space="0"/>
              <w:bottom w:val="single" w:color="auto" w:sz="4" w:space="0"/>
              <w:right w:val="single" w:color="auto" w:sz="4" w:space="0"/>
            </w:tcBorders>
            <w:noWrap w:val="0"/>
            <w:vAlign w:val="center"/>
          </w:tcPr>
          <w:p w14:paraId="5FB3FCF3">
            <w:pPr>
              <w:ind w:left="223" w:hanging="222" w:hangingChars="106"/>
              <w:jc w:val="center"/>
              <w:rPr>
                <w:rFonts w:ascii="宋体" w:hAnsi="宋体"/>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noWrap w:val="0"/>
            <w:vAlign w:val="center"/>
          </w:tcPr>
          <w:p w14:paraId="233F06A2">
            <w:pPr>
              <w:ind w:left="223" w:hanging="222" w:hangingChars="106"/>
              <w:jc w:val="center"/>
              <w:rPr>
                <w:rFonts w:ascii="宋体" w:hAnsi="宋体"/>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noWrap w:val="0"/>
            <w:vAlign w:val="center"/>
          </w:tcPr>
          <w:p w14:paraId="54B87B69">
            <w:pPr>
              <w:ind w:left="223" w:hanging="222" w:hangingChars="106"/>
              <w:jc w:val="cente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53566C9">
            <w:pPr>
              <w:ind w:left="223" w:hanging="222" w:hangingChars="106"/>
              <w:jc w:val="cente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9987584">
            <w:pPr>
              <w:ind w:left="223" w:hanging="222" w:hangingChars="106"/>
              <w:jc w:val="cente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D327CF7">
            <w:pPr>
              <w:ind w:left="223" w:hanging="222" w:hangingChars="106"/>
              <w:jc w:val="cente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3D185B4">
            <w:pPr>
              <w:ind w:left="223" w:hanging="222" w:hangingChars="106"/>
              <w:jc w:val="center"/>
              <w:rPr>
                <w:rFonts w:ascii="宋体" w:hAnsi="宋体"/>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18637D4A">
            <w:pPr>
              <w:ind w:left="223" w:hanging="222" w:hangingChars="106"/>
              <w:jc w:val="center"/>
              <w:rPr>
                <w:rFonts w:ascii="宋体" w:hAnsi="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FD60E7C">
            <w:pPr>
              <w:ind w:left="223" w:hanging="222" w:hangingChars="106"/>
              <w:jc w:val="center"/>
              <w:rPr>
                <w:rFonts w:ascii="宋体" w:hAnsi="宋体"/>
                <w:color w:val="auto"/>
                <w:szCs w:val="21"/>
                <w:highlight w:val="none"/>
              </w:rPr>
            </w:pPr>
          </w:p>
        </w:tc>
      </w:tr>
      <w:tr w14:paraId="54137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tcBorders>
              <w:top w:val="single" w:color="auto" w:sz="4" w:space="0"/>
              <w:left w:val="single" w:color="auto" w:sz="4" w:space="0"/>
              <w:bottom w:val="single" w:color="auto" w:sz="4" w:space="0"/>
              <w:right w:val="single" w:color="auto" w:sz="4" w:space="0"/>
            </w:tcBorders>
            <w:noWrap w:val="0"/>
            <w:vAlign w:val="center"/>
          </w:tcPr>
          <w:p w14:paraId="7C8243F4">
            <w:pPr>
              <w:ind w:left="223" w:hanging="222" w:hangingChars="106"/>
              <w:jc w:val="center"/>
              <w:rPr>
                <w:rFonts w:ascii="宋体" w:hAnsi="宋体"/>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noWrap w:val="0"/>
            <w:vAlign w:val="center"/>
          </w:tcPr>
          <w:p w14:paraId="78EF5F5A">
            <w:pPr>
              <w:ind w:left="223" w:hanging="222" w:hangingChars="106"/>
              <w:jc w:val="center"/>
              <w:rPr>
                <w:rFonts w:ascii="宋体" w:hAnsi="宋体"/>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noWrap w:val="0"/>
            <w:vAlign w:val="center"/>
          </w:tcPr>
          <w:p w14:paraId="51831FB5">
            <w:pPr>
              <w:ind w:left="223" w:hanging="222" w:hangingChars="106"/>
              <w:jc w:val="cente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7128341">
            <w:pPr>
              <w:ind w:left="223" w:hanging="222" w:hangingChars="106"/>
              <w:jc w:val="cente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E47205C">
            <w:pPr>
              <w:ind w:left="223" w:hanging="222" w:hangingChars="106"/>
              <w:jc w:val="cente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325D117">
            <w:pPr>
              <w:ind w:left="223" w:hanging="222" w:hangingChars="106"/>
              <w:jc w:val="cente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CEE73D9">
            <w:pPr>
              <w:ind w:left="223" w:hanging="222" w:hangingChars="106"/>
              <w:jc w:val="center"/>
              <w:rPr>
                <w:rFonts w:ascii="宋体" w:hAnsi="宋体"/>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6EACC907">
            <w:pPr>
              <w:ind w:left="223" w:hanging="222" w:hangingChars="106"/>
              <w:jc w:val="center"/>
              <w:rPr>
                <w:rFonts w:ascii="宋体" w:hAnsi="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6C3F4CCC">
            <w:pPr>
              <w:ind w:left="223" w:hanging="222" w:hangingChars="106"/>
              <w:jc w:val="center"/>
              <w:rPr>
                <w:rFonts w:ascii="宋体" w:hAnsi="宋体"/>
                <w:color w:val="auto"/>
                <w:szCs w:val="21"/>
                <w:highlight w:val="none"/>
              </w:rPr>
            </w:pPr>
          </w:p>
        </w:tc>
      </w:tr>
      <w:tr w14:paraId="2A54B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tcBorders>
              <w:top w:val="single" w:color="auto" w:sz="4" w:space="0"/>
              <w:left w:val="single" w:color="auto" w:sz="4" w:space="0"/>
              <w:bottom w:val="single" w:color="auto" w:sz="4" w:space="0"/>
              <w:right w:val="single" w:color="auto" w:sz="4" w:space="0"/>
            </w:tcBorders>
            <w:noWrap w:val="0"/>
            <w:vAlign w:val="center"/>
          </w:tcPr>
          <w:p w14:paraId="6EB2E2BE">
            <w:pPr>
              <w:ind w:left="223" w:hanging="222" w:hangingChars="106"/>
              <w:jc w:val="center"/>
              <w:rPr>
                <w:rFonts w:ascii="宋体" w:hAnsi="宋体"/>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noWrap w:val="0"/>
            <w:vAlign w:val="center"/>
          </w:tcPr>
          <w:p w14:paraId="115358AB">
            <w:pPr>
              <w:ind w:left="223" w:hanging="222" w:hangingChars="106"/>
              <w:jc w:val="center"/>
              <w:rPr>
                <w:rFonts w:ascii="宋体" w:hAnsi="宋体"/>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noWrap w:val="0"/>
            <w:vAlign w:val="center"/>
          </w:tcPr>
          <w:p w14:paraId="4A0564B8">
            <w:pPr>
              <w:ind w:left="223" w:hanging="222" w:hangingChars="106"/>
              <w:jc w:val="cente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2F14124">
            <w:pPr>
              <w:ind w:left="223" w:hanging="222" w:hangingChars="106"/>
              <w:jc w:val="cente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D948EA3">
            <w:pPr>
              <w:ind w:left="223" w:hanging="222" w:hangingChars="106"/>
              <w:jc w:val="cente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1E53D62">
            <w:pPr>
              <w:ind w:left="223" w:hanging="222" w:hangingChars="106"/>
              <w:jc w:val="cente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1127232">
            <w:pPr>
              <w:ind w:left="223" w:hanging="222" w:hangingChars="106"/>
              <w:jc w:val="center"/>
              <w:rPr>
                <w:rFonts w:ascii="宋体" w:hAnsi="宋体"/>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37798D3F">
            <w:pPr>
              <w:ind w:left="223" w:hanging="222" w:hangingChars="106"/>
              <w:jc w:val="center"/>
              <w:rPr>
                <w:rFonts w:ascii="宋体" w:hAnsi="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E71C594">
            <w:pPr>
              <w:ind w:left="223" w:hanging="222" w:hangingChars="106"/>
              <w:jc w:val="center"/>
              <w:rPr>
                <w:rFonts w:ascii="宋体" w:hAnsi="宋体"/>
                <w:color w:val="auto"/>
                <w:szCs w:val="21"/>
                <w:highlight w:val="none"/>
              </w:rPr>
            </w:pPr>
          </w:p>
        </w:tc>
      </w:tr>
      <w:tr w14:paraId="20F52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tcBorders>
              <w:top w:val="single" w:color="auto" w:sz="4" w:space="0"/>
              <w:left w:val="single" w:color="auto" w:sz="4" w:space="0"/>
              <w:bottom w:val="single" w:color="auto" w:sz="4" w:space="0"/>
              <w:right w:val="single" w:color="auto" w:sz="4" w:space="0"/>
            </w:tcBorders>
            <w:noWrap w:val="0"/>
            <w:vAlign w:val="center"/>
          </w:tcPr>
          <w:p w14:paraId="52F3BA33">
            <w:pPr>
              <w:ind w:left="223" w:hanging="222" w:hangingChars="106"/>
              <w:jc w:val="center"/>
              <w:rPr>
                <w:rFonts w:ascii="宋体" w:hAnsi="宋体"/>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noWrap w:val="0"/>
            <w:vAlign w:val="center"/>
          </w:tcPr>
          <w:p w14:paraId="2E287989">
            <w:pPr>
              <w:ind w:left="223" w:hanging="222" w:hangingChars="106"/>
              <w:jc w:val="center"/>
              <w:rPr>
                <w:rFonts w:ascii="宋体" w:hAnsi="宋体"/>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noWrap w:val="0"/>
            <w:vAlign w:val="center"/>
          </w:tcPr>
          <w:p w14:paraId="347F64A5">
            <w:pPr>
              <w:ind w:left="223" w:hanging="222" w:hangingChars="106"/>
              <w:jc w:val="cente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5733088">
            <w:pPr>
              <w:ind w:left="223" w:hanging="222" w:hangingChars="106"/>
              <w:jc w:val="cente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45B8A08">
            <w:pPr>
              <w:ind w:left="223" w:hanging="222" w:hangingChars="106"/>
              <w:jc w:val="cente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7E97DC0">
            <w:pPr>
              <w:ind w:left="223" w:hanging="222" w:hangingChars="106"/>
              <w:jc w:val="cente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CC2DF6A">
            <w:pPr>
              <w:ind w:left="223" w:hanging="222" w:hangingChars="106"/>
              <w:jc w:val="center"/>
              <w:rPr>
                <w:rFonts w:ascii="宋体" w:hAnsi="宋体"/>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5746C1AC">
            <w:pPr>
              <w:ind w:left="223" w:hanging="222" w:hangingChars="106"/>
              <w:jc w:val="center"/>
              <w:rPr>
                <w:rFonts w:ascii="宋体" w:hAnsi="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224ACE6A">
            <w:pPr>
              <w:ind w:left="223" w:hanging="222" w:hangingChars="106"/>
              <w:jc w:val="center"/>
              <w:rPr>
                <w:rFonts w:ascii="宋体" w:hAnsi="宋体"/>
                <w:color w:val="auto"/>
                <w:szCs w:val="21"/>
                <w:highlight w:val="none"/>
              </w:rPr>
            </w:pPr>
          </w:p>
        </w:tc>
      </w:tr>
    </w:tbl>
    <w:p w14:paraId="7939C71D">
      <w:pPr>
        <w:jc w:val="center"/>
        <w:rPr>
          <w:rFonts w:ascii="宋体" w:hAnsi="宋体"/>
          <w:b/>
          <w:color w:val="auto"/>
          <w:szCs w:val="21"/>
          <w:highlight w:val="none"/>
        </w:rPr>
      </w:pPr>
    </w:p>
    <w:p w14:paraId="7AA78EA8">
      <w:pPr>
        <w:tabs>
          <w:tab w:val="left" w:pos="0"/>
        </w:tabs>
        <w:spacing w:line="360" w:lineRule="auto"/>
        <w:ind w:right="-210"/>
        <w:rPr>
          <w:rFonts w:ascii="宋体" w:hAnsi="宋体"/>
          <w:color w:val="auto"/>
          <w:szCs w:val="21"/>
          <w:highlight w:val="none"/>
        </w:rPr>
      </w:pPr>
      <w:r>
        <w:rPr>
          <w:rFonts w:hint="eastAsia" w:ascii="宋体" w:hAnsi="宋体" w:cs="楷体_GB2312"/>
          <w:color w:val="auto"/>
          <w:szCs w:val="21"/>
          <w:highlight w:val="none"/>
        </w:rPr>
        <w:t>【备注：附各岗位人员资格证件（如有）扫描件。以上扫描件均为原件的扫描件】</w:t>
      </w:r>
    </w:p>
    <w:p w14:paraId="5AE5B407">
      <w:pPr>
        <w:spacing w:line="440" w:lineRule="exact"/>
        <w:jc w:val="center"/>
        <w:rPr>
          <w:rFonts w:ascii="宋体" w:hAnsi="宋体"/>
          <w:b/>
          <w:color w:val="auto"/>
          <w:szCs w:val="21"/>
          <w:highlight w:val="none"/>
        </w:rPr>
      </w:pPr>
    </w:p>
    <w:p w14:paraId="48D04A66">
      <w:pPr>
        <w:autoSpaceDE w:val="0"/>
        <w:autoSpaceDN w:val="0"/>
        <w:spacing w:line="360" w:lineRule="auto"/>
        <w:ind w:left="4335" w:leftChars="1950" w:hanging="240" w:hanging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供应商名称（电子签章）：</w:t>
      </w:r>
    </w:p>
    <w:p w14:paraId="1CBF92E6">
      <w:pPr>
        <w:pStyle w:val="12"/>
        <w:snapToGrid w:val="0"/>
        <w:spacing w:line="360" w:lineRule="auto"/>
        <w:ind w:left="480" w:firstLine="6960" w:firstLineChars="2900"/>
        <w:rPr>
          <w:rFonts w:hint="eastAsia" w:ascii="仿宋" w:hAnsi="仿宋" w:eastAsia="仿宋" w:cs="仿宋"/>
          <w:b/>
          <w:color w:val="auto"/>
          <w:sz w:val="24"/>
          <w:szCs w:val="24"/>
          <w:highlight w:val="none"/>
          <w:lang w:val="en-US"/>
        </w:rPr>
      </w:pPr>
      <w:r>
        <w:rPr>
          <w:rFonts w:hint="eastAsia" w:ascii="仿宋" w:hAnsi="仿宋" w:eastAsia="仿宋" w:cs="仿宋"/>
          <w:color w:val="auto"/>
          <w:kern w:val="0"/>
          <w:sz w:val="24"/>
          <w:szCs w:val="24"/>
          <w:highlight w:val="none"/>
          <w:lang w:val="zh-CN"/>
        </w:rPr>
        <w:t>日期：  年  月   日</w:t>
      </w:r>
    </w:p>
    <w:p w14:paraId="3053DF64">
      <w:pPr>
        <w:jc w:val="center"/>
        <w:rPr>
          <w:rFonts w:hint="eastAsia" w:ascii="宋体" w:hAnsi="宋体" w:cs="宋体"/>
          <w:b/>
          <w:color w:val="auto"/>
          <w:sz w:val="30"/>
          <w:szCs w:val="30"/>
          <w:highlight w:val="none"/>
          <w:lang w:eastAsia="zh-CN"/>
        </w:rPr>
      </w:pPr>
    </w:p>
    <w:p w14:paraId="2738D370">
      <w:pPr>
        <w:jc w:val="center"/>
        <w:rPr>
          <w:rFonts w:hint="eastAsia" w:ascii="宋体" w:hAnsi="宋体" w:cs="宋体"/>
          <w:b/>
          <w:color w:val="auto"/>
          <w:sz w:val="30"/>
          <w:szCs w:val="30"/>
          <w:highlight w:val="none"/>
          <w:lang w:eastAsia="zh-CN"/>
        </w:rPr>
      </w:pPr>
    </w:p>
    <w:p w14:paraId="127A9F90">
      <w:pPr>
        <w:pStyle w:val="26"/>
        <w:rPr>
          <w:rFonts w:hint="eastAsia" w:ascii="宋体" w:hAnsi="宋体" w:cs="宋体"/>
          <w:b/>
          <w:color w:val="auto"/>
          <w:sz w:val="30"/>
          <w:szCs w:val="30"/>
          <w:highlight w:val="none"/>
          <w:lang w:eastAsia="zh-CN"/>
        </w:rPr>
      </w:pPr>
    </w:p>
    <w:p w14:paraId="66C9BE94">
      <w:pPr>
        <w:pStyle w:val="26"/>
        <w:rPr>
          <w:rFonts w:hint="eastAsia" w:ascii="宋体" w:hAnsi="宋体" w:cs="宋体"/>
          <w:b/>
          <w:color w:val="auto"/>
          <w:sz w:val="30"/>
          <w:szCs w:val="30"/>
          <w:highlight w:val="none"/>
          <w:lang w:eastAsia="zh-CN"/>
        </w:rPr>
      </w:pPr>
    </w:p>
    <w:p w14:paraId="448130C0">
      <w:pPr>
        <w:jc w:val="center"/>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lang w:eastAsia="zh-CN"/>
        </w:rPr>
        <w:t>十</w:t>
      </w:r>
      <w:r>
        <w:rPr>
          <w:rFonts w:hint="eastAsia" w:ascii="仿宋" w:hAnsi="仿宋" w:eastAsia="仿宋" w:cs="仿宋"/>
          <w:b/>
          <w:color w:val="auto"/>
          <w:sz w:val="30"/>
          <w:szCs w:val="30"/>
          <w:highlight w:val="none"/>
          <w:lang w:val="en-US" w:eastAsia="zh-CN"/>
        </w:rPr>
        <w:t>二</w:t>
      </w:r>
      <w:r>
        <w:rPr>
          <w:rFonts w:hint="eastAsia" w:ascii="仿宋" w:hAnsi="仿宋" w:eastAsia="仿宋" w:cs="仿宋"/>
          <w:b/>
          <w:color w:val="auto"/>
          <w:sz w:val="30"/>
          <w:szCs w:val="30"/>
          <w:highlight w:val="none"/>
          <w:lang w:eastAsia="zh-CN"/>
        </w:rPr>
        <w:t>、</w:t>
      </w:r>
      <w:r>
        <w:rPr>
          <w:rFonts w:hint="eastAsia" w:ascii="仿宋" w:hAnsi="仿宋" w:eastAsia="仿宋" w:cs="仿宋"/>
          <w:b/>
          <w:color w:val="auto"/>
          <w:sz w:val="30"/>
          <w:szCs w:val="30"/>
          <w:highlight w:val="none"/>
        </w:rPr>
        <w:t>项目经理简历表</w:t>
      </w:r>
    </w:p>
    <w:p w14:paraId="1528ED7E">
      <w:pPr>
        <w:jc w:val="center"/>
        <w:rPr>
          <w:rFonts w:ascii="宋体" w:hAnsi="宋体"/>
          <w:color w:val="auto"/>
          <w:highlight w:val="none"/>
        </w:rPr>
      </w:pPr>
    </w:p>
    <w:tbl>
      <w:tblPr>
        <w:tblStyle w:val="27"/>
        <w:tblW w:w="0" w:type="auto"/>
        <w:jc w:val="center"/>
        <w:tblLayout w:type="fixed"/>
        <w:tblCellMar>
          <w:top w:w="0" w:type="dxa"/>
          <w:left w:w="0" w:type="dxa"/>
          <w:bottom w:w="0" w:type="dxa"/>
          <w:right w:w="0" w:type="dxa"/>
        </w:tblCellMar>
      </w:tblPr>
      <w:tblGrid>
        <w:gridCol w:w="1158"/>
        <w:gridCol w:w="2005"/>
        <w:gridCol w:w="1292"/>
        <w:gridCol w:w="1428"/>
        <w:gridCol w:w="1060"/>
        <w:gridCol w:w="1670"/>
      </w:tblGrid>
      <w:tr w14:paraId="1CE70890">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1CAFC35">
            <w:pPr>
              <w:jc w:val="center"/>
              <w:rPr>
                <w:rFonts w:ascii="宋体" w:hAnsi="宋体"/>
                <w:color w:val="auto"/>
                <w:szCs w:val="21"/>
                <w:highlight w:val="none"/>
              </w:rPr>
            </w:pPr>
            <w:r>
              <w:rPr>
                <w:rFonts w:hint="eastAsia" w:ascii="宋体" w:hAnsi="宋体" w:cs="宋体"/>
                <w:color w:val="auto"/>
                <w:szCs w:val="21"/>
                <w:highlight w:val="none"/>
              </w:rPr>
              <w:t>姓名</w:t>
            </w: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B515B1D">
            <w:pPr>
              <w:jc w:val="center"/>
              <w:rPr>
                <w:rFonts w:ascii="宋体" w:hAnsi="宋体"/>
                <w:color w:val="auto"/>
                <w:szCs w:val="21"/>
                <w:highlight w:val="none"/>
              </w:rPr>
            </w:pPr>
          </w:p>
        </w:tc>
        <w:tc>
          <w:tcPr>
            <w:tcW w:w="129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0880907">
            <w:pPr>
              <w:jc w:val="center"/>
              <w:rPr>
                <w:rFonts w:ascii="宋体" w:hAnsi="宋体"/>
                <w:color w:val="auto"/>
                <w:szCs w:val="21"/>
                <w:highlight w:val="none"/>
              </w:rPr>
            </w:pPr>
            <w:r>
              <w:rPr>
                <w:rFonts w:hint="eastAsia" w:ascii="宋体" w:hAnsi="宋体" w:cs="宋体"/>
                <w:color w:val="auto"/>
                <w:szCs w:val="21"/>
                <w:highlight w:val="none"/>
              </w:rPr>
              <w:t>性别</w:t>
            </w:r>
          </w:p>
        </w:tc>
        <w:tc>
          <w:tcPr>
            <w:tcW w:w="142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0134AD0">
            <w:pPr>
              <w:jc w:val="center"/>
              <w:rPr>
                <w:rFonts w:ascii="宋体" w:hAnsi="宋体"/>
                <w:color w:val="auto"/>
                <w:szCs w:val="21"/>
                <w:highlight w:val="none"/>
              </w:rPr>
            </w:pPr>
          </w:p>
        </w:tc>
        <w:tc>
          <w:tcPr>
            <w:tcW w:w="106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1986BFB">
            <w:pPr>
              <w:jc w:val="center"/>
              <w:rPr>
                <w:rFonts w:ascii="宋体" w:hAnsi="宋体"/>
                <w:color w:val="auto"/>
                <w:szCs w:val="21"/>
                <w:highlight w:val="none"/>
              </w:rPr>
            </w:pPr>
            <w:r>
              <w:rPr>
                <w:rFonts w:hint="eastAsia" w:ascii="宋体" w:hAnsi="宋体" w:cs="宋体"/>
                <w:color w:val="auto"/>
                <w:szCs w:val="21"/>
                <w:highlight w:val="none"/>
              </w:rPr>
              <w:t>年龄</w:t>
            </w: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5417931">
            <w:pPr>
              <w:jc w:val="center"/>
              <w:rPr>
                <w:rFonts w:ascii="宋体" w:hAnsi="宋体"/>
                <w:color w:val="auto"/>
                <w:szCs w:val="21"/>
                <w:highlight w:val="none"/>
              </w:rPr>
            </w:pPr>
          </w:p>
        </w:tc>
      </w:tr>
      <w:tr w14:paraId="2A792BDE">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1E9EE06">
            <w:pPr>
              <w:jc w:val="center"/>
              <w:rPr>
                <w:rFonts w:ascii="宋体" w:hAnsi="宋体"/>
                <w:color w:val="auto"/>
                <w:szCs w:val="21"/>
                <w:highlight w:val="none"/>
              </w:rPr>
            </w:pPr>
            <w:r>
              <w:rPr>
                <w:rFonts w:hint="eastAsia" w:ascii="宋体" w:hAnsi="宋体" w:cs="宋体"/>
                <w:color w:val="auto"/>
                <w:szCs w:val="21"/>
                <w:highlight w:val="none"/>
              </w:rPr>
              <w:t>职务</w:t>
            </w: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D976306">
            <w:pPr>
              <w:jc w:val="center"/>
              <w:rPr>
                <w:rFonts w:ascii="宋体" w:hAnsi="宋体"/>
                <w:color w:val="auto"/>
                <w:szCs w:val="21"/>
                <w:highlight w:val="none"/>
              </w:rPr>
            </w:pPr>
          </w:p>
        </w:tc>
        <w:tc>
          <w:tcPr>
            <w:tcW w:w="129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A8EB340">
            <w:pPr>
              <w:jc w:val="center"/>
              <w:rPr>
                <w:rFonts w:ascii="宋体" w:hAnsi="宋体"/>
                <w:color w:val="auto"/>
                <w:szCs w:val="21"/>
                <w:highlight w:val="none"/>
              </w:rPr>
            </w:pPr>
            <w:r>
              <w:rPr>
                <w:rFonts w:hint="eastAsia" w:ascii="宋体" w:hAnsi="宋体" w:cs="宋体"/>
                <w:color w:val="auto"/>
                <w:szCs w:val="21"/>
                <w:highlight w:val="none"/>
              </w:rPr>
              <w:t>职称</w:t>
            </w:r>
          </w:p>
        </w:tc>
        <w:tc>
          <w:tcPr>
            <w:tcW w:w="142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B9061CE">
            <w:pPr>
              <w:jc w:val="center"/>
              <w:rPr>
                <w:rFonts w:ascii="宋体" w:hAnsi="宋体"/>
                <w:color w:val="auto"/>
                <w:szCs w:val="21"/>
                <w:highlight w:val="none"/>
              </w:rPr>
            </w:pPr>
          </w:p>
        </w:tc>
        <w:tc>
          <w:tcPr>
            <w:tcW w:w="106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2B72A7F">
            <w:pPr>
              <w:jc w:val="center"/>
              <w:rPr>
                <w:rFonts w:ascii="宋体" w:hAnsi="宋体"/>
                <w:color w:val="auto"/>
                <w:szCs w:val="21"/>
                <w:highlight w:val="none"/>
              </w:rPr>
            </w:pPr>
            <w:r>
              <w:rPr>
                <w:rFonts w:hint="eastAsia" w:ascii="宋体" w:hAnsi="宋体" w:cs="宋体"/>
                <w:color w:val="auto"/>
                <w:szCs w:val="21"/>
                <w:highlight w:val="none"/>
              </w:rPr>
              <w:t>学历</w:t>
            </w: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086C2C4">
            <w:pPr>
              <w:jc w:val="center"/>
              <w:rPr>
                <w:rFonts w:ascii="宋体" w:hAnsi="宋体"/>
                <w:color w:val="auto"/>
                <w:szCs w:val="21"/>
                <w:highlight w:val="none"/>
              </w:rPr>
            </w:pPr>
          </w:p>
        </w:tc>
      </w:tr>
      <w:tr w14:paraId="0D10A5C8">
        <w:tblPrEx>
          <w:tblCellMar>
            <w:top w:w="0" w:type="dxa"/>
            <w:left w:w="0" w:type="dxa"/>
            <w:bottom w:w="0" w:type="dxa"/>
            <w:right w:w="0" w:type="dxa"/>
          </w:tblCellMar>
        </w:tblPrEx>
        <w:trPr>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F89FC4F">
            <w:pPr>
              <w:jc w:val="center"/>
              <w:rPr>
                <w:rFonts w:ascii="宋体" w:hAnsi="宋体"/>
                <w:color w:val="auto"/>
                <w:szCs w:val="21"/>
                <w:highlight w:val="none"/>
              </w:rPr>
            </w:pPr>
            <w:r>
              <w:rPr>
                <w:rFonts w:hint="eastAsia" w:ascii="宋体" w:hAnsi="宋体" w:cs="宋体"/>
                <w:color w:val="auto"/>
                <w:szCs w:val="21"/>
                <w:highlight w:val="none"/>
              </w:rPr>
              <w:t>参加工作时间</w:t>
            </w: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1A4FD0D">
            <w:pPr>
              <w:jc w:val="center"/>
              <w:rPr>
                <w:rFonts w:ascii="宋体" w:hAnsi="宋体"/>
                <w:color w:val="auto"/>
                <w:szCs w:val="21"/>
                <w:highlight w:val="none"/>
              </w:rPr>
            </w:pPr>
          </w:p>
        </w:tc>
        <w:tc>
          <w:tcPr>
            <w:tcW w:w="129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24616F4">
            <w:pPr>
              <w:jc w:val="center"/>
              <w:rPr>
                <w:rFonts w:ascii="宋体" w:hAnsi="宋体"/>
                <w:color w:val="auto"/>
                <w:szCs w:val="21"/>
                <w:highlight w:val="none"/>
              </w:rPr>
            </w:pPr>
            <w:r>
              <w:rPr>
                <w:rFonts w:hint="eastAsia" w:ascii="宋体" w:hAnsi="宋体" w:cs="宋体"/>
                <w:color w:val="auto"/>
                <w:szCs w:val="21"/>
                <w:highlight w:val="none"/>
              </w:rPr>
              <w:t>从事项目经理（或建造师）年限</w:t>
            </w:r>
          </w:p>
        </w:tc>
        <w:tc>
          <w:tcPr>
            <w:tcW w:w="142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2C7B11E">
            <w:pPr>
              <w:jc w:val="center"/>
              <w:rPr>
                <w:rFonts w:ascii="宋体" w:hAnsi="宋体"/>
                <w:color w:val="auto"/>
                <w:szCs w:val="21"/>
                <w:highlight w:val="none"/>
              </w:rPr>
            </w:pPr>
          </w:p>
        </w:tc>
        <w:tc>
          <w:tcPr>
            <w:tcW w:w="106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AECAFF3">
            <w:pPr>
              <w:jc w:val="center"/>
              <w:rPr>
                <w:rFonts w:ascii="宋体" w:hAnsi="宋体"/>
                <w:color w:val="auto"/>
                <w:szCs w:val="21"/>
                <w:highlight w:val="none"/>
              </w:rPr>
            </w:pPr>
            <w:r>
              <w:rPr>
                <w:rFonts w:hint="eastAsia" w:ascii="宋体" w:hAnsi="宋体" w:cs="宋体"/>
                <w:color w:val="auto"/>
                <w:szCs w:val="21"/>
                <w:highlight w:val="none"/>
              </w:rPr>
              <w:t>资质等级</w:t>
            </w: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B44951F">
            <w:pPr>
              <w:jc w:val="center"/>
              <w:rPr>
                <w:rFonts w:ascii="宋体" w:hAnsi="宋体"/>
                <w:color w:val="auto"/>
                <w:szCs w:val="21"/>
                <w:highlight w:val="none"/>
              </w:rPr>
            </w:pPr>
          </w:p>
        </w:tc>
      </w:tr>
      <w:tr w14:paraId="22F8F716">
        <w:tblPrEx>
          <w:tblCellMar>
            <w:top w:w="0" w:type="dxa"/>
            <w:left w:w="0" w:type="dxa"/>
            <w:bottom w:w="0" w:type="dxa"/>
            <w:right w:w="0" w:type="dxa"/>
          </w:tblCellMar>
        </w:tblPrEx>
        <w:trPr>
          <w:trHeight w:val="500" w:hRule="exact"/>
          <w:jc w:val="center"/>
        </w:trPr>
        <w:tc>
          <w:tcPr>
            <w:tcW w:w="4455" w:type="dxa"/>
            <w:gridSpan w:val="3"/>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363F2AB">
            <w:pPr>
              <w:jc w:val="center"/>
              <w:rPr>
                <w:rFonts w:ascii="宋体" w:hAnsi="宋体"/>
                <w:color w:val="auto"/>
                <w:szCs w:val="21"/>
                <w:highlight w:val="none"/>
              </w:rPr>
            </w:pPr>
            <w:r>
              <w:rPr>
                <w:rFonts w:hint="eastAsia" w:ascii="宋体" w:hAnsi="宋体" w:cs="宋体"/>
                <w:color w:val="auto"/>
                <w:szCs w:val="21"/>
                <w:highlight w:val="none"/>
              </w:rPr>
              <w:t>拟在本工程中担任的工作和职务</w:t>
            </w:r>
          </w:p>
        </w:tc>
        <w:tc>
          <w:tcPr>
            <w:tcW w:w="4158" w:type="dxa"/>
            <w:gridSpan w:val="3"/>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FC9A4DC">
            <w:pPr>
              <w:jc w:val="center"/>
              <w:rPr>
                <w:rFonts w:ascii="宋体" w:hAnsi="宋体"/>
                <w:color w:val="auto"/>
                <w:szCs w:val="21"/>
                <w:highlight w:val="none"/>
              </w:rPr>
            </w:pPr>
          </w:p>
        </w:tc>
      </w:tr>
      <w:tr w14:paraId="099FC57E">
        <w:tblPrEx>
          <w:tblCellMar>
            <w:top w:w="0" w:type="dxa"/>
            <w:left w:w="0" w:type="dxa"/>
            <w:bottom w:w="0" w:type="dxa"/>
            <w:right w:w="0" w:type="dxa"/>
          </w:tblCellMar>
        </w:tblPrEx>
        <w:trPr>
          <w:trHeight w:val="500" w:hRule="atLeast"/>
          <w:jc w:val="center"/>
        </w:trPr>
        <w:tc>
          <w:tcPr>
            <w:tcW w:w="8613" w:type="dxa"/>
            <w:gridSpan w:val="6"/>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5D3E198">
            <w:pPr>
              <w:jc w:val="center"/>
              <w:rPr>
                <w:rFonts w:ascii="宋体" w:hAnsi="宋体"/>
                <w:color w:val="auto"/>
                <w:szCs w:val="21"/>
                <w:highlight w:val="none"/>
              </w:rPr>
            </w:pPr>
            <w:r>
              <w:rPr>
                <w:rFonts w:hint="eastAsia" w:ascii="宋体" w:hAnsi="宋体" w:cs="宋体"/>
                <w:color w:val="auto"/>
                <w:szCs w:val="21"/>
                <w:highlight w:val="none"/>
              </w:rPr>
              <w:t>已完工程项目情况</w:t>
            </w:r>
          </w:p>
        </w:tc>
      </w:tr>
      <w:tr w14:paraId="71F0406A">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3C1CDF5">
            <w:pPr>
              <w:jc w:val="center"/>
              <w:rPr>
                <w:rFonts w:ascii="宋体" w:hAnsi="宋体"/>
                <w:color w:val="auto"/>
                <w:szCs w:val="21"/>
                <w:highlight w:val="none"/>
              </w:rPr>
            </w:pPr>
            <w:r>
              <w:rPr>
                <w:rFonts w:hint="eastAsia" w:ascii="宋体" w:hAnsi="宋体" w:cs="宋体"/>
                <w:color w:val="auto"/>
                <w:szCs w:val="21"/>
                <w:highlight w:val="none"/>
              </w:rPr>
              <w:t>建设单位</w:t>
            </w: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4AEBB39">
            <w:pPr>
              <w:jc w:val="center"/>
              <w:rPr>
                <w:rFonts w:ascii="宋体" w:hAnsi="宋体"/>
                <w:color w:val="auto"/>
                <w:szCs w:val="21"/>
                <w:highlight w:val="none"/>
              </w:rPr>
            </w:pPr>
            <w:r>
              <w:rPr>
                <w:rFonts w:hint="eastAsia" w:ascii="宋体" w:hAnsi="宋体" w:cs="宋体"/>
                <w:color w:val="auto"/>
                <w:szCs w:val="21"/>
                <w:highlight w:val="none"/>
              </w:rPr>
              <w:t>项目名称</w:t>
            </w:r>
          </w:p>
        </w:tc>
        <w:tc>
          <w:tcPr>
            <w:tcW w:w="129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7E55BDD">
            <w:pPr>
              <w:jc w:val="center"/>
              <w:rPr>
                <w:rFonts w:ascii="宋体" w:hAnsi="宋体"/>
                <w:color w:val="auto"/>
                <w:szCs w:val="21"/>
                <w:highlight w:val="none"/>
              </w:rPr>
            </w:pPr>
            <w:r>
              <w:rPr>
                <w:rFonts w:hint="eastAsia" w:ascii="宋体" w:hAnsi="宋体" w:cs="宋体"/>
                <w:color w:val="auto"/>
                <w:szCs w:val="21"/>
                <w:highlight w:val="none"/>
              </w:rPr>
              <w:t>建筑规模</w:t>
            </w:r>
          </w:p>
        </w:tc>
        <w:tc>
          <w:tcPr>
            <w:tcW w:w="2488"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3B63356">
            <w:pPr>
              <w:jc w:val="center"/>
              <w:rPr>
                <w:rFonts w:ascii="宋体" w:hAnsi="宋体"/>
                <w:color w:val="auto"/>
                <w:szCs w:val="21"/>
                <w:highlight w:val="none"/>
              </w:rPr>
            </w:pPr>
            <w:r>
              <w:rPr>
                <w:rFonts w:hint="eastAsia" w:ascii="宋体" w:hAnsi="宋体" w:cs="宋体"/>
                <w:color w:val="auto"/>
                <w:szCs w:val="21"/>
                <w:highlight w:val="none"/>
              </w:rPr>
              <w:t>开竣工日期</w:t>
            </w: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B72AB51">
            <w:pPr>
              <w:jc w:val="center"/>
              <w:rPr>
                <w:rFonts w:ascii="宋体" w:hAnsi="宋体"/>
                <w:color w:val="auto"/>
                <w:szCs w:val="21"/>
                <w:highlight w:val="none"/>
              </w:rPr>
            </w:pPr>
            <w:r>
              <w:rPr>
                <w:rFonts w:hint="eastAsia" w:ascii="宋体" w:hAnsi="宋体" w:cs="宋体"/>
                <w:color w:val="auto"/>
                <w:szCs w:val="21"/>
                <w:highlight w:val="none"/>
              </w:rPr>
              <w:t>质量等级</w:t>
            </w:r>
          </w:p>
        </w:tc>
      </w:tr>
      <w:tr w14:paraId="2D2808A8">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300020C">
            <w:pPr>
              <w:jc w:val="center"/>
              <w:rPr>
                <w:rFonts w:ascii="宋体" w:hAnsi="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9B8E517">
            <w:pPr>
              <w:jc w:val="center"/>
              <w:rPr>
                <w:rFonts w:ascii="宋体" w:hAnsi="宋体"/>
                <w:color w:val="auto"/>
                <w:szCs w:val="21"/>
                <w:highlight w:val="none"/>
              </w:rPr>
            </w:pPr>
          </w:p>
        </w:tc>
        <w:tc>
          <w:tcPr>
            <w:tcW w:w="129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A00F67A">
            <w:pPr>
              <w:jc w:val="center"/>
              <w:rPr>
                <w:rFonts w:ascii="宋体" w:hAnsi="宋体"/>
                <w:color w:val="auto"/>
                <w:szCs w:val="21"/>
                <w:highlight w:val="none"/>
              </w:rPr>
            </w:pPr>
          </w:p>
        </w:tc>
        <w:tc>
          <w:tcPr>
            <w:tcW w:w="2488"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8CF4871">
            <w:pPr>
              <w:jc w:val="center"/>
              <w:rPr>
                <w:rFonts w:ascii="宋体" w:hAnsi="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E06B506">
            <w:pPr>
              <w:jc w:val="center"/>
              <w:rPr>
                <w:rFonts w:ascii="宋体" w:hAnsi="宋体"/>
                <w:color w:val="auto"/>
                <w:szCs w:val="21"/>
                <w:highlight w:val="none"/>
              </w:rPr>
            </w:pPr>
          </w:p>
        </w:tc>
      </w:tr>
      <w:tr w14:paraId="3508B757">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A28A8EF">
            <w:pPr>
              <w:jc w:val="center"/>
              <w:rPr>
                <w:rFonts w:ascii="宋体" w:hAnsi="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7DC391F">
            <w:pPr>
              <w:jc w:val="center"/>
              <w:rPr>
                <w:rFonts w:ascii="宋体" w:hAnsi="宋体"/>
                <w:color w:val="auto"/>
                <w:szCs w:val="21"/>
                <w:highlight w:val="none"/>
              </w:rPr>
            </w:pPr>
          </w:p>
        </w:tc>
        <w:tc>
          <w:tcPr>
            <w:tcW w:w="129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86CCD7D">
            <w:pPr>
              <w:jc w:val="center"/>
              <w:rPr>
                <w:rFonts w:ascii="宋体" w:hAnsi="宋体"/>
                <w:color w:val="auto"/>
                <w:szCs w:val="21"/>
                <w:highlight w:val="none"/>
              </w:rPr>
            </w:pPr>
          </w:p>
        </w:tc>
        <w:tc>
          <w:tcPr>
            <w:tcW w:w="2488"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8524F15">
            <w:pPr>
              <w:jc w:val="center"/>
              <w:rPr>
                <w:rFonts w:ascii="宋体" w:hAnsi="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DE95471">
            <w:pPr>
              <w:jc w:val="center"/>
              <w:rPr>
                <w:rFonts w:ascii="宋体" w:hAnsi="宋体"/>
                <w:color w:val="auto"/>
                <w:szCs w:val="21"/>
                <w:highlight w:val="none"/>
              </w:rPr>
            </w:pPr>
          </w:p>
        </w:tc>
      </w:tr>
      <w:tr w14:paraId="71151966">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D4CE238">
            <w:pPr>
              <w:jc w:val="center"/>
              <w:rPr>
                <w:rFonts w:ascii="宋体" w:hAnsi="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FD25191">
            <w:pPr>
              <w:jc w:val="center"/>
              <w:rPr>
                <w:rFonts w:ascii="宋体" w:hAnsi="宋体"/>
                <w:color w:val="auto"/>
                <w:szCs w:val="21"/>
                <w:highlight w:val="none"/>
              </w:rPr>
            </w:pPr>
          </w:p>
        </w:tc>
        <w:tc>
          <w:tcPr>
            <w:tcW w:w="129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8B2032E">
            <w:pPr>
              <w:jc w:val="center"/>
              <w:rPr>
                <w:rFonts w:ascii="宋体" w:hAnsi="宋体"/>
                <w:color w:val="auto"/>
                <w:szCs w:val="21"/>
                <w:highlight w:val="none"/>
              </w:rPr>
            </w:pPr>
          </w:p>
        </w:tc>
        <w:tc>
          <w:tcPr>
            <w:tcW w:w="2488"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5254BDD">
            <w:pPr>
              <w:jc w:val="center"/>
              <w:rPr>
                <w:rFonts w:ascii="宋体" w:hAnsi="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193F320">
            <w:pPr>
              <w:jc w:val="center"/>
              <w:rPr>
                <w:rFonts w:ascii="宋体" w:hAnsi="宋体"/>
                <w:color w:val="auto"/>
                <w:szCs w:val="21"/>
                <w:highlight w:val="none"/>
              </w:rPr>
            </w:pPr>
          </w:p>
        </w:tc>
      </w:tr>
      <w:tr w14:paraId="327447DE">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D2239DD">
            <w:pPr>
              <w:jc w:val="center"/>
              <w:rPr>
                <w:rFonts w:ascii="宋体" w:hAnsi="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DE07D03">
            <w:pPr>
              <w:jc w:val="center"/>
              <w:rPr>
                <w:rFonts w:ascii="宋体" w:hAnsi="宋体"/>
                <w:color w:val="auto"/>
                <w:szCs w:val="21"/>
                <w:highlight w:val="none"/>
              </w:rPr>
            </w:pPr>
          </w:p>
        </w:tc>
        <w:tc>
          <w:tcPr>
            <w:tcW w:w="129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E39DC9B">
            <w:pPr>
              <w:jc w:val="center"/>
              <w:rPr>
                <w:rFonts w:ascii="宋体" w:hAnsi="宋体"/>
                <w:color w:val="auto"/>
                <w:szCs w:val="21"/>
                <w:highlight w:val="none"/>
              </w:rPr>
            </w:pPr>
          </w:p>
        </w:tc>
        <w:tc>
          <w:tcPr>
            <w:tcW w:w="2488"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AAC4980">
            <w:pPr>
              <w:jc w:val="center"/>
              <w:rPr>
                <w:rFonts w:ascii="宋体" w:hAnsi="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FCA3187">
            <w:pPr>
              <w:jc w:val="center"/>
              <w:rPr>
                <w:rFonts w:ascii="宋体" w:hAnsi="宋体"/>
                <w:color w:val="auto"/>
                <w:szCs w:val="21"/>
                <w:highlight w:val="none"/>
              </w:rPr>
            </w:pPr>
          </w:p>
        </w:tc>
      </w:tr>
      <w:tr w14:paraId="3F7767F8">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020511B">
            <w:pPr>
              <w:jc w:val="center"/>
              <w:rPr>
                <w:rFonts w:ascii="宋体" w:hAnsi="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E155FDF">
            <w:pPr>
              <w:jc w:val="center"/>
              <w:rPr>
                <w:rFonts w:ascii="宋体" w:hAnsi="宋体"/>
                <w:color w:val="auto"/>
                <w:szCs w:val="21"/>
                <w:highlight w:val="none"/>
              </w:rPr>
            </w:pPr>
          </w:p>
        </w:tc>
        <w:tc>
          <w:tcPr>
            <w:tcW w:w="129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EC119B7">
            <w:pPr>
              <w:jc w:val="center"/>
              <w:rPr>
                <w:rFonts w:ascii="宋体" w:hAnsi="宋体"/>
                <w:color w:val="auto"/>
                <w:szCs w:val="21"/>
                <w:highlight w:val="none"/>
              </w:rPr>
            </w:pPr>
          </w:p>
        </w:tc>
        <w:tc>
          <w:tcPr>
            <w:tcW w:w="2488"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0ABB774">
            <w:pPr>
              <w:jc w:val="center"/>
              <w:rPr>
                <w:rFonts w:ascii="宋体" w:hAnsi="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4270BCD">
            <w:pPr>
              <w:jc w:val="center"/>
              <w:rPr>
                <w:rFonts w:ascii="宋体" w:hAnsi="宋体"/>
                <w:color w:val="auto"/>
                <w:szCs w:val="21"/>
                <w:highlight w:val="none"/>
              </w:rPr>
            </w:pPr>
          </w:p>
        </w:tc>
      </w:tr>
      <w:tr w14:paraId="07AD4D83">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5C6609E">
            <w:pPr>
              <w:jc w:val="center"/>
              <w:rPr>
                <w:rFonts w:ascii="宋体" w:hAnsi="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EFBAAE6">
            <w:pPr>
              <w:jc w:val="center"/>
              <w:rPr>
                <w:rFonts w:ascii="宋体" w:hAnsi="宋体"/>
                <w:color w:val="auto"/>
                <w:szCs w:val="21"/>
                <w:highlight w:val="none"/>
              </w:rPr>
            </w:pPr>
          </w:p>
        </w:tc>
        <w:tc>
          <w:tcPr>
            <w:tcW w:w="129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018787A">
            <w:pPr>
              <w:jc w:val="center"/>
              <w:rPr>
                <w:rFonts w:ascii="宋体" w:hAnsi="宋体"/>
                <w:color w:val="auto"/>
                <w:szCs w:val="21"/>
                <w:highlight w:val="none"/>
              </w:rPr>
            </w:pPr>
          </w:p>
        </w:tc>
        <w:tc>
          <w:tcPr>
            <w:tcW w:w="2488"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EF94A97">
            <w:pPr>
              <w:jc w:val="center"/>
              <w:rPr>
                <w:rFonts w:ascii="宋体" w:hAnsi="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5D35BA6">
            <w:pPr>
              <w:jc w:val="center"/>
              <w:rPr>
                <w:rFonts w:ascii="宋体" w:hAnsi="宋体"/>
                <w:color w:val="auto"/>
                <w:szCs w:val="21"/>
                <w:highlight w:val="none"/>
              </w:rPr>
            </w:pPr>
          </w:p>
        </w:tc>
      </w:tr>
      <w:tr w14:paraId="1D01F578">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54BF788">
            <w:pPr>
              <w:jc w:val="center"/>
              <w:rPr>
                <w:rFonts w:ascii="宋体" w:hAnsi="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FEF02C9">
            <w:pPr>
              <w:jc w:val="center"/>
              <w:rPr>
                <w:rFonts w:ascii="宋体" w:hAnsi="宋体"/>
                <w:color w:val="auto"/>
                <w:szCs w:val="21"/>
                <w:highlight w:val="none"/>
              </w:rPr>
            </w:pPr>
          </w:p>
        </w:tc>
        <w:tc>
          <w:tcPr>
            <w:tcW w:w="129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84C8905">
            <w:pPr>
              <w:jc w:val="center"/>
              <w:rPr>
                <w:rFonts w:ascii="宋体" w:hAnsi="宋体"/>
                <w:color w:val="auto"/>
                <w:szCs w:val="21"/>
                <w:highlight w:val="none"/>
              </w:rPr>
            </w:pPr>
          </w:p>
        </w:tc>
        <w:tc>
          <w:tcPr>
            <w:tcW w:w="2488"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9EFAF21">
            <w:pPr>
              <w:jc w:val="center"/>
              <w:rPr>
                <w:rFonts w:ascii="宋体" w:hAnsi="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2E678DE">
            <w:pPr>
              <w:jc w:val="center"/>
              <w:rPr>
                <w:rFonts w:ascii="宋体" w:hAnsi="宋体"/>
                <w:color w:val="auto"/>
                <w:szCs w:val="21"/>
                <w:highlight w:val="none"/>
              </w:rPr>
            </w:pPr>
          </w:p>
        </w:tc>
      </w:tr>
      <w:tr w14:paraId="2A6A2B31">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17CE52C">
            <w:pPr>
              <w:jc w:val="center"/>
              <w:rPr>
                <w:rFonts w:ascii="宋体" w:hAnsi="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C55C183">
            <w:pPr>
              <w:jc w:val="center"/>
              <w:rPr>
                <w:rFonts w:ascii="宋体" w:hAnsi="宋体"/>
                <w:color w:val="auto"/>
                <w:szCs w:val="21"/>
                <w:highlight w:val="none"/>
              </w:rPr>
            </w:pPr>
          </w:p>
        </w:tc>
        <w:tc>
          <w:tcPr>
            <w:tcW w:w="129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343CBE3">
            <w:pPr>
              <w:jc w:val="center"/>
              <w:rPr>
                <w:rFonts w:ascii="宋体" w:hAnsi="宋体"/>
                <w:color w:val="auto"/>
                <w:szCs w:val="21"/>
                <w:highlight w:val="none"/>
              </w:rPr>
            </w:pPr>
          </w:p>
        </w:tc>
        <w:tc>
          <w:tcPr>
            <w:tcW w:w="2488"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EC643F6">
            <w:pPr>
              <w:jc w:val="center"/>
              <w:rPr>
                <w:rFonts w:ascii="宋体" w:hAnsi="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BD81C33">
            <w:pPr>
              <w:jc w:val="center"/>
              <w:rPr>
                <w:rFonts w:ascii="宋体" w:hAnsi="宋体"/>
                <w:color w:val="auto"/>
                <w:szCs w:val="21"/>
                <w:highlight w:val="none"/>
              </w:rPr>
            </w:pPr>
          </w:p>
        </w:tc>
      </w:tr>
      <w:tr w14:paraId="3BBF5AF7">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2C7621F">
            <w:pPr>
              <w:jc w:val="center"/>
              <w:rPr>
                <w:rFonts w:ascii="宋体" w:hAnsi="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99EA42C">
            <w:pPr>
              <w:jc w:val="center"/>
              <w:rPr>
                <w:rFonts w:ascii="宋体" w:hAnsi="宋体"/>
                <w:color w:val="auto"/>
                <w:szCs w:val="21"/>
                <w:highlight w:val="none"/>
              </w:rPr>
            </w:pPr>
          </w:p>
        </w:tc>
        <w:tc>
          <w:tcPr>
            <w:tcW w:w="129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89F2C1E">
            <w:pPr>
              <w:jc w:val="center"/>
              <w:rPr>
                <w:rFonts w:ascii="宋体" w:hAnsi="宋体"/>
                <w:color w:val="auto"/>
                <w:szCs w:val="21"/>
                <w:highlight w:val="none"/>
              </w:rPr>
            </w:pPr>
          </w:p>
        </w:tc>
        <w:tc>
          <w:tcPr>
            <w:tcW w:w="2488"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20C43F6">
            <w:pPr>
              <w:jc w:val="center"/>
              <w:rPr>
                <w:rFonts w:ascii="宋体" w:hAnsi="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17F471C">
            <w:pPr>
              <w:jc w:val="center"/>
              <w:rPr>
                <w:rFonts w:ascii="宋体" w:hAnsi="宋体"/>
                <w:color w:val="auto"/>
                <w:szCs w:val="21"/>
                <w:highlight w:val="none"/>
              </w:rPr>
            </w:pPr>
          </w:p>
        </w:tc>
      </w:tr>
      <w:tr w14:paraId="6AC7AF06">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E6A77A5">
            <w:pPr>
              <w:jc w:val="center"/>
              <w:rPr>
                <w:rFonts w:ascii="宋体" w:hAnsi="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DB8A403">
            <w:pPr>
              <w:jc w:val="center"/>
              <w:rPr>
                <w:rFonts w:ascii="宋体" w:hAnsi="宋体"/>
                <w:color w:val="auto"/>
                <w:szCs w:val="21"/>
                <w:highlight w:val="none"/>
              </w:rPr>
            </w:pPr>
          </w:p>
        </w:tc>
        <w:tc>
          <w:tcPr>
            <w:tcW w:w="129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A324B4F">
            <w:pPr>
              <w:jc w:val="center"/>
              <w:rPr>
                <w:rFonts w:ascii="宋体" w:hAnsi="宋体"/>
                <w:color w:val="auto"/>
                <w:szCs w:val="21"/>
                <w:highlight w:val="none"/>
              </w:rPr>
            </w:pPr>
          </w:p>
        </w:tc>
        <w:tc>
          <w:tcPr>
            <w:tcW w:w="2488"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16757F6">
            <w:pPr>
              <w:jc w:val="center"/>
              <w:rPr>
                <w:rFonts w:ascii="宋体" w:hAnsi="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AB0DD92">
            <w:pPr>
              <w:jc w:val="center"/>
              <w:rPr>
                <w:rFonts w:ascii="宋体" w:hAnsi="宋体"/>
                <w:color w:val="auto"/>
                <w:szCs w:val="21"/>
                <w:highlight w:val="none"/>
              </w:rPr>
            </w:pPr>
          </w:p>
        </w:tc>
      </w:tr>
      <w:tr w14:paraId="552BABAA">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3E960C2">
            <w:pPr>
              <w:jc w:val="center"/>
              <w:rPr>
                <w:rFonts w:ascii="宋体" w:hAnsi="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FDD57CE">
            <w:pPr>
              <w:jc w:val="center"/>
              <w:rPr>
                <w:rFonts w:ascii="宋体" w:hAnsi="宋体"/>
                <w:color w:val="auto"/>
                <w:szCs w:val="21"/>
                <w:highlight w:val="none"/>
              </w:rPr>
            </w:pPr>
          </w:p>
        </w:tc>
        <w:tc>
          <w:tcPr>
            <w:tcW w:w="129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E91291B">
            <w:pPr>
              <w:jc w:val="center"/>
              <w:rPr>
                <w:rFonts w:ascii="宋体" w:hAnsi="宋体"/>
                <w:color w:val="auto"/>
                <w:szCs w:val="21"/>
                <w:highlight w:val="none"/>
              </w:rPr>
            </w:pPr>
          </w:p>
        </w:tc>
        <w:tc>
          <w:tcPr>
            <w:tcW w:w="2488"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FC7588C">
            <w:pPr>
              <w:jc w:val="center"/>
              <w:rPr>
                <w:rFonts w:ascii="宋体" w:hAnsi="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6962C57">
            <w:pPr>
              <w:jc w:val="center"/>
              <w:rPr>
                <w:rFonts w:ascii="宋体" w:hAnsi="宋体"/>
                <w:color w:val="auto"/>
                <w:szCs w:val="21"/>
                <w:highlight w:val="none"/>
              </w:rPr>
            </w:pPr>
          </w:p>
        </w:tc>
      </w:tr>
      <w:tr w14:paraId="7B898625">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BD5D49D">
            <w:pPr>
              <w:jc w:val="center"/>
              <w:rPr>
                <w:rFonts w:ascii="宋体" w:hAnsi="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F9C9AFF">
            <w:pPr>
              <w:jc w:val="center"/>
              <w:rPr>
                <w:rFonts w:ascii="宋体" w:hAnsi="宋体"/>
                <w:color w:val="auto"/>
                <w:szCs w:val="21"/>
                <w:highlight w:val="none"/>
              </w:rPr>
            </w:pPr>
          </w:p>
        </w:tc>
        <w:tc>
          <w:tcPr>
            <w:tcW w:w="129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2A15976">
            <w:pPr>
              <w:jc w:val="center"/>
              <w:rPr>
                <w:rFonts w:ascii="宋体" w:hAnsi="宋体"/>
                <w:color w:val="auto"/>
                <w:szCs w:val="21"/>
                <w:highlight w:val="none"/>
              </w:rPr>
            </w:pPr>
          </w:p>
        </w:tc>
        <w:tc>
          <w:tcPr>
            <w:tcW w:w="2488"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C96E525">
            <w:pPr>
              <w:jc w:val="center"/>
              <w:rPr>
                <w:rFonts w:ascii="宋体" w:hAnsi="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B2E26C5">
            <w:pPr>
              <w:jc w:val="center"/>
              <w:rPr>
                <w:rFonts w:ascii="宋体" w:hAnsi="宋体"/>
                <w:color w:val="auto"/>
                <w:szCs w:val="21"/>
                <w:highlight w:val="none"/>
              </w:rPr>
            </w:pPr>
          </w:p>
        </w:tc>
      </w:tr>
    </w:tbl>
    <w:p w14:paraId="218A9D95">
      <w:pPr>
        <w:rPr>
          <w:rFonts w:ascii="宋体" w:hAnsi="宋体"/>
          <w:color w:val="auto"/>
          <w:szCs w:val="21"/>
          <w:highlight w:val="none"/>
        </w:rPr>
      </w:pPr>
    </w:p>
    <w:p w14:paraId="09E727ED">
      <w:pPr>
        <w:ind w:firstLine="422" w:firstLineChars="200"/>
        <w:rPr>
          <w:rFonts w:ascii="宋体" w:hAnsi="宋体"/>
          <w:b/>
          <w:color w:val="auto"/>
          <w:szCs w:val="21"/>
          <w:highlight w:val="none"/>
        </w:rPr>
      </w:pPr>
      <w:r>
        <w:rPr>
          <w:rFonts w:hint="eastAsia" w:ascii="宋体" w:hAnsi="宋体" w:cs="宋体"/>
          <w:b/>
          <w:color w:val="auto"/>
          <w:szCs w:val="21"/>
          <w:highlight w:val="none"/>
        </w:rPr>
        <w:t>附：项目经理</w:t>
      </w:r>
      <w:r>
        <w:rPr>
          <w:rFonts w:hint="eastAsia" w:ascii="宋体" w:hAnsi="宋体" w:cs="宋体"/>
          <w:b/>
          <w:color w:val="auto"/>
          <w:szCs w:val="21"/>
          <w:highlight w:val="none"/>
          <w:lang w:val="en-US" w:eastAsia="zh-CN"/>
        </w:rPr>
        <w:t>相关</w:t>
      </w:r>
      <w:r>
        <w:rPr>
          <w:rFonts w:hint="eastAsia" w:ascii="宋体" w:hAnsi="宋体" w:cs="宋体"/>
          <w:b/>
          <w:color w:val="auto"/>
          <w:szCs w:val="21"/>
          <w:highlight w:val="none"/>
        </w:rPr>
        <w:t>证书扫描件。</w:t>
      </w:r>
    </w:p>
    <w:p w14:paraId="0565E059">
      <w:pPr>
        <w:rPr>
          <w:rFonts w:ascii="宋体" w:hAnsi="宋体"/>
          <w:b/>
          <w:color w:val="auto"/>
          <w:szCs w:val="21"/>
          <w:highlight w:val="none"/>
        </w:rPr>
      </w:pPr>
    </w:p>
    <w:p w14:paraId="16659761">
      <w:pPr>
        <w:rPr>
          <w:rFonts w:ascii="宋体" w:hAnsi="宋体"/>
          <w:b/>
          <w:color w:val="auto"/>
          <w:szCs w:val="21"/>
          <w:highlight w:val="none"/>
        </w:rPr>
      </w:pPr>
    </w:p>
    <w:p w14:paraId="5ED65E26">
      <w:pPr>
        <w:rPr>
          <w:rFonts w:ascii="宋体" w:hAnsi="宋体"/>
          <w:b/>
          <w:color w:val="auto"/>
          <w:szCs w:val="21"/>
          <w:highlight w:val="none"/>
        </w:rPr>
      </w:pPr>
    </w:p>
    <w:p w14:paraId="06AD0049">
      <w:pPr>
        <w:rPr>
          <w:rFonts w:ascii="宋体" w:hAnsi="宋体"/>
          <w:b/>
          <w:color w:val="auto"/>
          <w:szCs w:val="21"/>
          <w:highlight w:val="none"/>
        </w:rPr>
      </w:pPr>
    </w:p>
    <w:p w14:paraId="1E1C393A">
      <w:pPr>
        <w:autoSpaceDE w:val="0"/>
        <w:autoSpaceDN w:val="0"/>
        <w:spacing w:line="360" w:lineRule="auto"/>
        <w:ind w:left="4335" w:leftChars="1950" w:hanging="240" w:hanging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供应商名称（电子签章）：</w:t>
      </w:r>
    </w:p>
    <w:p w14:paraId="39CCB8C0">
      <w:pPr>
        <w:pStyle w:val="23"/>
        <w:snapToGrid w:val="0"/>
        <w:spacing w:line="360" w:lineRule="auto"/>
        <w:ind w:left="409" w:leftChars="195" w:firstLine="6240" w:firstLineChars="260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zh-CN"/>
        </w:rPr>
        <w:t>日期：  年  月   日</w:t>
      </w:r>
    </w:p>
    <w:p w14:paraId="435B2EA4">
      <w:pPr>
        <w:pStyle w:val="23"/>
        <w:snapToGrid w:val="0"/>
        <w:spacing w:line="360" w:lineRule="auto"/>
        <w:ind w:left="480" w:hanging="480"/>
        <w:rPr>
          <w:rFonts w:hint="eastAsia" w:ascii="宋体" w:hAnsi="宋体" w:eastAsia="宋体" w:cs="宋体"/>
          <w:color w:val="auto"/>
          <w:sz w:val="24"/>
          <w:highlight w:val="none"/>
        </w:rPr>
      </w:pPr>
    </w:p>
    <w:p w14:paraId="43BFFECF">
      <w:pPr>
        <w:pStyle w:val="23"/>
        <w:snapToGrid w:val="0"/>
        <w:spacing w:line="360" w:lineRule="auto"/>
        <w:ind w:left="480" w:hanging="480"/>
        <w:rPr>
          <w:rFonts w:hint="eastAsia" w:ascii="宋体" w:hAnsi="宋体" w:eastAsia="宋体" w:cs="宋体"/>
          <w:color w:val="auto"/>
          <w:sz w:val="24"/>
          <w:highlight w:val="none"/>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p>
    <w:p w14:paraId="1F96DB66">
      <w:pPr>
        <w:numPr>
          <w:ilvl w:val="0"/>
          <w:numId w:val="0"/>
        </w:numPr>
        <w:snapToGrid w:val="0"/>
        <w:spacing w:line="360" w:lineRule="auto"/>
        <w:ind w:left="480" w:leftChars="0"/>
        <w:jc w:val="left"/>
        <w:rPr>
          <w:rFonts w:hint="eastAsia" w:ascii="仿宋" w:hAnsi="仿宋" w:eastAsia="仿宋" w:cs="仿宋"/>
          <w:b/>
          <w:color w:val="auto"/>
          <w:sz w:val="28"/>
          <w:szCs w:val="28"/>
          <w:highlight w:val="none"/>
          <w:lang w:val="en-US" w:eastAsia="zh-CN"/>
        </w:rPr>
      </w:pPr>
      <w:bookmarkStart w:id="183" w:name="_Toc2647"/>
      <w:r>
        <w:rPr>
          <w:rFonts w:hint="eastAsia" w:ascii="仿宋" w:hAnsi="仿宋" w:eastAsia="仿宋" w:cs="仿宋"/>
          <w:b/>
          <w:color w:val="auto"/>
          <w:sz w:val="28"/>
          <w:szCs w:val="28"/>
          <w:highlight w:val="none"/>
          <w:lang w:val="en-US" w:eastAsia="zh-CN"/>
        </w:rPr>
        <w:t>十</w:t>
      </w:r>
      <w:bookmarkEnd w:id="183"/>
      <w:r>
        <w:rPr>
          <w:rFonts w:hint="eastAsia" w:ascii="仿宋" w:hAnsi="仿宋" w:eastAsia="仿宋" w:cs="仿宋"/>
          <w:b/>
          <w:color w:val="auto"/>
          <w:sz w:val="28"/>
          <w:szCs w:val="28"/>
          <w:highlight w:val="none"/>
          <w:lang w:val="en-US" w:eastAsia="zh-CN"/>
        </w:rPr>
        <w:t>三、供应商认为需要提供的其他有关资料</w:t>
      </w:r>
    </w:p>
    <w:p w14:paraId="792FA459">
      <w:pPr>
        <w:numPr>
          <w:ilvl w:val="0"/>
          <w:numId w:val="0"/>
        </w:numPr>
        <w:outlineLvl w:val="9"/>
        <w:rPr>
          <w:rFonts w:hint="eastAsia" w:ascii="仿宋" w:hAnsi="仿宋" w:eastAsia="仿宋" w:cs="仿宋"/>
          <w:color w:val="auto"/>
          <w:highlight w:val="none"/>
          <w:lang w:val="en-US" w:eastAsia="zh-CN"/>
        </w:rPr>
      </w:pPr>
    </w:p>
    <w:p w14:paraId="093D55E0">
      <w:pPr>
        <w:outlineLvl w:val="9"/>
        <w:rPr>
          <w:rFonts w:hint="eastAsia" w:ascii="仿宋" w:hAnsi="仿宋" w:eastAsia="仿宋" w:cs="仿宋"/>
          <w:color w:val="auto"/>
          <w:highlight w:val="none"/>
          <w:lang w:val="en-US" w:eastAsia="zh-CN"/>
        </w:rPr>
      </w:pPr>
    </w:p>
    <w:p w14:paraId="1C5A6927">
      <w:pPr>
        <w:outlineLvl w:val="9"/>
        <w:rPr>
          <w:rFonts w:hint="eastAsia" w:ascii="仿宋" w:hAnsi="仿宋" w:eastAsia="仿宋" w:cs="仿宋"/>
          <w:color w:val="auto"/>
          <w:highlight w:val="none"/>
          <w:lang w:val="en-US" w:eastAsia="zh-CN"/>
        </w:rPr>
      </w:pPr>
    </w:p>
    <w:p w14:paraId="0F925D5A">
      <w:pPr>
        <w:autoSpaceDE w:val="0"/>
        <w:autoSpaceDN w:val="0"/>
        <w:spacing w:line="360" w:lineRule="auto"/>
        <w:ind w:left="4335" w:leftChars="1950" w:hanging="240" w:hangingChars="100"/>
        <w:rPr>
          <w:rFonts w:hint="eastAsia" w:ascii="仿宋" w:hAnsi="仿宋" w:eastAsia="仿宋" w:cs="仿宋"/>
          <w:color w:val="auto"/>
          <w:kern w:val="0"/>
          <w:sz w:val="24"/>
          <w:highlight w:val="none"/>
        </w:rPr>
      </w:pPr>
    </w:p>
    <w:p w14:paraId="798114CD">
      <w:pPr>
        <w:autoSpaceDE w:val="0"/>
        <w:autoSpaceDN w:val="0"/>
        <w:spacing w:line="360" w:lineRule="auto"/>
        <w:ind w:left="4335" w:leftChars="1950" w:hanging="240" w:hangingChars="100"/>
        <w:rPr>
          <w:rFonts w:hint="eastAsia" w:ascii="仿宋" w:hAnsi="仿宋" w:eastAsia="仿宋" w:cs="仿宋"/>
          <w:color w:val="auto"/>
          <w:kern w:val="0"/>
          <w:sz w:val="24"/>
          <w:highlight w:val="none"/>
        </w:rPr>
      </w:pPr>
    </w:p>
    <w:p w14:paraId="00B587C0">
      <w:pPr>
        <w:autoSpaceDE w:val="0"/>
        <w:autoSpaceDN w:val="0"/>
        <w:spacing w:line="360" w:lineRule="auto"/>
        <w:ind w:left="4335" w:leftChars="1950" w:hanging="240" w:hangingChars="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75D68259">
      <w:pPr>
        <w:pStyle w:val="12"/>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kern w:val="0"/>
          <w:sz w:val="24"/>
          <w:highlight w:val="none"/>
          <w:lang w:val="zh-CN"/>
        </w:rPr>
        <w:t>日期：  年  月   日</w:t>
      </w:r>
    </w:p>
    <w:p w14:paraId="053690B2">
      <w:pPr>
        <w:pStyle w:val="19"/>
        <w:rPr>
          <w:rFonts w:hint="eastAsia" w:ascii="宋体" w:hAnsi="宋体" w:eastAsia="宋体" w:cs="宋体"/>
          <w:color w:val="auto"/>
          <w:kern w:val="0"/>
          <w:sz w:val="24"/>
          <w:highlight w:val="none"/>
          <w:lang w:val="zh-CN"/>
        </w:rPr>
      </w:pPr>
    </w:p>
    <w:p w14:paraId="50D57C5F">
      <w:pPr>
        <w:rPr>
          <w:rFonts w:hint="eastAsia"/>
          <w:color w:val="auto"/>
          <w:highlight w:val="none"/>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p>
    <w:p w14:paraId="5FBC81A0">
      <w:pPr>
        <w:autoSpaceDE w:val="0"/>
        <w:autoSpaceDN w:val="0"/>
        <w:spacing w:line="360" w:lineRule="auto"/>
        <w:ind w:firstLine="6505" w:firstLineChars="2700"/>
        <w:rPr>
          <w:rFonts w:hint="eastAsia" w:ascii="宋体" w:hAnsi="宋体" w:eastAsia="宋体" w:cs="宋体"/>
          <w:b/>
          <w:bCs/>
          <w:color w:val="auto"/>
          <w:sz w:val="24"/>
          <w:highlight w:val="none"/>
        </w:rPr>
      </w:pPr>
    </w:p>
    <w:p w14:paraId="2D6B3043">
      <w:pPr>
        <w:pStyle w:val="3"/>
        <w:spacing w:line="360" w:lineRule="auto"/>
        <w:jc w:val="center"/>
        <w:rPr>
          <w:rFonts w:hint="eastAsia" w:ascii="宋体" w:hAnsi="宋体" w:eastAsia="宋体" w:cs="宋体"/>
          <w:color w:val="auto"/>
          <w:highlight w:val="none"/>
          <w:lang w:val="en-US" w:eastAsia="zh-CN"/>
        </w:rPr>
      </w:pPr>
      <w:bookmarkStart w:id="184" w:name="_Toc80205941"/>
      <w:bookmarkStart w:id="185" w:name="_Toc21302"/>
      <w:bookmarkStart w:id="186" w:name="_Toc12752"/>
      <w:bookmarkStart w:id="187" w:name="_Toc9136"/>
      <w:bookmarkStart w:id="188" w:name="_Toc4162"/>
      <w:bookmarkStart w:id="189" w:name="_Toc23387"/>
      <w:bookmarkStart w:id="190" w:name="_Toc14497"/>
      <w:bookmarkStart w:id="191" w:name="_Toc7838"/>
      <w:r>
        <w:rPr>
          <w:rFonts w:hint="eastAsia" w:ascii="宋体" w:hAnsi="宋体" w:eastAsia="宋体" w:cs="宋体"/>
          <w:color w:val="auto"/>
          <w:highlight w:val="none"/>
          <w:lang w:val="en-US" w:eastAsia="zh-CN"/>
        </w:rPr>
        <w:t>第四节 报价文件格式</w:t>
      </w:r>
      <w:bookmarkEnd w:id="184"/>
      <w:bookmarkEnd w:id="185"/>
      <w:bookmarkEnd w:id="186"/>
      <w:bookmarkEnd w:id="187"/>
      <w:bookmarkEnd w:id="188"/>
      <w:bookmarkEnd w:id="189"/>
      <w:bookmarkEnd w:id="190"/>
      <w:bookmarkEnd w:id="191"/>
    </w:p>
    <w:p w14:paraId="6C5A60EC">
      <w:pPr>
        <w:snapToGrid w:val="0"/>
        <w:spacing w:before="120" w:beforeLines="50" w:after="50" w:line="360" w:lineRule="auto"/>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6BB75EE6">
      <w:pPr>
        <w:snapToGrid w:val="0"/>
        <w:spacing w:before="120" w:beforeLines="50" w:after="50" w:line="360" w:lineRule="auto"/>
        <w:rPr>
          <w:rFonts w:hint="eastAsia" w:ascii="宋体" w:hAnsi="宋体" w:eastAsia="宋体" w:cs="宋体"/>
          <w:color w:val="auto"/>
          <w:sz w:val="24"/>
          <w:szCs w:val="20"/>
          <w:highlight w:val="none"/>
        </w:rPr>
      </w:pPr>
    </w:p>
    <w:p w14:paraId="0A6A81C8">
      <w:pPr>
        <w:snapToGrid w:val="0"/>
        <w:spacing w:before="120" w:beforeLines="50" w:after="50" w:line="360" w:lineRule="auto"/>
        <w:rPr>
          <w:rFonts w:hint="eastAsia" w:ascii="宋体" w:hAnsi="宋体" w:eastAsia="宋体" w:cs="宋体"/>
          <w:color w:val="auto"/>
          <w:sz w:val="24"/>
          <w:szCs w:val="20"/>
          <w:highlight w:val="none"/>
        </w:rPr>
      </w:pPr>
    </w:p>
    <w:p w14:paraId="693AD203">
      <w:pPr>
        <w:snapToGrid w:val="0"/>
        <w:spacing w:before="120" w:beforeLines="50" w:after="50" w:line="360" w:lineRule="auto"/>
        <w:rPr>
          <w:rFonts w:hint="eastAsia" w:ascii="宋体" w:hAnsi="宋体" w:eastAsia="宋体" w:cs="宋体"/>
          <w:color w:val="auto"/>
          <w:sz w:val="24"/>
          <w:szCs w:val="20"/>
          <w:highlight w:val="none"/>
        </w:rPr>
      </w:pPr>
    </w:p>
    <w:p w14:paraId="3042B4EC">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报  价  文  件（封面）</w:t>
      </w:r>
    </w:p>
    <w:p w14:paraId="612116BE">
      <w:pPr>
        <w:snapToGrid w:val="0"/>
        <w:spacing w:before="120" w:beforeLines="50" w:after="50" w:line="360" w:lineRule="auto"/>
        <w:rPr>
          <w:rFonts w:hint="eastAsia" w:ascii="宋体" w:hAnsi="宋体" w:eastAsia="宋体" w:cs="宋体"/>
          <w:bCs/>
          <w:color w:val="auto"/>
          <w:sz w:val="24"/>
          <w:szCs w:val="20"/>
          <w:highlight w:val="none"/>
        </w:rPr>
      </w:pPr>
    </w:p>
    <w:p w14:paraId="4035CA5B">
      <w:pPr>
        <w:snapToGrid w:val="0"/>
        <w:spacing w:before="120" w:beforeLines="50" w:after="50" w:line="360" w:lineRule="auto"/>
        <w:rPr>
          <w:rFonts w:hint="eastAsia" w:ascii="宋体" w:hAnsi="宋体" w:eastAsia="宋体" w:cs="宋体"/>
          <w:bCs/>
          <w:color w:val="auto"/>
          <w:sz w:val="24"/>
          <w:szCs w:val="20"/>
          <w:highlight w:val="none"/>
        </w:rPr>
      </w:pPr>
    </w:p>
    <w:p w14:paraId="4F60BFD1">
      <w:pPr>
        <w:snapToGrid w:val="0"/>
        <w:spacing w:before="120" w:beforeLines="50" w:after="50" w:line="360" w:lineRule="auto"/>
        <w:ind w:firstLine="640" w:firstLineChars="200"/>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rPr>
        <w:t>项目名称：</w:t>
      </w:r>
      <w:r>
        <w:rPr>
          <w:rFonts w:hint="eastAsia" w:ascii="宋体" w:hAnsi="宋体" w:cs="宋体"/>
          <w:bCs/>
          <w:color w:val="auto"/>
          <w:sz w:val="32"/>
          <w:szCs w:val="32"/>
          <w:highlight w:val="none"/>
          <w:lang w:eastAsia="zh-CN"/>
        </w:rPr>
        <w:t>隆安县屏山乡刘家村刘家屯农田水利设施项目</w:t>
      </w:r>
    </w:p>
    <w:p w14:paraId="16EFDFCA">
      <w:pPr>
        <w:snapToGrid w:val="0"/>
        <w:spacing w:before="120" w:beforeLines="50" w:after="50" w:line="360" w:lineRule="auto"/>
        <w:ind w:firstLine="720" w:firstLineChars="225"/>
        <w:rPr>
          <w:rFonts w:hint="eastAsia" w:ascii="宋体" w:hAnsi="宋体" w:eastAsia="宋体" w:cs="宋体"/>
          <w:bCs/>
          <w:color w:val="auto"/>
          <w:sz w:val="32"/>
          <w:szCs w:val="32"/>
          <w:highlight w:val="none"/>
        </w:rPr>
      </w:pPr>
    </w:p>
    <w:p w14:paraId="457D3B5B">
      <w:pPr>
        <w:snapToGrid w:val="0"/>
        <w:spacing w:before="120" w:beforeLines="50" w:after="50" w:line="360" w:lineRule="auto"/>
        <w:ind w:firstLine="640" w:firstLineChars="200"/>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rPr>
        <w:t>项目编号：</w:t>
      </w:r>
      <w:r>
        <w:rPr>
          <w:rFonts w:hint="eastAsia" w:ascii="宋体" w:hAnsi="宋体" w:cs="宋体"/>
          <w:bCs/>
          <w:color w:val="auto"/>
          <w:sz w:val="32"/>
          <w:szCs w:val="32"/>
          <w:highlight w:val="none"/>
          <w:lang w:eastAsia="zh-CN"/>
        </w:rPr>
        <w:t xml:space="preserve">NNZC2026-C2-230022-JHGC   </w:t>
      </w:r>
    </w:p>
    <w:p w14:paraId="64F30529">
      <w:pPr>
        <w:snapToGrid w:val="0"/>
        <w:spacing w:before="120" w:beforeLines="50" w:after="50" w:line="360" w:lineRule="auto"/>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59A10037">
      <w:pPr>
        <w:snapToGrid w:val="0"/>
        <w:spacing w:before="120" w:beforeLines="50" w:after="50"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06024B67">
      <w:pPr>
        <w:snapToGrid w:val="0"/>
        <w:spacing w:before="120" w:beforeLines="50" w:after="50" w:line="360" w:lineRule="auto"/>
        <w:ind w:firstLine="720" w:firstLineChars="225"/>
        <w:rPr>
          <w:rFonts w:hint="eastAsia" w:ascii="宋体" w:hAnsi="宋体" w:eastAsia="宋体" w:cs="宋体"/>
          <w:bCs/>
          <w:color w:val="auto"/>
          <w:sz w:val="32"/>
          <w:szCs w:val="32"/>
          <w:highlight w:val="none"/>
        </w:rPr>
      </w:pPr>
    </w:p>
    <w:p w14:paraId="0715A65C">
      <w:pPr>
        <w:pStyle w:val="7"/>
        <w:snapToGrid w:val="0"/>
        <w:spacing w:before="50" w:after="50"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268BBD29">
      <w:pPr>
        <w:pStyle w:val="7"/>
        <w:snapToGrid w:val="0"/>
        <w:spacing w:before="50" w:after="50" w:line="360" w:lineRule="auto"/>
        <w:ind w:firstLine="720" w:firstLineChars="225"/>
        <w:rPr>
          <w:rFonts w:hint="eastAsia" w:ascii="宋体" w:hAnsi="宋体" w:eastAsia="宋体" w:cs="宋体"/>
          <w:bCs/>
          <w:color w:val="auto"/>
          <w:sz w:val="32"/>
          <w:szCs w:val="32"/>
          <w:highlight w:val="none"/>
        </w:rPr>
      </w:pPr>
    </w:p>
    <w:p w14:paraId="129385F8">
      <w:pPr>
        <w:pStyle w:val="7"/>
        <w:snapToGrid w:val="0"/>
        <w:spacing w:before="50" w:after="50" w:line="360" w:lineRule="auto"/>
        <w:ind w:firstLine="1280" w:firstLineChars="400"/>
        <w:rPr>
          <w:rFonts w:hint="eastAsia" w:ascii="宋体" w:hAnsi="宋体" w:eastAsia="宋体" w:cs="宋体"/>
          <w:bCs/>
          <w:color w:val="auto"/>
          <w:sz w:val="32"/>
          <w:szCs w:val="32"/>
          <w:highlight w:val="none"/>
        </w:rPr>
      </w:pPr>
    </w:p>
    <w:p w14:paraId="55319AC0">
      <w:pPr>
        <w:snapToGrid w:val="0"/>
        <w:spacing w:before="120" w:beforeLines="50" w:after="50"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6270559F">
      <w:pPr>
        <w:snapToGrid w:val="0"/>
        <w:spacing w:before="120" w:beforeLines="50" w:after="50"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0"/>
          <w:sz w:val="36"/>
          <w:szCs w:val="36"/>
          <w:highlight w:val="none"/>
        </w:rPr>
        <w:t>报价文件目录</w:t>
      </w:r>
    </w:p>
    <w:p w14:paraId="37D2D047">
      <w:pPr>
        <w:spacing w:line="360" w:lineRule="auto"/>
        <w:rPr>
          <w:rFonts w:hint="eastAsia" w:ascii="宋体" w:hAnsi="宋体" w:eastAsia="宋体" w:cs="宋体"/>
          <w:color w:val="auto"/>
          <w:highlight w:val="none"/>
        </w:rPr>
      </w:pPr>
    </w:p>
    <w:p w14:paraId="129BD5C9">
      <w:pPr>
        <w:pStyle w:val="35"/>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一、响应函………………………………………………………（页码）</w:t>
      </w:r>
    </w:p>
    <w:p w14:paraId="18F1F122">
      <w:pPr>
        <w:pStyle w:val="35"/>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二、响应报价表…………………………………………………（页码）</w:t>
      </w:r>
    </w:p>
    <w:p w14:paraId="476C6432">
      <w:pPr>
        <w:pStyle w:val="35"/>
        <w:spacing w:line="360" w:lineRule="auto"/>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三</w:t>
      </w: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已标价工程量清单</w:t>
      </w:r>
      <w:r>
        <w:rPr>
          <w:rFonts w:hint="eastAsia" w:ascii="仿宋" w:hAnsi="仿宋" w:eastAsia="仿宋" w:cs="仿宋"/>
          <w:color w:val="auto"/>
          <w:highlight w:val="none"/>
        </w:rPr>
        <w:t>…………………………………………（页码）</w:t>
      </w:r>
    </w:p>
    <w:p w14:paraId="36A1E0F2">
      <w:pPr>
        <w:pStyle w:val="35"/>
        <w:spacing w:line="360" w:lineRule="auto"/>
        <w:rPr>
          <w:rFonts w:hint="eastAsia" w:ascii="仿宋" w:hAnsi="仿宋" w:eastAsia="仿宋" w:cs="仿宋"/>
          <w:color w:val="auto"/>
          <w:highlight w:val="none"/>
        </w:rPr>
      </w:pPr>
      <w:r>
        <w:rPr>
          <w:rFonts w:hint="eastAsia" w:ascii="仿宋" w:eastAsia="仿宋" w:cs="仿宋"/>
          <w:color w:val="auto"/>
          <w:highlight w:val="none"/>
          <w:lang w:val="en-US" w:eastAsia="zh-CN"/>
        </w:rPr>
        <w:t>四、</w:t>
      </w:r>
      <w:r>
        <w:rPr>
          <w:rFonts w:hint="eastAsia" w:ascii="仿宋" w:hAnsi="仿宋" w:eastAsia="仿宋" w:cs="仿宋"/>
          <w:color w:val="auto"/>
          <w:highlight w:val="none"/>
        </w:rPr>
        <w:t>供应商认为需要提供的其他有关资料……………………（页码）</w:t>
      </w:r>
    </w:p>
    <w:p w14:paraId="652DF995">
      <w:pPr>
        <w:snapToGrid w:val="0"/>
        <w:spacing w:before="120" w:beforeLines="50" w:after="50" w:line="360" w:lineRule="auto"/>
        <w:ind w:left="0" w:firstLine="0" w:firstLineChars="0"/>
        <w:jc w:val="left"/>
        <w:rPr>
          <w:rFonts w:hint="eastAsia" w:ascii="仿宋" w:hAnsi="仿宋" w:eastAsia="仿宋" w:cs="仿宋"/>
          <w:color w:val="auto"/>
          <w:sz w:val="32"/>
          <w:szCs w:val="32"/>
          <w:highlight w:val="none"/>
        </w:rPr>
      </w:pPr>
      <w:r>
        <w:rPr>
          <w:rFonts w:hint="eastAsia" w:ascii="仿宋" w:hAnsi="仿宋" w:eastAsia="仿宋" w:cs="仿宋"/>
          <w:b/>
          <w:bCs/>
          <w:color w:val="auto"/>
          <w:sz w:val="24"/>
          <w:highlight w:val="none"/>
        </w:rPr>
        <w:t>注：以上目录是基本格式要求，各供应商可根据自身情况进一步向下增加内容或细化。</w:t>
      </w:r>
    </w:p>
    <w:p w14:paraId="7539C10D">
      <w:pPr>
        <w:snapToGrid w:val="0"/>
        <w:spacing w:before="120" w:beforeLines="50" w:after="50" w:line="360" w:lineRule="auto"/>
        <w:ind w:left="142"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仿宋" w:hAnsi="仿宋" w:eastAsia="仿宋" w:cs="仿宋"/>
          <w:b/>
          <w:bCs/>
          <w:color w:val="auto"/>
          <w:sz w:val="32"/>
          <w:szCs w:val="32"/>
          <w:highlight w:val="none"/>
        </w:rPr>
        <w:t>一、响应函</w:t>
      </w:r>
    </w:p>
    <w:p w14:paraId="1E23DC53">
      <w:pPr>
        <w:pStyle w:val="16"/>
        <w:spacing w:line="360" w:lineRule="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响应函</w:t>
      </w:r>
    </w:p>
    <w:p w14:paraId="75B875AF">
      <w:pPr>
        <w:pStyle w:val="16"/>
        <w:spacing w:line="360" w:lineRule="auto"/>
        <w:rPr>
          <w:rFonts w:hint="eastAsia" w:ascii="宋体" w:hAnsi="宋体" w:eastAsia="宋体" w:cs="宋体"/>
          <w:color w:val="auto"/>
          <w:sz w:val="32"/>
          <w:highlight w:val="none"/>
        </w:rPr>
      </w:pPr>
    </w:p>
    <w:p w14:paraId="42C1D78E">
      <w:pPr>
        <w:pStyle w:val="16"/>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（采购代理机构名称）</w:t>
      </w:r>
    </w:p>
    <w:p w14:paraId="4B3F2375">
      <w:pPr>
        <w:pStyle w:val="16"/>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我方已仔细阅读了贵方组织的</w:t>
      </w:r>
      <w:r>
        <w:rPr>
          <w:rFonts w:hint="eastAsia" w:hAnsi="宋体" w:cs="宋体"/>
          <w:color w:val="auto"/>
          <w:sz w:val="21"/>
          <w:szCs w:val="21"/>
          <w:highlight w:val="none"/>
          <w:u w:val="single"/>
          <w:lang w:eastAsia="zh-CN"/>
        </w:rPr>
        <w:t>隆安县屏山乡刘家村刘家屯农田水利设施项目</w:t>
      </w:r>
      <w:r>
        <w:rPr>
          <w:rFonts w:hint="eastAsia" w:ascii="宋体" w:hAnsi="宋体" w:eastAsia="宋体" w:cs="宋体"/>
          <w:color w:val="auto"/>
          <w:sz w:val="21"/>
          <w:szCs w:val="21"/>
          <w:highlight w:val="none"/>
        </w:rPr>
        <w:t>项目（项目编号：</w:t>
      </w:r>
      <w:r>
        <w:rPr>
          <w:rFonts w:hint="eastAsia" w:hAnsi="宋体" w:cs="宋体"/>
          <w:color w:val="auto"/>
          <w:sz w:val="21"/>
          <w:szCs w:val="21"/>
          <w:highlight w:val="none"/>
          <w:u w:val="single"/>
          <w:lang w:val="en-US" w:eastAsia="zh-CN"/>
        </w:rPr>
        <w:t>NNZC2026-C2-230022-JHGC</w:t>
      </w:r>
      <w:r>
        <w:rPr>
          <w:rFonts w:hint="eastAsia" w:ascii="宋体" w:hAnsi="宋体" w:eastAsia="宋体" w:cs="宋体"/>
          <w:color w:val="auto"/>
          <w:sz w:val="21"/>
          <w:szCs w:val="21"/>
          <w:highlight w:val="none"/>
        </w:rPr>
        <w:t>）的竞争性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 xml:space="preserve">文件的全部内容，现正式递交下述文件参加贵方组织的本次政府采购活动： </w:t>
      </w:r>
    </w:p>
    <w:p w14:paraId="1893162A">
      <w:pPr>
        <w:pStyle w:val="16"/>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一、首次报价文件</w:t>
      </w:r>
      <w:r>
        <w:rPr>
          <w:rFonts w:hint="eastAsia" w:ascii="宋体" w:hAnsi="宋体" w:eastAsia="宋体" w:cs="宋体"/>
          <w:color w:val="auto"/>
          <w:sz w:val="21"/>
          <w:szCs w:val="21"/>
          <w:highlight w:val="none"/>
          <w:lang w:eastAsia="zh-CN"/>
        </w:rPr>
        <w:t>电子版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份（包含按</w:t>
      </w:r>
      <w:r>
        <w:rPr>
          <w:rFonts w:hint="eastAsia" w:ascii="宋体" w:hAnsi="宋体" w:eastAsia="宋体" w:cs="宋体"/>
          <w:color w:val="auto"/>
          <w:sz w:val="21"/>
          <w:szCs w:val="21"/>
          <w:highlight w:val="none"/>
          <w:lang w:eastAsia="zh-CN"/>
        </w:rPr>
        <w:t>“第三章 供应商须知”</w:t>
      </w:r>
      <w:r>
        <w:rPr>
          <w:rFonts w:hint="eastAsia" w:ascii="宋体" w:hAnsi="宋体" w:eastAsia="宋体" w:cs="宋体"/>
          <w:color w:val="auto"/>
          <w:sz w:val="21"/>
          <w:szCs w:val="21"/>
          <w:highlight w:val="none"/>
        </w:rPr>
        <w:t>提交的全部文件）；</w:t>
      </w:r>
    </w:p>
    <w:p w14:paraId="322B0062">
      <w:pPr>
        <w:pStyle w:val="16"/>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二、技术文件</w:t>
      </w:r>
      <w:r>
        <w:rPr>
          <w:rFonts w:hint="eastAsia" w:ascii="宋体" w:hAnsi="宋体" w:eastAsia="宋体" w:cs="宋体"/>
          <w:color w:val="auto"/>
          <w:sz w:val="21"/>
          <w:szCs w:val="21"/>
          <w:highlight w:val="none"/>
          <w:lang w:eastAsia="zh-CN"/>
        </w:rPr>
        <w:t>电子版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份（包含按</w:t>
      </w:r>
      <w:r>
        <w:rPr>
          <w:rFonts w:hint="eastAsia" w:ascii="宋体" w:hAnsi="宋体" w:eastAsia="宋体" w:cs="宋体"/>
          <w:color w:val="auto"/>
          <w:sz w:val="21"/>
          <w:szCs w:val="21"/>
          <w:highlight w:val="none"/>
          <w:lang w:eastAsia="zh-CN"/>
        </w:rPr>
        <w:t>“第三章 供应商须知”</w:t>
      </w:r>
      <w:r>
        <w:rPr>
          <w:rFonts w:hint="eastAsia" w:ascii="宋体" w:hAnsi="宋体" w:eastAsia="宋体" w:cs="宋体"/>
          <w:color w:val="auto"/>
          <w:sz w:val="21"/>
          <w:szCs w:val="21"/>
          <w:highlight w:val="none"/>
        </w:rPr>
        <w:t>提交的全部文件）；商务文件</w:t>
      </w:r>
      <w:r>
        <w:rPr>
          <w:rFonts w:hint="eastAsia" w:ascii="宋体" w:hAnsi="宋体" w:eastAsia="宋体" w:cs="宋体"/>
          <w:color w:val="auto"/>
          <w:sz w:val="21"/>
          <w:szCs w:val="21"/>
          <w:highlight w:val="none"/>
          <w:lang w:eastAsia="zh-CN"/>
        </w:rPr>
        <w:t>电子版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份（包含按</w:t>
      </w:r>
      <w:r>
        <w:rPr>
          <w:rFonts w:hint="eastAsia" w:ascii="宋体" w:hAnsi="宋体" w:eastAsia="宋体" w:cs="宋体"/>
          <w:color w:val="auto"/>
          <w:sz w:val="21"/>
          <w:szCs w:val="21"/>
          <w:highlight w:val="none"/>
          <w:lang w:eastAsia="zh-CN"/>
        </w:rPr>
        <w:t>“第三章 供应商须知”</w:t>
      </w:r>
      <w:r>
        <w:rPr>
          <w:rFonts w:hint="eastAsia" w:ascii="宋体" w:hAnsi="宋体" w:eastAsia="宋体" w:cs="宋体"/>
          <w:color w:val="auto"/>
          <w:sz w:val="21"/>
          <w:szCs w:val="21"/>
          <w:highlight w:val="none"/>
        </w:rPr>
        <w:t>提交的全部文件）；</w:t>
      </w:r>
      <w:r>
        <w:rPr>
          <w:rFonts w:hint="eastAsia" w:ascii="宋体" w:hAnsi="宋体" w:eastAsia="宋体" w:cs="宋体"/>
          <w:color w:val="auto"/>
          <w:sz w:val="21"/>
          <w:szCs w:val="21"/>
          <w:highlight w:val="none"/>
          <w:lang w:eastAsia="zh-CN"/>
        </w:rPr>
        <w:t>（商务技术文件已合并装订成册）</w:t>
      </w:r>
    </w:p>
    <w:p w14:paraId="0113C122">
      <w:pPr>
        <w:pStyle w:val="16"/>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据此函，签字人兹宣布：</w:t>
      </w:r>
    </w:p>
    <w:p w14:paraId="5B4A1732">
      <w:pPr>
        <w:pStyle w:val="16"/>
        <w:spacing w:line="360" w:lineRule="auto"/>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1、我单位经考察现场和研究上述工程竞争性磋商文件的</w:t>
      </w:r>
      <w:r>
        <w:rPr>
          <w:rFonts w:hint="eastAsia" w:hAnsi="宋体" w:cs="宋体"/>
          <w:color w:val="auto"/>
          <w:sz w:val="21"/>
          <w:szCs w:val="21"/>
          <w:highlight w:val="none"/>
          <w:lang w:val="en-US" w:eastAsia="zh-CN"/>
        </w:rPr>
        <w:t>供应商</w:t>
      </w:r>
      <w:r>
        <w:rPr>
          <w:rFonts w:hint="eastAsia" w:ascii="宋体" w:hAnsi="宋体" w:eastAsia="宋体" w:cs="宋体"/>
          <w:color w:val="auto"/>
          <w:sz w:val="21"/>
          <w:szCs w:val="21"/>
          <w:highlight w:val="none"/>
        </w:rPr>
        <w:t>须知、合同条件、技术规范、图纸和其他有关文件后，我方承接本项目</w:t>
      </w:r>
      <w:r>
        <w:rPr>
          <w:rFonts w:hint="eastAsia" w:ascii="宋体" w:hAnsi="宋体"/>
          <w:color w:val="auto"/>
          <w:spacing w:val="8"/>
          <w:sz w:val="21"/>
          <w:szCs w:val="21"/>
          <w:highlight w:val="none"/>
        </w:rPr>
        <w:t>磋商</w:t>
      </w:r>
      <w:r>
        <w:rPr>
          <w:rFonts w:hint="eastAsia" w:ascii="宋体" w:hAnsi="宋体" w:eastAsia="宋体" w:cs="宋体"/>
          <w:color w:val="auto"/>
          <w:sz w:val="21"/>
          <w:szCs w:val="21"/>
          <w:highlight w:val="none"/>
        </w:rPr>
        <w:t>报价为人民币（大写）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）。按上述合同条件、技术规范、图纸的条件承包本采购范围内全部工程的施工、竣工和保修。</w:t>
      </w:r>
    </w:p>
    <w:p w14:paraId="7AA90E76">
      <w:pPr>
        <w:pStyle w:val="16"/>
        <w:spacing w:line="360" w:lineRule="auto"/>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2、一旦我方中标，我方保证按合同书中规定的工期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日历天内完成并移交全部工程</w:t>
      </w:r>
      <w:r>
        <w:rPr>
          <w:rFonts w:hint="eastAsia" w:ascii="宋体" w:hAnsi="宋体" w:eastAsia="宋体" w:cs="宋体"/>
          <w:color w:val="auto"/>
          <w:sz w:val="21"/>
          <w:szCs w:val="21"/>
          <w:highlight w:val="none"/>
          <w:lang w:eastAsia="zh-CN"/>
        </w:rPr>
        <w:t>，</w:t>
      </w:r>
      <w:r>
        <w:rPr>
          <w:rFonts w:hint="eastAsia" w:ascii="宋体" w:hAnsi="宋体"/>
          <w:color w:val="auto"/>
          <w:sz w:val="21"/>
          <w:szCs w:val="21"/>
          <w:highlight w:val="none"/>
        </w:rPr>
        <w:t>并保证工程质量</w:t>
      </w:r>
      <w:r>
        <w:rPr>
          <w:rFonts w:hint="eastAsia" w:ascii="宋体" w:hAnsi="Courier New"/>
          <w:color w:val="auto"/>
          <w:sz w:val="21"/>
          <w:szCs w:val="21"/>
          <w:highlight w:val="none"/>
          <w:u w:val="single"/>
        </w:rPr>
        <w:t xml:space="preserve">      </w:t>
      </w:r>
      <w:r>
        <w:rPr>
          <w:rFonts w:hint="eastAsia" w:ascii="宋体" w:hAnsi="宋体" w:eastAsia="宋体" w:cs="宋体"/>
          <w:color w:val="auto"/>
          <w:sz w:val="21"/>
          <w:szCs w:val="21"/>
          <w:highlight w:val="none"/>
        </w:rPr>
        <w:t>。</w:t>
      </w:r>
    </w:p>
    <w:p w14:paraId="14A4E971">
      <w:pPr>
        <w:pStyle w:val="16"/>
        <w:spacing w:line="360" w:lineRule="auto"/>
        <w:ind w:firstLine="482"/>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3</w:t>
      </w:r>
      <w:r>
        <w:rPr>
          <w:rFonts w:hint="eastAsia" w:ascii="宋体" w:hAnsi="宋体" w:eastAsia="宋体" w:cs="宋体"/>
          <w:color w:val="auto"/>
          <w:sz w:val="21"/>
          <w:szCs w:val="21"/>
          <w:highlight w:val="none"/>
        </w:rPr>
        <w:t>、我方同意自本项目竞争性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w:t>
      </w:r>
      <w:r>
        <w:rPr>
          <w:rFonts w:hint="eastAsia" w:ascii="宋体" w:hAnsi="宋体" w:eastAsia="宋体" w:cs="宋体"/>
          <w:color w:val="auto"/>
          <w:sz w:val="21"/>
          <w:szCs w:val="21"/>
          <w:highlight w:val="none"/>
          <w:lang w:eastAsia="zh-CN"/>
        </w:rPr>
        <w:t>采购公告</w:t>
      </w:r>
      <w:r>
        <w:rPr>
          <w:rFonts w:hint="eastAsia" w:ascii="宋体" w:hAnsi="宋体" w:eastAsia="宋体" w:cs="宋体"/>
          <w:color w:val="auto"/>
          <w:sz w:val="21"/>
          <w:szCs w:val="21"/>
          <w:highlight w:val="none"/>
        </w:rPr>
        <w:t>规定的递交响应文件截止时间起遵循本响应函，并承诺在</w:t>
      </w:r>
      <w:r>
        <w:rPr>
          <w:rFonts w:hint="eastAsia" w:ascii="宋体" w:hAnsi="宋体" w:eastAsia="宋体" w:cs="宋体"/>
          <w:color w:val="auto"/>
          <w:sz w:val="21"/>
          <w:szCs w:val="21"/>
          <w:highlight w:val="none"/>
          <w:lang w:eastAsia="zh-CN"/>
        </w:rPr>
        <w:t>“第三章 供应商须知”</w:t>
      </w:r>
      <w:r>
        <w:rPr>
          <w:rFonts w:hint="eastAsia" w:ascii="宋体" w:hAnsi="宋体" w:eastAsia="宋体" w:cs="宋体"/>
          <w:color w:val="auto"/>
          <w:sz w:val="21"/>
          <w:szCs w:val="21"/>
          <w:highlight w:val="none"/>
        </w:rPr>
        <w:t>规定的</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有效期内不修改、撤销</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文件。</w:t>
      </w:r>
    </w:p>
    <w:p w14:paraId="4138BFE8">
      <w:pPr>
        <w:pStyle w:val="16"/>
        <w:spacing w:line="360" w:lineRule="auto"/>
        <w:ind w:firstLine="482"/>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rPr>
        <w:t>、我方在此声明，所递交的</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文件及有关资料内容完整、真实和准确。</w:t>
      </w:r>
    </w:p>
    <w:p w14:paraId="29870644">
      <w:pPr>
        <w:pStyle w:val="16"/>
        <w:spacing w:line="360" w:lineRule="auto"/>
        <w:ind w:firstLine="482"/>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5</w:t>
      </w:r>
      <w:r>
        <w:rPr>
          <w:rFonts w:hint="eastAsia" w:ascii="宋体" w:hAnsi="宋体" w:eastAsia="宋体" w:cs="宋体"/>
          <w:color w:val="auto"/>
          <w:sz w:val="21"/>
          <w:szCs w:val="21"/>
          <w:highlight w:val="none"/>
        </w:rPr>
        <w:t>、如本项目采购内容涉及须符合国家强制规定的，我方承诺我方本次竞标均符合国家有关强制规定。</w:t>
      </w:r>
    </w:p>
    <w:p w14:paraId="116A39F2">
      <w:pPr>
        <w:pStyle w:val="16"/>
        <w:spacing w:line="360" w:lineRule="auto"/>
        <w:ind w:firstLine="482"/>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6</w:t>
      </w:r>
      <w:r>
        <w:rPr>
          <w:rFonts w:hint="eastAsia" w:ascii="宋体" w:hAnsi="宋体" w:eastAsia="宋体" w:cs="宋体"/>
          <w:color w:val="auto"/>
          <w:sz w:val="21"/>
          <w:szCs w:val="21"/>
          <w:highlight w:val="none"/>
        </w:rPr>
        <w:t>、我方承诺未被列入失信被执行人、重大税收违法失信主体、政府采购严重违法失信行为记录名单，并已经具备《中华人民共和国政府采购法》中规定的参加政府采购活动的供应商应当具备的条件：</w:t>
      </w:r>
    </w:p>
    <w:p w14:paraId="3CDA8CED">
      <w:pPr>
        <w:pStyle w:val="16"/>
        <w:numPr>
          <w:ilvl w:val="0"/>
          <w:numId w:val="2"/>
        </w:numPr>
        <w:tabs>
          <w:tab w:val="left" w:pos="945"/>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具有独立承担民事责任的能力；</w:t>
      </w:r>
    </w:p>
    <w:p w14:paraId="6C7F4687">
      <w:pPr>
        <w:pStyle w:val="16"/>
        <w:numPr>
          <w:ilvl w:val="0"/>
          <w:numId w:val="2"/>
        </w:numPr>
        <w:tabs>
          <w:tab w:val="left" w:pos="945"/>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具有良好的商业信誉和健全的财务会计制度；</w:t>
      </w:r>
    </w:p>
    <w:p w14:paraId="312C7949">
      <w:pPr>
        <w:pStyle w:val="16"/>
        <w:numPr>
          <w:ilvl w:val="0"/>
          <w:numId w:val="2"/>
        </w:numPr>
        <w:tabs>
          <w:tab w:val="left" w:pos="945"/>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具有履行合同所必需的设备和专业技术能力；</w:t>
      </w:r>
    </w:p>
    <w:p w14:paraId="1C537241">
      <w:pPr>
        <w:pStyle w:val="16"/>
        <w:numPr>
          <w:ilvl w:val="0"/>
          <w:numId w:val="2"/>
        </w:numPr>
        <w:tabs>
          <w:tab w:val="left" w:pos="945"/>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有依法缴纳税收和社会保障资金的良好记录；</w:t>
      </w:r>
    </w:p>
    <w:p w14:paraId="5D2681E6">
      <w:pPr>
        <w:pStyle w:val="16"/>
        <w:numPr>
          <w:ilvl w:val="0"/>
          <w:numId w:val="2"/>
        </w:numPr>
        <w:tabs>
          <w:tab w:val="left" w:pos="945"/>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参加政府采购活动前三年内，在经营活动中没有重大违法记录；</w:t>
      </w:r>
    </w:p>
    <w:p w14:paraId="2083B826">
      <w:pPr>
        <w:pStyle w:val="16"/>
        <w:numPr>
          <w:ilvl w:val="0"/>
          <w:numId w:val="2"/>
        </w:numPr>
        <w:tabs>
          <w:tab w:val="left" w:pos="945"/>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法律、行政法规规定的其他条件。</w:t>
      </w:r>
    </w:p>
    <w:p w14:paraId="7C5AD1C1">
      <w:pPr>
        <w:pStyle w:val="16"/>
        <w:spacing w:line="360" w:lineRule="auto"/>
        <w:ind w:firstLine="482"/>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7</w:t>
      </w:r>
      <w:r>
        <w:rPr>
          <w:rFonts w:hint="eastAsia" w:ascii="宋体" w:hAnsi="宋体" w:eastAsia="宋体" w:cs="宋体"/>
          <w:color w:val="auto"/>
          <w:sz w:val="21"/>
          <w:szCs w:val="21"/>
          <w:highlight w:val="none"/>
        </w:rPr>
        <w:t>、如我方成交，我方承诺在收到成交通知书后，在成交通知书规定的期限内，根据竞争性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文件、我方的</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文件及有关澄清承诺书的要求按第</w:t>
      </w:r>
      <w:r>
        <w:rPr>
          <w:rFonts w:hint="eastAsia" w:ascii="宋体" w:hAnsi="宋体" w:eastAsia="宋体" w:cs="宋体"/>
          <w:color w:val="auto"/>
          <w:sz w:val="21"/>
          <w:szCs w:val="21"/>
          <w:highlight w:val="none"/>
          <w:lang w:eastAsia="zh-CN"/>
        </w:rPr>
        <w:t>六</w:t>
      </w:r>
      <w:r>
        <w:rPr>
          <w:rFonts w:hint="eastAsia" w:ascii="宋体" w:hAnsi="宋体" w:eastAsia="宋体" w:cs="宋体"/>
          <w:color w:val="auto"/>
          <w:sz w:val="21"/>
          <w:szCs w:val="21"/>
          <w:highlight w:val="none"/>
        </w:rPr>
        <w:t>章“</w:t>
      </w:r>
      <w:r>
        <w:rPr>
          <w:rFonts w:hint="eastAsia" w:ascii="宋体" w:hAnsi="宋体" w:eastAsia="宋体" w:cs="宋体"/>
          <w:color w:val="auto"/>
          <w:sz w:val="21"/>
          <w:szCs w:val="21"/>
          <w:highlight w:val="none"/>
          <w:lang w:eastAsia="zh-CN"/>
        </w:rPr>
        <w:t>合同文本</w:t>
      </w:r>
      <w:r>
        <w:rPr>
          <w:rFonts w:hint="eastAsia" w:ascii="宋体" w:hAnsi="宋体" w:eastAsia="宋体" w:cs="宋体"/>
          <w:color w:val="auto"/>
          <w:sz w:val="21"/>
          <w:szCs w:val="21"/>
          <w:highlight w:val="none"/>
        </w:rPr>
        <w:t>”与采购人订立书面合同，并按照合同约定承担完成合同的责任和义务。</w:t>
      </w:r>
    </w:p>
    <w:p w14:paraId="2DFC7A02">
      <w:pPr>
        <w:pStyle w:val="16"/>
        <w:spacing w:line="360" w:lineRule="auto"/>
        <w:ind w:firstLine="482"/>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8</w:t>
      </w:r>
      <w:r>
        <w:rPr>
          <w:rFonts w:hint="eastAsia" w:ascii="宋体" w:hAnsi="宋体" w:eastAsia="宋体" w:cs="宋体"/>
          <w:color w:val="auto"/>
          <w:sz w:val="21"/>
          <w:szCs w:val="21"/>
          <w:highlight w:val="none"/>
        </w:rPr>
        <w:t>、我方已详细审核竞争性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文件，我方知道必须放弃提出含糊不清或误解问题的权利。</w:t>
      </w:r>
    </w:p>
    <w:p w14:paraId="2422AE0A">
      <w:pPr>
        <w:pStyle w:val="16"/>
        <w:spacing w:line="360" w:lineRule="auto"/>
        <w:ind w:firstLine="482"/>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9</w:t>
      </w:r>
      <w:r>
        <w:rPr>
          <w:rFonts w:hint="eastAsia" w:ascii="宋体" w:hAnsi="宋体" w:eastAsia="宋体" w:cs="宋体"/>
          <w:color w:val="auto"/>
          <w:sz w:val="21"/>
          <w:szCs w:val="21"/>
          <w:highlight w:val="none"/>
        </w:rPr>
        <w:t>、我方承诺满足竞争性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文件第</w:t>
      </w:r>
      <w:r>
        <w:rPr>
          <w:rFonts w:hint="eastAsia" w:ascii="宋体" w:hAnsi="宋体" w:eastAsia="宋体" w:cs="宋体"/>
          <w:color w:val="auto"/>
          <w:sz w:val="21"/>
          <w:szCs w:val="21"/>
          <w:highlight w:val="none"/>
          <w:lang w:eastAsia="zh-CN"/>
        </w:rPr>
        <w:t>六</w:t>
      </w:r>
      <w:r>
        <w:rPr>
          <w:rFonts w:hint="eastAsia" w:ascii="宋体" w:hAnsi="宋体" w:eastAsia="宋体" w:cs="宋体"/>
          <w:color w:val="auto"/>
          <w:sz w:val="21"/>
          <w:szCs w:val="21"/>
          <w:highlight w:val="none"/>
        </w:rPr>
        <w:t>章“</w:t>
      </w:r>
      <w:r>
        <w:rPr>
          <w:rFonts w:hint="eastAsia" w:ascii="宋体" w:hAnsi="宋体" w:eastAsia="宋体" w:cs="宋体"/>
          <w:color w:val="auto"/>
          <w:sz w:val="21"/>
          <w:szCs w:val="21"/>
          <w:highlight w:val="none"/>
          <w:lang w:eastAsia="zh-CN"/>
        </w:rPr>
        <w:t>合同文本</w:t>
      </w:r>
      <w:r>
        <w:rPr>
          <w:rFonts w:hint="eastAsia" w:ascii="宋体" w:hAnsi="宋体" w:eastAsia="宋体" w:cs="宋体"/>
          <w:color w:val="auto"/>
          <w:sz w:val="21"/>
          <w:szCs w:val="21"/>
          <w:highlight w:val="none"/>
        </w:rPr>
        <w:t>”的条款，承担完成合同的责任和义务。</w:t>
      </w:r>
    </w:p>
    <w:p w14:paraId="4157D612">
      <w:pPr>
        <w:pStyle w:val="16"/>
        <w:spacing w:line="360" w:lineRule="auto"/>
        <w:ind w:firstLine="482"/>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10</w:t>
      </w:r>
      <w:r>
        <w:rPr>
          <w:rFonts w:hint="eastAsia" w:ascii="宋体" w:hAnsi="宋体" w:eastAsia="宋体" w:cs="宋体"/>
          <w:color w:val="auto"/>
          <w:sz w:val="21"/>
          <w:szCs w:val="21"/>
          <w:highlight w:val="none"/>
        </w:rPr>
        <w:t>、我方同意应贵方要求提供与本竞标有关的任何数据或资料。若贵方需要，我方愿意提供我方作出的一切承诺的证明材料。</w:t>
      </w:r>
    </w:p>
    <w:p w14:paraId="4078C869">
      <w:pPr>
        <w:pStyle w:val="16"/>
        <w:spacing w:line="360" w:lineRule="auto"/>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hAnsi="宋体" w:cs="宋体"/>
          <w:color w:val="auto"/>
          <w:sz w:val="21"/>
          <w:szCs w:val="21"/>
          <w:highlight w:val="none"/>
          <w:lang w:val="en-US" w:eastAsia="zh-CN"/>
        </w:rPr>
        <w:t>1</w:t>
      </w:r>
      <w:r>
        <w:rPr>
          <w:rFonts w:hint="eastAsia" w:ascii="宋体" w:hAnsi="宋体" w:eastAsia="宋体" w:cs="宋体"/>
          <w:color w:val="auto"/>
          <w:sz w:val="21"/>
          <w:szCs w:val="21"/>
          <w:highlight w:val="none"/>
        </w:rPr>
        <w:t>、我方完全理解贵方不一定接受响应报价最低的竞标人为成交供应商的行为。</w:t>
      </w:r>
    </w:p>
    <w:p w14:paraId="451158B7">
      <w:pPr>
        <w:pStyle w:val="16"/>
        <w:spacing w:line="360" w:lineRule="auto"/>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hAnsi="宋体" w:cs="宋体"/>
          <w:color w:val="auto"/>
          <w:sz w:val="21"/>
          <w:szCs w:val="21"/>
          <w:highlight w:val="none"/>
          <w:lang w:val="en-US" w:eastAsia="zh-CN"/>
        </w:rPr>
        <w:t>2</w:t>
      </w:r>
      <w:r>
        <w:rPr>
          <w:rFonts w:hint="eastAsia" w:ascii="宋体" w:hAnsi="宋体" w:eastAsia="宋体" w:cs="宋体"/>
          <w:color w:val="auto"/>
          <w:sz w:val="21"/>
          <w:szCs w:val="21"/>
          <w:highlight w:val="none"/>
        </w:rPr>
        <w:t>、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48F82FEC">
      <w:pPr>
        <w:pStyle w:val="16"/>
        <w:numPr>
          <w:ilvl w:val="0"/>
          <w:numId w:val="3"/>
        </w:numPr>
        <w:tabs>
          <w:tab w:val="left" w:pos="945"/>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提供虚假材料谋取中标、成交的；</w:t>
      </w:r>
    </w:p>
    <w:p w14:paraId="43F3CFE7">
      <w:pPr>
        <w:pStyle w:val="16"/>
        <w:numPr>
          <w:ilvl w:val="0"/>
          <w:numId w:val="3"/>
        </w:numPr>
        <w:tabs>
          <w:tab w:val="left" w:pos="945"/>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采取不正当手段诋毁、排挤其他供应商的；</w:t>
      </w:r>
    </w:p>
    <w:p w14:paraId="329BAA98">
      <w:pPr>
        <w:pStyle w:val="16"/>
        <w:numPr>
          <w:ilvl w:val="0"/>
          <w:numId w:val="3"/>
        </w:numPr>
        <w:tabs>
          <w:tab w:val="left" w:pos="945"/>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与采购人、其他供应商或者采购代理机构恶意串通的；</w:t>
      </w:r>
    </w:p>
    <w:p w14:paraId="7E3344F7">
      <w:pPr>
        <w:pStyle w:val="16"/>
        <w:numPr>
          <w:ilvl w:val="0"/>
          <w:numId w:val="3"/>
        </w:numPr>
        <w:tabs>
          <w:tab w:val="left" w:pos="945"/>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向采购人、采购代理机构行贿或者提供其他不正当利益的；</w:t>
      </w:r>
    </w:p>
    <w:p w14:paraId="22EBC5EC">
      <w:pPr>
        <w:pStyle w:val="16"/>
        <w:numPr>
          <w:ilvl w:val="0"/>
          <w:numId w:val="3"/>
        </w:numPr>
        <w:tabs>
          <w:tab w:val="left" w:pos="945"/>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在采购过程中与采购人进行协商谈判的；</w:t>
      </w:r>
    </w:p>
    <w:p w14:paraId="269729D9">
      <w:pPr>
        <w:pStyle w:val="16"/>
        <w:numPr>
          <w:ilvl w:val="0"/>
          <w:numId w:val="3"/>
        </w:numPr>
        <w:tabs>
          <w:tab w:val="left" w:pos="945"/>
        </w:tabs>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拒绝有关部门监督检查或提供虚假情况的。</w:t>
      </w:r>
    </w:p>
    <w:p w14:paraId="5C5034FE">
      <w:pPr>
        <w:pStyle w:val="16"/>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w:t>
      </w:r>
      <w:r>
        <w:rPr>
          <w:rFonts w:hint="eastAsia" w:hAnsi="宋体" w:cs="宋体"/>
          <w:color w:val="auto"/>
          <w:sz w:val="21"/>
          <w:szCs w:val="21"/>
          <w:highlight w:val="none"/>
          <w:lang w:val="en-US" w:eastAsia="zh-CN"/>
        </w:rPr>
        <w:t>3</w:t>
      </w:r>
      <w:r>
        <w:rPr>
          <w:rFonts w:hint="eastAsia" w:ascii="宋体" w:hAnsi="宋体" w:eastAsia="宋体" w:cs="宋体"/>
          <w:color w:val="auto"/>
          <w:sz w:val="21"/>
          <w:szCs w:val="21"/>
          <w:highlight w:val="none"/>
        </w:rPr>
        <w:t>.与本</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有关的一切正式往来信函请寄：</w:t>
      </w:r>
    </w:p>
    <w:p w14:paraId="53F3652F">
      <w:pPr>
        <w:pStyle w:val="16"/>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55AA0699">
      <w:pPr>
        <w:pStyle w:val="16"/>
        <w:spacing w:line="360" w:lineRule="auto"/>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p>
    <w:p w14:paraId="7D7B8505">
      <w:pPr>
        <w:pStyle w:val="16"/>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single"/>
        </w:rPr>
        <w:t>　　　　　　　　　　　　　　　　　　　　　　　　　　　　</w:t>
      </w:r>
    </w:p>
    <w:p w14:paraId="1A63F655">
      <w:pPr>
        <w:pStyle w:val="16"/>
        <w:spacing w:line="360" w:lineRule="auto"/>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p>
    <w:p w14:paraId="7FE7DDB0">
      <w:pPr>
        <w:pStyle w:val="16"/>
        <w:spacing w:line="360" w:lineRule="auto"/>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开户名称：</w:t>
      </w:r>
      <w:r>
        <w:rPr>
          <w:rFonts w:hint="eastAsia" w:ascii="宋体" w:hAnsi="宋体" w:eastAsia="宋体" w:cs="宋体"/>
          <w:color w:val="auto"/>
          <w:sz w:val="21"/>
          <w:szCs w:val="21"/>
          <w:highlight w:val="none"/>
          <w:u w:val="single"/>
        </w:rPr>
        <w:t xml:space="preserve">                                                    </w:t>
      </w:r>
    </w:p>
    <w:p w14:paraId="33C3EF3D">
      <w:pPr>
        <w:pStyle w:val="16"/>
        <w:spacing w:line="360" w:lineRule="auto"/>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p>
    <w:p w14:paraId="0B388761">
      <w:pPr>
        <w:pStyle w:val="16"/>
        <w:spacing w:line="360" w:lineRule="auto"/>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银行账号：</w:t>
      </w:r>
      <w:r>
        <w:rPr>
          <w:rFonts w:hint="eastAsia" w:ascii="宋体" w:hAnsi="宋体" w:eastAsia="宋体" w:cs="宋体"/>
          <w:color w:val="auto"/>
          <w:sz w:val="21"/>
          <w:szCs w:val="21"/>
          <w:highlight w:val="none"/>
          <w:u w:val="single"/>
        </w:rPr>
        <w:t xml:space="preserve">                                                    </w:t>
      </w:r>
    </w:p>
    <w:p w14:paraId="13983B81">
      <w:pPr>
        <w:pStyle w:val="14"/>
        <w:tabs>
          <w:tab w:val="left" w:pos="939"/>
        </w:tabs>
        <w:spacing w:line="360" w:lineRule="auto"/>
        <w:ind w:left="141" w:leftChars="67" w:firstLine="315" w:firstLineChars="15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特此承诺。</w:t>
      </w:r>
    </w:p>
    <w:p w14:paraId="6FC16685">
      <w:pPr>
        <w:spacing w:line="360" w:lineRule="auto"/>
        <w:contextualSpacing/>
        <w:jc w:val="left"/>
        <w:rPr>
          <w:rFonts w:hint="eastAsia" w:ascii="宋体" w:hAnsi="宋体" w:eastAsia="宋体" w:cs="宋体"/>
          <w:color w:val="auto"/>
          <w:szCs w:val="21"/>
          <w:highlight w:val="none"/>
        </w:rPr>
      </w:pPr>
    </w:p>
    <w:p w14:paraId="2D65909A">
      <w:pPr>
        <w:autoSpaceDE w:val="0"/>
        <w:autoSpaceDN w:val="0"/>
        <w:spacing w:line="360" w:lineRule="auto"/>
        <w:ind w:left="4335" w:leftChars="1950" w:hanging="240" w:hangingChars="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065777E9">
      <w:pPr>
        <w:autoSpaceDE w:val="0"/>
        <w:autoSpaceDN w:val="0"/>
        <w:spacing w:line="360" w:lineRule="auto"/>
        <w:ind w:left="0" w:leftChars="0" w:firstLine="5880" w:firstLineChars="245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日期：  年  月   日</w:t>
      </w:r>
    </w:p>
    <w:p w14:paraId="5A08D3E8">
      <w:pPr>
        <w:spacing w:line="360" w:lineRule="auto"/>
        <w:ind w:firstLine="420" w:firstLineChars="200"/>
        <w:rPr>
          <w:rFonts w:hint="eastAsia" w:ascii="宋体" w:hAnsi="宋体" w:eastAsia="宋体" w:cs="宋体"/>
          <w:color w:val="auto"/>
          <w:highlight w:val="none"/>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p>
    <w:p w14:paraId="68F75F7F">
      <w:pPr>
        <w:snapToGrid w:val="0"/>
        <w:spacing w:before="120" w:beforeLines="50" w:after="50" w:line="360" w:lineRule="auto"/>
        <w:ind w:left="142" w:firstLine="643" w:firstLineChars="200"/>
        <w:jc w:val="left"/>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二、响应报价表</w:t>
      </w:r>
    </w:p>
    <w:p w14:paraId="797262CA">
      <w:pPr>
        <w:snapToGrid w:val="0"/>
        <w:spacing w:before="50" w:after="50" w:line="360" w:lineRule="auto"/>
        <w:rPr>
          <w:rFonts w:hint="eastAsia" w:ascii="宋体" w:hAnsi="宋体" w:eastAsia="宋体" w:cs="宋体"/>
          <w:color w:val="auto"/>
          <w:sz w:val="24"/>
          <w:highlight w:val="none"/>
        </w:rPr>
      </w:pPr>
    </w:p>
    <w:p w14:paraId="3B46BA7E">
      <w:pPr>
        <w:snapToGrid w:val="0"/>
        <w:spacing w:before="50" w:after="50" w:line="360" w:lineRule="auto"/>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rPr>
        <w:t>项目名称：</w:t>
      </w:r>
      <w:r>
        <w:rPr>
          <w:rFonts w:hint="eastAsia" w:ascii="宋体" w:hAnsi="宋体" w:cs="宋体"/>
          <w:color w:val="auto"/>
          <w:sz w:val="24"/>
          <w:highlight w:val="none"/>
          <w:u w:val="single"/>
          <w:lang w:eastAsia="zh-CN"/>
        </w:rPr>
        <w:t>隆安县屏山乡刘家村刘家屯农田水利设施项目</w:t>
      </w:r>
    </w:p>
    <w:p w14:paraId="78932C27">
      <w:pPr>
        <w:snapToGrid w:val="0"/>
        <w:spacing w:before="50" w:after="50" w:line="360" w:lineRule="auto"/>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项目编号：</w:t>
      </w:r>
      <w:r>
        <w:rPr>
          <w:rFonts w:hint="eastAsia" w:ascii="宋体" w:hAnsi="宋体" w:cs="宋体"/>
          <w:color w:val="auto"/>
          <w:sz w:val="24"/>
          <w:highlight w:val="none"/>
          <w:u w:val="single"/>
          <w:lang w:val="en-US" w:eastAsia="zh-CN"/>
        </w:rPr>
        <w:t xml:space="preserve"> NNZC2026-C2-230022-JHGC        </w:t>
      </w:r>
      <w:r>
        <w:rPr>
          <w:rFonts w:hint="eastAsia" w:ascii="宋体" w:hAnsi="宋体" w:eastAsia="宋体" w:cs="宋体"/>
          <w:color w:val="auto"/>
          <w:sz w:val="24"/>
          <w:highlight w:val="none"/>
          <w:u w:val="single"/>
          <w:lang w:val="en-US" w:eastAsia="zh-CN"/>
        </w:rPr>
        <w:t xml:space="preserve">  </w:t>
      </w:r>
    </w:p>
    <w:p w14:paraId="2F47B0D5">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tbl>
      <w:tblPr>
        <w:tblStyle w:val="27"/>
        <w:tblW w:w="88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3168"/>
        <w:gridCol w:w="1080"/>
        <w:gridCol w:w="2686"/>
        <w:gridCol w:w="1124"/>
      </w:tblGrid>
      <w:tr w14:paraId="5C0FD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765" w:type="dxa"/>
            <w:tcBorders>
              <w:top w:val="single" w:color="auto" w:sz="4" w:space="0"/>
              <w:left w:val="single" w:color="auto" w:sz="4" w:space="0"/>
              <w:bottom w:val="single" w:color="auto" w:sz="4" w:space="0"/>
              <w:right w:val="single" w:color="auto" w:sz="4" w:space="0"/>
            </w:tcBorders>
            <w:noWrap w:val="0"/>
            <w:vAlign w:val="center"/>
          </w:tcPr>
          <w:p w14:paraId="4F28B463">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168" w:type="dxa"/>
            <w:tcBorders>
              <w:top w:val="single" w:color="auto" w:sz="4" w:space="0"/>
              <w:left w:val="single" w:color="auto" w:sz="4" w:space="0"/>
              <w:bottom w:val="single" w:color="auto" w:sz="4" w:space="0"/>
              <w:right w:val="single" w:color="auto" w:sz="4" w:space="0"/>
            </w:tcBorders>
            <w:noWrap w:val="0"/>
            <w:vAlign w:val="center"/>
          </w:tcPr>
          <w:p w14:paraId="6A52BF16">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工程</w:t>
            </w:r>
            <w:r>
              <w:rPr>
                <w:rFonts w:hint="eastAsia" w:ascii="宋体" w:hAnsi="宋体" w:eastAsia="宋体" w:cs="宋体"/>
                <w:color w:val="auto"/>
                <w:sz w:val="24"/>
                <w:szCs w:val="24"/>
                <w:highlight w:val="none"/>
                <w:lang w:eastAsia="zh-CN"/>
              </w:rPr>
              <w:t>名称</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AA8C1B0">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数量</w:t>
            </w:r>
            <w:r>
              <w:rPr>
                <w:rFonts w:hint="eastAsia" w:ascii="宋体" w:hAnsi="宋体" w:eastAsia="宋体" w:cs="宋体"/>
                <w:color w:val="auto"/>
                <w:sz w:val="24"/>
                <w:szCs w:val="24"/>
                <w:highlight w:val="none"/>
                <w:lang w:eastAsia="zh-CN"/>
              </w:rPr>
              <w:t>及单位</w:t>
            </w:r>
          </w:p>
        </w:tc>
        <w:tc>
          <w:tcPr>
            <w:tcW w:w="2686" w:type="dxa"/>
            <w:tcBorders>
              <w:top w:val="single" w:color="auto" w:sz="4" w:space="0"/>
              <w:left w:val="single" w:color="auto" w:sz="4" w:space="0"/>
              <w:bottom w:val="single" w:color="auto" w:sz="4" w:space="0"/>
              <w:right w:val="single" w:color="auto" w:sz="4" w:space="0"/>
            </w:tcBorders>
            <w:noWrap w:val="0"/>
            <w:vAlign w:val="center"/>
          </w:tcPr>
          <w:p w14:paraId="36B7F83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总价（元）</w:t>
            </w:r>
          </w:p>
        </w:tc>
        <w:tc>
          <w:tcPr>
            <w:tcW w:w="1124" w:type="dxa"/>
            <w:tcBorders>
              <w:top w:val="single" w:color="auto" w:sz="4" w:space="0"/>
              <w:left w:val="single" w:color="auto" w:sz="4" w:space="0"/>
              <w:bottom w:val="single" w:color="auto" w:sz="4" w:space="0"/>
              <w:right w:val="single" w:color="auto" w:sz="4" w:space="0"/>
            </w:tcBorders>
            <w:noWrap w:val="0"/>
            <w:vAlign w:val="center"/>
          </w:tcPr>
          <w:p w14:paraId="630743C0">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6F346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jc w:val="center"/>
        </w:trPr>
        <w:tc>
          <w:tcPr>
            <w:tcW w:w="765" w:type="dxa"/>
            <w:tcBorders>
              <w:top w:val="single" w:color="auto" w:sz="4" w:space="0"/>
              <w:left w:val="single" w:color="auto" w:sz="4" w:space="0"/>
              <w:bottom w:val="single" w:color="auto" w:sz="4" w:space="0"/>
              <w:right w:val="single" w:color="auto" w:sz="4" w:space="0"/>
            </w:tcBorders>
            <w:noWrap w:val="0"/>
            <w:vAlign w:val="center"/>
          </w:tcPr>
          <w:p w14:paraId="2C245BD9">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168" w:type="dxa"/>
            <w:tcBorders>
              <w:top w:val="single" w:color="auto" w:sz="4" w:space="0"/>
              <w:left w:val="single" w:color="auto" w:sz="4" w:space="0"/>
              <w:bottom w:val="single" w:color="auto" w:sz="4" w:space="0"/>
              <w:right w:val="single" w:color="auto" w:sz="4" w:space="0"/>
            </w:tcBorders>
            <w:noWrap w:val="0"/>
            <w:vAlign w:val="center"/>
          </w:tcPr>
          <w:p w14:paraId="2592BFAF">
            <w:pPr>
              <w:jc w:val="center"/>
              <w:rPr>
                <w:rFonts w:hint="eastAsia" w:ascii="宋体" w:hAnsi="宋体" w:eastAsia="宋体" w:cs="宋体"/>
                <w:color w:val="auto"/>
                <w:sz w:val="24"/>
                <w:szCs w:val="24"/>
                <w:highlight w:val="none"/>
              </w:rPr>
            </w:pPr>
            <w:r>
              <w:rPr>
                <w:rFonts w:hint="eastAsia" w:ascii="宋体" w:hAnsi="宋体" w:cs="宋体"/>
                <w:color w:val="auto"/>
                <w:sz w:val="24"/>
                <w:highlight w:val="none"/>
                <w:lang w:eastAsia="zh-CN"/>
              </w:rPr>
              <w:t>隆安县屏山乡刘家村刘家屯农田水利设施项目</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17A1B38">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1项</w:t>
            </w:r>
          </w:p>
        </w:tc>
        <w:tc>
          <w:tcPr>
            <w:tcW w:w="2686" w:type="dxa"/>
            <w:tcBorders>
              <w:top w:val="single" w:color="auto" w:sz="4" w:space="0"/>
              <w:left w:val="single" w:color="auto" w:sz="4" w:space="0"/>
              <w:bottom w:val="single" w:color="auto" w:sz="4" w:space="0"/>
              <w:right w:val="single" w:color="auto" w:sz="4" w:space="0"/>
            </w:tcBorders>
            <w:noWrap w:val="0"/>
            <w:vAlign w:val="center"/>
          </w:tcPr>
          <w:p w14:paraId="0FCA9DE8">
            <w:pPr>
              <w:jc w:val="center"/>
              <w:rPr>
                <w:rFonts w:hint="eastAsia" w:ascii="宋体" w:hAnsi="宋体" w:eastAsia="宋体" w:cs="宋体"/>
                <w:color w:val="auto"/>
                <w:sz w:val="24"/>
                <w:szCs w:val="24"/>
                <w:highlight w:val="none"/>
              </w:rPr>
            </w:pPr>
          </w:p>
        </w:tc>
        <w:tc>
          <w:tcPr>
            <w:tcW w:w="1124" w:type="dxa"/>
            <w:tcBorders>
              <w:top w:val="single" w:color="auto" w:sz="4" w:space="0"/>
              <w:left w:val="single" w:color="auto" w:sz="4" w:space="0"/>
              <w:bottom w:val="single" w:color="auto" w:sz="4" w:space="0"/>
              <w:right w:val="single" w:color="auto" w:sz="4" w:space="0"/>
            </w:tcBorders>
            <w:noWrap w:val="0"/>
            <w:vAlign w:val="center"/>
          </w:tcPr>
          <w:p w14:paraId="1747462B">
            <w:pPr>
              <w:jc w:val="center"/>
              <w:rPr>
                <w:rFonts w:hint="eastAsia" w:ascii="宋体" w:hAnsi="宋体" w:eastAsia="宋体" w:cs="宋体"/>
                <w:color w:val="auto"/>
                <w:sz w:val="24"/>
                <w:szCs w:val="24"/>
                <w:highlight w:val="none"/>
              </w:rPr>
            </w:pPr>
          </w:p>
        </w:tc>
      </w:tr>
      <w:tr w14:paraId="4523C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8823" w:type="dxa"/>
            <w:gridSpan w:val="5"/>
            <w:tcBorders>
              <w:top w:val="single" w:color="auto" w:sz="4" w:space="0"/>
              <w:left w:val="single" w:color="auto" w:sz="4" w:space="0"/>
              <w:bottom w:val="single" w:color="auto" w:sz="4" w:space="0"/>
              <w:right w:val="single" w:color="auto" w:sz="4" w:space="0"/>
            </w:tcBorders>
            <w:noWrap w:val="0"/>
            <w:vAlign w:val="center"/>
          </w:tcPr>
          <w:p w14:paraId="5ACB109A">
            <w:pP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报价合计（包含税费等所有费用）：（大写）人民币             （¥        元）</w:t>
            </w:r>
          </w:p>
        </w:tc>
      </w:tr>
      <w:tr w14:paraId="626B3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8823" w:type="dxa"/>
            <w:gridSpan w:val="5"/>
            <w:tcBorders>
              <w:top w:val="single" w:color="auto" w:sz="4" w:space="0"/>
              <w:left w:val="single" w:color="auto" w:sz="4" w:space="0"/>
              <w:bottom w:val="single" w:color="auto" w:sz="4" w:space="0"/>
              <w:right w:val="single" w:color="auto" w:sz="4" w:space="0"/>
            </w:tcBorders>
            <w:noWrap w:val="0"/>
            <w:vAlign w:val="center"/>
          </w:tcPr>
          <w:p w14:paraId="28D79032">
            <w:pP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合同履行期限（工期）：</w:t>
            </w:r>
          </w:p>
        </w:tc>
      </w:tr>
      <w:tr w14:paraId="2C333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8823" w:type="dxa"/>
            <w:gridSpan w:val="5"/>
            <w:tcBorders>
              <w:top w:val="single" w:color="auto" w:sz="4" w:space="0"/>
              <w:left w:val="single" w:color="auto" w:sz="4" w:space="0"/>
              <w:bottom w:val="single" w:color="auto" w:sz="4" w:space="0"/>
              <w:right w:val="single" w:color="auto" w:sz="4" w:space="0"/>
            </w:tcBorders>
            <w:noWrap w:val="0"/>
            <w:vAlign w:val="center"/>
          </w:tcPr>
          <w:p w14:paraId="0115B96D">
            <w:pP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工程质量要求</w:t>
            </w:r>
            <w:r>
              <w:rPr>
                <w:rFonts w:hint="eastAsia" w:ascii="宋体" w:hAnsi="宋体" w:eastAsia="宋体" w:cs="宋体"/>
                <w:color w:val="auto"/>
                <w:sz w:val="24"/>
                <w:szCs w:val="24"/>
                <w:highlight w:val="none"/>
              </w:rPr>
              <w:t>：</w:t>
            </w:r>
          </w:p>
        </w:tc>
      </w:tr>
    </w:tbl>
    <w:p w14:paraId="27E90ED8">
      <w:pPr>
        <w:snapToGrid w:val="0"/>
        <w:spacing w:before="50" w:after="50"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w:t>
      </w:r>
    </w:p>
    <w:p w14:paraId="66009C93">
      <w:pPr>
        <w:autoSpaceDE/>
        <w:autoSpaceDN/>
        <w:snapToGrid w:val="0"/>
        <w:spacing w:line="360" w:lineRule="auto"/>
        <w:ind w:left="0" w:leftChars="0" w:firstLine="480" w:firstLineChars="200"/>
        <w:jc w:val="left"/>
        <w:rPr>
          <w:rFonts w:hint="eastAsia" w:ascii="宋体" w:hAnsi="宋体" w:eastAsia="宋体" w:cs="宋体"/>
          <w:color w:val="auto"/>
          <w:kern w:val="0"/>
          <w:sz w:val="24"/>
          <w:highlight w:val="none"/>
          <w:lang w:val="zh-CN"/>
        </w:rPr>
      </w:pPr>
      <w:r>
        <w:rPr>
          <w:rFonts w:hint="eastAsia" w:ascii="宋体" w:hAnsi="宋体" w:cs="仿宋_GB2312"/>
          <w:color w:val="auto"/>
          <w:kern w:val="0"/>
          <w:sz w:val="24"/>
          <w:szCs w:val="22"/>
          <w:highlight w:val="none"/>
          <w:lang w:val="zh-CN"/>
        </w:rPr>
        <w:t>注</w:t>
      </w:r>
      <w:r>
        <w:rPr>
          <w:rFonts w:ascii="宋体" w:hAnsi="宋体" w:cs="仿宋_GB2312"/>
          <w:color w:val="auto"/>
          <w:kern w:val="0"/>
          <w:sz w:val="24"/>
          <w:szCs w:val="22"/>
          <w:highlight w:val="none"/>
          <w:lang w:val="zh-CN"/>
        </w:rPr>
        <w:t>：</w:t>
      </w:r>
      <w:r>
        <w:rPr>
          <w:rFonts w:hint="eastAsia" w:ascii="宋体" w:hAnsi="宋体" w:cs="仿宋_GB2312"/>
          <w:color w:val="auto"/>
          <w:kern w:val="0"/>
          <w:sz w:val="24"/>
          <w:szCs w:val="22"/>
          <w:highlight w:val="none"/>
          <w:lang w:val="en-US" w:eastAsia="zh-CN"/>
        </w:rPr>
        <w:t>1.</w:t>
      </w:r>
      <w:r>
        <w:rPr>
          <w:rFonts w:hint="eastAsia" w:ascii="宋体" w:hAnsi="宋体" w:cs="仿宋_GB2312"/>
          <w:color w:val="auto"/>
          <w:kern w:val="0"/>
          <w:sz w:val="24"/>
          <w:highlight w:val="none"/>
          <w:lang w:val="zh-CN"/>
        </w:rPr>
        <w:t>符合采购文件中列明的可享受中小企业扶持政策的供应商，请填写中小企业声明函。注：供应商</w:t>
      </w:r>
      <w:r>
        <w:rPr>
          <w:rFonts w:ascii="宋体" w:hAnsi="宋体" w:cs="仿宋_GB2312"/>
          <w:color w:val="auto"/>
          <w:kern w:val="0"/>
          <w:sz w:val="24"/>
          <w:highlight w:val="none"/>
          <w:lang w:val="zh-CN"/>
        </w:rPr>
        <w:t>提供</w:t>
      </w:r>
      <w:r>
        <w:rPr>
          <w:rFonts w:hint="eastAsia" w:ascii="宋体" w:hAnsi="宋体" w:cs="仿宋_GB2312"/>
          <w:color w:val="auto"/>
          <w:kern w:val="0"/>
          <w:sz w:val="24"/>
          <w:highlight w:val="none"/>
          <w:lang w:val="zh-CN"/>
        </w:rPr>
        <w:t>的中小企业</w:t>
      </w:r>
      <w:r>
        <w:rPr>
          <w:rFonts w:ascii="宋体" w:hAnsi="宋体" w:cs="仿宋_GB2312"/>
          <w:color w:val="auto"/>
          <w:kern w:val="0"/>
          <w:sz w:val="24"/>
          <w:highlight w:val="none"/>
          <w:lang w:val="zh-CN"/>
        </w:rPr>
        <w:t>声明函内容不实的，属于提供虚假材料谋取中标、成交，依照《中华人民共和国政府采购法》等国家有关规定追究相应责任</w:t>
      </w:r>
      <w:r>
        <w:rPr>
          <w:rFonts w:hint="eastAsia" w:ascii="宋体" w:hAnsi="宋体" w:eastAsia="宋体" w:cs="宋体"/>
          <w:color w:val="auto"/>
          <w:kern w:val="0"/>
          <w:sz w:val="24"/>
          <w:highlight w:val="none"/>
          <w:lang w:val="zh-CN"/>
        </w:rPr>
        <w:t>。</w:t>
      </w:r>
    </w:p>
    <w:p w14:paraId="4230AF2F">
      <w:pPr>
        <w:autoSpaceDE/>
        <w:autoSpaceDN/>
        <w:snapToGrid w:val="0"/>
        <w:spacing w:line="360" w:lineRule="auto"/>
        <w:ind w:left="0" w:leftChars="0" w:firstLine="480" w:firstLineChars="200"/>
        <w:jc w:val="left"/>
        <w:rPr>
          <w:rFonts w:hint="eastAsia" w:ascii="宋体" w:hAnsi="宋体" w:eastAsia="宋体" w:cs="宋体"/>
          <w:color w:val="FF0000"/>
          <w:kern w:val="0"/>
          <w:sz w:val="24"/>
          <w:highlight w:val="none"/>
          <w:lang w:val="zh-CN" w:eastAsia="zh-CN"/>
        </w:rPr>
      </w:pPr>
      <w:r>
        <w:rPr>
          <w:rFonts w:hint="eastAsia" w:ascii="宋体" w:hAnsi="宋体" w:cs="宋体"/>
          <w:color w:val="FF0000"/>
          <w:kern w:val="0"/>
          <w:sz w:val="24"/>
          <w:highlight w:val="none"/>
          <w:lang w:val="en-US" w:eastAsia="zh-CN"/>
        </w:rPr>
        <w:t>2.</w:t>
      </w:r>
      <w:r>
        <w:rPr>
          <w:rFonts w:hint="eastAsia" w:ascii="宋体" w:hAnsi="宋体" w:eastAsia="宋体" w:cs="宋体"/>
          <w:color w:val="FF0000"/>
          <w:kern w:val="0"/>
          <w:sz w:val="24"/>
          <w:highlight w:val="none"/>
          <w:lang w:val="zh-CN" w:eastAsia="zh-CN"/>
        </w:rPr>
        <w:t>根据《关于推动解决政府采购异常低价问题的通知》财库〔2026〕2号文的规定，若供应商投标报价属于采购文件规定的异常低价情况情形之一的，应按</w:t>
      </w:r>
      <w:r>
        <w:rPr>
          <w:rFonts w:hint="eastAsia" w:ascii="宋体" w:hAnsi="宋体" w:cs="宋体"/>
          <w:color w:val="FF0000"/>
          <w:kern w:val="0"/>
          <w:sz w:val="24"/>
          <w:highlight w:val="none"/>
          <w:lang w:val="en-US" w:eastAsia="zh-CN"/>
        </w:rPr>
        <w:t>竞争性磋商文件</w:t>
      </w:r>
      <w:r>
        <w:rPr>
          <w:rFonts w:hint="eastAsia" w:ascii="宋体" w:hAnsi="宋体" w:eastAsia="宋体" w:cs="宋体"/>
          <w:color w:val="FF0000"/>
          <w:kern w:val="0"/>
          <w:sz w:val="24"/>
          <w:highlight w:val="none"/>
          <w:lang w:val="zh-CN" w:eastAsia="zh-CN"/>
        </w:rPr>
        <w:t>及</w:t>
      </w:r>
      <w:r>
        <w:rPr>
          <w:rFonts w:hint="eastAsia" w:ascii="宋体" w:hAnsi="宋体" w:cs="宋体"/>
          <w:color w:val="FF0000"/>
          <w:kern w:val="0"/>
          <w:sz w:val="24"/>
          <w:highlight w:val="none"/>
          <w:lang w:val="en-US" w:eastAsia="zh-CN"/>
        </w:rPr>
        <w:t>磋商</w:t>
      </w:r>
      <w:r>
        <w:rPr>
          <w:rFonts w:hint="eastAsia" w:ascii="宋体" w:hAnsi="宋体" w:eastAsia="宋体" w:cs="宋体"/>
          <w:color w:val="FF0000"/>
          <w:kern w:val="0"/>
          <w:sz w:val="24"/>
          <w:highlight w:val="none"/>
          <w:lang w:val="zh-CN" w:eastAsia="zh-CN"/>
        </w:rPr>
        <w:t>小组要求在规定时间内提供书面证明及必要的证明材料，否则</w:t>
      </w:r>
      <w:r>
        <w:rPr>
          <w:rFonts w:hint="eastAsia" w:ascii="宋体" w:hAnsi="宋体" w:cs="宋体"/>
          <w:color w:val="FF0000"/>
          <w:kern w:val="0"/>
          <w:sz w:val="24"/>
          <w:highlight w:val="none"/>
          <w:lang w:val="en-US" w:eastAsia="zh-CN"/>
        </w:rPr>
        <w:t>竞标</w:t>
      </w:r>
      <w:r>
        <w:rPr>
          <w:rFonts w:hint="eastAsia" w:ascii="宋体" w:hAnsi="宋体" w:eastAsia="宋体" w:cs="宋体"/>
          <w:color w:val="FF0000"/>
          <w:kern w:val="0"/>
          <w:sz w:val="24"/>
          <w:highlight w:val="none"/>
          <w:lang w:val="zh-CN" w:eastAsia="zh-CN"/>
        </w:rPr>
        <w:t>无效。</w:t>
      </w:r>
    </w:p>
    <w:p w14:paraId="5BD817EF">
      <w:pPr>
        <w:autoSpaceDE/>
        <w:autoSpaceDN/>
        <w:snapToGrid w:val="0"/>
        <w:spacing w:line="360" w:lineRule="auto"/>
        <w:ind w:left="0" w:leftChars="0" w:firstLine="480" w:firstLineChars="200"/>
        <w:jc w:val="left"/>
        <w:rPr>
          <w:rFonts w:hint="eastAsia" w:ascii="宋体" w:hAnsi="宋体" w:eastAsia="宋体" w:cs="宋体"/>
          <w:color w:val="auto"/>
          <w:kern w:val="0"/>
          <w:sz w:val="24"/>
          <w:highlight w:val="none"/>
          <w:lang w:val="zh-CN"/>
        </w:rPr>
      </w:pPr>
    </w:p>
    <w:p w14:paraId="77A3B2E8">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4F1B1B08">
      <w:pPr>
        <w:autoSpaceDE w:val="0"/>
        <w:autoSpaceDN w:val="0"/>
        <w:spacing w:line="360" w:lineRule="auto"/>
        <w:ind w:left="4335" w:leftChars="1950" w:hanging="240" w:hangingChars="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3E4ED4CC">
      <w:pPr>
        <w:pStyle w:val="16"/>
        <w:spacing w:line="360" w:lineRule="auto"/>
        <w:ind w:left="0" w:leftChars="0" w:firstLine="5678" w:firstLineChars="2366"/>
        <w:rPr>
          <w:rFonts w:hint="eastAsia" w:ascii="仿宋" w:hAnsi="仿宋" w:eastAsia="仿宋" w:cs="仿宋"/>
          <w:color w:val="auto"/>
          <w:highlight w:val="none"/>
          <w:lang w:val="zh-CN"/>
        </w:rPr>
      </w:pPr>
      <w:r>
        <w:rPr>
          <w:rFonts w:hint="eastAsia" w:ascii="仿宋" w:hAnsi="仿宋" w:eastAsia="仿宋" w:cs="仿宋"/>
          <w:color w:val="auto"/>
          <w:sz w:val="24"/>
          <w:highlight w:val="none"/>
          <w:lang w:val="zh-CN"/>
        </w:rPr>
        <w:t>日期：  年  月   日</w:t>
      </w:r>
    </w:p>
    <w:p w14:paraId="6127A6BF">
      <w:pPr>
        <w:rPr>
          <w:rFonts w:hint="eastAsia"/>
          <w:color w:val="auto"/>
          <w:highlight w:val="none"/>
          <w:lang w:val="zh-CN"/>
        </w:rPr>
      </w:pPr>
    </w:p>
    <w:p w14:paraId="5A64D066">
      <w:pPr>
        <w:pStyle w:val="26"/>
        <w:rPr>
          <w:rFonts w:hint="eastAsia"/>
          <w:color w:val="auto"/>
          <w:highlight w:val="none"/>
          <w:lang w:val="zh-CN"/>
        </w:rPr>
      </w:pPr>
    </w:p>
    <w:p w14:paraId="6A4C38AF">
      <w:pPr>
        <w:rPr>
          <w:rFonts w:hint="eastAsia"/>
          <w:color w:val="auto"/>
          <w:highlight w:val="none"/>
          <w:lang w:val="zh-CN"/>
        </w:rPr>
      </w:pPr>
    </w:p>
    <w:p w14:paraId="580B5B12">
      <w:pPr>
        <w:pStyle w:val="26"/>
        <w:rPr>
          <w:rFonts w:hint="eastAsia"/>
          <w:color w:val="auto"/>
          <w:highlight w:val="none"/>
          <w:lang w:val="zh-CN"/>
        </w:rPr>
      </w:pPr>
    </w:p>
    <w:p w14:paraId="57E57B03">
      <w:pPr>
        <w:rPr>
          <w:rFonts w:hint="eastAsia"/>
          <w:color w:val="auto"/>
          <w:highlight w:val="none"/>
          <w:lang w:val="zh-CN"/>
        </w:rPr>
      </w:pPr>
    </w:p>
    <w:p w14:paraId="4170BD95">
      <w:pPr>
        <w:snapToGrid w:val="0"/>
        <w:spacing w:line="360" w:lineRule="auto"/>
        <w:ind w:firstLine="602" w:firstLineChars="200"/>
        <w:rPr>
          <w:rFonts w:hint="eastAsia" w:ascii="宋体" w:hAnsi="宋体" w:cs="仿宋_GB2312"/>
          <w:b/>
          <w:color w:val="auto"/>
          <w:sz w:val="24"/>
          <w:szCs w:val="24"/>
          <w:highlight w:val="none"/>
          <w:lang w:val="en-US" w:eastAsia="zh-CN"/>
        </w:rPr>
      </w:pPr>
      <w:r>
        <w:rPr>
          <w:rFonts w:hint="eastAsia" w:ascii="仿宋" w:hAnsi="仿宋" w:eastAsia="仿宋" w:cs="仿宋"/>
          <w:b/>
          <w:color w:val="auto"/>
          <w:sz w:val="30"/>
          <w:szCs w:val="30"/>
          <w:highlight w:val="none"/>
        </w:rPr>
        <w:t>三、已标价工程量清单</w:t>
      </w:r>
    </w:p>
    <w:p w14:paraId="4986E8B3">
      <w:pPr>
        <w:snapToGrid w:val="0"/>
        <w:spacing w:line="360" w:lineRule="auto"/>
        <w:ind w:firstLine="482" w:firstLineChars="200"/>
        <w:rPr>
          <w:rFonts w:hint="eastAsia" w:ascii="仿宋" w:hAnsi="仿宋" w:eastAsia="仿宋" w:cs="仿宋"/>
          <w:b/>
          <w:color w:val="auto"/>
          <w:sz w:val="30"/>
          <w:szCs w:val="30"/>
          <w:highlight w:val="none"/>
          <w:lang w:val="en-US" w:eastAsia="zh-CN"/>
        </w:rPr>
      </w:pPr>
      <w:r>
        <w:rPr>
          <w:rFonts w:hint="eastAsia" w:ascii="仿宋" w:hAnsi="仿宋" w:eastAsia="仿宋" w:cs="仿宋"/>
          <w:b/>
          <w:color w:val="auto"/>
          <w:sz w:val="24"/>
          <w:szCs w:val="24"/>
          <w:highlight w:val="none"/>
          <w:lang w:val="en-US" w:eastAsia="zh-CN"/>
        </w:rPr>
        <w:t>说明：最后报价与首次报价相比有调整的，供应商提交的最后报价必须包含已标价的工程量清单（上传格式必须为PDF格式），请供应商提前准备好调整后的已标价工程量清单（已标价工程量清单合计金额须与相对应的竞标总报价金额保持一致），如未在规定时间内提供调整后的已标价工程量清单，由此造成的后果供应商自行承担</w:t>
      </w:r>
      <w:r>
        <w:rPr>
          <w:rFonts w:hint="eastAsia" w:ascii="仿宋" w:hAnsi="仿宋" w:eastAsia="仿宋" w:cs="仿宋"/>
          <w:b/>
          <w:bCs w:val="0"/>
          <w:color w:val="auto"/>
          <w:kern w:val="2"/>
          <w:sz w:val="24"/>
          <w:szCs w:val="24"/>
          <w:highlight w:val="none"/>
          <w:lang w:val="en-US" w:eastAsia="zh-CN"/>
        </w:rPr>
        <w:t>。</w:t>
      </w:r>
    </w:p>
    <w:p w14:paraId="3E0CA52D">
      <w:pPr>
        <w:snapToGrid w:val="0"/>
        <w:spacing w:line="360" w:lineRule="auto"/>
        <w:ind w:firstLine="602" w:firstLineChars="200"/>
        <w:rPr>
          <w:rFonts w:hint="eastAsia" w:ascii="宋体" w:hAnsi="宋体" w:eastAsia="宋体" w:cs="宋体"/>
          <w:b/>
          <w:color w:val="auto"/>
          <w:sz w:val="30"/>
          <w:szCs w:val="30"/>
          <w:highlight w:val="none"/>
          <w:lang w:val="en-US" w:eastAsia="zh-CN"/>
        </w:rPr>
      </w:pPr>
    </w:p>
    <w:p w14:paraId="1029DC56">
      <w:pPr>
        <w:pStyle w:val="12"/>
        <w:jc w:val="center"/>
        <w:rPr>
          <w:rFonts w:hint="eastAsia" w:ascii="宋体" w:hAnsi="宋体" w:cs="宋体"/>
          <w:b/>
          <w:color w:val="auto"/>
          <w:sz w:val="24"/>
          <w:szCs w:val="24"/>
          <w:highlight w:val="none"/>
          <w:lang w:val="en-US" w:eastAsia="zh-CN"/>
        </w:rPr>
      </w:pPr>
    </w:p>
    <w:p w14:paraId="57EDBB3B">
      <w:pPr>
        <w:pStyle w:val="12"/>
        <w:jc w:val="center"/>
        <w:rPr>
          <w:rFonts w:hint="eastAsia" w:ascii="宋体" w:hAnsi="宋体" w:cs="宋体"/>
          <w:b/>
          <w:color w:val="auto"/>
          <w:sz w:val="24"/>
          <w:szCs w:val="24"/>
          <w:highlight w:val="none"/>
          <w:lang w:val="en-US" w:eastAsia="zh-CN"/>
        </w:rPr>
      </w:pPr>
    </w:p>
    <w:p w14:paraId="433E7F2F">
      <w:pPr>
        <w:rPr>
          <w:rFonts w:hint="eastAsia" w:ascii="宋体" w:hAnsi="宋体" w:cs="宋体"/>
          <w:b/>
          <w:color w:val="auto"/>
          <w:sz w:val="24"/>
          <w:szCs w:val="24"/>
          <w:highlight w:val="none"/>
          <w:lang w:val="en-US" w:eastAsia="zh-CN"/>
        </w:rPr>
      </w:pPr>
    </w:p>
    <w:p w14:paraId="728673EA">
      <w:pPr>
        <w:pStyle w:val="12"/>
        <w:rPr>
          <w:rFonts w:hint="eastAsia" w:ascii="宋体" w:hAnsi="宋体" w:cs="宋体"/>
          <w:b/>
          <w:color w:val="auto"/>
          <w:sz w:val="24"/>
          <w:szCs w:val="24"/>
          <w:highlight w:val="none"/>
          <w:lang w:val="en-US" w:eastAsia="zh-CN"/>
        </w:rPr>
      </w:pPr>
    </w:p>
    <w:p w14:paraId="6431D08B">
      <w:pPr>
        <w:rPr>
          <w:rFonts w:hint="eastAsia" w:ascii="宋体" w:hAnsi="宋体" w:cs="宋体"/>
          <w:b/>
          <w:color w:val="auto"/>
          <w:sz w:val="24"/>
          <w:szCs w:val="24"/>
          <w:highlight w:val="none"/>
          <w:lang w:val="en-US" w:eastAsia="zh-CN"/>
        </w:rPr>
      </w:pPr>
    </w:p>
    <w:p w14:paraId="76DA2146">
      <w:pPr>
        <w:pStyle w:val="12"/>
        <w:rPr>
          <w:rFonts w:hint="eastAsia" w:ascii="宋体" w:hAnsi="宋体" w:cs="宋体"/>
          <w:b/>
          <w:color w:val="auto"/>
          <w:sz w:val="24"/>
          <w:szCs w:val="24"/>
          <w:highlight w:val="none"/>
          <w:lang w:val="en-US" w:eastAsia="zh-CN"/>
        </w:rPr>
      </w:pPr>
    </w:p>
    <w:p w14:paraId="236CBEA8">
      <w:pPr>
        <w:rPr>
          <w:rFonts w:hint="eastAsia" w:ascii="宋体" w:hAnsi="宋体" w:cs="宋体"/>
          <w:b/>
          <w:color w:val="auto"/>
          <w:sz w:val="24"/>
          <w:szCs w:val="24"/>
          <w:highlight w:val="none"/>
          <w:lang w:val="en-US" w:eastAsia="zh-CN"/>
        </w:rPr>
      </w:pPr>
    </w:p>
    <w:p w14:paraId="77BC9257">
      <w:pPr>
        <w:pStyle w:val="12"/>
        <w:rPr>
          <w:rFonts w:hint="eastAsia" w:ascii="宋体" w:hAnsi="宋体" w:cs="宋体"/>
          <w:b/>
          <w:color w:val="auto"/>
          <w:sz w:val="24"/>
          <w:szCs w:val="24"/>
          <w:highlight w:val="none"/>
          <w:lang w:val="en-US" w:eastAsia="zh-CN"/>
        </w:rPr>
      </w:pPr>
    </w:p>
    <w:p w14:paraId="152A6B5A">
      <w:pPr>
        <w:rPr>
          <w:rFonts w:hint="eastAsia" w:ascii="宋体" w:hAnsi="宋体" w:cs="宋体"/>
          <w:b/>
          <w:color w:val="auto"/>
          <w:sz w:val="24"/>
          <w:szCs w:val="24"/>
          <w:highlight w:val="none"/>
          <w:lang w:val="en-US" w:eastAsia="zh-CN"/>
        </w:rPr>
      </w:pPr>
    </w:p>
    <w:p w14:paraId="6F2DC4B0">
      <w:pPr>
        <w:pStyle w:val="12"/>
        <w:rPr>
          <w:rFonts w:hint="eastAsia" w:ascii="宋体" w:hAnsi="宋体" w:cs="宋体"/>
          <w:b/>
          <w:color w:val="auto"/>
          <w:sz w:val="24"/>
          <w:szCs w:val="24"/>
          <w:highlight w:val="none"/>
          <w:lang w:val="en-US" w:eastAsia="zh-CN"/>
        </w:rPr>
      </w:pPr>
    </w:p>
    <w:p w14:paraId="4EFCBB28">
      <w:pPr>
        <w:rPr>
          <w:rFonts w:hint="eastAsia" w:ascii="宋体" w:hAnsi="宋体" w:cs="宋体"/>
          <w:b/>
          <w:color w:val="auto"/>
          <w:sz w:val="24"/>
          <w:szCs w:val="24"/>
          <w:highlight w:val="none"/>
          <w:lang w:val="en-US" w:eastAsia="zh-CN"/>
        </w:rPr>
      </w:pPr>
    </w:p>
    <w:p w14:paraId="203A1A89">
      <w:pPr>
        <w:pStyle w:val="12"/>
        <w:rPr>
          <w:rFonts w:hint="eastAsia" w:ascii="宋体" w:hAnsi="宋体" w:cs="宋体"/>
          <w:b/>
          <w:color w:val="auto"/>
          <w:sz w:val="24"/>
          <w:szCs w:val="24"/>
          <w:highlight w:val="none"/>
          <w:lang w:val="en-US" w:eastAsia="zh-CN"/>
        </w:rPr>
      </w:pPr>
    </w:p>
    <w:p w14:paraId="5A9D5F28">
      <w:pPr>
        <w:rPr>
          <w:rFonts w:hint="eastAsia" w:ascii="宋体" w:hAnsi="宋体" w:cs="宋体"/>
          <w:b/>
          <w:color w:val="auto"/>
          <w:sz w:val="24"/>
          <w:szCs w:val="24"/>
          <w:highlight w:val="none"/>
          <w:lang w:val="en-US" w:eastAsia="zh-CN"/>
        </w:rPr>
      </w:pPr>
    </w:p>
    <w:p w14:paraId="31482A19">
      <w:pPr>
        <w:pStyle w:val="12"/>
        <w:rPr>
          <w:rFonts w:hint="eastAsia" w:ascii="宋体" w:hAnsi="宋体" w:cs="宋体"/>
          <w:b/>
          <w:color w:val="auto"/>
          <w:sz w:val="24"/>
          <w:szCs w:val="24"/>
          <w:highlight w:val="none"/>
          <w:lang w:val="en-US" w:eastAsia="zh-CN"/>
        </w:rPr>
      </w:pPr>
    </w:p>
    <w:p w14:paraId="6CE2C400">
      <w:pPr>
        <w:rPr>
          <w:rFonts w:hint="eastAsia" w:ascii="宋体" w:hAnsi="宋体" w:cs="宋体"/>
          <w:b/>
          <w:color w:val="auto"/>
          <w:sz w:val="24"/>
          <w:szCs w:val="24"/>
          <w:highlight w:val="none"/>
          <w:lang w:val="en-US" w:eastAsia="zh-CN"/>
        </w:rPr>
      </w:pPr>
    </w:p>
    <w:p w14:paraId="55819F74">
      <w:pPr>
        <w:pStyle w:val="12"/>
        <w:rPr>
          <w:rFonts w:hint="eastAsia" w:ascii="宋体" w:hAnsi="宋体" w:cs="宋体"/>
          <w:b/>
          <w:color w:val="auto"/>
          <w:sz w:val="24"/>
          <w:szCs w:val="24"/>
          <w:highlight w:val="none"/>
          <w:lang w:val="en-US" w:eastAsia="zh-CN"/>
        </w:rPr>
      </w:pPr>
    </w:p>
    <w:p w14:paraId="7AF8FEF3">
      <w:pPr>
        <w:rPr>
          <w:rFonts w:hint="eastAsia" w:ascii="宋体" w:hAnsi="宋体" w:cs="宋体"/>
          <w:b/>
          <w:color w:val="auto"/>
          <w:sz w:val="24"/>
          <w:szCs w:val="24"/>
          <w:highlight w:val="none"/>
          <w:lang w:val="en-US" w:eastAsia="zh-CN"/>
        </w:rPr>
      </w:pPr>
    </w:p>
    <w:p w14:paraId="5A8A949E">
      <w:pPr>
        <w:pStyle w:val="24"/>
        <w:rPr>
          <w:rFonts w:hint="eastAsia" w:ascii="宋体" w:hAnsi="宋体" w:cs="宋体"/>
          <w:b/>
          <w:color w:val="auto"/>
          <w:sz w:val="24"/>
          <w:szCs w:val="24"/>
          <w:highlight w:val="none"/>
          <w:lang w:val="en-US" w:eastAsia="zh-CN"/>
        </w:rPr>
      </w:pPr>
    </w:p>
    <w:p w14:paraId="0F87B584">
      <w:pPr>
        <w:rPr>
          <w:rFonts w:hint="eastAsia" w:ascii="宋体" w:hAnsi="宋体" w:cs="宋体"/>
          <w:b/>
          <w:color w:val="auto"/>
          <w:sz w:val="24"/>
          <w:szCs w:val="24"/>
          <w:highlight w:val="none"/>
          <w:lang w:val="en-US" w:eastAsia="zh-CN"/>
        </w:rPr>
      </w:pPr>
    </w:p>
    <w:p w14:paraId="67D84C62">
      <w:pPr>
        <w:pStyle w:val="24"/>
        <w:rPr>
          <w:rFonts w:hint="eastAsia" w:ascii="宋体" w:hAnsi="宋体" w:cs="宋体"/>
          <w:b/>
          <w:color w:val="auto"/>
          <w:sz w:val="24"/>
          <w:szCs w:val="24"/>
          <w:highlight w:val="none"/>
          <w:lang w:val="en-US" w:eastAsia="zh-CN"/>
        </w:rPr>
      </w:pPr>
    </w:p>
    <w:p w14:paraId="51ACBAA8">
      <w:pPr>
        <w:rPr>
          <w:rFonts w:hint="eastAsia" w:ascii="宋体" w:hAnsi="宋体" w:cs="宋体"/>
          <w:b/>
          <w:color w:val="auto"/>
          <w:sz w:val="24"/>
          <w:szCs w:val="24"/>
          <w:highlight w:val="none"/>
          <w:lang w:val="en-US" w:eastAsia="zh-CN"/>
        </w:rPr>
      </w:pPr>
    </w:p>
    <w:p w14:paraId="5CDA481F">
      <w:pPr>
        <w:pStyle w:val="24"/>
        <w:rPr>
          <w:rFonts w:hint="eastAsia" w:ascii="宋体" w:hAnsi="宋体" w:cs="宋体"/>
          <w:b/>
          <w:color w:val="auto"/>
          <w:sz w:val="24"/>
          <w:szCs w:val="24"/>
          <w:highlight w:val="none"/>
          <w:lang w:val="en-US" w:eastAsia="zh-CN"/>
        </w:rPr>
      </w:pPr>
    </w:p>
    <w:p w14:paraId="3DEC3BFA">
      <w:pPr>
        <w:rPr>
          <w:rFonts w:hint="eastAsia" w:ascii="宋体" w:hAnsi="宋体" w:cs="宋体"/>
          <w:b/>
          <w:color w:val="auto"/>
          <w:sz w:val="24"/>
          <w:szCs w:val="24"/>
          <w:highlight w:val="none"/>
          <w:lang w:val="en-US" w:eastAsia="zh-CN"/>
        </w:rPr>
      </w:pPr>
    </w:p>
    <w:p w14:paraId="24048520">
      <w:pPr>
        <w:pStyle w:val="24"/>
        <w:rPr>
          <w:rFonts w:hint="eastAsia" w:ascii="宋体" w:hAnsi="宋体" w:cs="宋体"/>
          <w:b/>
          <w:color w:val="auto"/>
          <w:sz w:val="24"/>
          <w:szCs w:val="24"/>
          <w:highlight w:val="none"/>
          <w:lang w:val="en-US" w:eastAsia="zh-CN"/>
        </w:rPr>
      </w:pPr>
    </w:p>
    <w:p w14:paraId="6A2AF01C">
      <w:pPr>
        <w:rPr>
          <w:rFonts w:hint="eastAsia" w:ascii="宋体" w:hAnsi="宋体" w:cs="宋体"/>
          <w:b/>
          <w:color w:val="auto"/>
          <w:sz w:val="24"/>
          <w:szCs w:val="24"/>
          <w:highlight w:val="none"/>
          <w:lang w:val="en-US" w:eastAsia="zh-CN"/>
        </w:rPr>
      </w:pPr>
    </w:p>
    <w:p w14:paraId="6F689C0D">
      <w:pPr>
        <w:pStyle w:val="24"/>
        <w:rPr>
          <w:rFonts w:hint="eastAsia" w:ascii="宋体" w:hAnsi="宋体" w:cs="宋体"/>
          <w:b/>
          <w:color w:val="auto"/>
          <w:sz w:val="24"/>
          <w:szCs w:val="24"/>
          <w:highlight w:val="none"/>
          <w:lang w:val="en-US" w:eastAsia="zh-CN"/>
        </w:rPr>
      </w:pPr>
    </w:p>
    <w:p w14:paraId="355972AB">
      <w:pPr>
        <w:rPr>
          <w:rFonts w:hint="eastAsia" w:ascii="宋体" w:hAnsi="宋体" w:cs="宋体"/>
          <w:b/>
          <w:color w:val="auto"/>
          <w:sz w:val="24"/>
          <w:szCs w:val="24"/>
          <w:highlight w:val="none"/>
          <w:lang w:val="en-US" w:eastAsia="zh-CN"/>
        </w:rPr>
      </w:pPr>
    </w:p>
    <w:p w14:paraId="12C5E976">
      <w:pPr>
        <w:pStyle w:val="24"/>
        <w:rPr>
          <w:rFonts w:hint="eastAsia"/>
          <w:color w:val="auto"/>
          <w:highlight w:val="none"/>
          <w:lang w:val="en-US" w:eastAsia="zh-CN"/>
        </w:rPr>
      </w:pPr>
    </w:p>
    <w:p w14:paraId="6B971513">
      <w:pPr>
        <w:pStyle w:val="12"/>
        <w:rPr>
          <w:rFonts w:hint="eastAsia" w:ascii="宋体" w:hAnsi="宋体" w:cs="宋体"/>
          <w:b/>
          <w:color w:val="auto"/>
          <w:sz w:val="24"/>
          <w:szCs w:val="24"/>
          <w:highlight w:val="none"/>
          <w:lang w:val="en-US" w:eastAsia="zh-CN"/>
        </w:rPr>
      </w:pPr>
    </w:p>
    <w:p w14:paraId="7994C1F0">
      <w:pPr>
        <w:snapToGrid w:val="0"/>
        <w:spacing w:line="360" w:lineRule="auto"/>
        <w:rPr>
          <w:rFonts w:hint="eastAsia" w:ascii="仿宋" w:hAnsi="仿宋" w:eastAsia="仿宋" w:cs="仿宋"/>
          <w:b/>
          <w:color w:val="auto"/>
          <w:sz w:val="30"/>
          <w:szCs w:val="30"/>
          <w:highlight w:val="none"/>
        </w:rPr>
      </w:pPr>
    </w:p>
    <w:p w14:paraId="1A280A1F">
      <w:pPr>
        <w:snapToGrid w:val="0"/>
        <w:spacing w:line="360" w:lineRule="auto"/>
        <w:ind w:firstLine="602" w:firstLineChars="20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lang w:val="en-US" w:eastAsia="zh-CN"/>
        </w:rPr>
        <w:t>四、</w:t>
      </w:r>
      <w:r>
        <w:rPr>
          <w:rFonts w:hint="eastAsia" w:ascii="仿宋" w:hAnsi="仿宋" w:eastAsia="仿宋" w:cs="仿宋"/>
          <w:b/>
          <w:color w:val="auto"/>
          <w:sz w:val="30"/>
          <w:szCs w:val="30"/>
          <w:highlight w:val="none"/>
        </w:rPr>
        <w:t>供应商认为需要提供的其他有关资料</w:t>
      </w:r>
    </w:p>
    <w:p w14:paraId="69FF52F3">
      <w:pPr>
        <w:widowControl/>
        <w:shd w:val="clear" w:color="auto" w:fill="FFFFFF"/>
        <w:spacing w:line="360" w:lineRule="auto"/>
        <w:jc w:val="left"/>
        <w:rPr>
          <w:rFonts w:hint="eastAsia" w:ascii="仿宋" w:hAnsi="仿宋" w:eastAsia="仿宋" w:cs="仿宋"/>
          <w:color w:val="auto"/>
          <w:kern w:val="2"/>
          <w:sz w:val="24"/>
          <w:szCs w:val="24"/>
          <w:highlight w:val="none"/>
          <w:shd w:val="clear" w:color="auto" w:fill="FFFFFF"/>
          <w:lang w:val="en-US" w:eastAsia="zh-CN"/>
        </w:rPr>
      </w:pPr>
    </w:p>
    <w:p w14:paraId="1501C478">
      <w:pPr>
        <w:autoSpaceDE w:val="0"/>
        <w:autoSpaceDN w:val="0"/>
        <w:spacing w:line="360" w:lineRule="auto"/>
        <w:ind w:left="4335" w:leftChars="1950" w:hanging="240" w:hangingChars="100"/>
        <w:rPr>
          <w:rFonts w:hint="eastAsia" w:ascii="仿宋" w:hAnsi="仿宋" w:eastAsia="仿宋" w:cs="仿宋"/>
          <w:color w:val="auto"/>
          <w:kern w:val="0"/>
          <w:sz w:val="24"/>
          <w:highlight w:val="none"/>
        </w:rPr>
      </w:pPr>
    </w:p>
    <w:p w14:paraId="7F00976C">
      <w:pPr>
        <w:autoSpaceDE w:val="0"/>
        <w:autoSpaceDN w:val="0"/>
        <w:spacing w:line="360" w:lineRule="auto"/>
        <w:ind w:left="4335" w:leftChars="1950" w:hanging="240" w:hangingChars="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61DCCC6A">
      <w:pPr>
        <w:pStyle w:val="16"/>
        <w:spacing w:line="360" w:lineRule="auto"/>
        <w:ind w:left="0" w:leftChars="0" w:firstLine="5678" w:firstLineChars="236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日期：  </w:t>
      </w:r>
      <w:r>
        <w:rPr>
          <w:rFonts w:hint="eastAsia" w:ascii="仿宋" w:hAnsi="仿宋" w:eastAsia="仿宋" w:cs="仿宋"/>
          <w:color w:val="auto"/>
          <w:sz w:val="24"/>
          <w:highlight w:val="none"/>
          <w:lang w:val="zh-CN"/>
        </w:rPr>
        <w:t>年  月</w:t>
      </w:r>
      <w:r>
        <w:rPr>
          <w:rFonts w:hint="eastAsia" w:ascii="仿宋" w:hAnsi="仿宋" w:eastAsia="仿宋" w:cs="仿宋"/>
          <w:color w:val="auto"/>
          <w:kern w:val="0"/>
          <w:sz w:val="24"/>
          <w:highlight w:val="none"/>
          <w:lang w:val="zh-CN"/>
        </w:rPr>
        <w:t xml:space="preserve">   日</w:t>
      </w:r>
    </w:p>
    <w:p w14:paraId="26D67D41">
      <w:pPr>
        <w:pStyle w:val="12"/>
        <w:spacing w:after="0" w:line="360" w:lineRule="auto"/>
        <w:ind w:left="3960" w:right="1808"/>
        <w:contextualSpacing/>
        <w:rPr>
          <w:rFonts w:hint="eastAsia" w:ascii="仿宋" w:hAnsi="仿宋" w:eastAsia="仿宋" w:cs="仿宋"/>
          <w:color w:val="auto"/>
          <w:highlight w:val="none"/>
        </w:rPr>
      </w:pPr>
    </w:p>
    <w:p w14:paraId="4EB2BCF2">
      <w:pPr>
        <w:spacing w:line="360" w:lineRule="auto"/>
        <w:contextualSpacing/>
        <w:jc w:val="left"/>
        <w:rPr>
          <w:rFonts w:hint="eastAsia" w:ascii="仿宋" w:hAnsi="仿宋" w:eastAsia="仿宋" w:cs="仿宋"/>
          <w:color w:val="auto"/>
          <w:kern w:val="0"/>
          <w:sz w:val="24"/>
          <w:highlight w:val="none"/>
        </w:rPr>
      </w:pPr>
    </w:p>
    <w:p w14:paraId="1317FCC6">
      <w:pPr>
        <w:snapToGrid w:val="0"/>
        <w:spacing w:before="120" w:beforeLines="50" w:after="50" w:line="360" w:lineRule="auto"/>
        <w:outlineLvl w:val="1"/>
        <w:rPr>
          <w:rFonts w:hint="eastAsia" w:ascii="宋体" w:hAnsi="宋体" w:eastAsia="宋体" w:cs="宋体"/>
          <w:b/>
          <w:bCs/>
          <w:color w:val="auto"/>
          <w:sz w:val="32"/>
          <w:szCs w:val="32"/>
          <w:highlight w:val="none"/>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p>
    <w:p w14:paraId="0BD0345D">
      <w:pPr>
        <w:pStyle w:val="3"/>
        <w:spacing w:line="360" w:lineRule="auto"/>
        <w:jc w:val="center"/>
        <w:rPr>
          <w:rFonts w:hint="eastAsia" w:ascii="宋体" w:hAnsi="宋体" w:eastAsia="宋体" w:cs="宋体"/>
          <w:color w:val="auto"/>
          <w:highlight w:val="none"/>
          <w:lang w:val="en-US" w:eastAsia="zh-CN"/>
        </w:rPr>
      </w:pPr>
      <w:bookmarkStart w:id="192" w:name="_Toc80205942"/>
      <w:bookmarkStart w:id="193" w:name="_Toc3047"/>
      <w:bookmarkStart w:id="194" w:name="_Toc18354"/>
      <w:bookmarkStart w:id="195" w:name="_Toc29246"/>
      <w:bookmarkStart w:id="196" w:name="_Toc147684389"/>
      <w:r>
        <w:rPr>
          <w:rFonts w:hint="eastAsia" w:ascii="宋体" w:hAnsi="宋体" w:eastAsia="宋体" w:cs="宋体"/>
          <w:color w:val="auto"/>
          <w:highlight w:val="none"/>
          <w:lang w:val="en-US" w:eastAsia="zh-CN"/>
        </w:rPr>
        <w:t>第五节 其他文书、文件格式</w:t>
      </w:r>
      <w:bookmarkEnd w:id="192"/>
      <w:bookmarkEnd w:id="193"/>
      <w:bookmarkEnd w:id="194"/>
      <w:bookmarkEnd w:id="195"/>
      <w:bookmarkEnd w:id="196"/>
    </w:p>
    <w:p w14:paraId="430387D6">
      <w:pPr>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知识产权合规性声明</w:t>
      </w:r>
    </w:p>
    <w:p w14:paraId="493BECC5">
      <w:pPr>
        <w:rPr>
          <w:rFonts w:ascii="仿宋_GB2312" w:hAnsi="仿宋_GB2312" w:eastAsia="仿宋_GB2312" w:cs="仿宋_GB2312"/>
          <w:color w:val="auto"/>
          <w:sz w:val="30"/>
          <w:szCs w:val="30"/>
          <w:highlight w:val="none"/>
        </w:rPr>
      </w:pPr>
    </w:p>
    <w:p w14:paraId="29E5AF3E">
      <w:pPr>
        <w:rPr>
          <w:rFonts w:hint="eastAsia" w:ascii="仿宋" w:hAnsi="仿宋" w:eastAsia="仿宋" w:cs="仿宋"/>
          <w:color w:val="auto"/>
          <w:sz w:val="30"/>
          <w:szCs w:val="30"/>
          <w:highlight w:val="none"/>
        </w:rPr>
      </w:pPr>
      <w:r>
        <w:rPr>
          <w:rFonts w:hint="eastAsia" w:ascii="仿宋_GB2312" w:hAnsi="仿宋_GB2312" w:eastAsia="仿宋_GB2312" w:cs="仿宋_GB2312"/>
          <w:color w:val="auto"/>
          <w:sz w:val="30"/>
          <w:szCs w:val="30"/>
          <w:highlight w:val="none"/>
        </w:rPr>
        <w:t xml:space="preserve">    </w:t>
      </w:r>
      <w:r>
        <w:rPr>
          <w:rFonts w:hint="eastAsia" w:ascii="仿宋" w:hAnsi="仿宋" w:eastAsia="仿宋" w:cs="仿宋"/>
          <w:color w:val="auto"/>
          <w:sz w:val="30"/>
          <w:szCs w:val="30"/>
          <w:highlight w:val="none"/>
        </w:rPr>
        <w:t>本企业（单位）自愿参与政府投资政府采购的</w:t>
      </w:r>
      <w:r>
        <w:rPr>
          <w:rFonts w:hint="eastAsia" w:ascii="仿宋" w:hAnsi="仿宋" w:eastAsia="仿宋" w:cs="仿宋"/>
          <w:color w:val="auto"/>
          <w:sz w:val="30"/>
          <w:szCs w:val="30"/>
          <w:highlight w:val="none"/>
          <w:u w:val="single"/>
          <w:lang w:eastAsia="zh-CN"/>
        </w:rPr>
        <w:t>隆安县屏山乡刘家村刘家屯农田水利设施项目</w:t>
      </w:r>
      <w:r>
        <w:rPr>
          <w:rFonts w:hint="eastAsia" w:ascii="仿宋" w:hAnsi="仿宋" w:eastAsia="仿宋" w:cs="仿宋"/>
          <w:color w:val="auto"/>
          <w:sz w:val="30"/>
          <w:szCs w:val="30"/>
          <w:highlight w:val="none"/>
        </w:rPr>
        <w:t>项目，</w:t>
      </w:r>
      <w:r>
        <w:rPr>
          <w:rFonts w:hint="eastAsia" w:ascii="仿宋" w:hAnsi="仿宋" w:eastAsia="仿宋" w:cs="仿宋"/>
          <w:b/>
          <w:bCs/>
          <w:color w:val="auto"/>
          <w:sz w:val="30"/>
          <w:szCs w:val="30"/>
          <w:highlight w:val="none"/>
        </w:rPr>
        <w:t>在此郑重承诺：</w:t>
      </w:r>
      <w:r>
        <w:rPr>
          <w:rFonts w:hint="eastAsia" w:ascii="仿宋" w:hAnsi="仿宋" w:eastAsia="仿宋" w:cs="仿宋"/>
          <w:color w:val="auto"/>
          <w:sz w:val="30"/>
          <w:szCs w:val="30"/>
          <w:highlight w:val="none"/>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单位）将承担由此产生的全部责任。</w:t>
      </w:r>
    </w:p>
    <w:p w14:paraId="3D617FD1">
      <w:pPr>
        <w:snapToGrid w:val="0"/>
        <w:spacing w:line="360" w:lineRule="auto"/>
        <w:ind w:left="5137" w:leftChars="1736" w:hanging="1491" w:hangingChars="825"/>
        <w:rPr>
          <w:rFonts w:hint="eastAsia" w:ascii="仿宋" w:hAnsi="仿宋" w:eastAsia="仿宋" w:cs="仿宋"/>
          <w:b/>
          <w:color w:val="auto"/>
          <w:sz w:val="18"/>
          <w:szCs w:val="18"/>
          <w:highlight w:val="none"/>
        </w:rPr>
      </w:pPr>
    </w:p>
    <w:p w14:paraId="07092160">
      <w:pPr>
        <w:snapToGrid w:val="0"/>
        <w:spacing w:line="360" w:lineRule="auto"/>
        <w:ind w:left="5137" w:leftChars="1736" w:hanging="1491" w:hangingChars="825"/>
        <w:rPr>
          <w:rFonts w:hint="eastAsia" w:ascii="仿宋" w:hAnsi="仿宋" w:eastAsia="仿宋" w:cs="仿宋"/>
          <w:b/>
          <w:color w:val="auto"/>
          <w:sz w:val="18"/>
          <w:szCs w:val="18"/>
          <w:highlight w:val="none"/>
        </w:rPr>
      </w:pPr>
    </w:p>
    <w:p w14:paraId="06A60A9A">
      <w:pPr>
        <w:snapToGrid w:val="0"/>
        <w:spacing w:line="360" w:lineRule="auto"/>
        <w:ind w:left="5137" w:leftChars="1736" w:hanging="1491" w:hangingChars="825"/>
        <w:rPr>
          <w:rFonts w:hint="eastAsia" w:ascii="仿宋" w:hAnsi="仿宋" w:eastAsia="仿宋" w:cs="仿宋"/>
          <w:b/>
          <w:color w:val="auto"/>
          <w:sz w:val="18"/>
          <w:szCs w:val="18"/>
          <w:highlight w:val="none"/>
        </w:rPr>
      </w:pPr>
    </w:p>
    <w:p w14:paraId="1CC6AB27">
      <w:pPr>
        <w:snapToGrid w:val="0"/>
        <w:spacing w:line="360" w:lineRule="auto"/>
        <w:ind w:left="5626" w:leftChars="1736" w:hanging="1980" w:hangingChars="825"/>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zh-CN"/>
        </w:rPr>
        <w:t>供应商名称(电子签章)：</w:t>
      </w:r>
    </w:p>
    <w:p w14:paraId="004A74CF">
      <w:pPr>
        <w:snapToGrid w:val="0"/>
        <w:spacing w:line="360" w:lineRule="auto"/>
        <w:ind w:firstLine="5160" w:firstLineChars="215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日期</w:t>
      </w:r>
      <w:r>
        <w:rPr>
          <w:rFonts w:hint="eastAsia" w:ascii="仿宋" w:hAnsi="仿宋" w:eastAsia="仿宋" w:cs="仿宋"/>
          <w:color w:val="auto"/>
          <w:kern w:val="0"/>
          <w:sz w:val="24"/>
          <w:highlight w:val="none"/>
        </w:rPr>
        <w:t xml:space="preserve">：  年  </w:t>
      </w:r>
      <w:r>
        <w:rPr>
          <w:rFonts w:hint="eastAsia" w:ascii="仿宋" w:hAnsi="仿宋" w:eastAsia="仿宋" w:cs="仿宋"/>
          <w:color w:val="auto"/>
          <w:kern w:val="0"/>
          <w:sz w:val="24"/>
          <w:highlight w:val="none"/>
          <w:lang w:val="zh-CN"/>
        </w:rPr>
        <w:t>月</w:t>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kern w:val="0"/>
          <w:sz w:val="24"/>
          <w:highlight w:val="none"/>
          <w:lang w:val="zh-CN"/>
        </w:rPr>
        <w:t>日</w:t>
      </w:r>
    </w:p>
    <w:p w14:paraId="2BC0E627">
      <w:pPr>
        <w:widowControl/>
        <w:jc w:val="left"/>
        <w:rPr>
          <w:rFonts w:hint="eastAsia" w:ascii="仿宋" w:hAnsi="仿宋" w:eastAsia="仿宋" w:cs="仿宋"/>
          <w:color w:val="auto"/>
          <w:sz w:val="24"/>
          <w:highlight w:val="none"/>
        </w:rPr>
        <w:sectPr>
          <w:pgSz w:w="11906" w:h="16838"/>
          <w:pgMar w:top="1134" w:right="1134" w:bottom="1134" w:left="1134" w:header="720" w:footer="720" w:gutter="0"/>
          <w:cols w:space="720" w:num="1"/>
          <w:docGrid w:type="lines" w:linePitch="331" w:charSpace="0"/>
        </w:sectPr>
      </w:pPr>
    </w:p>
    <w:p w14:paraId="04D0BB09">
      <w:pPr>
        <w:rPr>
          <w:rFonts w:hint="eastAsia"/>
          <w:color w:val="auto"/>
          <w:highlight w:val="none"/>
          <w:lang w:val="zh-CN" w:eastAsia="zh-CN"/>
        </w:rPr>
      </w:pPr>
    </w:p>
    <w:p w14:paraId="405B28E2">
      <w:pPr>
        <w:pStyle w:val="16"/>
        <w:spacing w:line="360" w:lineRule="auto"/>
        <w:ind w:firstLine="602" w:firstLineChars="200"/>
        <w:rPr>
          <w:rFonts w:hint="eastAsia" w:ascii="宋体" w:hAnsi="宋体" w:eastAsia="宋体" w:cs="宋体"/>
          <w:b/>
          <w:color w:val="auto"/>
          <w:kern w:val="2"/>
          <w:sz w:val="30"/>
          <w:szCs w:val="30"/>
          <w:highlight w:val="none"/>
          <w:lang w:val="en-US" w:eastAsia="zh-CN"/>
        </w:rPr>
      </w:pPr>
    </w:p>
    <w:p w14:paraId="76EB5ED9">
      <w:pPr>
        <w:spacing w:line="360" w:lineRule="auto"/>
        <w:jc w:val="center"/>
        <w:rPr>
          <w:rFonts w:hint="eastAsia" w:ascii="宋体" w:hAnsi="宋体" w:eastAsia="宋体" w:cs="宋体"/>
          <w:color w:val="auto"/>
          <w:sz w:val="24"/>
          <w:highlight w:val="none"/>
        </w:rPr>
      </w:pPr>
    </w:p>
    <w:p w14:paraId="45E725BF">
      <w:pPr>
        <w:spacing w:line="360" w:lineRule="auto"/>
        <w:jc w:val="center"/>
        <w:rPr>
          <w:rFonts w:hint="eastAsia" w:ascii="宋体" w:hAnsi="宋体" w:eastAsia="宋体" w:cs="宋体"/>
          <w:color w:val="auto"/>
          <w:sz w:val="24"/>
          <w:highlight w:val="none"/>
        </w:rPr>
      </w:pPr>
    </w:p>
    <w:p w14:paraId="49BD4A1A">
      <w:pPr>
        <w:spacing w:line="360" w:lineRule="auto"/>
        <w:jc w:val="center"/>
        <w:rPr>
          <w:rFonts w:hint="eastAsia" w:ascii="宋体" w:hAnsi="宋体" w:eastAsia="宋体" w:cs="宋体"/>
          <w:color w:val="auto"/>
          <w:sz w:val="24"/>
          <w:highlight w:val="none"/>
        </w:rPr>
      </w:pPr>
    </w:p>
    <w:p w14:paraId="7E1B9957">
      <w:pPr>
        <w:spacing w:line="360" w:lineRule="auto"/>
        <w:jc w:val="center"/>
        <w:rPr>
          <w:rFonts w:hint="eastAsia" w:ascii="宋体" w:hAnsi="宋体" w:eastAsia="宋体" w:cs="宋体"/>
          <w:color w:val="auto"/>
          <w:sz w:val="24"/>
          <w:highlight w:val="none"/>
        </w:rPr>
      </w:pPr>
    </w:p>
    <w:p w14:paraId="07BABF89">
      <w:pPr>
        <w:spacing w:line="360" w:lineRule="auto"/>
        <w:jc w:val="center"/>
        <w:rPr>
          <w:rFonts w:hint="eastAsia" w:ascii="宋体" w:hAnsi="宋体" w:eastAsia="宋体" w:cs="宋体"/>
          <w:color w:val="auto"/>
          <w:sz w:val="24"/>
          <w:highlight w:val="none"/>
        </w:rPr>
      </w:pPr>
    </w:p>
    <w:p w14:paraId="31B5F84A">
      <w:pPr>
        <w:spacing w:line="360" w:lineRule="auto"/>
        <w:jc w:val="both"/>
        <w:rPr>
          <w:rFonts w:hint="eastAsia" w:ascii="宋体" w:hAnsi="宋体" w:eastAsia="宋体" w:cs="宋体"/>
          <w:color w:val="auto"/>
          <w:sz w:val="24"/>
          <w:highlight w:val="none"/>
        </w:rPr>
      </w:pPr>
    </w:p>
    <w:p w14:paraId="7C060402">
      <w:pPr>
        <w:spacing w:line="360" w:lineRule="auto"/>
        <w:jc w:val="center"/>
        <w:rPr>
          <w:rFonts w:hint="eastAsia" w:ascii="宋体" w:hAnsi="宋体" w:eastAsia="宋体" w:cs="宋体"/>
          <w:color w:val="auto"/>
          <w:sz w:val="24"/>
          <w:highlight w:val="none"/>
        </w:rPr>
      </w:pPr>
    </w:p>
    <w:p w14:paraId="5F7DB99E">
      <w:pPr>
        <w:spacing w:line="360" w:lineRule="auto"/>
        <w:jc w:val="center"/>
        <w:rPr>
          <w:rFonts w:hint="eastAsia" w:ascii="宋体" w:hAnsi="宋体" w:eastAsia="宋体" w:cs="宋体"/>
          <w:color w:val="auto"/>
          <w:sz w:val="24"/>
          <w:highlight w:val="none"/>
        </w:rPr>
      </w:pPr>
    </w:p>
    <w:p w14:paraId="6FB70D85">
      <w:pPr>
        <w:spacing w:line="360" w:lineRule="auto"/>
        <w:jc w:val="center"/>
        <w:rPr>
          <w:rFonts w:hint="eastAsia" w:ascii="宋体" w:hAnsi="宋体" w:eastAsia="宋体" w:cs="宋体"/>
          <w:color w:val="auto"/>
          <w:sz w:val="24"/>
          <w:highlight w:val="none"/>
        </w:rPr>
      </w:pPr>
    </w:p>
    <w:p w14:paraId="0BABAEDA">
      <w:pPr>
        <w:pStyle w:val="2"/>
        <w:spacing w:line="360" w:lineRule="auto"/>
        <w:jc w:val="center"/>
        <w:rPr>
          <w:rFonts w:hint="eastAsia" w:ascii="宋体" w:hAnsi="宋体" w:eastAsia="宋体" w:cs="宋体"/>
          <w:b w:val="0"/>
          <w:bCs w:val="0"/>
          <w:color w:val="auto"/>
          <w:highlight w:val="none"/>
        </w:rPr>
      </w:pPr>
      <w:bookmarkStart w:id="197" w:name="_Toc11775"/>
      <w:bookmarkStart w:id="198" w:name="_Toc2080"/>
      <w:bookmarkStart w:id="199" w:name="_Toc14897"/>
      <w:bookmarkStart w:id="200" w:name="_Toc25466"/>
      <w:bookmarkStart w:id="201" w:name="_Toc17398"/>
      <w:bookmarkStart w:id="202" w:name="_Toc11925"/>
      <w:bookmarkStart w:id="203" w:name="_Toc26628"/>
      <w:r>
        <w:rPr>
          <w:rFonts w:hint="eastAsia" w:ascii="宋体" w:hAnsi="宋体" w:eastAsia="宋体" w:cs="宋体"/>
          <w:b/>
          <w:bCs/>
          <w:color w:val="auto"/>
          <w:highlight w:val="none"/>
        </w:rPr>
        <w:t>第六章  合同文本</w:t>
      </w:r>
      <w:r>
        <w:rPr>
          <w:rFonts w:hint="eastAsia" w:ascii="宋体" w:hAnsi="宋体" w:eastAsia="宋体" w:cs="宋体"/>
          <w:b/>
          <w:bCs/>
          <w:color w:val="auto"/>
          <w:highlight w:val="none"/>
        </w:rPr>
        <w:br w:type="page"/>
      </w:r>
      <w:bookmarkEnd w:id="197"/>
      <w:bookmarkEnd w:id="198"/>
      <w:bookmarkEnd w:id="199"/>
      <w:bookmarkEnd w:id="200"/>
      <w:bookmarkEnd w:id="201"/>
      <w:bookmarkEnd w:id="202"/>
      <w:bookmarkEnd w:id="203"/>
    </w:p>
    <w:p w14:paraId="21A34C9D">
      <w:pPr>
        <w:spacing w:line="360" w:lineRule="auto"/>
        <w:rPr>
          <w:rFonts w:hint="eastAsia" w:ascii="宋体" w:hAnsi="宋体" w:eastAsia="宋体" w:cs="宋体"/>
          <w:b/>
          <w:bCs/>
          <w:color w:val="auto"/>
          <w:highlight w:val="none"/>
        </w:rPr>
      </w:pPr>
      <w:r>
        <w:rPr>
          <w:rFonts w:hint="eastAsia" w:ascii="宋体" w:hAnsi="宋体" w:cs="宋体"/>
          <w:b/>
          <w:bCs/>
          <w:color w:val="auto"/>
          <w:sz w:val="24"/>
          <w:highlight w:val="none"/>
          <w:lang w:eastAsia="zh-CN"/>
        </w:rPr>
        <w:t>“广西政府采购云平台”</w:t>
      </w:r>
      <w:r>
        <w:rPr>
          <w:rFonts w:hint="eastAsia" w:ascii="宋体" w:hAnsi="宋体" w:eastAsia="宋体" w:cs="宋体"/>
          <w:b/>
          <w:bCs/>
          <w:color w:val="auto"/>
          <w:sz w:val="24"/>
          <w:highlight w:val="none"/>
        </w:rPr>
        <w:t>合同编号：</w:t>
      </w:r>
    </w:p>
    <w:p w14:paraId="7402502A">
      <w:pPr>
        <w:spacing w:line="360" w:lineRule="auto"/>
        <w:jc w:val="center"/>
        <w:rPr>
          <w:rFonts w:hint="eastAsia" w:ascii="宋体" w:hAnsi="宋体" w:eastAsia="宋体" w:cs="宋体"/>
          <w:b/>
          <w:bCs/>
          <w:color w:val="auto"/>
          <w:sz w:val="52"/>
          <w:highlight w:val="none"/>
        </w:rPr>
      </w:pPr>
    </w:p>
    <w:p w14:paraId="50443689">
      <w:pPr>
        <w:spacing w:line="360" w:lineRule="auto"/>
        <w:jc w:val="center"/>
        <w:rPr>
          <w:rFonts w:hint="eastAsia" w:ascii="宋体" w:hAnsi="宋体" w:eastAsia="宋体" w:cs="宋体"/>
          <w:b/>
          <w:bCs/>
          <w:color w:val="auto"/>
          <w:sz w:val="52"/>
          <w:highlight w:val="none"/>
        </w:rPr>
      </w:pPr>
      <w:r>
        <w:rPr>
          <w:rFonts w:hint="eastAsia" w:ascii="宋体" w:hAnsi="宋体" w:eastAsia="宋体" w:cs="宋体"/>
          <w:b/>
          <w:bCs/>
          <w:color w:val="auto"/>
          <w:sz w:val="52"/>
          <w:highlight w:val="none"/>
        </w:rPr>
        <w:t>南 宁 市 政 府 采 购</w:t>
      </w:r>
    </w:p>
    <w:p w14:paraId="5471DC1C">
      <w:pPr>
        <w:spacing w:line="360" w:lineRule="auto"/>
        <w:ind w:firstLine="420" w:firstLineChars="200"/>
        <w:rPr>
          <w:rFonts w:hint="eastAsia" w:ascii="宋体" w:hAnsi="宋体" w:eastAsia="宋体" w:cs="宋体"/>
          <w:color w:val="auto"/>
          <w:highlight w:val="none"/>
        </w:rPr>
      </w:pPr>
    </w:p>
    <w:p w14:paraId="1DD795B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6624D509">
      <w:pPr>
        <w:spacing w:line="360" w:lineRule="auto"/>
        <w:jc w:val="center"/>
        <w:rPr>
          <w:rFonts w:hint="eastAsia" w:ascii="宋体" w:hAnsi="宋体" w:eastAsia="宋体" w:cs="宋体"/>
          <w:b/>
          <w:bCs/>
          <w:color w:val="auto"/>
          <w:sz w:val="44"/>
          <w:highlight w:val="none"/>
        </w:rPr>
      </w:pPr>
      <w:r>
        <w:rPr>
          <w:rFonts w:hint="eastAsia" w:ascii="宋体" w:hAnsi="宋体" w:eastAsia="宋体" w:cs="宋体"/>
          <w:b/>
          <w:bCs/>
          <w:color w:val="auto"/>
          <w:sz w:val="44"/>
          <w:highlight w:val="none"/>
          <w:u w:val="single"/>
        </w:rPr>
        <w:t xml:space="preserve"> </w:t>
      </w:r>
      <w:r>
        <w:rPr>
          <w:rFonts w:hint="eastAsia" w:ascii="宋体" w:hAnsi="宋体" w:cs="宋体"/>
          <w:b/>
          <w:bCs/>
          <w:color w:val="auto"/>
          <w:sz w:val="44"/>
          <w:highlight w:val="none"/>
          <w:u w:val="single"/>
          <w:lang w:eastAsia="zh-CN"/>
        </w:rPr>
        <w:t>隆安县屏山乡刘家村刘家屯农田水利设施项目</w:t>
      </w:r>
      <w:r>
        <w:rPr>
          <w:rFonts w:hint="eastAsia" w:ascii="宋体" w:hAnsi="宋体" w:eastAsia="宋体" w:cs="宋体"/>
          <w:b/>
          <w:bCs/>
          <w:color w:val="auto"/>
          <w:sz w:val="44"/>
          <w:highlight w:val="none"/>
        </w:rPr>
        <w:t>合同</w:t>
      </w:r>
    </w:p>
    <w:p w14:paraId="24203952">
      <w:pPr>
        <w:spacing w:line="360" w:lineRule="auto"/>
        <w:jc w:val="center"/>
        <w:rPr>
          <w:rFonts w:hint="eastAsia" w:ascii="宋体" w:hAnsi="宋体" w:eastAsia="宋体" w:cs="宋体"/>
          <w:b/>
          <w:bCs/>
          <w:color w:val="auto"/>
          <w:sz w:val="44"/>
          <w:highlight w:val="none"/>
        </w:rPr>
      </w:pPr>
    </w:p>
    <w:p w14:paraId="6166538D">
      <w:pPr>
        <w:spacing w:line="360" w:lineRule="auto"/>
        <w:ind w:firstLine="3507" w:firstLineChars="794"/>
        <w:rPr>
          <w:rFonts w:hint="eastAsia" w:ascii="宋体" w:hAnsi="宋体" w:eastAsia="宋体" w:cs="宋体"/>
          <w:b/>
          <w:bCs/>
          <w:color w:val="auto"/>
          <w:sz w:val="44"/>
          <w:highlight w:val="none"/>
        </w:rPr>
      </w:pPr>
    </w:p>
    <w:p w14:paraId="56FD65AF">
      <w:pPr>
        <w:spacing w:line="360" w:lineRule="auto"/>
        <w:ind w:firstLine="3507" w:firstLineChars="794"/>
        <w:rPr>
          <w:rFonts w:hint="eastAsia" w:ascii="宋体" w:hAnsi="宋体" w:eastAsia="宋体" w:cs="宋体"/>
          <w:b/>
          <w:bCs/>
          <w:color w:val="auto"/>
          <w:sz w:val="44"/>
          <w:highlight w:val="none"/>
        </w:rPr>
      </w:pPr>
    </w:p>
    <w:p w14:paraId="10FC8C15">
      <w:pPr>
        <w:spacing w:line="360" w:lineRule="auto"/>
        <w:ind w:left="0" w:leftChars="0" w:firstLine="1063" w:firstLineChars="294"/>
        <w:rPr>
          <w:rFonts w:hint="eastAsia" w:ascii="宋体" w:hAnsi="宋体" w:cs="宋体"/>
          <w:b/>
          <w:color w:val="auto"/>
          <w:sz w:val="36"/>
          <w:szCs w:val="36"/>
          <w:highlight w:val="none"/>
          <w:u w:val="single"/>
          <w:lang w:eastAsia="zh-CN"/>
        </w:rPr>
      </w:pPr>
      <w:r>
        <w:rPr>
          <w:rFonts w:hint="eastAsia" w:ascii="宋体" w:hAnsi="宋体" w:eastAsia="宋体" w:cs="宋体"/>
          <w:b/>
          <w:color w:val="auto"/>
          <w:sz w:val="36"/>
          <w:szCs w:val="36"/>
          <w:highlight w:val="none"/>
        </w:rPr>
        <w:t>采购项目编号：</w:t>
      </w:r>
      <w:r>
        <w:rPr>
          <w:rFonts w:hint="eastAsia" w:ascii="宋体" w:hAnsi="宋体" w:cs="宋体"/>
          <w:b/>
          <w:color w:val="auto"/>
          <w:sz w:val="36"/>
          <w:szCs w:val="36"/>
          <w:highlight w:val="none"/>
          <w:u w:val="single"/>
          <w:lang w:eastAsia="zh-CN"/>
        </w:rPr>
        <w:t>NNZC2026-C2-230022-JHGC</w:t>
      </w:r>
    </w:p>
    <w:p w14:paraId="44619CC4">
      <w:pPr>
        <w:spacing w:line="360" w:lineRule="auto"/>
        <w:ind w:left="0" w:leftChars="0" w:firstLine="1063" w:firstLineChars="294"/>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采购计划编号：</w:t>
      </w:r>
      <w:r>
        <w:rPr>
          <w:rFonts w:hint="eastAsia" w:ascii="宋体" w:hAnsi="宋体" w:eastAsia="宋体" w:cs="宋体"/>
          <w:b/>
          <w:color w:val="auto"/>
          <w:sz w:val="36"/>
          <w:szCs w:val="36"/>
          <w:highlight w:val="none"/>
          <w:u w:val="single"/>
        </w:rPr>
        <w:t xml:space="preserve"> </w:t>
      </w:r>
      <w:r>
        <w:rPr>
          <w:rFonts w:hint="eastAsia" w:ascii="宋体" w:hAnsi="宋体" w:cs="宋体"/>
          <w:b/>
          <w:color w:val="auto"/>
          <w:sz w:val="36"/>
          <w:szCs w:val="36"/>
          <w:highlight w:val="none"/>
          <w:u w:val="single"/>
          <w:lang w:val="en-US" w:eastAsia="zh-CN"/>
        </w:rPr>
        <w:t xml:space="preserve">  </w:t>
      </w:r>
      <w:r>
        <w:rPr>
          <w:rFonts w:hint="eastAsia" w:ascii="宋体" w:hAnsi="宋体" w:eastAsia="宋体" w:cs="宋体"/>
          <w:b/>
          <w:color w:val="auto"/>
          <w:sz w:val="36"/>
          <w:szCs w:val="36"/>
          <w:highlight w:val="none"/>
          <w:u w:val="single"/>
        </w:rPr>
        <w:t xml:space="preserve">   </w:t>
      </w:r>
      <w:r>
        <w:rPr>
          <w:rFonts w:hint="eastAsia" w:ascii="宋体" w:hAnsi="宋体" w:cs="宋体"/>
          <w:b/>
          <w:color w:val="auto"/>
          <w:sz w:val="36"/>
          <w:szCs w:val="36"/>
          <w:highlight w:val="none"/>
          <w:u w:val="single"/>
          <w:lang w:val="en-US" w:eastAsia="zh-CN"/>
        </w:rPr>
        <w:t xml:space="preserve"> </w:t>
      </w:r>
      <w:r>
        <w:rPr>
          <w:rFonts w:hint="eastAsia" w:ascii="宋体" w:hAnsi="宋体" w:eastAsia="宋体" w:cs="宋体"/>
          <w:b/>
          <w:color w:val="auto"/>
          <w:sz w:val="36"/>
          <w:szCs w:val="36"/>
          <w:highlight w:val="none"/>
          <w:u w:val="single"/>
        </w:rPr>
        <w:t xml:space="preserve">   </w:t>
      </w:r>
    </w:p>
    <w:p w14:paraId="243BD2E5">
      <w:pPr>
        <w:spacing w:line="360" w:lineRule="auto"/>
        <w:rPr>
          <w:rFonts w:hint="eastAsia" w:ascii="宋体" w:hAnsi="宋体" w:eastAsia="宋体" w:cs="宋体"/>
          <w:b/>
          <w:color w:val="auto"/>
          <w:sz w:val="36"/>
          <w:szCs w:val="36"/>
          <w:highlight w:val="none"/>
          <w:u w:val="single"/>
        </w:rPr>
      </w:pPr>
    </w:p>
    <w:p w14:paraId="0083DCAB">
      <w:pPr>
        <w:spacing w:line="360" w:lineRule="auto"/>
        <w:ind w:left="0" w:leftChars="0" w:firstLine="1063" w:firstLineChars="294"/>
        <w:rPr>
          <w:rFonts w:hint="eastAsia" w:ascii="宋体" w:hAnsi="宋体" w:eastAsia="宋体" w:cs="宋体"/>
          <w:b/>
          <w:color w:val="auto"/>
          <w:sz w:val="36"/>
          <w:szCs w:val="36"/>
          <w:highlight w:val="none"/>
          <w:u w:val="single"/>
        </w:rPr>
      </w:pPr>
    </w:p>
    <w:p w14:paraId="76EA19AC">
      <w:pPr>
        <w:widowControl/>
        <w:kinsoku w:val="0"/>
        <w:autoSpaceDE w:val="0"/>
        <w:autoSpaceDN w:val="0"/>
        <w:adjustRightInd w:val="0"/>
        <w:snapToGrid w:val="0"/>
        <w:spacing w:line="360" w:lineRule="auto"/>
        <w:ind w:right="1234" w:firstLine="1084" w:firstLineChars="300"/>
        <w:jc w:val="left"/>
        <w:textAlignment w:val="baseline"/>
        <w:rPr>
          <w:rFonts w:hint="default" w:ascii="宋体" w:hAnsi="宋体" w:eastAsia="宋体" w:cs="宋体"/>
          <w:b/>
          <w:color w:val="auto"/>
          <w:sz w:val="36"/>
          <w:szCs w:val="36"/>
          <w:highlight w:val="none"/>
          <w:u w:val="single"/>
          <w:lang w:val="en-US"/>
        </w:rPr>
      </w:pPr>
      <w:r>
        <w:rPr>
          <w:rFonts w:hint="eastAsia" w:ascii="宋体" w:hAnsi="宋体" w:cs="宋体"/>
          <w:b/>
          <w:color w:val="auto"/>
          <w:sz w:val="36"/>
          <w:szCs w:val="36"/>
          <w:highlight w:val="none"/>
        </w:rPr>
        <w:t>发包人：</w:t>
      </w:r>
      <w:r>
        <w:rPr>
          <w:rFonts w:hint="eastAsia" w:ascii="宋体" w:hAnsi="宋体" w:cs="宋体"/>
          <w:b/>
          <w:color w:val="auto"/>
          <w:sz w:val="36"/>
          <w:szCs w:val="36"/>
          <w:highlight w:val="none"/>
          <w:u w:val="single"/>
          <w:lang w:val="en-US" w:eastAsia="zh-CN"/>
        </w:rPr>
        <w:t xml:space="preserve">                         </w:t>
      </w:r>
    </w:p>
    <w:p w14:paraId="29ED1DA1">
      <w:pPr>
        <w:widowControl/>
        <w:kinsoku w:val="0"/>
        <w:autoSpaceDE w:val="0"/>
        <w:autoSpaceDN w:val="0"/>
        <w:adjustRightInd w:val="0"/>
        <w:snapToGrid w:val="0"/>
        <w:spacing w:line="360" w:lineRule="auto"/>
        <w:ind w:right="1234" w:firstLine="1084" w:firstLineChars="300"/>
        <w:jc w:val="left"/>
        <w:textAlignment w:val="baseline"/>
        <w:rPr>
          <w:rFonts w:ascii="宋体" w:hAnsi="宋体" w:cs="宋体"/>
          <w:b/>
          <w:bCs/>
          <w:color w:val="auto"/>
          <w:sz w:val="44"/>
          <w:highlight w:val="none"/>
        </w:rPr>
      </w:pPr>
      <w:r>
        <w:rPr>
          <w:rFonts w:hint="eastAsia" w:ascii="宋体" w:hAnsi="宋体" w:cs="宋体"/>
          <w:b/>
          <w:color w:val="auto"/>
          <w:sz w:val="36"/>
          <w:szCs w:val="36"/>
          <w:highlight w:val="none"/>
        </w:rPr>
        <w:t>承包人：</w:t>
      </w:r>
      <w:r>
        <w:rPr>
          <w:rFonts w:hint="eastAsia" w:ascii="宋体" w:hAnsi="宋体" w:cs="宋体"/>
          <w:b/>
          <w:color w:val="auto"/>
          <w:sz w:val="36"/>
          <w:szCs w:val="36"/>
          <w:highlight w:val="none"/>
          <w:u w:val="single"/>
        </w:rPr>
        <w:t xml:space="preserve">                         </w:t>
      </w:r>
      <w:r>
        <w:rPr>
          <w:rFonts w:hint="eastAsia" w:ascii="宋体" w:hAnsi="宋体" w:cs="宋体"/>
          <w:b/>
          <w:color w:val="auto"/>
          <w:sz w:val="36"/>
          <w:szCs w:val="36"/>
          <w:highlight w:val="none"/>
        </w:rPr>
        <w:t xml:space="preserve">            </w:t>
      </w:r>
    </w:p>
    <w:p w14:paraId="1888DB7B">
      <w:pPr>
        <w:tabs>
          <w:tab w:val="left" w:pos="7380"/>
        </w:tabs>
        <w:spacing w:line="360" w:lineRule="auto"/>
        <w:rPr>
          <w:rFonts w:ascii="宋体" w:hAnsi="宋体" w:cs="宋体"/>
          <w:b/>
          <w:bCs/>
          <w:color w:val="auto"/>
          <w:sz w:val="44"/>
          <w:highlight w:val="none"/>
        </w:rPr>
      </w:pPr>
    </w:p>
    <w:p w14:paraId="733C5E43">
      <w:pPr>
        <w:tabs>
          <w:tab w:val="left" w:pos="7380"/>
        </w:tabs>
        <w:spacing w:line="360" w:lineRule="auto"/>
        <w:ind w:left="0" w:leftChars="0" w:firstLine="1058" w:firstLineChars="294"/>
        <w:rPr>
          <w:rFonts w:hint="eastAsia" w:ascii="宋体" w:hAnsi="宋体" w:eastAsia="宋体" w:cs="宋体"/>
          <w:b/>
          <w:bCs/>
          <w:color w:val="auto"/>
          <w:sz w:val="44"/>
          <w:highlight w:val="none"/>
        </w:rPr>
      </w:pPr>
      <w:r>
        <w:rPr>
          <w:rFonts w:hint="eastAsia" w:ascii="宋体" w:hAnsi="宋体" w:cs="宋体"/>
          <w:color w:val="auto"/>
          <w:sz w:val="36"/>
          <w:szCs w:val="36"/>
          <w:highlight w:val="none"/>
          <w:lang w:val="zh-CN"/>
        </w:rPr>
        <w:t>签订时间：</w:t>
      </w:r>
      <w:r>
        <w:rPr>
          <w:rFonts w:hint="eastAsia" w:ascii="宋体" w:hAnsi="宋体" w:cs="宋体"/>
          <w:color w:val="auto"/>
          <w:sz w:val="36"/>
          <w:szCs w:val="36"/>
          <w:highlight w:val="none"/>
          <w:u w:val="single"/>
          <w:lang w:val="zh-CN"/>
        </w:rPr>
        <w:t xml:space="preserve">     </w:t>
      </w:r>
      <w:r>
        <w:rPr>
          <w:rFonts w:hint="eastAsia" w:ascii="宋体" w:hAnsi="宋体" w:cs="宋体"/>
          <w:color w:val="auto"/>
          <w:sz w:val="36"/>
          <w:szCs w:val="36"/>
          <w:highlight w:val="none"/>
          <w:lang w:val="zh-CN"/>
        </w:rPr>
        <w:t>年</w:t>
      </w:r>
      <w:r>
        <w:rPr>
          <w:rFonts w:hint="eastAsia" w:ascii="宋体" w:hAnsi="宋体" w:cs="宋体"/>
          <w:color w:val="auto"/>
          <w:sz w:val="36"/>
          <w:szCs w:val="36"/>
          <w:highlight w:val="none"/>
          <w:u w:val="single"/>
          <w:lang w:val="zh-CN"/>
        </w:rPr>
        <w:t xml:space="preserve">    </w:t>
      </w:r>
      <w:r>
        <w:rPr>
          <w:rFonts w:hint="eastAsia" w:ascii="宋体" w:hAnsi="宋体" w:cs="宋体"/>
          <w:color w:val="auto"/>
          <w:sz w:val="36"/>
          <w:szCs w:val="36"/>
          <w:highlight w:val="none"/>
          <w:lang w:val="zh-CN"/>
        </w:rPr>
        <w:t>月</w:t>
      </w:r>
      <w:r>
        <w:rPr>
          <w:rFonts w:hint="eastAsia" w:ascii="宋体" w:hAnsi="宋体" w:cs="宋体"/>
          <w:color w:val="auto"/>
          <w:sz w:val="36"/>
          <w:szCs w:val="36"/>
          <w:highlight w:val="none"/>
          <w:u w:val="single"/>
          <w:lang w:val="zh-CN"/>
        </w:rPr>
        <w:t xml:space="preserve">    </w:t>
      </w:r>
      <w:r>
        <w:rPr>
          <w:rFonts w:hint="eastAsia" w:ascii="宋体" w:hAnsi="宋体" w:cs="宋体"/>
          <w:color w:val="auto"/>
          <w:sz w:val="36"/>
          <w:szCs w:val="36"/>
          <w:highlight w:val="none"/>
          <w:lang w:val="zh-CN"/>
        </w:rPr>
        <w:t>日</w:t>
      </w:r>
    </w:p>
    <w:p w14:paraId="421394CB">
      <w:pPr>
        <w:tabs>
          <w:tab w:val="left" w:pos="7380"/>
        </w:tabs>
        <w:spacing w:line="360" w:lineRule="auto"/>
        <w:rPr>
          <w:rFonts w:hint="eastAsia" w:ascii="宋体" w:hAnsi="宋体" w:eastAsia="宋体" w:cs="宋体"/>
          <w:b/>
          <w:bCs/>
          <w:color w:val="auto"/>
          <w:sz w:val="44"/>
          <w:highlight w:val="none"/>
        </w:rPr>
        <w:sectPr>
          <w:pgSz w:w="11907" w:h="16840"/>
          <w:pgMar w:top="1440" w:right="1440" w:bottom="1440" w:left="1797" w:header="851" w:footer="851" w:gutter="0"/>
          <w:cols w:space="720" w:num="1"/>
          <w:docGrid w:linePitch="312" w:charSpace="0"/>
        </w:sectPr>
      </w:pPr>
    </w:p>
    <w:p w14:paraId="4B23C9F8">
      <w:pPr>
        <w:pageBreakBefore w:val="0"/>
        <w:widowControl w:val="0"/>
        <w:kinsoku/>
        <w:wordWrap/>
        <w:overflowPunct/>
        <w:topLinePunct w:val="0"/>
        <w:bidi w:val="0"/>
        <w:spacing w:line="360" w:lineRule="auto"/>
        <w:ind w:left="0" w:leftChars="0" w:firstLine="643" w:firstLineChars="20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目    录</w:t>
      </w:r>
    </w:p>
    <w:p w14:paraId="0A13D14C">
      <w:pPr>
        <w:pageBreakBefore w:val="0"/>
        <w:widowControl w:val="0"/>
        <w:kinsoku/>
        <w:wordWrap/>
        <w:overflowPunct/>
        <w:topLinePunct w:val="0"/>
        <w:bidi w:val="0"/>
        <w:spacing w:line="360" w:lineRule="auto"/>
        <w:ind w:left="0" w:leftChars="0" w:firstLine="480" w:firstLineChars="200"/>
        <w:jc w:val="center"/>
        <w:rPr>
          <w:rFonts w:hint="eastAsia" w:ascii="宋体" w:hAnsi="宋体" w:eastAsia="宋体" w:cs="宋体"/>
          <w:color w:val="auto"/>
          <w:sz w:val="24"/>
          <w:szCs w:val="24"/>
          <w:highlight w:val="none"/>
        </w:rPr>
      </w:pPr>
    </w:p>
    <w:p w14:paraId="68B38CE0">
      <w:pPr>
        <w:pageBreakBefore w:val="0"/>
        <w:widowControl w:val="0"/>
        <w:kinsoku/>
        <w:wordWrap/>
        <w:overflowPunct/>
        <w:topLinePunct w:val="0"/>
        <w:bidi w:val="0"/>
        <w:spacing w:line="360" w:lineRule="auto"/>
        <w:ind w:left="0" w:leftChars="0" w:firstLine="480" w:firstLineChars="200"/>
        <w:jc w:val="center"/>
        <w:rPr>
          <w:rFonts w:hint="eastAsia" w:ascii="宋体" w:hAnsi="宋体" w:eastAsia="宋体" w:cs="宋体"/>
          <w:color w:val="auto"/>
          <w:sz w:val="24"/>
          <w:szCs w:val="24"/>
          <w:highlight w:val="none"/>
        </w:rPr>
      </w:pPr>
    </w:p>
    <w:p w14:paraId="4D4648A3">
      <w:pPr>
        <w:pageBreakBefore w:val="0"/>
        <w:widowControl w:val="0"/>
        <w:numPr>
          <w:ilvl w:val="0"/>
          <w:numId w:val="0"/>
        </w:numPr>
        <w:tabs>
          <w:tab w:val="left" w:pos="0"/>
        </w:tabs>
        <w:kinsoku/>
        <w:wordWrap/>
        <w:overflowPunct/>
        <w:topLinePunct w:val="0"/>
        <w:bidi w:val="0"/>
        <w:spacing w:line="360" w:lineRule="auto"/>
        <w:ind w:left="0" w:leftChars="0" w:firstLine="562"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t>第一节、</w:t>
      </w:r>
      <w:r>
        <w:rPr>
          <w:rFonts w:hint="eastAsia" w:ascii="宋体" w:hAnsi="宋体" w:eastAsia="宋体" w:cs="宋体"/>
          <w:b/>
          <w:color w:val="auto"/>
          <w:sz w:val="28"/>
          <w:szCs w:val="28"/>
          <w:highlight w:val="none"/>
        </w:rPr>
        <w:t>合同协议书</w:t>
      </w:r>
    </w:p>
    <w:p w14:paraId="4B51ABF4">
      <w:pPr>
        <w:pageBreakBefore w:val="0"/>
        <w:widowControl w:val="0"/>
        <w:numPr>
          <w:ilvl w:val="0"/>
          <w:numId w:val="0"/>
        </w:numPr>
        <w:tabs>
          <w:tab w:val="left" w:pos="0"/>
        </w:tabs>
        <w:kinsoku/>
        <w:wordWrap/>
        <w:overflowPunct/>
        <w:topLinePunct w:val="0"/>
        <w:bidi w:val="0"/>
        <w:spacing w:line="360" w:lineRule="auto"/>
        <w:ind w:left="0" w:leftChars="0" w:firstLine="562" w:firstLineChars="200"/>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eastAsia="zh-CN"/>
        </w:rPr>
        <w:t>第二节、中标通知书</w:t>
      </w:r>
    </w:p>
    <w:p w14:paraId="45F26007">
      <w:pPr>
        <w:pageBreakBefore w:val="0"/>
        <w:widowControl w:val="0"/>
        <w:numPr>
          <w:ilvl w:val="0"/>
          <w:numId w:val="0"/>
        </w:numPr>
        <w:tabs>
          <w:tab w:val="left" w:pos="0"/>
        </w:tabs>
        <w:kinsoku/>
        <w:wordWrap/>
        <w:overflowPunct/>
        <w:topLinePunct w:val="0"/>
        <w:bidi w:val="0"/>
        <w:spacing w:line="360" w:lineRule="auto"/>
        <w:ind w:left="0" w:leftChars="0" w:firstLine="562"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t>第三节、</w:t>
      </w:r>
      <w:r>
        <w:rPr>
          <w:rFonts w:hint="eastAsia" w:ascii="宋体" w:hAnsi="宋体" w:eastAsia="宋体" w:cs="宋体"/>
          <w:b/>
          <w:color w:val="auto"/>
          <w:sz w:val="28"/>
          <w:szCs w:val="28"/>
          <w:highlight w:val="none"/>
        </w:rPr>
        <w:t>通用合同条款</w:t>
      </w:r>
    </w:p>
    <w:p w14:paraId="7D526E3E">
      <w:pPr>
        <w:pageBreakBefore w:val="0"/>
        <w:widowControl w:val="0"/>
        <w:numPr>
          <w:ilvl w:val="0"/>
          <w:numId w:val="0"/>
        </w:numPr>
        <w:tabs>
          <w:tab w:val="left" w:pos="0"/>
        </w:tabs>
        <w:kinsoku/>
        <w:wordWrap/>
        <w:overflowPunct/>
        <w:topLinePunct w:val="0"/>
        <w:bidi w:val="0"/>
        <w:spacing w:line="360" w:lineRule="auto"/>
        <w:ind w:left="0" w:leftChars="0" w:firstLine="562"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t>第四节、</w:t>
      </w:r>
      <w:r>
        <w:rPr>
          <w:rFonts w:hint="eastAsia" w:ascii="宋体" w:hAnsi="宋体" w:eastAsia="宋体" w:cs="宋体"/>
          <w:b/>
          <w:color w:val="auto"/>
          <w:sz w:val="28"/>
          <w:szCs w:val="28"/>
          <w:highlight w:val="none"/>
        </w:rPr>
        <w:t>专用合同条款</w:t>
      </w:r>
    </w:p>
    <w:p w14:paraId="00FD7FCD">
      <w:pPr>
        <w:pageBreakBefore w:val="0"/>
        <w:widowControl w:val="0"/>
        <w:numPr>
          <w:ilvl w:val="0"/>
          <w:numId w:val="0"/>
        </w:numPr>
        <w:tabs>
          <w:tab w:val="left" w:pos="0"/>
        </w:tabs>
        <w:kinsoku/>
        <w:wordWrap/>
        <w:overflowPunct/>
        <w:topLinePunct w:val="0"/>
        <w:bidi w:val="0"/>
        <w:spacing w:line="360" w:lineRule="auto"/>
        <w:ind w:left="0" w:leftChars="0" w:firstLine="562" w:firstLineChars="200"/>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eastAsia="zh-CN"/>
        </w:rPr>
        <w:t>第</w:t>
      </w:r>
      <w:r>
        <w:rPr>
          <w:rFonts w:hint="eastAsia" w:ascii="宋体" w:hAnsi="宋体" w:eastAsia="宋体" w:cs="宋体"/>
          <w:b/>
          <w:color w:val="auto"/>
          <w:sz w:val="28"/>
          <w:szCs w:val="28"/>
          <w:highlight w:val="none"/>
          <w:lang w:val="en-US" w:eastAsia="zh-CN"/>
        </w:rPr>
        <w:t>五</w:t>
      </w:r>
      <w:r>
        <w:rPr>
          <w:rFonts w:hint="eastAsia" w:ascii="宋体" w:hAnsi="宋体" w:eastAsia="宋体" w:cs="宋体"/>
          <w:b/>
          <w:color w:val="auto"/>
          <w:sz w:val="28"/>
          <w:szCs w:val="28"/>
          <w:highlight w:val="none"/>
          <w:lang w:eastAsia="zh-CN"/>
        </w:rPr>
        <w:t>节、</w:t>
      </w:r>
      <w:r>
        <w:rPr>
          <w:rFonts w:hint="eastAsia" w:ascii="宋体" w:hAnsi="宋体" w:eastAsia="宋体" w:cs="宋体"/>
          <w:b/>
          <w:color w:val="auto"/>
          <w:sz w:val="28"/>
          <w:szCs w:val="28"/>
          <w:highlight w:val="none"/>
          <w:lang w:val="en-US" w:eastAsia="zh-CN"/>
        </w:rPr>
        <w:t>合同附件格式</w:t>
      </w:r>
    </w:p>
    <w:p w14:paraId="7B8DF420">
      <w:pPr>
        <w:pStyle w:val="24"/>
        <w:rPr>
          <w:rFonts w:hint="eastAsia"/>
          <w:color w:val="auto"/>
          <w:highlight w:val="none"/>
        </w:rPr>
      </w:pPr>
    </w:p>
    <w:p w14:paraId="6B83833D">
      <w:pPr>
        <w:pageBreakBefore w:val="0"/>
        <w:widowControl w:val="0"/>
        <w:kinsoku/>
        <w:wordWrap/>
        <w:overflowPunct/>
        <w:topLinePunct w:val="0"/>
        <w:autoSpaceDE w:val="0"/>
        <w:autoSpaceDN w:val="0"/>
        <w:bidi w:val="0"/>
        <w:adjustRightInd w:val="0"/>
        <w:spacing w:line="360" w:lineRule="auto"/>
        <w:ind w:left="0" w:leftChars="0" w:firstLine="480" w:firstLineChars="200"/>
        <w:rPr>
          <w:rFonts w:hint="eastAsia" w:ascii="宋体" w:hAnsi="宋体" w:eastAsia="宋体" w:cs="宋体"/>
          <w:color w:val="auto"/>
          <w:sz w:val="24"/>
          <w:szCs w:val="24"/>
          <w:highlight w:val="none"/>
          <w:lang w:val="en-US" w:eastAsia="zh-CN" w:bidi="ar-SA"/>
        </w:rPr>
      </w:pPr>
    </w:p>
    <w:p w14:paraId="3473FC39">
      <w:pPr>
        <w:pageBreakBefore w:val="0"/>
        <w:widowControl w:val="0"/>
        <w:numPr>
          <w:ilvl w:val="0"/>
          <w:numId w:val="0"/>
        </w:numPr>
        <w:tabs>
          <w:tab w:val="left" w:pos="600"/>
        </w:tabs>
        <w:kinsoku/>
        <w:wordWrap/>
        <w:overflowPunct/>
        <w:topLinePunct w:val="0"/>
        <w:bidi w:val="0"/>
        <w:spacing w:line="360" w:lineRule="auto"/>
        <w:ind w:left="0" w:leftChars="0" w:firstLine="482" w:firstLineChars="200"/>
        <w:jc w:val="center"/>
        <w:textAlignment w:val="baseline"/>
        <w:rPr>
          <w:rFonts w:hint="eastAsia" w:ascii="宋体" w:hAnsi="宋体" w:eastAsia="宋体" w:cs="宋体"/>
          <w:b/>
          <w:color w:val="auto"/>
          <w:sz w:val="24"/>
          <w:szCs w:val="24"/>
          <w:highlight w:val="none"/>
          <w:u w:val="none" w:color="auto"/>
        </w:rPr>
      </w:pPr>
    </w:p>
    <w:p w14:paraId="1562CA14">
      <w:pPr>
        <w:pageBreakBefore w:val="0"/>
        <w:widowControl w:val="0"/>
        <w:kinsoku/>
        <w:wordWrap/>
        <w:overflowPunct/>
        <w:topLinePunct w:val="0"/>
        <w:bidi w:val="0"/>
        <w:spacing w:line="360" w:lineRule="auto"/>
        <w:ind w:left="0" w:leftChars="0" w:firstLine="480" w:firstLineChars="200"/>
        <w:rPr>
          <w:rFonts w:hint="eastAsia" w:ascii="宋体" w:hAnsi="宋体" w:eastAsia="宋体" w:cs="宋体"/>
          <w:color w:val="auto"/>
          <w:sz w:val="24"/>
          <w:szCs w:val="24"/>
          <w:highlight w:val="none"/>
        </w:rPr>
        <w:sectPr>
          <w:footerReference r:id="rId13" w:type="default"/>
          <w:pgSz w:w="11906" w:h="16838"/>
          <w:pgMar w:top="1418" w:right="1134" w:bottom="1418" w:left="1418" w:header="851" w:footer="737" w:gutter="0"/>
          <w:pgNumType w:fmt="decimal"/>
          <w:cols w:space="720" w:num="1"/>
          <w:docGrid w:type="lines" w:linePitch="312" w:charSpace="0"/>
        </w:sectPr>
      </w:pPr>
    </w:p>
    <w:p w14:paraId="3338BEFB">
      <w:pPr>
        <w:keepNext/>
        <w:keepLines/>
        <w:pageBreakBefore w:val="0"/>
        <w:widowControl w:val="0"/>
        <w:kinsoku/>
        <w:wordWrap/>
        <w:overflowPunct/>
        <w:topLinePunct w:val="0"/>
        <w:autoSpaceDE/>
        <w:autoSpaceDN/>
        <w:bidi w:val="0"/>
        <w:adjustRightInd/>
        <w:snapToGrid/>
        <w:spacing w:before="340" w:after="330" w:line="360" w:lineRule="auto"/>
        <w:jc w:val="center"/>
        <w:textAlignment w:val="auto"/>
        <w:outlineLvl w:val="1"/>
        <w:rPr>
          <w:rFonts w:hint="eastAsia" w:ascii="宋体" w:hAnsi="宋体" w:eastAsia="宋体" w:cs="宋体"/>
          <w:b/>
          <w:bCs/>
          <w:color w:val="auto"/>
          <w:kern w:val="44"/>
          <w:sz w:val="44"/>
          <w:szCs w:val="44"/>
          <w:highlight w:val="none"/>
          <w:lang w:val="en-US" w:eastAsia="zh-CN" w:bidi="ar-SA"/>
        </w:rPr>
      </w:pPr>
      <w:bookmarkStart w:id="204" w:name="_Toc31385"/>
      <w:r>
        <w:rPr>
          <w:rFonts w:hint="eastAsia" w:ascii="宋体" w:hAnsi="宋体" w:eastAsia="宋体" w:cs="宋体"/>
          <w:b/>
          <w:bCs/>
          <w:color w:val="auto"/>
          <w:kern w:val="44"/>
          <w:sz w:val="44"/>
          <w:szCs w:val="44"/>
          <w:highlight w:val="none"/>
          <w:lang w:val="en-US" w:eastAsia="zh-CN" w:bidi="ar-SA"/>
        </w:rPr>
        <w:t>第一节 合同协议书</w:t>
      </w:r>
      <w:bookmarkEnd w:id="204"/>
    </w:p>
    <w:p w14:paraId="0EDF7467">
      <w:pPr>
        <w:spacing w:line="440" w:lineRule="exact"/>
        <w:ind w:firstLine="482" w:firstLineChars="200"/>
        <w:rPr>
          <w:rFonts w:hint="eastAsia" w:ascii="宋体" w:hAnsi="宋体" w:eastAsia="宋体" w:cs="宋体"/>
          <w:b w:val="0"/>
          <w:bCs/>
          <w:color w:val="auto"/>
          <w:sz w:val="24"/>
          <w:szCs w:val="24"/>
          <w:highlight w:val="none"/>
          <w:lang w:eastAsia="zh-CN"/>
        </w:rPr>
      </w:pPr>
      <w:r>
        <w:rPr>
          <w:rFonts w:hint="eastAsia" w:ascii="宋体" w:hAnsi="宋体" w:cs="宋体"/>
          <w:b/>
          <w:bCs w:val="0"/>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eastAsia="zh-CN"/>
        </w:rPr>
        <w:t>（发包人名称，以下简称“发包人”）为实施</w:t>
      </w:r>
      <w:r>
        <w:rPr>
          <w:rFonts w:hint="eastAsia" w:ascii="宋体" w:hAnsi="宋体" w:eastAsia="宋体" w:cs="宋体"/>
          <w:b/>
          <w:bCs w:val="0"/>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eastAsia="zh-CN"/>
        </w:rPr>
        <w:t>（项目名称），已接受</w:t>
      </w:r>
      <w:r>
        <w:rPr>
          <w:rFonts w:hint="eastAsia" w:ascii="宋体" w:hAnsi="宋体" w:eastAsia="宋体" w:cs="宋体"/>
          <w:b/>
          <w:bCs w:val="0"/>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eastAsia="zh-CN"/>
        </w:rPr>
        <w:t>（承包人名称，以下简称“承包人”）为该项目</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eastAsia="zh-CN"/>
        </w:rPr>
        <w:t>（项目名称）的施工单位，并确定其为中标人。发包人和承包人共同达成如下协议。</w:t>
      </w:r>
    </w:p>
    <w:p w14:paraId="786948EE">
      <w:pPr>
        <w:spacing w:line="520" w:lineRule="exact"/>
        <w:ind w:firstLine="530" w:firstLineChars="22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本协议书与下列文件一起构成合同文件：</w:t>
      </w:r>
    </w:p>
    <w:p w14:paraId="0B7B3B63">
      <w:pPr>
        <w:spacing w:line="520" w:lineRule="exact"/>
        <w:ind w:firstLine="410" w:firstLineChars="17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）中标通知书；</w:t>
      </w:r>
    </w:p>
    <w:p w14:paraId="1C8B5A7A">
      <w:pPr>
        <w:spacing w:line="520" w:lineRule="exact"/>
        <w:ind w:firstLine="410" w:firstLineChars="17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）投标函及投标函附录；</w:t>
      </w:r>
    </w:p>
    <w:p w14:paraId="040B60DB">
      <w:pPr>
        <w:spacing w:line="520" w:lineRule="exact"/>
        <w:ind w:firstLine="410" w:firstLineChars="17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）专用合同条款（含附加条款）；</w:t>
      </w:r>
    </w:p>
    <w:p w14:paraId="5837F0C2">
      <w:pPr>
        <w:spacing w:line="520" w:lineRule="exact"/>
        <w:ind w:firstLine="410" w:firstLineChars="17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）通用合同条款；</w:t>
      </w:r>
    </w:p>
    <w:p w14:paraId="5855E08F">
      <w:pPr>
        <w:spacing w:line="520" w:lineRule="exact"/>
        <w:ind w:firstLine="410" w:firstLineChars="17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）技术标准和要求（合同技术条款）；</w:t>
      </w:r>
    </w:p>
    <w:p w14:paraId="23BDBC79">
      <w:pPr>
        <w:spacing w:line="520" w:lineRule="exact"/>
        <w:ind w:firstLine="410" w:firstLineChars="17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）图纸；</w:t>
      </w:r>
    </w:p>
    <w:p w14:paraId="55E520E4">
      <w:pPr>
        <w:spacing w:line="520" w:lineRule="exact"/>
        <w:ind w:firstLine="410" w:firstLineChars="17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）已标价工程量清单；</w:t>
      </w:r>
    </w:p>
    <w:p w14:paraId="273ADE56">
      <w:pPr>
        <w:spacing w:line="52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）其他合同文件。</w:t>
      </w:r>
    </w:p>
    <w:p w14:paraId="520FF085">
      <w:pPr>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上述文件互相补充和解释，如有不明确或不一致之处，以合同约定次序在先者为准。</w:t>
      </w:r>
    </w:p>
    <w:p w14:paraId="676CAC1F">
      <w:pPr>
        <w:spacing w:line="520" w:lineRule="exact"/>
        <w:ind w:firstLine="482" w:firstLineChars="200"/>
        <w:rPr>
          <w:rFonts w:hint="eastAsia" w:ascii="宋体" w:hAnsi="宋体" w:eastAsia="宋体" w:cs="宋体"/>
          <w:b/>
          <w:color w:val="auto"/>
          <w:spacing w:val="-6"/>
          <w:sz w:val="24"/>
          <w:szCs w:val="24"/>
          <w:highlight w:val="none"/>
        </w:rPr>
      </w:pPr>
      <w:r>
        <w:rPr>
          <w:rFonts w:hint="eastAsia" w:ascii="宋体" w:hAnsi="宋体" w:eastAsia="宋体" w:cs="宋体"/>
          <w:b/>
          <w:color w:val="auto"/>
          <w:sz w:val="24"/>
          <w:szCs w:val="24"/>
          <w:highlight w:val="none"/>
        </w:rPr>
        <w:t>3. 签约合同价</w:t>
      </w:r>
      <w:r>
        <w:rPr>
          <w:rFonts w:hint="eastAsia" w:ascii="宋体" w:hAnsi="宋体" w:eastAsia="宋体" w:cs="宋体"/>
          <w:b/>
          <w:color w:val="auto"/>
          <w:spacing w:val="-6"/>
          <w:sz w:val="24"/>
          <w:szCs w:val="24"/>
          <w:highlight w:val="none"/>
        </w:rPr>
        <w:t>：</w:t>
      </w:r>
    </w:p>
    <w:p w14:paraId="7687D5EF">
      <w:pPr>
        <w:spacing w:line="520" w:lineRule="exact"/>
        <w:ind w:firstLine="450" w:firstLineChars="200"/>
        <w:rPr>
          <w:rFonts w:hint="eastAsia" w:ascii="宋体" w:hAnsi="宋体" w:eastAsia="宋体" w:cs="宋体"/>
          <w:b/>
          <w:color w:val="auto"/>
          <w:spacing w:val="-8"/>
          <w:kern w:val="0"/>
          <w:sz w:val="24"/>
          <w:szCs w:val="24"/>
          <w:highlight w:val="none"/>
          <w:u w:val="single"/>
        </w:rPr>
      </w:pPr>
      <w:r>
        <w:rPr>
          <w:rFonts w:hint="eastAsia" w:ascii="宋体" w:hAnsi="宋体" w:eastAsia="宋体" w:cs="宋体"/>
          <w:b/>
          <w:color w:val="auto"/>
          <w:spacing w:val="-8"/>
          <w:kern w:val="0"/>
          <w:sz w:val="24"/>
          <w:szCs w:val="24"/>
          <w:highlight w:val="none"/>
        </w:rPr>
        <w:t>（1）建安合同价：（大写）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p>
    <w:p w14:paraId="247C786A">
      <w:pPr>
        <w:spacing w:line="520" w:lineRule="exact"/>
        <w:ind w:firstLine="2474" w:firstLineChars="1100"/>
        <w:rPr>
          <w:rFonts w:hint="eastAsia" w:ascii="宋体" w:hAnsi="宋体" w:eastAsia="宋体" w:cs="宋体"/>
          <w:b/>
          <w:color w:val="auto"/>
          <w:spacing w:val="-8"/>
          <w:kern w:val="0"/>
          <w:sz w:val="24"/>
          <w:szCs w:val="24"/>
          <w:highlight w:val="none"/>
        </w:rPr>
      </w:pPr>
      <w:r>
        <w:rPr>
          <w:rFonts w:hint="eastAsia" w:ascii="宋体" w:hAnsi="宋体" w:eastAsia="宋体" w:cs="宋体"/>
          <w:b/>
          <w:color w:val="auto"/>
          <w:spacing w:val="-8"/>
          <w:kern w:val="0"/>
          <w:sz w:val="24"/>
          <w:szCs w:val="24"/>
          <w:highlight w:val="none"/>
        </w:rPr>
        <w:t xml:space="preserve">（小写）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b/>
          <w:color w:val="auto"/>
          <w:spacing w:val="-8"/>
          <w:kern w:val="0"/>
          <w:sz w:val="24"/>
          <w:szCs w:val="24"/>
          <w:highlight w:val="none"/>
        </w:rPr>
        <w:t>。</w:t>
      </w:r>
    </w:p>
    <w:p w14:paraId="301E2B2A">
      <w:pPr>
        <w:spacing w:line="520" w:lineRule="exact"/>
        <w:ind w:firstLine="450" w:firstLineChars="200"/>
        <w:rPr>
          <w:rFonts w:hint="eastAsia" w:ascii="宋体" w:hAnsi="宋体" w:eastAsia="宋体" w:cs="宋体"/>
          <w:b/>
          <w:color w:val="auto"/>
          <w:spacing w:val="-8"/>
          <w:kern w:val="0"/>
          <w:sz w:val="24"/>
          <w:szCs w:val="24"/>
          <w:highlight w:val="none"/>
        </w:rPr>
      </w:pPr>
      <w:r>
        <w:rPr>
          <w:rFonts w:hint="eastAsia" w:ascii="宋体" w:hAnsi="宋体" w:eastAsia="宋体" w:cs="宋体"/>
          <w:b/>
          <w:color w:val="auto"/>
          <w:spacing w:val="-8"/>
          <w:kern w:val="0"/>
          <w:sz w:val="24"/>
          <w:szCs w:val="24"/>
          <w:highlight w:val="none"/>
        </w:rPr>
        <w:t>工程承包方式：</w:t>
      </w:r>
      <w:r>
        <w:rPr>
          <w:rFonts w:hint="eastAsia" w:ascii="宋体" w:hAnsi="宋体" w:eastAsia="宋体" w:cs="宋体"/>
          <w:b/>
          <w:color w:val="auto"/>
          <w:spacing w:val="-8"/>
          <w:kern w:val="0"/>
          <w:sz w:val="24"/>
          <w:szCs w:val="24"/>
          <w:highlight w:val="none"/>
          <w:u w:val="single"/>
        </w:rPr>
        <w:t xml:space="preserve">固定单价承包 </w:t>
      </w:r>
      <w:r>
        <w:rPr>
          <w:rFonts w:hint="eastAsia" w:ascii="宋体" w:hAnsi="宋体" w:eastAsia="宋体" w:cs="宋体"/>
          <w:b/>
          <w:color w:val="auto"/>
          <w:spacing w:val="-8"/>
          <w:kern w:val="0"/>
          <w:sz w:val="24"/>
          <w:szCs w:val="24"/>
          <w:highlight w:val="none"/>
        </w:rPr>
        <w:t>。</w:t>
      </w:r>
    </w:p>
    <w:p w14:paraId="14E9B615">
      <w:pPr>
        <w:numPr>
          <w:ilvl w:val="0"/>
          <w:numId w:val="4"/>
        </w:numPr>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承包人项目经理：</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p>
    <w:p w14:paraId="07264010">
      <w:pPr>
        <w:numPr>
          <w:ilvl w:val="0"/>
          <w:numId w:val="4"/>
        </w:numPr>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工程质量符合</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国家施工验收规范合格</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标准。</w:t>
      </w:r>
    </w:p>
    <w:p w14:paraId="6FF46DEE">
      <w:pPr>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 承包人承诺按合同约定承担工程的实施、完成及缺陷修复。</w:t>
      </w:r>
    </w:p>
    <w:p w14:paraId="131E6AF5">
      <w:pPr>
        <w:spacing w:line="520" w:lineRule="exact"/>
        <w:ind w:firstLine="456"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7. 发包人承诺按合同约定的条件、时间和方式向承包人支付合同价款。</w:t>
      </w:r>
    </w:p>
    <w:p w14:paraId="5916FF23">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 承包人承诺执行监理人开工通知，计划工期为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天。承包人应积极配合完成项目开工准备工作</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应在</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日前</w:t>
      </w:r>
      <w:r>
        <w:rPr>
          <w:rFonts w:hint="eastAsia" w:ascii="宋体" w:hAnsi="宋体" w:eastAsia="宋体" w:cs="宋体"/>
          <w:color w:val="auto"/>
          <w:sz w:val="24"/>
          <w:szCs w:val="24"/>
          <w:highlight w:val="none"/>
          <w:lang w:eastAsia="zh-CN"/>
        </w:rPr>
        <w:t>开工</w:t>
      </w:r>
      <w:r>
        <w:rPr>
          <w:rFonts w:hint="eastAsia" w:ascii="宋体" w:hAnsi="宋体" w:eastAsia="宋体" w:cs="宋体"/>
          <w:color w:val="auto"/>
          <w:sz w:val="24"/>
          <w:szCs w:val="24"/>
          <w:highlight w:val="none"/>
        </w:rPr>
        <w:t>，开工日期以监理人签发的开工令为准，由于承包人原因造成开工日期延误的，由承包人承担相应责任。</w:t>
      </w:r>
    </w:p>
    <w:p w14:paraId="3BADE419">
      <w:pPr>
        <w:spacing w:line="520" w:lineRule="exact"/>
        <w:ind w:left="281" w:leftChars="134"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 本协议书一式</w:t>
      </w:r>
      <w:r>
        <w:rPr>
          <w:rFonts w:hint="eastAsia" w:ascii="宋体" w:hAnsi="宋体" w:eastAsia="宋体" w:cs="宋体"/>
          <w:b/>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份，发包人</w:t>
      </w:r>
      <w:r>
        <w:rPr>
          <w:rFonts w:hint="eastAsia" w:ascii="宋体" w:hAnsi="宋体" w:eastAsia="宋体" w:cs="宋体"/>
          <w:b/>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份，承包人</w:t>
      </w:r>
      <w:r>
        <w:rPr>
          <w:rFonts w:hint="eastAsia" w:ascii="宋体" w:hAnsi="宋体" w:eastAsia="宋体" w:cs="宋体"/>
          <w:b/>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w:t>
      </w:r>
    </w:p>
    <w:p w14:paraId="30551482">
      <w:pPr>
        <w:spacing w:line="52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w:t>
      </w:r>
      <w:r>
        <w:rPr>
          <w:rFonts w:hint="eastAsia" w:ascii="宋体" w:hAnsi="宋体" w:eastAsia="宋体" w:cs="宋体"/>
          <w:color w:val="auto"/>
          <w:spacing w:val="-2"/>
          <w:sz w:val="24"/>
          <w:szCs w:val="24"/>
          <w:highlight w:val="none"/>
          <w:lang w:val="en-US" w:eastAsia="zh-CN"/>
        </w:rPr>
        <w:t>0</w:t>
      </w:r>
      <w:r>
        <w:rPr>
          <w:rFonts w:hint="eastAsia" w:ascii="宋体" w:hAnsi="宋体" w:eastAsia="宋体" w:cs="宋体"/>
          <w:color w:val="auto"/>
          <w:spacing w:val="-2"/>
          <w:sz w:val="24"/>
          <w:szCs w:val="24"/>
          <w:highlight w:val="none"/>
        </w:rPr>
        <w:t>. 合同未尽事宜，双方另行签订补充协议。补充协议是合同的组成部分。</w:t>
      </w:r>
    </w:p>
    <w:p w14:paraId="739F0D1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   </w:t>
      </w:r>
    </w:p>
    <w:tbl>
      <w:tblPr>
        <w:tblStyle w:val="27"/>
        <w:tblW w:w="9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41"/>
        <w:gridCol w:w="5898"/>
      </w:tblGrid>
      <w:tr w14:paraId="21E72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3841" w:type="dxa"/>
            <w:tcBorders>
              <w:top w:val="nil"/>
              <w:left w:val="nil"/>
              <w:bottom w:val="nil"/>
              <w:right w:val="nil"/>
            </w:tcBorders>
            <w:shd w:val="clear" w:color="auto" w:fill="auto"/>
            <w:noWrap w:val="0"/>
            <w:vAlign w:val="top"/>
          </w:tcPr>
          <w:p w14:paraId="053DFECC">
            <w:pPr>
              <w:keepNext w:val="0"/>
              <w:keepLines w:val="0"/>
              <w:pageBreakBefore w:val="0"/>
              <w:widowControl w:val="0"/>
              <w:kinsoku/>
              <w:wordWrap/>
              <w:overflowPunct/>
              <w:topLinePunct w:val="0"/>
              <w:autoSpaceDE/>
              <w:autoSpaceDN/>
              <w:bidi w:val="0"/>
              <w:adjustRightInd/>
              <w:snapToGrid/>
              <w:spacing w:line="400" w:lineRule="atLeast"/>
              <w:ind w:left="0" w:leftChars="0" w:firstLine="0" w:firstLineChars="0"/>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rPr>
              <w:t>发包人：</w:t>
            </w:r>
          </w:p>
        </w:tc>
        <w:tc>
          <w:tcPr>
            <w:tcW w:w="5898" w:type="dxa"/>
            <w:tcBorders>
              <w:top w:val="nil"/>
              <w:left w:val="nil"/>
              <w:bottom w:val="nil"/>
              <w:right w:val="nil"/>
            </w:tcBorders>
            <w:shd w:val="clear" w:color="auto" w:fill="auto"/>
            <w:noWrap w:val="0"/>
            <w:vAlign w:val="top"/>
          </w:tcPr>
          <w:p w14:paraId="139D5E1A">
            <w:pPr>
              <w:keepNext w:val="0"/>
              <w:keepLines w:val="0"/>
              <w:pageBreakBefore w:val="0"/>
              <w:widowControl w:val="0"/>
              <w:kinsoku/>
              <w:wordWrap/>
              <w:overflowPunct/>
              <w:topLinePunct w:val="0"/>
              <w:autoSpaceDE/>
              <w:autoSpaceDN/>
              <w:bidi w:val="0"/>
              <w:adjustRightInd/>
              <w:snapToGrid/>
              <w:spacing w:line="400" w:lineRule="atLeast"/>
              <w:ind w:left="0" w:leftChars="0" w:firstLine="0" w:firstLineChars="0"/>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rPr>
              <w:t>承包人</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 xml:space="preserve">   </w:t>
            </w:r>
          </w:p>
        </w:tc>
      </w:tr>
      <w:tr w14:paraId="39FFE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3841" w:type="dxa"/>
            <w:tcBorders>
              <w:top w:val="nil"/>
              <w:left w:val="nil"/>
              <w:bottom w:val="nil"/>
              <w:right w:val="nil"/>
            </w:tcBorders>
            <w:shd w:val="clear" w:color="auto" w:fill="auto"/>
            <w:noWrap w:val="0"/>
            <w:vAlign w:val="top"/>
          </w:tcPr>
          <w:p w14:paraId="5793AF46">
            <w:pPr>
              <w:keepNext w:val="0"/>
              <w:keepLines w:val="0"/>
              <w:pageBreakBefore w:val="0"/>
              <w:widowControl w:val="0"/>
              <w:kinsoku/>
              <w:wordWrap/>
              <w:overflowPunct/>
              <w:topLinePunct w:val="0"/>
              <w:autoSpaceDE/>
              <w:autoSpaceDN/>
              <w:bidi w:val="0"/>
              <w:adjustRightInd/>
              <w:snapToGrid/>
              <w:spacing w:line="400" w:lineRule="atLeast"/>
              <w:ind w:left="0" w:leftChars="0"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kern w:val="2"/>
                <w:sz w:val="24"/>
                <w:szCs w:val="24"/>
                <w:highlight w:val="none"/>
                <w:lang w:val="en-US" w:eastAsia="zh-CN" w:bidi="ar-SA"/>
              </w:rPr>
              <w:t>或授权委托人：</w:t>
            </w:r>
          </w:p>
          <w:p w14:paraId="2AACCBCE">
            <w:pPr>
              <w:keepNext w:val="0"/>
              <w:keepLines w:val="0"/>
              <w:pageBreakBefore w:val="0"/>
              <w:widowControl w:val="0"/>
              <w:kinsoku/>
              <w:wordWrap/>
              <w:overflowPunct/>
              <w:topLinePunct w:val="0"/>
              <w:autoSpaceDE/>
              <w:autoSpaceDN/>
              <w:bidi w:val="0"/>
              <w:adjustRightInd/>
              <w:snapToGrid/>
              <w:spacing w:line="400" w:lineRule="atLeast"/>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（盖章或签字）</w:t>
            </w:r>
          </w:p>
        </w:tc>
        <w:tc>
          <w:tcPr>
            <w:tcW w:w="5898" w:type="dxa"/>
            <w:tcBorders>
              <w:top w:val="nil"/>
              <w:left w:val="nil"/>
              <w:bottom w:val="nil"/>
              <w:right w:val="nil"/>
            </w:tcBorders>
            <w:shd w:val="clear" w:color="auto" w:fill="auto"/>
            <w:noWrap w:val="0"/>
            <w:vAlign w:val="top"/>
          </w:tcPr>
          <w:p w14:paraId="7B0629AF">
            <w:pPr>
              <w:keepNext w:val="0"/>
              <w:keepLines w:val="0"/>
              <w:pageBreakBefore w:val="0"/>
              <w:widowControl w:val="0"/>
              <w:kinsoku/>
              <w:wordWrap/>
              <w:overflowPunct/>
              <w:topLinePunct w:val="0"/>
              <w:autoSpaceDE/>
              <w:autoSpaceDN/>
              <w:bidi w:val="0"/>
              <w:adjustRightInd/>
              <w:snapToGrid/>
              <w:spacing w:line="400" w:lineRule="atLeast"/>
              <w:ind w:left="0" w:leftChars="0"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kern w:val="2"/>
                <w:sz w:val="24"/>
                <w:szCs w:val="24"/>
                <w:highlight w:val="none"/>
                <w:lang w:val="en-US" w:eastAsia="zh-CN" w:bidi="ar-SA"/>
              </w:rPr>
              <w:t>或授权委托人：（盖章或签字）</w:t>
            </w:r>
          </w:p>
        </w:tc>
      </w:tr>
      <w:tr w14:paraId="3B7F2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3841" w:type="dxa"/>
            <w:tcBorders>
              <w:top w:val="nil"/>
              <w:left w:val="nil"/>
              <w:bottom w:val="nil"/>
              <w:right w:val="nil"/>
            </w:tcBorders>
            <w:shd w:val="clear" w:color="auto" w:fill="auto"/>
            <w:noWrap w:val="0"/>
            <w:vAlign w:val="top"/>
          </w:tcPr>
          <w:p w14:paraId="27F707BB">
            <w:pPr>
              <w:keepNext w:val="0"/>
              <w:keepLines w:val="0"/>
              <w:pageBreakBefore w:val="0"/>
              <w:widowControl w:val="0"/>
              <w:kinsoku/>
              <w:wordWrap/>
              <w:overflowPunct/>
              <w:topLinePunct w:val="0"/>
              <w:autoSpaceDE/>
              <w:autoSpaceDN/>
              <w:bidi w:val="0"/>
              <w:adjustRightInd/>
              <w:snapToGrid/>
              <w:spacing w:line="400" w:lineRule="atLeast"/>
              <w:ind w:left="0" w:leftChars="0" w:firstLine="0" w:firstLineChars="0"/>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rPr>
              <w:t>地  址：</w:t>
            </w:r>
          </w:p>
        </w:tc>
        <w:tc>
          <w:tcPr>
            <w:tcW w:w="5898" w:type="dxa"/>
            <w:tcBorders>
              <w:top w:val="nil"/>
              <w:left w:val="nil"/>
              <w:bottom w:val="nil"/>
              <w:right w:val="nil"/>
            </w:tcBorders>
            <w:shd w:val="clear" w:color="auto" w:fill="auto"/>
            <w:noWrap w:val="0"/>
            <w:vAlign w:val="top"/>
          </w:tcPr>
          <w:p w14:paraId="262218D7">
            <w:pPr>
              <w:keepNext w:val="0"/>
              <w:keepLines w:val="0"/>
              <w:pageBreakBefore w:val="0"/>
              <w:widowControl w:val="0"/>
              <w:kinsoku/>
              <w:wordWrap/>
              <w:overflowPunct/>
              <w:topLinePunct w:val="0"/>
              <w:autoSpaceDE/>
              <w:autoSpaceDN/>
              <w:bidi w:val="0"/>
              <w:adjustRightInd/>
              <w:snapToGrid/>
              <w:spacing w:line="400" w:lineRule="atLeast"/>
              <w:ind w:left="0" w:leftChars="0" w:firstLine="0" w:firstLineChars="0"/>
              <w:jc w:val="both"/>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rPr>
              <w:t>地  址：</w:t>
            </w:r>
            <w:r>
              <w:rPr>
                <w:rFonts w:hint="eastAsia" w:ascii="宋体" w:hAnsi="宋体" w:cs="宋体"/>
                <w:color w:val="auto"/>
                <w:sz w:val="24"/>
                <w:szCs w:val="24"/>
                <w:highlight w:val="none"/>
                <w:lang w:val="en-US" w:eastAsia="zh-CN"/>
              </w:rPr>
              <w:t xml:space="preserve">    </w:t>
            </w:r>
          </w:p>
        </w:tc>
      </w:tr>
      <w:tr w14:paraId="39F9C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3841" w:type="dxa"/>
            <w:tcBorders>
              <w:top w:val="nil"/>
              <w:left w:val="nil"/>
              <w:bottom w:val="nil"/>
              <w:right w:val="nil"/>
            </w:tcBorders>
            <w:shd w:val="clear" w:color="auto" w:fill="auto"/>
            <w:noWrap w:val="0"/>
            <w:vAlign w:val="top"/>
          </w:tcPr>
          <w:p w14:paraId="74BB17A4">
            <w:pPr>
              <w:keepNext w:val="0"/>
              <w:keepLines w:val="0"/>
              <w:pageBreakBefore w:val="0"/>
              <w:widowControl w:val="0"/>
              <w:kinsoku/>
              <w:wordWrap/>
              <w:overflowPunct/>
              <w:topLinePunct w:val="0"/>
              <w:autoSpaceDE/>
              <w:autoSpaceDN/>
              <w:bidi w:val="0"/>
              <w:adjustRightInd/>
              <w:snapToGrid/>
              <w:spacing w:line="400" w:lineRule="atLeast"/>
              <w:ind w:left="0" w:leftChars="0" w:firstLine="0" w:firstLineChars="0"/>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rPr>
              <w:t>电  话：</w:t>
            </w:r>
          </w:p>
        </w:tc>
        <w:tc>
          <w:tcPr>
            <w:tcW w:w="5898" w:type="dxa"/>
            <w:tcBorders>
              <w:top w:val="nil"/>
              <w:left w:val="nil"/>
              <w:bottom w:val="nil"/>
              <w:right w:val="nil"/>
            </w:tcBorders>
            <w:shd w:val="clear" w:color="auto" w:fill="auto"/>
            <w:noWrap w:val="0"/>
            <w:vAlign w:val="top"/>
          </w:tcPr>
          <w:p w14:paraId="629BC210">
            <w:pPr>
              <w:keepNext w:val="0"/>
              <w:keepLines w:val="0"/>
              <w:pageBreakBefore w:val="0"/>
              <w:widowControl w:val="0"/>
              <w:kinsoku/>
              <w:wordWrap/>
              <w:overflowPunct/>
              <w:topLinePunct w:val="0"/>
              <w:autoSpaceDE/>
              <w:autoSpaceDN/>
              <w:bidi w:val="0"/>
              <w:adjustRightInd/>
              <w:snapToGrid/>
              <w:spacing w:line="400" w:lineRule="atLeast"/>
              <w:ind w:left="0" w:leftChars="0" w:firstLine="0" w:firstLineChars="0"/>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rPr>
              <w:t>电  话：</w:t>
            </w:r>
            <w:r>
              <w:rPr>
                <w:rFonts w:hint="eastAsia" w:ascii="宋体" w:hAnsi="宋体" w:cs="宋体"/>
                <w:color w:val="auto"/>
                <w:sz w:val="24"/>
                <w:szCs w:val="24"/>
                <w:highlight w:val="none"/>
                <w:lang w:val="en-US" w:eastAsia="zh-CN"/>
              </w:rPr>
              <w:t xml:space="preserve"> </w:t>
            </w:r>
          </w:p>
        </w:tc>
      </w:tr>
      <w:tr w14:paraId="5DBBF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3841" w:type="dxa"/>
            <w:tcBorders>
              <w:top w:val="nil"/>
              <w:left w:val="nil"/>
              <w:bottom w:val="nil"/>
              <w:right w:val="nil"/>
            </w:tcBorders>
            <w:shd w:val="clear" w:color="auto" w:fill="auto"/>
            <w:noWrap w:val="0"/>
            <w:vAlign w:val="top"/>
          </w:tcPr>
          <w:p w14:paraId="4A60A07D">
            <w:pPr>
              <w:keepNext w:val="0"/>
              <w:keepLines w:val="0"/>
              <w:pageBreakBefore w:val="0"/>
              <w:widowControl w:val="0"/>
              <w:kinsoku/>
              <w:wordWrap/>
              <w:overflowPunct/>
              <w:topLinePunct w:val="0"/>
              <w:autoSpaceDE/>
              <w:autoSpaceDN/>
              <w:bidi w:val="0"/>
              <w:adjustRightInd/>
              <w:snapToGrid/>
              <w:spacing w:line="400" w:lineRule="atLeast"/>
              <w:ind w:left="0" w:leftChars="0" w:firstLine="0" w:firstLineChars="0"/>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rPr>
              <w:t>传  真：</w:t>
            </w:r>
          </w:p>
        </w:tc>
        <w:tc>
          <w:tcPr>
            <w:tcW w:w="5898" w:type="dxa"/>
            <w:tcBorders>
              <w:top w:val="nil"/>
              <w:left w:val="nil"/>
              <w:bottom w:val="nil"/>
              <w:right w:val="nil"/>
            </w:tcBorders>
            <w:shd w:val="clear" w:color="auto" w:fill="auto"/>
            <w:noWrap w:val="0"/>
            <w:vAlign w:val="top"/>
          </w:tcPr>
          <w:p w14:paraId="02E96738">
            <w:pPr>
              <w:keepNext w:val="0"/>
              <w:keepLines w:val="0"/>
              <w:pageBreakBefore w:val="0"/>
              <w:widowControl w:val="0"/>
              <w:kinsoku/>
              <w:wordWrap/>
              <w:overflowPunct/>
              <w:topLinePunct w:val="0"/>
              <w:autoSpaceDE/>
              <w:autoSpaceDN/>
              <w:bidi w:val="0"/>
              <w:adjustRightInd/>
              <w:snapToGrid/>
              <w:spacing w:line="400" w:lineRule="atLeast"/>
              <w:ind w:left="0" w:leftChars="0" w:firstLine="0" w:firstLineChars="0"/>
              <w:jc w:val="both"/>
              <w:textAlignment w:val="auto"/>
              <w:rPr>
                <w:rFonts w:hint="eastAsia" w:ascii="宋体" w:hAnsi="宋体" w:eastAsia="宋体" w:cs="宋体"/>
                <w:color w:val="auto"/>
                <w:sz w:val="24"/>
                <w:szCs w:val="24"/>
                <w:highlight w:val="none"/>
                <w:vertAlign w:val="baseline"/>
                <w:lang w:val="en-US"/>
              </w:rPr>
            </w:pPr>
            <w:r>
              <w:rPr>
                <w:rFonts w:hint="eastAsia" w:ascii="宋体" w:hAnsi="宋体" w:eastAsia="宋体" w:cs="宋体"/>
                <w:color w:val="auto"/>
                <w:sz w:val="24"/>
                <w:szCs w:val="24"/>
                <w:highlight w:val="none"/>
              </w:rPr>
              <w:t>传  真</w:t>
            </w:r>
            <w:r>
              <w:rPr>
                <w:rFonts w:hint="eastAsia" w:ascii="宋体" w:hAnsi="宋体" w:eastAsia="宋体" w:cs="宋体"/>
                <w:color w:val="auto"/>
                <w:sz w:val="24"/>
                <w:szCs w:val="24"/>
                <w:highlight w:val="none"/>
                <w:lang w:val="en-US" w:eastAsia="zh-CN"/>
              </w:rPr>
              <w:t>：</w:t>
            </w:r>
          </w:p>
        </w:tc>
      </w:tr>
      <w:tr w14:paraId="7E795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3841" w:type="dxa"/>
            <w:tcBorders>
              <w:top w:val="nil"/>
              <w:left w:val="nil"/>
              <w:bottom w:val="nil"/>
              <w:right w:val="nil"/>
            </w:tcBorders>
            <w:shd w:val="clear" w:color="auto" w:fill="auto"/>
            <w:noWrap w:val="0"/>
            <w:vAlign w:val="top"/>
          </w:tcPr>
          <w:p w14:paraId="6F178542">
            <w:pPr>
              <w:keepNext w:val="0"/>
              <w:keepLines w:val="0"/>
              <w:pageBreakBefore w:val="0"/>
              <w:widowControl w:val="0"/>
              <w:kinsoku/>
              <w:wordWrap/>
              <w:overflowPunct/>
              <w:topLinePunct w:val="0"/>
              <w:autoSpaceDE/>
              <w:autoSpaceDN/>
              <w:bidi w:val="0"/>
              <w:adjustRightInd/>
              <w:snapToGrid/>
              <w:spacing w:line="400" w:lineRule="atLeast"/>
              <w:ind w:left="0" w:leftChars="0" w:firstLine="0" w:firstLineChars="0"/>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rPr>
              <w:t xml:space="preserve">邮  箱: </w:t>
            </w:r>
          </w:p>
        </w:tc>
        <w:tc>
          <w:tcPr>
            <w:tcW w:w="5898" w:type="dxa"/>
            <w:tcBorders>
              <w:top w:val="nil"/>
              <w:left w:val="nil"/>
              <w:bottom w:val="nil"/>
              <w:right w:val="nil"/>
            </w:tcBorders>
            <w:shd w:val="clear" w:color="auto" w:fill="auto"/>
            <w:noWrap w:val="0"/>
            <w:vAlign w:val="top"/>
          </w:tcPr>
          <w:p w14:paraId="39F59FE9">
            <w:pPr>
              <w:keepNext w:val="0"/>
              <w:keepLines w:val="0"/>
              <w:pageBreakBefore w:val="0"/>
              <w:widowControl w:val="0"/>
              <w:kinsoku/>
              <w:wordWrap/>
              <w:overflowPunct/>
              <w:topLinePunct w:val="0"/>
              <w:autoSpaceDE/>
              <w:autoSpaceDN/>
              <w:bidi w:val="0"/>
              <w:adjustRightInd/>
              <w:snapToGrid/>
              <w:spacing w:line="400" w:lineRule="atLeast"/>
              <w:ind w:left="0" w:leftChars="0" w:firstLine="0" w:firstLineChars="0"/>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rPr>
              <w:t>公司邮箱</w:t>
            </w:r>
            <w:r>
              <w:rPr>
                <w:rFonts w:hint="eastAsia" w:ascii="宋体" w:hAnsi="宋体" w:eastAsia="宋体" w:cs="宋体"/>
                <w:color w:val="auto"/>
                <w:sz w:val="24"/>
                <w:szCs w:val="24"/>
                <w:highlight w:val="none"/>
                <w:lang w:eastAsia="zh-CN"/>
              </w:rPr>
              <w:t>：</w:t>
            </w:r>
          </w:p>
        </w:tc>
      </w:tr>
      <w:tr w14:paraId="2C8EB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3841" w:type="dxa"/>
            <w:tcBorders>
              <w:top w:val="nil"/>
              <w:left w:val="nil"/>
              <w:bottom w:val="nil"/>
              <w:right w:val="nil"/>
            </w:tcBorders>
            <w:shd w:val="clear" w:color="auto" w:fill="auto"/>
            <w:noWrap w:val="0"/>
            <w:vAlign w:val="top"/>
          </w:tcPr>
          <w:p w14:paraId="18FF7C6A">
            <w:pPr>
              <w:keepNext w:val="0"/>
              <w:keepLines w:val="0"/>
              <w:pageBreakBefore w:val="0"/>
              <w:widowControl w:val="0"/>
              <w:kinsoku/>
              <w:wordWrap/>
              <w:overflowPunct/>
              <w:topLinePunct w:val="0"/>
              <w:autoSpaceDE/>
              <w:autoSpaceDN/>
              <w:bidi w:val="0"/>
              <w:adjustRightInd/>
              <w:snapToGrid/>
              <w:spacing w:line="400" w:lineRule="atLeast"/>
              <w:ind w:left="0" w:leftChars="0" w:firstLine="0" w:firstLineChars="0"/>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rPr>
              <w:t>邮  编</w:t>
            </w:r>
            <w:r>
              <w:rPr>
                <w:rFonts w:hint="eastAsia" w:ascii="宋体" w:hAnsi="宋体" w:cs="宋体"/>
                <w:color w:val="auto"/>
                <w:sz w:val="24"/>
                <w:szCs w:val="24"/>
                <w:highlight w:val="none"/>
                <w:lang w:val="en-US" w:eastAsia="zh-CN"/>
              </w:rPr>
              <w:t xml:space="preserve"> ：</w:t>
            </w:r>
          </w:p>
        </w:tc>
        <w:tc>
          <w:tcPr>
            <w:tcW w:w="5898" w:type="dxa"/>
            <w:tcBorders>
              <w:top w:val="nil"/>
              <w:left w:val="nil"/>
              <w:bottom w:val="nil"/>
              <w:right w:val="nil"/>
            </w:tcBorders>
            <w:shd w:val="clear" w:color="auto" w:fill="auto"/>
            <w:noWrap w:val="0"/>
            <w:vAlign w:val="top"/>
          </w:tcPr>
          <w:p w14:paraId="6C72F3C7">
            <w:pPr>
              <w:keepNext w:val="0"/>
              <w:keepLines w:val="0"/>
              <w:pageBreakBefore w:val="0"/>
              <w:widowControl w:val="0"/>
              <w:kinsoku/>
              <w:wordWrap/>
              <w:overflowPunct/>
              <w:topLinePunct w:val="0"/>
              <w:autoSpaceDE/>
              <w:autoSpaceDN/>
              <w:bidi w:val="0"/>
              <w:adjustRightInd/>
              <w:snapToGrid/>
              <w:spacing w:line="400" w:lineRule="atLeast"/>
              <w:ind w:left="0" w:leftChars="0" w:firstLine="0" w:firstLineChars="0"/>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rPr>
              <w:t>邮  编：</w:t>
            </w:r>
            <w:r>
              <w:rPr>
                <w:rFonts w:hint="eastAsia" w:ascii="宋体" w:hAnsi="宋体" w:cs="Times New Roman"/>
                <w:color w:val="auto"/>
                <w:sz w:val="24"/>
                <w:szCs w:val="24"/>
                <w:highlight w:val="none"/>
                <w:lang w:val="en-US" w:eastAsia="zh-CN"/>
              </w:rPr>
              <w:t xml:space="preserve"> </w:t>
            </w:r>
          </w:p>
        </w:tc>
      </w:tr>
      <w:tr w14:paraId="4C760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3841" w:type="dxa"/>
            <w:tcBorders>
              <w:top w:val="nil"/>
              <w:left w:val="nil"/>
              <w:bottom w:val="nil"/>
              <w:right w:val="nil"/>
            </w:tcBorders>
            <w:shd w:val="clear" w:color="auto" w:fill="auto"/>
            <w:noWrap w:val="0"/>
            <w:vAlign w:val="top"/>
          </w:tcPr>
          <w:p w14:paraId="1A30FF37">
            <w:pPr>
              <w:keepNext w:val="0"/>
              <w:keepLines w:val="0"/>
              <w:pageBreakBefore w:val="0"/>
              <w:widowControl w:val="0"/>
              <w:kinsoku/>
              <w:wordWrap/>
              <w:overflowPunct/>
              <w:topLinePunct w:val="0"/>
              <w:autoSpaceDE/>
              <w:autoSpaceDN/>
              <w:bidi w:val="0"/>
              <w:adjustRightInd/>
              <w:snapToGrid/>
              <w:spacing w:line="400" w:lineRule="atLeast"/>
              <w:ind w:left="0" w:leftChars="0"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开票信息：</w:t>
            </w:r>
            <w:r>
              <w:rPr>
                <w:rFonts w:hint="eastAsia" w:ascii="宋体" w:hAnsi="宋体" w:cs="宋体"/>
                <w:color w:val="auto"/>
                <w:sz w:val="24"/>
                <w:szCs w:val="24"/>
                <w:highlight w:val="none"/>
                <w:lang w:val="en-US" w:eastAsia="zh-CN"/>
              </w:rPr>
              <w:t xml:space="preserve"> </w:t>
            </w:r>
          </w:p>
        </w:tc>
        <w:tc>
          <w:tcPr>
            <w:tcW w:w="5898" w:type="dxa"/>
            <w:tcBorders>
              <w:top w:val="nil"/>
              <w:left w:val="nil"/>
              <w:bottom w:val="nil"/>
              <w:right w:val="nil"/>
            </w:tcBorders>
            <w:shd w:val="clear" w:color="auto" w:fill="auto"/>
            <w:noWrap w:val="0"/>
            <w:vAlign w:val="top"/>
          </w:tcPr>
          <w:p w14:paraId="3FD9523D">
            <w:pPr>
              <w:keepNext w:val="0"/>
              <w:keepLines w:val="0"/>
              <w:pageBreakBefore w:val="0"/>
              <w:widowControl w:val="0"/>
              <w:kinsoku/>
              <w:wordWrap/>
              <w:overflowPunct/>
              <w:topLinePunct w:val="0"/>
              <w:autoSpaceDE/>
              <w:autoSpaceDN/>
              <w:bidi w:val="0"/>
              <w:adjustRightInd/>
              <w:snapToGrid/>
              <w:spacing w:line="400" w:lineRule="atLeast"/>
              <w:ind w:left="0" w:leftChars="0" w:firstLine="0" w:firstLineChars="0"/>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rPr>
              <w:t>基本账户开户银行</w:t>
            </w:r>
            <w:r>
              <w:rPr>
                <w:rFonts w:hint="eastAsia" w:ascii="宋体" w:hAnsi="宋体" w:eastAsia="宋体" w:cs="宋体"/>
                <w:color w:val="auto"/>
                <w:sz w:val="24"/>
                <w:szCs w:val="24"/>
                <w:highlight w:val="none"/>
                <w:lang w:eastAsia="zh-CN"/>
              </w:rPr>
              <w:t>：</w:t>
            </w:r>
            <w:r>
              <w:rPr>
                <w:rFonts w:hint="eastAsia" w:ascii="宋体" w:hAnsi="宋体" w:eastAsia="宋体" w:cs="Times New Roman"/>
                <w:color w:val="auto"/>
                <w:sz w:val="24"/>
                <w:szCs w:val="24"/>
                <w:highlight w:val="none"/>
                <w:lang w:val="en-US" w:eastAsia="zh-CN"/>
              </w:rPr>
              <w:t xml:space="preserve"> </w:t>
            </w:r>
          </w:p>
        </w:tc>
      </w:tr>
      <w:tr w14:paraId="565FA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3841" w:type="dxa"/>
            <w:tcBorders>
              <w:top w:val="nil"/>
              <w:left w:val="nil"/>
              <w:bottom w:val="nil"/>
              <w:right w:val="nil"/>
            </w:tcBorders>
            <w:shd w:val="clear" w:color="auto" w:fill="auto"/>
            <w:noWrap w:val="0"/>
            <w:vAlign w:val="top"/>
          </w:tcPr>
          <w:p w14:paraId="19D1FA17">
            <w:pPr>
              <w:keepNext w:val="0"/>
              <w:keepLines w:val="0"/>
              <w:pageBreakBefore w:val="0"/>
              <w:widowControl w:val="0"/>
              <w:kinsoku/>
              <w:wordWrap/>
              <w:overflowPunct/>
              <w:topLinePunct w:val="0"/>
              <w:autoSpaceDE/>
              <w:autoSpaceDN/>
              <w:bidi w:val="0"/>
              <w:adjustRightInd/>
              <w:snapToGrid/>
              <w:spacing w:line="400" w:lineRule="atLeast"/>
              <w:ind w:left="0" w:leftChars="0"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纳税人识别号：</w:t>
            </w:r>
            <w:r>
              <w:rPr>
                <w:rFonts w:hint="eastAsia" w:ascii="宋体" w:hAnsi="宋体" w:eastAsia="宋体" w:cs="宋体"/>
                <w:color w:val="auto"/>
                <w:sz w:val="24"/>
                <w:szCs w:val="24"/>
                <w:highlight w:val="none"/>
                <w:lang w:val="en-US" w:eastAsia="zh-CN"/>
              </w:rPr>
              <w:t xml:space="preserve"> </w:t>
            </w:r>
          </w:p>
        </w:tc>
        <w:tc>
          <w:tcPr>
            <w:tcW w:w="5898" w:type="dxa"/>
            <w:tcBorders>
              <w:top w:val="nil"/>
              <w:left w:val="nil"/>
              <w:bottom w:val="nil"/>
              <w:right w:val="nil"/>
            </w:tcBorders>
            <w:shd w:val="clear" w:color="auto" w:fill="auto"/>
            <w:noWrap w:val="0"/>
            <w:vAlign w:val="top"/>
          </w:tcPr>
          <w:p w14:paraId="5583E1DA">
            <w:pPr>
              <w:keepNext w:val="0"/>
              <w:keepLines w:val="0"/>
              <w:pageBreakBefore w:val="0"/>
              <w:widowControl w:val="0"/>
              <w:kinsoku/>
              <w:wordWrap/>
              <w:overflowPunct/>
              <w:topLinePunct w:val="0"/>
              <w:autoSpaceDE/>
              <w:autoSpaceDN/>
              <w:bidi w:val="0"/>
              <w:adjustRightInd/>
              <w:snapToGrid/>
              <w:spacing w:line="400" w:lineRule="atLeast"/>
              <w:ind w:left="6020" w:hanging="5160" w:hangingChars="2150"/>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eastAsia="zh-CN"/>
              </w:rPr>
              <w:t>基本账户账户：</w:t>
            </w:r>
            <w:r>
              <w:rPr>
                <w:rFonts w:hint="eastAsia" w:ascii="宋体" w:hAnsi="宋体" w:cs="Times New Roman"/>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 xml:space="preserve"> </w:t>
            </w:r>
          </w:p>
        </w:tc>
      </w:tr>
    </w:tbl>
    <w:p w14:paraId="00CBFB24">
      <w:pPr>
        <w:pageBreakBefore w:val="0"/>
        <w:widowControl w:val="0"/>
        <w:kinsoku/>
        <w:wordWrap/>
        <w:overflowPunct/>
        <w:topLinePunct w:val="0"/>
        <w:bidi w:val="0"/>
        <w:snapToGrid w:val="0"/>
        <w:spacing w:line="360" w:lineRule="auto"/>
        <w:ind w:left="0" w:leftChars="0" w:firstLine="480" w:firstLineChars="200"/>
        <w:jc w:val="left"/>
        <w:rPr>
          <w:rFonts w:hint="eastAsia" w:ascii="宋体" w:hAnsi="宋体" w:eastAsia="宋体" w:cs="宋体"/>
          <w:color w:val="auto"/>
          <w:kern w:val="0"/>
          <w:sz w:val="24"/>
          <w:szCs w:val="24"/>
          <w:highlight w:val="none"/>
          <w:lang w:val="en-US" w:eastAsia="zh-CN" w:bidi="ar-SA"/>
        </w:rPr>
      </w:pPr>
    </w:p>
    <w:p w14:paraId="7610FC58">
      <w:pPr>
        <w:pageBreakBefore w:val="0"/>
        <w:widowControl w:val="0"/>
        <w:kinsoku/>
        <w:wordWrap/>
        <w:overflowPunct/>
        <w:topLinePunct w:val="0"/>
        <w:bidi w:val="0"/>
        <w:spacing w:line="360" w:lineRule="auto"/>
        <w:ind w:left="0" w:leftChars="0" w:firstLine="480" w:firstLineChars="200"/>
        <w:rPr>
          <w:rFonts w:hint="eastAsia" w:ascii="宋体" w:hAnsi="宋体" w:eastAsia="宋体" w:cs="宋体"/>
          <w:color w:val="auto"/>
          <w:sz w:val="24"/>
          <w:szCs w:val="24"/>
          <w:highlight w:val="none"/>
        </w:rPr>
        <w:sectPr>
          <w:headerReference r:id="rId15" w:type="first"/>
          <w:footerReference r:id="rId17" w:type="first"/>
          <w:headerReference r:id="rId14" w:type="default"/>
          <w:footerReference r:id="rId16" w:type="default"/>
          <w:pgSz w:w="11906" w:h="16838"/>
          <w:pgMar w:top="1440" w:right="1418" w:bottom="1440" w:left="1588" w:header="851" w:footer="992" w:gutter="0"/>
          <w:pgNumType w:fmt="decimal"/>
          <w:cols w:space="720" w:num="1"/>
          <w:titlePg/>
          <w:docGrid w:type="lines" w:linePitch="312" w:charSpace="0"/>
        </w:sectPr>
      </w:pPr>
    </w:p>
    <w:p w14:paraId="3157D66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center"/>
        <w:textAlignment w:val="auto"/>
        <w:rPr>
          <w:rFonts w:hint="eastAsia" w:ascii="宋体" w:hAnsi="宋体" w:eastAsia="宋体" w:cs="宋体"/>
          <w:color w:val="auto"/>
          <w:sz w:val="24"/>
          <w:szCs w:val="24"/>
          <w:highlight w:val="none"/>
          <w:lang w:eastAsia="zh-CN"/>
        </w:rPr>
        <w:sectPr>
          <w:type w:val="continuous"/>
          <w:pgSz w:w="11906" w:h="16838"/>
          <w:pgMar w:top="1440" w:right="1418" w:bottom="1440" w:left="1588" w:header="851" w:footer="992" w:gutter="0"/>
          <w:pgNumType w:fmt="decimal"/>
          <w:cols w:space="720" w:num="1"/>
          <w:titlePg/>
          <w:docGrid w:type="lines" w:linePitch="312" w:charSpace="0"/>
        </w:sectPr>
      </w:pPr>
      <w:r>
        <w:rPr>
          <w:rFonts w:hint="eastAsia" w:ascii="宋体" w:hAnsi="宋体" w:eastAsia="宋体" w:cs="宋体"/>
          <w:color w:val="auto"/>
          <w:sz w:val="24"/>
          <w:szCs w:val="24"/>
          <w:highlight w:val="none"/>
          <w:lang w:val="en-US" w:eastAsia="zh-CN"/>
        </w:rPr>
        <w:t xml:space="preserve">签订日期：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 xml:space="preserve"> 年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 xml:space="preserve"> 月    日</w:t>
      </w:r>
    </w:p>
    <w:p w14:paraId="1AE6D870">
      <w:pPr>
        <w:keepNext/>
        <w:keepLines/>
        <w:pageBreakBefore w:val="0"/>
        <w:widowControl w:val="0"/>
        <w:kinsoku/>
        <w:wordWrap/>
        <w:overflowPunct/>
        <w:topLinePunct w:val="0"/>
        <w:autoSpaceDE/>
        <w:autoSpaceDN/>
        <w:bidi w:val="0"/>
        <w:adjustRightInd/>
        <w:snapToGrid/>
        <w:spacing w:before="340" w:after="330" w:line="360" w:lineRule="auto"/>
        <w:jc w:val="center"/>
        <w:textAlignment w:val="auto"/>
        <w:outlineLvl w:val="1"/>
        <w:rPr>
          <w:rFonts w:hint="eastAsia" w:ascii="宋体" w:hAnsi="宋体" w:eastAsia="宋体" w:cs="宋体"/>
          <w:b/>
          <w:bCs/>
          <w:color w:val="auto"/>
          <w:kern w:val="44"/>
          <w:sz w:val="44"/>
          <w:szCs w:val="44"/>
          <w:highlight w:val="none"/>
          <w:lang w:val="en-US" w:eastAsia="zh-CN" w:bidi="ar-SA"/>
        </w:rPr>
      </w:pPr>
      <w:bookmarkStart w:id="205" w:name="_Toc27308"/>
      <w:r>
        <w:rPr>
          <w:rFonts w:hint="eastAsia" w:ascii="宋体" w:hAnsi="宋体" w:eastAsia="宋体" w:cs="宋体"/>
          <w:b/>
          <w:bCs/>
          <w:color w:val="auto"/>
          <w:kern w:val="44"/>
          <w:sz w:val="44"/>
          <w:szCs w:val="44"/>
          <w:highlight w:val="none"/>
          <w:lang w:val="en-US" w:eastAsia="zh-CN" w:bidi="ar-SA"/>
        </w:rPr>
        <w:t>第二节 中标通知书</w:t>
      </w:r>
      <w:bookmarkEnd w:id="205"/>
      <w:r>
        <w:rPr>
          <w:rFonts w:hint="eastAsia" w:ascii="宋体" w:hAnsi="宋体" w:eastAsia="宋体" w:cs="宋体"/>
          <w:b/>
          <w:bCs/>
          <w:color w:val="auto"/>
          <w:kern w:val="44"/>
          <w:sz w:val="44"/>
          <w:szCs w:val="44"/>
          <w:highlight w:val="none"/>
          <w:lang w:val="en-US" w:eastAsia="zh-CN" w:bidi="ar-SA"/>
        </w:rPr>
        <w:t xml:space="preserve"> </w:t>
      </w:r>
    </w:p>
    <w:p w14:paraId="3E5D5449">
      <w:pPr>
        <w:keepNext/>
        <w:keepLines/>
        <w:pageBreakBefore w:val="0"/>
        <w:widowControl w:val="0"/>
        <w:kinsoku/>
        <w:wordWrap/>
        <w:overflowPunct/>
        <w:topLinePunct w:val="0"/>
        <w:autoSpaceDE/>
        <w:autoSpaceDN/>
        <w:bidi w:val="0"/>
        <w:adjustRightInd/>
        <w:snapToGrid/>
        <w:spacing w:before="340" w:after="330" w:line="360" w:lineRule="auto"/>
        <w:jc w:val="center"/>
        <w:textAlignment w:val="auto"/>
        <w:outlineLvl w:val="1"/>
        <w:rPr>
          <w:rFonts w:hint="eastAsia" w:ascii="宋体" w:hAnsi="宋体" w:eastAsia="宋体" w:cs="宋体"/>
          <w:b/>
          <w:bCs/>
          <w:color w:val="auto"/>
          <w:kern w:val="44"/>
          <w:sz w:val="44"/>
          <w:szCs w:val="44"/>
          <w:highlight w:val="none"/>
          <w:lang w:val="en-US" w:eastAsia="zh-CN" w:bidi="ar-SA"/>
        </w:rPr>
      </w:pPr>
      <w:r>
        <w:rPr>
          <w:rFonts w:hint="eastAsia" w:ascii="宋体" w:hAnsi="宋体" w:eastAsia="宋体" w:cs="宋体"/>
          <w:b/>
          <w:bCs/>
          <w:color w:val="auto"/>
          <w:kern w:val="44"/>
          <w:sz w:val="24"/>
          <w:szCs w:val="24"/>
          <w:highlight w:val="none"/>
          <w:lang w:val="en-US" w:eastAsia="zh-CN" w:bidi="ar-SA"/>
        </w:rPr>
        <w:br w:type="page"/>
      </w:r>
      <w:bookmarkStart w:id="206" w:name="_Toc3376"/>
      <w:r>
        <w:rPr>
          <w:rFonts w:hint="eastAsia" w:ascii="宋体" w:hAnsi="宋体" w:eastAsia="宋体" w:cs="宋体"/>
          <w:b/>
          <w:bCs/>
          <w:color w:val="auto"/>
          <w:kern w:val="44"/>
          <w:sz w:val="44"/>
          <w:szCs w:val="44"/>
          <w:highlight w:val="none"/>
          <w:lang w:val="en-US" w:eastAsia="zh-CN" w:bidi="ar-SA"/>
        </w:rPr>
        <w:t>第三节 通用合同条款</w:t>
      </w:r>
      <w:bookmarkEnd w:id="206"/>
    </w:p>
    <w:p w14:paraId="276104A8">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07" w:name="_Toc350"/>
      <w:r>
        <w:rPr>
          <w:rFonts w:hint="eastAsia" w:ascii="宋体" w:hAnsi="宋体" w:eastAsia="宋体" w:cs="宋体"/>
          <w:color w:val="auto"/>
          <w:kern w:val="2"/>
          <w:sz w:val="24"/>
          <w:szCs w:val="24"/>
          <w:highlight w:val="none"/>
          <w:lang w:val="en-US" w:eastAsia="zh-CN" w:bidi="ar-SA"/>
        </w:rPr>
        <w:t>1. 一般约定</w:t>
      </w:r>
      <w:bookmarkEnd w:id="207"/>
    </w:p>
    <w:p w14:paraId="1B5823D9">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1.1词语定义</w:t>
      </w:r>
    </w:p>
    <w:p w14:paraId="40C23FD7">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通用合同条款、专用合同条款中的下列词语应具有本款所赋予的含义。</w:t>
      </w:r>
    </w:p>
    <w:p w14:paraId="58C7A1C4">
      <w:pPr>
        <w:pageBreakBefore w:val="0"/>
        <w:widowControl w:val="0"/>
        <w:kinsoku/>
        <w:wordWrap/>
        <w:overflowPunct/>
        <w:topLinePunct w:val="0"/>
        <w:bidi w:val="0"/>
        <w:spacing w:after="0" w:line="360" w:lineRule="auto"/>
        <w:ind w:left="0" w:leftChars="0"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w:t>
      </w:r>
      <w:r>
        <w:rPr>
          <w:rFonts w:hint="eastAsia" w:ascii="宋体" w:hAnsi="宋体" w:eastAsia="宋体" w:cs="宋体"/>
          <w:color w:val="auto"/>
          <w:kern w:val="0"/>
          <w:sz w:val="24"/>
          <w:szCs w:val="24"/>
          <w:highlight w:val="none"/>
          <w:lang w:val="zh-CN" w:eastAsia="zh-CN" w:bidi="zh-CN"/>
        </w:rPr>
        <w:t>1合同</w:t>
      </w:r>
    </w:p>
    <w:p w14:paraId="0E07731D">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1.1.1.1</w:t>
      </w:r>
      <w:r>
        <w:rPr>
          <w:rFonts w:hint="eastAsia" w:ascii="宋体" w:hAnsi="宋体" w:eastAsia="宋体" w:cs="宋体"/>
          <w:color w:val="auto"/>
          <w:kern w:val="2"/>
          <w:sz w:val="24"/>
          <w:szCs w:val="24"/>
          <w:highlight w:val="none"/>
          <w:lang w:val="zh-CN" w:eastAsia="zh-CN" w:bidi="zh-CN"/>
        </w:rPr>
        <w:t>合同文件（或称合同）：指合同协议书、中标通知书、投标函及投标函附录、专用合同条款、通用合同条款、技术标准和要求、图纸、已标价工程量清单，以及其他合同文件。</w:t>
      </w:r>
    </w:p>
    <w:p w14:paraId="2EA966FF">
      <w:pPr>
        <w:pageBreakBefore w:val="0"/>
        <w:widowControl w:val="0"/>
        <w:tabs>
          <w:tab w:val="left" w:pos="944"/>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1.1.1.</w:t>
      </w:r>
      <w:r>
        <w:rPr>
          <w:rFonts w:hint="eastAsia" w:ascii="宋体" w:hAnsi="宋体" w:eastAsia="宋体" w:cs="宋体"/>
          <w:color w:val="auto"/>
          <w:kern w:val="2"/>
          <w:sz w:val="24"/>
          <w:szCs w:val="24"/>
          <w:highlight w:val="none"/>
          <w:lang w:val="zh-CN" w:eastAsia="zh-CN" w:bidi="zh-CN"/>
        </w:rPr>
        <w:t>2合同协议书：指第</w:t>
      </w:r>
      <w:r>
        <w:rPr>
          <w:rFonts w:hint="eastAsia" w:ascii="宋体" w:hAnsi="宋体" w:eastAsia="宋体" w:cs="宋体"/>
          <w:color w:val="auto"/>
          <w:kern w:val="2"/>
          <w:sz w:val="24"/>
          <w:szCs w:val="24"/>
          <w:highlight w:val="none"/>
          <w:lang w:val="en-US" w:eastAsia="zh-CN" w:bidi="en-US"/>
        </w:rPr>
        <w:t>1.5</w:t>
      </w:r>
      <w:r>
        <w:rPr>
          <w:rFonts w:hint="eastAsia" w:ascii="宋体" w:hAnsi="宋体" w:eastAsia="宋体" w:cs="宋体"/>
          <w:color w:val="auto"/>
          <w:kern w:val="2"/>
          <w:sz w:val="24"/>
          <w:szCs w:val="24"/>
          <w:highlight w:val="none"/>
          <w:lang w:val="zh-CN" w:eastAsia="zh-CN" w:bidi="zh-CN"/>
        </w:rPr>
        <w:t>款所指的合同协议书。</w:t>
      </w:r>
    </w:p>
    <w:p w14:paraId="63A1B325">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1.1.1.</w:t>
      </w:r>
      <w:r>
        <w:rPr>
          <w:rFonts w:hint="eastAsia" w:ascii="宋体" w:hAnsi="宋体" w:eastAsia="宋体" w:cs="宋体"/>
          <w:color w:val="auto"/>
          <w:kern w:val="2"/>
          <w:sz w:val="24"/>
          <w:szCs w:val="24"/>
          <w:highlight w:val="none"/>
          <w:lang w:val="zh-CN" w:eastAsia="zh-CN" w:bidi="zh-CN"/>
        </w:rPr>
        <w:t>3中标通知书：指发包人通知承包人中标的函件。</w:t>
      </w:r>
    </w:p>
    <w:p w14:paraId="363B8AD9">
      <w:pPr>
        <w:pageBreakBefore w:val="0"/>
        <w:widowControl w:val="0"/>
        <w:tabs>
          <w:tab w:val="left" w:pos="944"/>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1.1.1.</w:t>
      </w:r>
      <w:r>
        <w:rPr>
          <w:rFonts w:hint="eastAsia" w:ascii="宋体" w:hAnsi="宋体" w:eastAsia="宋体" w:cs="宋体"/>
          <w:color w:val="auto"/>
          <w:kern w:val="2"/>
          <w:sz w:val="24"/>
          <w:szCs w:val="24"/>
          <w:highlight w:val="none"/>
          <w:lang w:val="zh-CN" w:eastAsia="zh-CN" w:bidi="zh-CN"/>
        </w:rPr>
        <w:t>4投标函：指构成合同文件组成部分的由承包人填写并签署的投标函。</w:t>
      </w:r>
    </w:p>
    <w:p w14:paraId="324A2590">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1.1.1.</w:t>
      </w:r>
      <w:r>
        <w:rPr>
          <w:rFonts w:hint="eastAsia" w:ascii="宋体" w:hAnsi="宋体" w:eastAsia="宋体" w:cs="宋体"/>
          <w:color w:val="auto"/>
          <w:kern w:val="2"/>
          <w:sz w:val="24"/>
          <w:szCs w:val="24"/>
          <w:highlight w:val="none"/>
          <w:lang w:val="zh-CN" w:eastAsia="zh-CN" w:bidi="zh-CN"/>
        </w:rPr>
        <w:t>5投标函附录：指附在投标函后构成合同文件的投标函附录。</w:t>
      </w:r>
    </w:p>
    <w:p w14:paraId="62A7099B">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en-US"/>
        </w:rPr>
      </w:pPr>
      <w:r>
        <w:rPr>
          <w:rFonts w:hint="eastAsia" w:ascii="宋体" w:hAnsi="宋体" w:eastAsia="宋体" w:cs="宋体"/>
          <w:color w:val="auto"/>
          <w:kern w:val="2"/>
          <w:sz w:val="24"/>
          <w:szCs w:val="24"/>
          <w:highlight w:val="none"/>
          <w:lang w:val="en-US" w:eastAsia="zh-CN" w:bidi="en-US"/>
        </w:rPr>
        <w:t>1.1.1.6技术标准和要求：指构成合同文件组成部分的名为技术标准和要求（合同技术条款）的文件，包括合同双方当事人约定对其所做的修改或补充。</w:t>
      </w:r>
    </w:p>
    <w:p w14:paraId="7779417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en-US"/>
        </w:rPr>
      </w:pPr>
      <w:r>
        <w:rPr>
          <w:rFonts w:hint="eastAsia" w:ascii="宋体" w:hAnsi="宋体" w:eastAsia="宋体" w:cs="宋体"/>
          <w:color w:val="auto"/>
          <w:kern w:val="2"/>
          <w:sz w:val="24"/>
          <w:szCs w:val="24"/>
          <w:highlight w:val="none"/>
          <w:lang w:val="en-US" w:eastAsia="zh-CN" w:bidi="en-US"/>
        </w:rPr>
        <w:t>1.1.1.7  图纸：指列入合同的招标图纸、投标图纸和发包人按合同约定向承包人提供 的施工图纸和其他图纸（包括配套说明和有关资料）。列入合同的招标图纸已成为合同文件的一部分，具有合同效力，主要用于在履行合同过程中作为衡量变更的依据，但不能直接用于施工。经发包人确认进入合同的投标图纸亦成为合同文件的一部分，用于在履行合同中检验承包人是否按其投标时承诺的条件进行施工的依据，亦不能直接用于施工。</w:t>
      </w:r>
    </w:p>
    <w:p w14:paraId="533034A3">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1.1.1.</w:t>
      </w:r>
      <w:r>
        <w:rPr>
          <w:rFonts w:hint="eastAsia" w:ascii="宋体" w:hAnsi="宋体" w:eastAsia="宋体" w:cs="宋体"/>
          <w:color w:val="auto"/>
          <w:kern w:val="2"/>
          <w:sz w:val="24"/>
          <w:szCs w:val="24"/>
          <w:highlight w:val="none"/>
          <w:lang w:val="zh-CN" w:eastAsia="zh-CN" w:bidi="zh-CN"/>
        </w:rPr>
        <w:t>8已标价工程量清单：指构成合同文件组成部分的由承包人按照规定的格式和要求填写并标明价格的工程量清单。</w:t>
      </w:r>
    </w:p>
    <w:p w14:paraId="51E8F8BD">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1.1.1.</w:t>
      </w:r>
      <w:r>
        <w:rPr>
          <w:rFonts w:hint="eastAsia" w:ascii="宋体" w:hAnsi="宋体" w:eastAsia="宋体" w:cs="宋体"/>
          <w:color w:val="auto"/>
          <w:kern w:val="2"/>
          <w:sz w:val="24"/>
          <w:szCs w:val="24"/>
          <w:highlight w:val="none"/>
          <w:lang w:val="zh-CN" w:eastAsia="zh-CN" w:bidi="zh-CN"/>
        </w:rPr>
        <w:t>9其他合同文件：指经合同双方当事人确认构成合同文件的其他文件。</w:t>
      </w:r>
    </w:p>
    <w:p w14:paraId="4B4B94CC">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1.1.2</w:t>
      </w:r>
      <w:r>
        <w:rPr>
          <w:rFonts w:hint="eastAsia" w:ascii="宋体" w:hAnsi="宋体" w:eastAsia="宋体" w:cs="宋体"/>
          <w:color w:val="auto"/>
          <w:kern w:val="2"/>
          <w:sz w:val="24"/>
          <w:szCs w:val="24"/>
          <w:highlight w:val="none"/>
          <w:lang w:val="zh-CN" w:eastAsia="zh-CN" w:bidi="zh-CN"/>
        </w:rPr>
        <w:t>合同当事人和人员。</w:t>
      </w:r>
    </w:p>
    <w:p w14:paraId="56AB5606">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1.1.2.1</w:t>
      </w:r>
      <w:r>
        <w:rPr>
          <w:rFonts w:hint="eastAsia" w:ascii="宋体" w:hAnsi="宋体" w:eastAsia="宋体" w:cs="宋体"/>
          <w:color w:val="auto"/>
          <w:kern w:val="2"/>
          <w:sz w:val="24"/>
          <w:szCs w:val="24"/>
          <w:highlight w:val="none"/>
          <w:lang w:val="zh-CN" w:eastAsia="zh-CN" w:bidi="zh-CN"/>
        </w:rPr>
        <w:t>合同当事人：指发包人和（或）承包人。</w:t>
      </w:r>
    </w:p>
    <w:p w14:paraId="1E51B22C">
      <w:pPr>
        <w:pageBreakBefore w:val="0"/>
        <w:widowControl w:val="0"/>
        <w:tabs>
          <w:tab w:val="left" w:pos="944"/>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1.1.2.2</w:t>
      </w:r>
      <w:r>
        <w:rPr>
          <w:rFonts w:hint="eastAsia" w:ascii="宋体" w:hAnsi="宋体" w:eastAsia="宋体" w:cs="宋体"/>
          <w:color w:val="auto"/>
          <w:kern w:val="2"/>
          <w:sz w:val="24"/>
          <w:szCs w:val="24"/>
          <w:highlight w:val="none"/>
          <w:lang w:val="zh-CN" w:eastAsia="zh-CN" w:bidi="zh-CN"/>
        </w:rPr>
        <w:t>发包人：指专用合同条款中指明并与承包人在合同协议书中签字的当事人。</w:t>
      </w:r>
    </w:p>
    <w:p w14:paraId="0B226DE2">
      <w:pPr>
        <w:pageBreakBefore w:val="0"/>
        <w:widowControl w:val="0"/>
        <w:tabs>
          <w:tab w:val="left" w:pos="944"/>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1.1.2.3</w:t>
      </w:r>
      <w:r>
        <w:rPr>
          <w:rFonts w:hint="eastAsia" w:ascii="宋体" w:hAnsi="宋体" w:eastAsia="宋体" w:cs="宋体"/>
          <w:color w:val="auto"/>
          <w:kern w:val="2"/>
          <w:sz w:val="24"/>
          <w:szCs w:val="24"/>
          <w:highlight w:val="none"/>
          <w:lang w:val="zh-CN" w:eastAsia="zh-CN" w:bidi="zh-CN"/>
        </w:rPr>
        <w:t>承包人：指专用合同条款中指明并与发包人在合同协议书中签字的当事人。</w:t>
      </w:r>
    </w:p>
    <w:p w14:paraId="26571A66">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1.1.2.4</w:t>
      </w:r>
      <w:r>
        <w:rPr>
          <w:rFonts w:hint="eastAsia" w:ascii="宋体" w:hAnsi="宋体" w:eastAsia="宋体" w:cs="宋体"/>
          <w:color w:val="auto"/>
          <w:kern w:val="2"/>
          <w:sz w:val="24"/>
          <w:szCs w:val="24"/>
          <w:highlight w:val="none"/>
          <w:lang w:val="zh-CN" w:eastAsia="zh-CN" w:bidi="zh-CN"/>
        </w:rPr>
        <w:t>承包人项目经理：指承包人派驻施工场地的全权负责人。</w:t>
      </w:r>
    </w:p>
    <w:p w14:paraId="45B800B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1.1.2.5</w:t>
      </w:r>
      <w:r>
        <w:rPr>
          <w:rFonts w:hint="eastAsia" w:ascii="宋体" w:hAnsi="宋体" w:eastAsia="宋体" w:cs="宋体"/>
          <w:color w:val="auto"/>
          <w:kern w:val="2"/>
          <w:sz w:val="24"/>
          <w:szCs w:val="24"/>
          <w:highlight w:val="none"/>
          <w:lang w:val="zh-CN" w:eastAsia="zh-CN" w:bidi="zh-CN"/>
        </w:rPr>
        <w:t>分包人：指专用合同条款中指明的，从承包人处分包合同中某一部分工程, 并与其签订分包合同的分包人。</w:t>
      </w:r>
    </w:p>
    <w:p w14:paraId="24CA919C">
      <w:pPr>
        <w:pageBreakBefore w:val="0"/>
        <w:widowControl w:val="0"/>
        <w:tabs>
          <w:tab w:val="left" w:pos="951"/>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 xml:space="preserve">1.1.2.6  </w:t>
      </w:r>
      <w:r>
        <w:rPr>
          <w:rFonts w:hint="eastAsia" w:ascii="宋体" w:hAnsi="宋体" w:eastAsia="宋体" w:cs="宋体"/>
          <w:color w:val="auto"/>
          <w:kern w:val="2"/>
          <w:sz w:val="24"/>
          <w:szCs w:val="24"/>
          <w:highlight w:val="none"/>
          <w:lang w:val="zh-CN" w:eastAsia="zh-CN" w:bidi="zh-CN"/>
        </w:rPr>
        <w:t>监理人：指在专用合同条款中指明的，受发包人委托对合同履行实施管理的 法人或其他组织。</w:t>
      </w:r>
    </w:p>
    <w:p w14:paraId="096F9438">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1.1.2.</w:t>
      </w:r>
      <w:r>
        <w:rPr>
          <w:rFonts w:hint="eastAsia" w:ascii="宋体" w:hAnsi="宋体" w:eastAsia="宋体" w:cs="宋体"/>
          <w:color w:val="auto"/>
          <w:kern w:val="2"/>
          <w:sz w:val="24"/>
          <w:szCs w:val="24"/>
          <w:highlight w:val="none"/>
          <w:lang w:val="zh-CN" w:eastAsia="zh-CN" w:bidi="zh-CN"/>
        </w:rPr>
        <w:t>7总监理工程师（总监）:指由监理人委派常驻施工场地对合同履行实施管理的全权负责人。</w:t>
      </w:r>
    </w:p>
    <w:p w14:paraId="04F4FC2E">
      <w:pPr>
        <w:pageBreakBefore w:val="0"/>
        <w:widowControl w:val="0"/>
        <w:kinsoku/>
        <w:wordWrap/>
        <w:overflowPunct/>
        <w:topLinePunct w:val="0"/>
        <w:bidi w:val="0"/>
        <w:spacing w:after="0" w:line="360" w:lineRule="auto"/>
        <w:ind w:left="0" w:leftChars="0"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w:t>
      </w:r>
      <w:r>
        <w:rPr>
          <w:rFonts w:hint="eastAsia" w:ascii="宋体" w:hAnsi="宋体" w:eastAsia="宋体" w:cs="宋体"/>
          <w:color w:val="auto"/>
          <w:kern w:val="0"/>
          <w:sz w:val="24"/>
          <w:szCs w:val="24"/>
          <w:highlight w:val="none"/>
          <w:lang w:val="zh-CN" w:eastAsia="zh-CN" w:bidi="zh-CN"/>
        </w:rPr>
        <w:t>3工程和设备</w:t>
      </w:r>
    </w:p>
    <w:p w14:paraId="0374CFF8">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1.1.3.</w:t>
      </w:r>
      <w:r>
        <w:rPr>
          <w:rFonts w:hint="eastAsia" w:ascii="宋体" w:hAnsi="宋体" w:eastAsia="宋体" w:cs="宋体"/>
          <w:color w:val="auto"/>
          <w:kern w:val="2"/>
          <w:sz w:val="24"/>
          <w:szCs w:val="24"/>
          <w:highlight w:val="none"/>
          <w:lang w:val="zh-CN" w:eastAsia="zh-CN" w:bidi="zh-CN"/>
        </w:rPr>
        <w:t>1工程：指永久工程和（或）临时工程。</w:t>
      </w:r>
    </w:p>
    <w:p w14:paraId="57EBECB9">
      <w:pPr>
        <w:pageBreakBefore w:val="0"/>
        <w:widowControl w:val="0"/>
        <w:tabs>
          <w:tab w:val="left" w:pos="944"/>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1.1.3.</w:t>
      </w:r>
      <w:r>
        <w:rPr>
          <w:rFonts w:hint="eastAsia" w:ascii="宋体" w:hAnsi="宋体" w:eastAsia="宋体" w:cs="宋体"/>
          <w:color w:val="auto"/>
          <w:kern w:val="2"/>
          <w:sz w:val="24"/>
          <w:szCs w:val="24"/>
          <w:highlight w:val="none"/>
          <w:lang w:val="zh-CN" w:eastAsia="zh-CN" w:bidi="zh-CN"/>
        </w:rPr>
        <w:t>2永久工程：指按合同约定建造并移交给发包人的工程，包括工程设备。</w:t>
      </w:r>
    </w:p>
    <w:p w14:paraId="6025428D">
      <w:pPr>
        <w:pageBreakBefore w:val="0"/>
        <w:widowControl w:val="0"/>
        <w:tabs>
          <w:tab w:val="left" w:pos="954"/>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1.1.3.</w:t>
      </w:r>
      <w:r>
        <w:rPr>
          <w:rFonts w:hint="eastAsia" w:ascii="宋体" w:hAnsi="宋体" w:eastAsia="宋体" w:cs="宋体"/>
          <w:color w:val="auto"/>
          <w:kern w:val="2"/>
          <w:sz w:val="24"/>
          <w:szCs w:val="24"/>
          <w:highlight w:val="none"/>
          <w:lang w:val="zh-CN" w:eastAsia="zh-CN" w:bidi="zh-CN"/>
        </w:rPr>
        <w:t>3临时工程：指为完成合同约定的永久工程所修建的各类临时性工程，不包括施工设备。</w:t>
      </w:r>
    </w:p>
    <w:p w14:paraId="25EEB32F">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1.1.3.</w:t>
      </w:r>
      <w:r>
        <w:rPr>
          <w:rFonts w:hint="eastAsia" w:ascii="宋体" w:hAnsi="宋体" w:eastAsia="宋体" w:cs="宋体"/>
          <w:color w:val="auto"/>
          <w:kern w:val="2"/>
          <w:sz w:val="24"/>
          <w:szCs w:val="24"/>
          <w:highlight w:val="none"/>
          <w:lang w:val="zh-CN" w:eastAsia="zh-CN" w:bidi="zh-CN"/>
        </w:rPr>
        <w:t>4单位工程：指专用合同条款中指明特定范围的永久工程。</w:t>
      </w:r>
    </w:p>
    <w:p w14:paraId="715E5BA3">
      <w:pPr>
        <w:pageBreakBefore w:val="0"/>
        <w:widowControl w:val="0"/>
        <w:tabs>
          <w:tab w:val="left" w:pos="951"/>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1.1.3.</w:t>
      </w:r>
      <w:r>
        <w:rPr>
          <w:rFonts w:hint="eastAsia" w:ascii="宋体" w:hAnsi="宋体" w:eastAsia="宋体" w:cs="宋体"/>
          <w:color w:val="auto"/>
          <w:kern w:val="2"/>
          <w:sz w:val="24"/>
          <w:szCs w:val="24"/>
          <w:highlight w:val="none"/>
          <w:lang w:val="zh-CN" w:eastAsia="zh-CN" w:bidi="zh-CN"/>
        </w:rPr>
        <w:t>5工程设备：指构成或计划构成永久工程一部分的机电设备、金属结构设备、仪器装置及其他类似的设备和装置。</w:t>
      </w:r>
    </w:p>
    <w:p w14:paraId="599838EF">
      <w:pPr>
        <w:pageBreakBefore w:val="0"/>
        <w:widowControl w:val="0"/>
        <w:tabs>
          <w:tab w:val="left" w:pos="954"/>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1.1.3.</w:t>
      </w:r>
      <w:r>
        <w:rPr>
          <w:rFonts w:hint="eastAsia" w:ascii="宋体" w:hAnsi="宋体" w:eastAsia="宋体" w:cs="宋体"/>
          <w:color w:val="auto"/>
          <w:kern w:val="2"/>
          <w:sz w:val="24"/>
          <w:szCs w:val="24"/>
          <w:highlight w:val="none"/>
          <w:lang w:val="zh-CN" w:eastAsia="zh-CN" w:bidi="zh-CN"/>
        </w:rPr>
        <w:t>6施工设备：指为完成合同约定的各项工作所需的设备、器具和其他物品，不包括临时工程和材料。</w:t>
      </w:r>
    </w:p>
    <w:p w14:paraId="7988C1A6">
      <w:pPr>
        <w:pageBreakBefore w:val="0"/>
        <w:widowControl w:val="0"/>
        <w:tabs>
          <w:tab w:val="left" w:pos="944"/>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1.1.3.7</w:t>
      </w:r>
      <w:r>
        <w:rPr>
          <w:rFonts w:hint="eastAsia" w:ascii="宋体" w:hAnsi="宋体" w:eastAsia="宋体" w:cs="宋体"/>
          <w:color w:val="auto"/>
          <w:kern w:val="2"/>
          <w:sz w:val="24"/>
          <w:szCs w:val="24"/>
          <w:highlight w:val="none"/>
          <w:lang w:val="zh-CN" w:eastAsia="zh-CN" w:bidi="zh-CN"/>
        </w:rPr>
        <w:t>临时设施：指为完成合同约定的各项工作所服务的临时性生产和生活设施。</w:t>
      </w:r>
    </w:p>
    <w:p w14:paraId="2F5CC389">
      <w:pPr>
        <w:pageBreakBefore w:val="0"/>
        <w:widowControl w:val="0"/>
        <w:tabs>
          <w:tab w:val="left" w:pos="954"/>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1.1.3.8</w:t>
      </w:r>
      <w:r>
        <w:rPr>
          <w:rFonts w:hint="eastAsia" w:ascii="宋体" w:hAnsi="宋体" w:eastAsia="宋体" w:cs="宋体"/>
          <w:color w:val="auto"/>
          <w:kern w:val="2"/>
          <w:sz w:val="24"/>
          <w:szCs w:val="24"/>
          <w:highlight w:val="none"/>
          <w:lang w:val="zh-CN" w:eastAsia="zh-CN" w:bidi="zh-CN"/>
        </w:rPr>
        <w:t>承包人设备：指承包人自带的施工设备。</w:t>
      </w:r>
    </w:p>
    <w:p w14:paraId="0513F651">
      <w:pPr>
        <w:pageBreakBefore w:val="0"/>
        <w:widowControl w:val="0"/>
        <w:tabs>
          <w:tab w:val="left" w:pos="954"/>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1.1.3.9</w:t>
      </w:r>
      <w:r>
        <w:rPr>
          <w:rFonts w:hint="eastAsia" w:ascii="宋体" w:hAnsi="宋体" w:eastAsia="宋体" w:cs="宋体"/>
          <w:color w:val="auto"/>
          <w:kern w:val="2"/>
          <w:sz w:val="24"/>
          <w:szCs w:val="24"/>
          <w:highlight w:val="none"/>
          <w:lang w:val="zh-CN" w:eastAsia="zh-CN" w:bidi="zh-CN"/>
        </w:rPr>
        <w:t>施工场地（或称工地、现场）：指用于合同工程施工的场所，以及在合同中指定作为施工场地组成部分的其他场所，包括永久占地和临时占地。</w:t>
      </w:r>
    </w:p>
    <w:p w14:paraId="14048248">
      <w:pPr>
        <w:pageBreakBefore w:val="0"/>
        <w:widowControl w:val="0"/>
        <w:tabs>
          <w:tab w:val="left" w:pos="951"/>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1.1.3.10</w:t>
      </w:r>
      <w:r>
        <w:rPr>
          <w:rFonts w:hint="eastAsia" w:ascii="宋体" w:hAnsi="宋体" w:eastAsia="宋体" w:cs="宋体"/>
          <w:color w:val="auto"/>
          <w:kern w:val="2"/>
          <w:sz w:val="24"/>
          <w:szCs w:val="24"/>
          <w:highlight w:val="none"/>
          <w:lang w:val="zh-CN" w:eastAsia="zh-CN" w:bidi="zh-CN"/>
        </w:rPr>
        <w:t>永久占地：指发包人为建设本合同工程永久征用的场地。</w:t>
      </w:r>
    </w:p>
    <w:p w14:paraId="33520E1F">
      <w:pPr>
        <w:pageBreakBefore w:val="0"/>
        <w:widowControl w:val="0"/>
        <w:tabs>
          <w:tab w:val="left" w:pos="951"/>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1.1.3.11</w:t>
      </w:r>
      <w:r>
        <w:rPr>
          <w:rFonts w:hint="eastAsia" w:ascii="宋体" w:hAnsi="宋体" w:eastAsia="宋体" w:cs="宋体"/>
          <w:color w:val="auto"/>
          <w:kern w:val="2"/>
          <w:sz w:val="24"/>
          <w:szCs w:val="24"/>
          <w:highlight w:val="none"/>
          <w:lang w:val="zh-CN" w:eastAsia="zh-CN" w:bidi="zh-CN"/>
        </w:rPr>
        <w:t>临时占地：指发包人为建设本合同工程临时征用，并应在完工后须按合同 要求退还的场地。</w:t>
      </w:r>
    </w:p>
    <w:p w14:paraId="7CFCC5B0">
      <w:pPr>
        <w:pageBreakBefore w:val="0"/>
        <w:widowControl w:val="0"/>
        <w:kinsoku/>
        <w:wordWrap/>
        <w:overflowPunct/>
        <w:topLinePunct w:val="0"/>
        <w:bidi w:val="0"/>
        <w:spacing w:after="0" w:line="360" w:lineRule="auto"/>
        <w:ind w:left="0" w:leftChars="0"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1.1.4</w:t>
      </w:r>
      <w:r>
        <w:rPr>
          <w:rFonts w:hint="eastAsia" w:ascii="宋体" w:hAnsi="宋体" w:eastAsia="宋体" w:cs="宋体"/>
          <w:color w:val="auto"/>
          <w:kern w:val="0"/>
          <w:sz w:val="24"/>
          <w:szCs w:val="24"/>
          <w:highlight w:val="none"/>
          <w:lang w:val="zh-CN" w:eastAsia="zh-CN" w:bidi="zh-CN"/>
        </w:rPr>
        <w:t>日期</w:t>
      </w:r>
    </w:p>
    <w:p w14:paraId="5D293CB1">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 xml:space="preserve">1.1.4. </w:t>
      </w:r>
      <w:r>
        <w:rPr>
          <w:rFonts w:hint="eastAsia" w:ascii="宋体" w:hAnsi="宋体" w:eastAsia="宋体" w:cs="宋体"/>
          <w:color w:val="auto"/>
          <w:kern w:val="2"/>
          <w:sz w:val="24"/>
          <w:szCs w:val="24"/>
          <w:highlight w:val="none"/>
          <w:lang w:val="zh-CN" w:eastAsia="zh-CN" w:bidi="zh-CN"/>
        </w:rPr>
        <w:t>1开工通知：指监理人按第</w:t>
      </w:r>
      <w:r>
        <w:rPr>
          <w:rFonts w:hint="eastAsia" w:ascii="宋体" w:hAnsi="宋体" w:eastAsia="宋体" w:cs="宋体"/>
          <w:color w:val="auto"/>
          <w:kern w:val="2"/>
          <w:sz w:val="24"/>
          <w:szCs w:val="24"/>
          <w:highlight w:val="none"/>
          <w:lang w:val="en-US" w:eastAsia="zh-CN" w:bidi="en-US"/>
        </w:rPr>
        <w:t xml:space="preserve">11. </w:t>
      </w:r>
      <w:r>
        <w:rPr>
          <w:rFonts w:hint="eastAsia" w:ascii="宋体" w:hAnsi="宋体" w:eastAsia="宋体" w:cs="宋体"/>
          <w:color w:val="auto"/>
          <w:kern w:val="2"/>
          <w:sz w:val="24"/>
          <w:szCs w:val="24"/>
          <w:highlight w:val="none"/>
          <w:lang w:val="zh-CN" w:eastAsia="zh-CN" w:bidi="zh-CN"/>
        </w:rPr>
        <w:t>1款通知承包人开工的函件。</w:t>
      </w:r>
    </w:p>
    <w:p w14:paraId="69F338A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1.1.4.2</w:t>
      </w:r>
      <w:r>
        <w:rPr>
          <w:rFonts w:hint="eastAsia" w:ascii="宋体" w:hAnsi="宋体" w:eastAsia="宋体" w:cs="宋体"/>
          <w:color w:val="auto"/>
          <w:kern w:val="2"/>
          <w:sz w:val="24"/>
          <w:szCs w:val="24"/>
          <w:highlight w:val="none"/>
          <w:lang w:val="zh-CN" w:eastAsia="zh-CN" w:bidi="zh-CN"/>
        </w:rPr>
        <w:t>开工日期：指监理人按第</w:t>
      </w:r>
      <w:r>
        <w:rPr>
          <w:rFonts w:hint="eastAsia" w:ascii="宋体" w:hAnsi="宋体" w:eastAsia="宋体" w:cs="宋体"/>
          <w:color w:val="auto"/>
          <w:kern w:val="2"/>
          <w:sz w:val="24"/>
          <w:szCs w:val="24"/>
          <w:highlight w:val="none"/>
          <w:lang w:val="en-US" w:eastAsia="zh-CN" w:bidi="en-US"/>
        </w:rPr>
        <w:t xml:space="preserve">11. </w:t>
      </w:r>
      <w:r>
        <w:rPr>
          <w:rFonts w:hint="eastAsia" w:ascii="宋体" w:hAnsi="宋体" w:eastAsia="宋体" w:cs="宋体"/>
          <w:color w:val="auto"/>
          <w:kern w:val="2"/>
          <w:sz w:val="24"/>
          <w:szCs w:val="24"/>
          <w:highlight w:val="none"/>
          <w:lang w:val="zh-CN" w:eastAsia="zh-CN" w:bidi="zh-CN"/>
        </w:rPr>
        <w:t>1款发出的开工通知中写明的开工日期。</w:t>
      </w:r>
    </w:p>
    <w:p w14:paraId="188485CE">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1.1.4.3</w:t>
      </w:r>
      <w:r>
        <w:rPr>
          <w:rFonts w:hint="eastAsia" w:ascii="宋体" w:hAnsi="宋体" w:eastAsia="宋体" w:cs="宋体"/>
          <w:color w:val="auto"/>
          <w:kern w:val="2"/>
          <w:sz w:val="24"/>
          <w:szCs w:val="24"/>
          <w:highlight w:val="none"/>
          <w:lang w:val="zh-CN" w:eastAsia="zh-CN" w:bidi="zh-CN"/>
        </w:rPr>
        <w:t>工期：指承包人在投标函中承诺的完成合同工程所需的期限，包括按第</w:t>
      </w:r>
      <w:r>
        <w:rPr>
          <w:rFonts w:hint="eastAsia" w:ascii="宋体" w:hAnsi="宋体" w:eastAsia="宋体" w:cs="宋体"/>
          <w:color w:val="auto"/>
          <w:kern w:val="2"/>
          <w:sz w:val="24"/>
          <w:szCs w:val="24"/>
          <w:highlight w:val="none"/>
          <w:lang w:val="en-US" w:eastAsia="zh-CN" w:bidi="en-US"/>
        </w:rPr>
        <w:t xml:space="preserve">11.3 </w:t>
      </w:r>
      <w:r>
        <w:rPr>
          <w:rFonts w:hint="eastAsia" w:ascii="宋体" w:hAnsi="宋体" w:eastAsia="宋体" w:cs="宋体"/>
          <w:color w:val="auto"/>
          <w:kern w:val="2"/>
          <w:sz w:val="24"/>
          <w:szCs w:val="24"/>
          <w:highlight w:val="none"/>
          <w:lang w:val="zh-CN" w:eastAsia="zh-CN" w:bidi="zh-CN"/>
        </w:rPr>
        <w:t>款、第</w:t>
      </w:r>
      <w:r>
        <w:rPr>
          <w:rFonts w:hint="eastAsia" w:ascii="宋体" w:hAnsi="宋体" w:eastAsia="宋体" w:cs="宋体"/>
          <w:color w:val="auto"/>
          <w:kern w:val="2"/>
          <w:sz w:val="24"/>
          <w:szCs w:val="24"/>
          <w:highlight w:val="none"/>
          <w:lang w:val="en-US" w:eastAsia="zh-CN" w:bidi="en-US"/>
        </w:rPr>
        <w:t xml:space="preserve">11. </w:t>
      </w:r>
      <w:r>
        <w:rPr>
          <w:rFonts w:hint="eastAsia" w:ascii="宋体" w:hAnsi="宋体" w:eastAsia="宋体" w:cs="宋体"/>
          <w:color w:val="auto"/>
          <w:kern w:val="2"/>
          <w:sz w:val="24"/>
          <w:szCs w:val="24"/>
          <w:highlight w:val="none"/>
          <w:lang w:val="zh-CN" w:eastAsia="zh-CN" w:bidi="zh-CN"/>
        </w:rPr>
        <w:t>4款和第</w:t>
      </w:r>
      <w:r>
        <w:rPr>
          <w:rFonts w:hint="eastAsia" w:ascii="宋体" w:hAnsi="宋体" w:eastAsia="宋体" w:cs="宋体"/>
          <w:color w:val="auto"/>
          <w:kern w:val="2"/>
          <w:sz w:val="24"/>
          <w:szCs w:val="24"/>
          <w:highlight w:val="none"/>
          <w:lang w:val="en-US" w:eastAsia="zh-CN" w:bidi="en-US"/>
        </w:rPr>
        <w:t xml:space="preserve">11. </w:t>
      </w:r>
      <w:r>
        <w:rPr>
          <w:rFonts w:hint="eastAsia" w:ascii="宋体" w:hAnsi="宋体" w:eastAsia="宋体" w:cs="宋体"/>
          <w:color w:val="auto"/>
          <w:kern w:val="2"/>
          <w:sz w:val="24"/>
          <w:szCs w:val="24"/>
          <w:highlight w:val="none"/>
          <w:lang w:val="zh-CN" w:eastAsia="zh-CN" w:bidi="zh-CN"/>
        </w:rPr>
        <w:t>6款约定所作的变更。</w:t>
      </w:r>
    </w:p>
    <w:p w14:paraId="5B7F6F9E">
      <w:pPr>
        <w:pageBreakBefore w:val="0"/>
        <w:widowControl w:val="0"/>
        <w:tabs>
          <w:tab w:val="left" w:pos="949"/>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 xml:space="preserve">1.1.4.4  </w:t>
      </w:r>
      <w:r>
        <w:rPr>
          <w:rFonts w:hint="eastAsia" w:ascii="宋体" w:hAnsi="宋体" w:eastAsia="宋体" w:cs="宋体"/>
          <w:color w:val="auto"/>
          <w:kern w:val="2"/>
          <w:sz w:val="24"/>
          <w:szCs w:val="24"/>
          <w:highlight w:val="none"/>
          <w:lang w:val="zh-CN" w:eastAsia="zh-CN" w:bidi="zh-CN"/>
        </w:rPr>
        <w:t>竣工日期：即合同工程完工日期，指第</w:t>
      </w:r>
      <w:r>
        <w:rPr>
          <w:rFonts w:hint="eastAsia" w:ascii="宋体" w:hAnsi="宋体" w:eastAsia="宋体" w:cs="宋体"/>
          <w:color w:val="auto"/>
          <w:kern w:val="2"/>
          <w:sz w:val="24"/>
          <w:szCs w:val="24"/>
          <w:highlight w:val="none"/>
          <w:lang w:val="en-US" w:eastAsia="zh-CN" w:bidi="en-US"/>
        </w:rPr>
        <w:t xml:space="preserve">1.1. 4. </w:t>
      </w:r>
      <w:r>
        <w:rPr>
          <w:rFonts w:hint="eastAsia" w:ascii="宋体" w:hAnsi="宋体" w:eastAsia="宋体" w:cs="宋体"/>
          <w:color w:val="auto"/>
          <w:kern w:val="2"/>
          <w:sz w:val="24"/>
          <w:szCs w:val="24"/>
          <w:highlight w:val="none"/>
          <w:lang w:val="zh-CN" w:eastAsia="zh-CN" w:bidi="zh-CN"/>
        </w:rPr>
        <w:t>3目约定工期届满时的日期。 实际完工时间以合同工程完工证书中写明的日期为准。</w:t>
      </w:r>
    </w:p>
    <w:p w14:paraId="02A1AF1A">
      <w:pPr>
        <w:pageBreakBefore w:val="0"/>
        <w:widowControl w:val="0"/>
        <w:tabs>
          <w:tab w:val="left" w:pos="954"/>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 xml:space="preserve">1.1.4.5  </w:t>
      </w:r>
      <w:r>
        <w:rPr>
          <w:rFonts w:hint="eastAsia" w:ascii="宋体" w:hAnsi="宋体" w:eastAsia="宋体" w:cs="宋体"/>
          <w:color w:val="auto"/>
          <w:kern w:val="2"/>
          <w:sz w:val="24"/>
          <w:szCs w:val="24"/>
          <w:highlight w:val="none"/>
          <w:lang w:val="zh-CN" w:eastAsia="zh-CN" w:bidi="zh-CN"/>
        </w:rPr>
        <w:t>缺陷责任期：即工程质量保修期，指履行第</w:t>
      </w:r>
      <w:r>
        <w:rPr>
          <w:rFonts w:hint="eastAsia" w:ascii="宋体" w:hAnsi="宋体" w:eastAsia="宋体" w:cs="宋体"/>
          <w:color w:val="auto"/>
          <w:kern w:val="2"/>
          <w:sz w:val="24"/>
          <w:szCs w:val="24"/>
          <w:highlight w:val="none"/>
          <w:lang w:val="en-US" w:eastAsia="zh-CN" w:bidi="en-US"/>
        </w:rPr>
        <w:t xml:space="preserve">19. </w:t>
      </w:r>
      <w:r>
        <w:rPr>
          <w:rFonts w:hint="eastAsia" w:ascii="宋体" w:hAnsi="宋体" w:eastAsia="宋体" w:cs="宋体"/>
          <w:color w:val="auto"/>
          <w:kern w:val="2"/>
          <w:sz w:val="24"/>
          <w:szCs w:val="24"/>
          <w:highlight w:val="none"/>
          <w:lang w:val="zh-CN" w:eastAsia="zh-CN" w:bidi="zh-CN"/>
        </w:rPr>
        <w:t>2款约定的缺陷责任的期限, 包括根据第</w:t>
      </w:r>
      <w:r>
        <w:rPr>
          <w:rFonts w:hint="eastAsia" w:ascii="宋体" w:hAnsi="宋体" w:eastAsia="宋体" w:cs="宋体"/>
          <w:color w:val="auto"/>
          <w:kern w:val="2"/>
          <w:sz w:val="24"/>
          <w:szCs w:val="24"/>
          <w:highlight w:val="none"/>
          <w:lang w:val="en-US" w:eastAsia="zh-CN" w:bidi="en-US"/>
        </w:rPr>
        <w:t xml:space="preserve">19. </w:t>
      </w:r>
      <w:r>
        <w:rPr>
          <w:rFonts w:hint="eastAsia" w:ascii="宋体" w:hAnsi="宋体" w:eastAsia="宋体" w:cs="宋体"/>
          <w:color w:val="auto"/>
          <w:kern w:val="2"/>
          <w:sz w:val="24"/>
          <w:szCs w:val="24"/>
          <w:highlight w:val="none"/>
          <w:lang w:val="zh-CN" w:eastAsia="zh-CN" w:bidi="zh-CN"/>
        </w:rPr>
        <w:t>3款约定所作的延长，具体期限由专用合同条款约定。</w:t>
      </w:r>
    </w:p>
    <w:p w14:paraId="68D52850">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1.1.4.6</w:t>
      </w:r>
      <w:r>
        <w:rPr>
          <w:rFonts w:hint="eastAsia" w:ascii="宋体" w:hAnsi="宋体" w:eastAsia="宋体" w:cs="宋体"/>
          <w:color w:val="auto"/>
          <w:kern w:val="2"/>
          <w:sz w:val="24"/>
          <w:szCs w:val="24"/>
          <w:highlight w:val="none"/>
          <w:lang w:val="zh-CN" w:eastAsia="zh-CN" w:bidi="zh-CN"/>
        </w:rPr>
        <w:t>基准日期：指投标截止时间前28天的日期。</w:t>
      </w:r>
    </w:p>
    <w:p w14:paraId="56CEA4D2">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1.1.4.7</w:t>
      </w:r>
      <w:r>
        <w:rPr>
          <w:rFonts w:hint="eastAsia" w:ascii="宋体" w:hAnsi="宋体" w:eastAsia="宋体" w:cs="宋体"/>
          <w:color w:val="auto"/>
          <w:kern w:val="2"/>
          <w:sz w:val="24"/>
          <w:szCs w:val="24"/>
          <w:highlight w:val="none"/>
          <w:lang w:val="zh-CN" w:eastAsia="zh-CN" w:bidi="zh-CN"/>
        </w:rPr>
        <w:t>天：除特别指明外，指日历天。合同中按天计算时间的，开始当天不计入, 从次日开始计算。期限最后一天的截止时间为当天24：</w:t>
      </w:r>
      <w:r>
        <w:rPr>
          <w:rFonts w:hint="eastAsia" w:ascii="宋体" w:hAnsi="宋体" w:eastAsia="宋体" w:cs="宋体"/>
          <w:color w:val="auto"/>
          <w:kern w:val="2"/>
          <w:sz w:val="24"/>
          <w:szCs w:val="24"/>
          <w:highlight w:val="none"/>
          <w:lang w:val="en-US" w:eastAsia="zh-CN" w:bidi="en-US"/>
        </w:rPr>
        <w:t>00</w:t>
      </w:r>
      <w:r>
        <w:rPr>
          <w:rFonts w:hint="eastAsia" w:ascii="宋体" w:hAnsi="宋体" w:eastAsia="宋体" w:cs="宋体"/>
          <w:color w:val="auto"/>
          <w:kern w:val="2"/>
          <w:sz w:val="24"/>
          <w:szCs w:val="24"/>
          <w:highlight w:val="none"/>
          <w:vertAlign w:val="subscript"/>
          <w:lang w:val="en-US" w:eastAsia="zh-CN" w:bidi="en-US"/>
        </w:rPr>
        <w:t>o</w:t>
      </w:r>
    </w:p>
    <w:p w14:paraId="7ACCA18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1.1.5</w:t>
      </w:r>
      <w:r>
        <w:rPr>
          <w:rFonts w:hint="eastAsia" w:ascii="宋体" w:hAnsi="宋体" w:eastAsia="宋体" w:cs="宋体"/>
          <w:color w:val="auto"/>
          <w:kern w:val="2"/>
          <w:sz w:val="24"/>
          <w:szCs w:val="24"/>
          <w:highlight w:val="none"/>
          <w:lang w:val="zh-CN" w:eastAsia="zh-CN" w:bidi="zh-CN"/>
        </w:rPr>
        <w:t>合同价格和费用</w:t>
      </w:r>
    </w:p>
    <w:p w14:paraId="3B343BFC">
      <w:pPr>
        <w:pageBreakBefore w:val="0"/>
        <w:widowControl w:val="0"/>
        <w:tabs>
          <w:tab w:val="left" w:pos="934"/>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1.1.5.1</w:t>
      </w:r>
      <w:r>
        <w:rPr>
          <w:rFonts w:hint="eastAsia" w:ascii="宋体" w:hAnsi="宋体" w:eastAsia="宋体" w:cs="宋体"/>
          <w:color w:val="auto"/>
          <w:kern w:val="2"/>
          <w:sz w:val="24"/>
          <w:szCs w:val="24"/>
          <w:highlight w:val="none"/>
          <w:lang w:val="zh-CN" w:eastAsia="zh-CN" w:bidi="zh-CN"/>
        </w:rPr>
        <w:t>签约合同价：指签定合同时合同协议书中写明的，包括了暂列金额、暂估价的合同总金额。</w:t>
      </w:r>
    </w:p>
    <w:p w14:paraId="3E77D30E">
      <w:pPr>
        <w:pageBreakBefore w:val="0"/>
        <w:widowControl w:val="0"/>
        <w:tabs>
          <w:tab w:val="left" w:pos="954"/>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1.1.5.2合同价格：指承包人按合同约定完成了包括缺陷责任期内的全部承包工作后，发包人应付给承包人的金额，包括在履行合同过程中按合同约定进行的变更和调整。</w:t>
      </w:r>
    </w:p>
    <w:p w14:paraId="12906138">
      <w:pPr>
        <w:pageBreakBefore w:val="0"/>
        <w:widowControl w:val="0"/>
        <w:tabs>
          <w:tab w:val="left" w:pos="954"/>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1.1.5.3费用：指为履行合同所发生的或将要发生的所有合理开支，包括管理费和应分摊的其他费用，但不包括利润。</w:t>
      </w:r>
    </w:p>
    <w:p w14:paraId="219F52F6">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1.1.5.4</w:t>
      </w:r>
      <w:r>
        <w:rPr>
          <w:rFonts w:hint="eastAsia" w:ascii="宋体" w:hAnsi="宋体" w:eastAsia="宋体" w:cs="宋体"/>
          <w:color w:val="auto"/>
          <w:kern w:val="2"/>
          <w:sz w:val="24"/>
          <w:szCs w:val="24"/>
          <w:highlight w:val="none"/>
          <w:lang w:val="zh-CN" w:eastAsia="zh-CN" w:bidi="zh-CN"/>
        </w:rPr>
        <w:t>暂列金额：指已标价工程量清单中所列的暂列金额，用于在签订协议书时尚 未确定或不可预见变更的施工及其所需材料、工程设备、服务等的金额，包括以计日工方式支付的金额。</w:t>
      </w:r>
    </w:p>
    <w:p w14:paraId="4E3050B2">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1. 1.5.5</w:t>
      </w:r>
      <w:r>
        <w:rPr>
          <w:rFonts w:hint="eastAsia" w:ascii="宋体" w:hAnsi="宋体" w:eastAsia="宋体" w:cs="宋体"/>
          <w:color w:val="auto"/>
          <w:kern w:val="2"/>
          <w:sz w:val="24"/>
          <w:szCs w:val="24"/>
          <w:highlight w:val="none"/>
          <w:lang w:val="zh-CN" w:eastAsia="zh-CN" w:bidi="zh-CN"/>
        </w:rPr>
        <w:t>暂估价：指发包人在工程量清单中给定的用于支付必然发生但暂时不能确定价格的材料、设备以及专业工程的金额。</w:t>
      </w:r>
    </w:p>
    <w:p w14:paraId="7B87EB0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1.1.5. 6</w:t>
      </w:r>
      <w:r>
        <w:rPr>
          <w:rFonts w:hint="eastAsia" w:ascii="宋体" w:hAnsi="宋体" w:eastAsia="宋体" w:cs="宋体"/>
          <w:color w:val="auto"/>
          <w:kern w:val="2"/>
          <w:sz w:val="24"/>
          <w:szCs w:val="24"/>
          <w:highlight w:val="none"/>
          <w:lang w:val="zh-CN" w:eastAsia="zh-CN" w:bidi="zh-CN"/>
        </w:rPr>
        <w:t>计日工：指对零星工作采取的一种计价方式，按合同中的计日工子目及其单 价计价付款。</w:t>
      </w:r>
    </w:p>
    <w:p w14:paraId="6AEFB19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1.1.5.7</w:t>
      </w:r>
      <w:r>
        <w:rPr>
          <w:rFonts w:hint="eastAsia" w:ascii="宋体" w:hAnsi="宋体" w:eastAsia="宋体" w:cs="宋体"/>
          <w:color w:val="auto"/>
          <w:kern w:val="2"/>
          <w:sz w:val="24"/>
          <w:szCs w:val="24"/>
          <w:highlight w:val="none"/>
          <w:lang w:val="zh-CN" w:eastAsia="zh-CN" w:bidi="zh-CN"/>
        </w:rPr>
        <w:t>质量保证金(或称保留金)：指按第</w:t>
      </w:r>
      <w:r>
        <w:rPr>
          <w:rFonts w:hint="eastAsia" w:ascii="宋体" w:hAnsi="宋体" w:eastAsia="宋体" w:cs="宋体"/>
          <w:color w:val="auto"/>
          <w:kern w:val="2"/>
          <w:sz w:val="24"/>
          <w:szCs w:val="24"/>
          <w:highlight w:val="none"/>
          <w:lang w:val="en-US" w:eastAsia="zh-CN" w:bidi="en-US"/>
        </w:rPr>
        <w:t>17.4.1</w:t>
      </w:r>
      <w:r>
        <w:rPr>
          <w:rFonts w:hint="eastAsia" w:ascii="宋体" w:hAnsi="宋体" w:eastAsia="宋体" w:cs="宋体"/>
          <w:color w:val="auto"/>
          <w:kern w:val="2"/>
          <w:sz w:val="24"/>
          <w:szCs w:val="24"/>
          <w:highlight w:val="none"/>
          <w:lang w:val="zh-CN" w:eastAsia="zh-CN" w:bidi="zh-CN"/>
        </w:rPr>
        <w:t>项约定用于保证在缺陷责任期内履行缺陷修复义务的金额。</w:t>
      </w:r>
    </w:p>
    <w:p w14:paraId="2604DAF9">
      <w:pPr>
        <w:pageBreakBefore w:val="0"/>
        <w:widowControl w:val="0"/>
        <w:kinsoku/>
        <w:wordWrap/>
        <w:overflowPunct/>
        <w:topLinePunct w:val="0"/>
        <w:bidi w:val="0"/>
        <w:spacing w:after="0" w:line="360" w:lineRule="auto"/>
        <w:ind w:left="0" w:leftChars="0"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1.1.6</w:t>
      </w:r>
      <w:r>
        <w:rPr>
          <w:rFonts w:hint="eastAsia" w:ascii="宋体" w:hAnsi="宋体" w:eastAsia="宋体" w:cs="宋体"/>
          <w:color w:val="auto"/>
          <w:kern w:val="0"/>
          <w:sz w:val="24"/>
          <w:szCs w:val="24"/>
          <w:highlight w:val="none"/>
          <w:lang w:val="zh-CN" w:eastAsia="zh-CN" w:bidi="zh-CN"/>
        </w:rPr>
        <w:t>其他</w:t>
      </w:r>
    </w:p>
    <w:p w14:paraId="6A2B3B4F">
      <w:pPr>
        <w:pageBreakBefore w:val="0"/>
        <w:widowControl w:val="0"/>
        <w:tabs>
          <w:tab w:val="left" w:pos="954"/>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1.1.6.1</w:t>
      </w:r>
      <w:r>
        <w:rPr>
          <w:rFonts w:hint="eastAsia" w:ascii="宋体" w:hAnsi="宋体" w:eastAsia="宋体" w:cs="宋体"/>
          <w:color w:val="auto"/>
          <w:kern w:val="2"/>
          <w:sz w:val="24"/>
          <w:szCs w:val="24"/>
          <w:highlight w:val="none"/>
          <w:lang w:val="zh-CN" w:eastAsia="zh-CN" w:bidi="zh-CN"/>
        </w:rPr>
        <w:t>书面形式：指合同文件、信函、电报、传真等可以有形地表现所载内容的形式。</w:t>
      </w:r>
    </w:p>
    <w:p w14:paraId="7E886988">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1.2语言文字</w:t>
      </w:r>
    </w:p>
    <w:p w14:paraId="03F08F2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除专用术语外，合同使用的语言文字为中文。必要时专用术语应附有中文注释。</w:t>
      </w:r>
    </w:p>
    <w:p w14:paraId="0F8D3280">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1.3法律</w:t>
      </w:r>
    </w:p>
    <w:p w14:paraId="652D2AEE">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适用于合同的法律包括中华人民共和国法律、行政法规、部门规章，以及工程所在地的地方法规、自治条例、单行条例和地方政府规章。</w:t>
      </w:r>
    </w:p>
    <w:p w14:paraId="2CC299C7">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1.4合同文件的优先顺序</w:t>
      </w:r>
    </w:p>
    <w:p w14:paraId="4107B45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组成合同的各项文件应互相解释，互为说明。除专用合同条款另有约定外，解释合同文件的优先顺序如下：</w:t>
      </w:r>
    </w:p>
    <w:p w14:paraId="5EDE57AA">
      <w:pPr>
        <w:pageBreakBefore w:val="0"/>
        <w:widowControl w:val="0"/>
        <w:numPr>
          <w:ilvl w:val="0"/>
          <w:numId w:val="5"/>
        </w:numPr>
        <w:tabs>
          <w:tab w:val="left" w:pos="92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合同协议书；</w:t>
      </w:r>
    </w:p>
    <w:p w14:paraId="06366374">
      <w:pPr>
        <w:pageBreakBefore w:val="0"/>
        <w:widowControl w:val="0"/>
        <w:numPr>
          <w:ilvl w:val="0"/>
          <w:numId w:val="5"/>
        </w:numPr>
        <w:tabs>
          <w:tab w:val="left" w:pos="92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中标通知书；</w:t>
      </w:r>
    </w:p>
    <w:p w14:paraId="7DE05FE6">
      <w:pPr>
        <w:pageBreakBefore w:val="0"/>
        <w:widowControl w:val="0"/>
        <w:numPr>
          <w:ilvl w:val="0"/>
          <w:numId w:val="5"/>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投标函及投标函附录；</w:t>
      </w:r>
    </w:p>
    <w:p w14:paraId="45DA2269">
      <w:pPr>
        <w:pageBreakBefore w:val="0"/>
        <w:widowControl w:val="0"/>
        <w:numPr>
          <w:ilvl w:val="0"/>
          <w:numId w:val="5"/>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专用合同条款；</w:t>
      </w:r>
    </w:p>
    <w:p w14:paraId="0CB74A80">
      <w:pPr>
        <w:pageBreakBefore w:val="0"/>
        <w:widowControl w:val="0"/>
        <w:numPr>
          <w:ilvl w:val="0"/>
          <w:numId w:val="5"/>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通用合同条款；</w:t>
      </w:r>
    </w:p>
    <w:p w14:paraId="3DA223CC">
      <w:pPr>
        <w:pageBreakBefore w:val="0"/>
        <w:widowControl w:val="0"/>
        <w:numPr>
          <w:ilvl w:val="0"/>
          <w:numId w:val="5"/>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技术标准和要求；</w:t>
      </w:r>
    </w:p>
    <w:p w14:paraId="709A2D88">
      <w:pPr>
        <w:pageBreakBefore w:val="0"/>
        <w:widowControl w:val="0"/>
        <w:numPr>
          <w:ilvl w:val="0"/>
          <w:numId w:val="5"/>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图纸；</w:t>
      </w:r>
    </w:p>
    <w:p w14:paraId="7251C109">
      <w:pPr>
        <w:pageBreakBefore w:val="0"/>
        <w:widowControl w:val="0"/>
        <w:numPr>
          <w:ilvl w:val="0"/>
          <w:numId w:val="5"/>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已标价工程量清单；</w:t>
      </w:r>
    </w:p>
    <w:p w14:paraId="67426893">
      <w:pPr>
        <w:pageBreakBefore w:val="0"/>
        <w:widowControl w:val="0"/>
        <w:numPr>
          <w:ilvl w:val="0"/>
          <w:numId w:val="5"/>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其他合同文件。</w:t>
      </w:r>
    </w:p>
    <w:p w14:paraId="7F2294C7">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1.5合同协议书</w:t>
      </w:r>
    </w:p>
    <w:p w14:paraId="2B0F3E8D">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承包人按中标通知书规定的时间与发包人签订合同协议书。除法律另有规定或合同另有约定外，发包人和承包人的法定代表人或其委托代理人在合同协议书上签字并盖单位电子公章后，合同生效。</w:t>
      </w:r>
    </w:p>
    <w:p w14:paraId="6EDB84EB">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1.6图纸和承包人文件</w:t>
      </w:r>
    </w:p>
    <w:p w14:paraId="70CED6EB">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1.6.1</w:t>
      </w:r>
      <w:r>
        <w:rPr>
          <w:rFonts w:hint="eastAsia" w:ascii="宋体" w:hAnsi="宋体" w:eastAsia="宋体" w:cs="宋体"/>
          <w:color w:val="auto"/>
          <w:kern w:val="2"/>
          <w:sz w:val="24"/>
          <w:szCs w:val="24"/>
          <w:highlight w:val="none"/>
          <w:lang w:val="zh-CN" w:eastAsia="zh-CN" w:bidi="zh-CN"/>
        </w:rPr>
        <w:t>图纸的提供</w:t>
      </w:r>
    </w:p>
    <w:p w14:paraId="109CF3B1">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发包人应按技术标准和要求(合同技术条款)约定的期限和数量将施工图纸以及其它图纸（包括配套说明和有关资料）提供给承包人。由于发包人未按时提供图纸造成工期延误的，按第</w:t>
      </w:r>
      <w:r>
        <w:rPr>
          <w:rFonts w:hint="eastAsia" w:ascii="宋体" w:hAnsi="宋体" w:eastAsia="宋体" w:cs="宋体"/>
          <w:color w:val="auto"/>
          <w:kern w:val="2"/>
          <w:sz w:val="24"/>
          <w:szCs w:val="24"/>
          <w:highlight w:val="none"/>
          <w:lang w:val="en-US" w:eastAsia="zh-CN" w:bidi="en-US"/>
        </w:rPr>
        <w:t xml:space="preserve">11. </w:t>
      </w:r>
      <w:r>
        <w:rPr>
          <w:rFonts w:hint="eastAsia" w:ascii="宋体" w:hAnsi="宋体" w:eastAsia="宋体" w:cs="宋体"/>
          <w:color w:val="auto"/>
          <w:kern w:val="2"/>
          <w:sz w:val="24"/>
          <w:szCs w:val="24"/>
          <w:highlight w:val="none"/>
          <w:lang w:val="zh-CN" w:eastAsia="zh-CN" w:bidi="zh-CN"/>
        </w:rPr>
        <w:t>3款的约定办理。</w:t>
      </w:r>
    </w:p>
    <w:p w14:paraId="5CADF948">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zh-CN"/>
        </w:rPr>
        <w:t>1.6.</w:t>
      </w:r>
      <w:r>
        <w:rPr>
          <w:rFonts w:hint="eastAsia" w:ascii="宋体" w:hAnsi="宋体" w:eastAsia="宋体" w:cs="宋体"/>
          <w:color w:val="auto"/>
          <w:kern w:val="2"/>
          <w:sz w:val="24"/>
          <w:szCs w:val="24"/>
          <w:highlight w:val="none"/>
          <w:lang w:val="zh-CN" w:eastAsia="zh-CN" w:bidi="zh-CN"/>
        </w:rPr>
        <w:t>2承包人提供的文件</w:t>
      </w:r>
    </w:p>
    <w:p w14:paraId="50C5E98B">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承包人提供的文件应按技术标准和要求（合同技术条款）约定的期限和数量提供给监理人。监理人应按技术标准和要求（合同技术条款）约定的期限批复承包人。</w:t>
      </w:r>
    </w:p>
    <w:p w14:paraId="03BC328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zh-CN"/>
        </w:rPr>
        <w:t>1.6.3</w:t>
      </w:r>
      <w:r>
        <w:rPr>
          <w:rFonts w:hint="eastAsia" w:ascii="宋体" w:hAnsi="宋体" w:eastAsia="宋体" w:cs="宋体"/>
          <w:color w:val="auto"/>
          <w:kern w:val="2"/>
          <w:sz w:val="24"/>
          <w:szCs w:val="24"/>
          <w:highlight w:val="none"/>
          <w:lang w:val="zh-CN" w:eastAsia="zh-CN" w:bidi="zh-CN"/>
        </w:rPr>
        <w:t>图纸的修改</w:t>
      </w:r>
    </w:p>
    <w:p w14:paraId="524394B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设计人需要对已发给承包人的施工图纸进行修改时，监理人应在技术标准和要求（合同技术条款）约定的期限内签发施工图纸的修改图给承包人。承包人应按技术标准和要求（合同技术条款）的约定编制一份承包人实施计划提交监理人批准后执行。</w:t>
      </w:r>
    </w:p>
    <w:p w14:paraId="3AC2BC0E">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zh-CN"/>
        </w:rPr>
        <w:t>1.6.4</w:t>
      </w:r>
      <w:r>
        <w:rPr>
          <w:rFonts w:hint="eastAsia" w:ascii="宋体" w:hAnsi="宋体" w:eastAsia="宋体" w:cs="宋体"/>
          <w:color w:val="auto"/>
          <w:kern w:val="2"/>
          <w:sz w:val="24"/>
          <w:szCs w:val="24"/>
          <w:highlight w:val="none"/>
          <w:lang w:val="zh-CN" w:eastAsia="zh-CN" w:bidi="zh-CN"/>
        </w:rPr>
        <w:t>图纸的错误</w:t>
      </w:r>
    </w:p>
    <w:p w14:paraId="0B48C28C">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承包人发现发包人提供的图纸存在明显错误或疏忽，应及时通知监理人。</w:t>
      </w:r>
    </w:p>
    <w:p w14:paraId="64F8A2D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zh-CN"/>
        </w:rPr>
        <w:t>1.6.5</w:t>
      </w:r>
      <w:r>
        <w:rPr>
          <w:rFonts w:hint="eastAsia" w:ascii="宋体" w:hAnsi="宋体" w:eastAsia="宋体" w:cs="宋体"/>
          <w:color w:val="auto"/>
          <w:kern w:val="2"/>
          <w:sz w:val="24"/>
          <w:szCs w:val="24"/>
          <w:highlight w:val="none"/>
          <w:lang w:val="zh-CN" w:eastAsia="zh-CN" w:bidi="zh-CN"/>
        </w:rPr>
        <w:t>图纸和承包人文件的保管</w:t>
      </w:r>
    </w:p>
    <w:p w14:paraId="49F634E8">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监理人和承包人均应在施工场地各保存一套完整的包含第</w:t>
      </w:r>
      <w:r>
        <w:rPr>
          <w:rFonts w:hint="eastAsia" w:ascii="宋体" w:hAnsi="宋体" w:eastAsia="宋体" w:cs="宋体"/>
          <w:color w:val="auto"/>
          <w:kern w:val="2"/>
          <w:sz w:val="24"/>
          <w:szCs w:val="24"/>
          <w:highlight w:val="none"/>
          <w:lang w:val="en-US" w:eastAsia="zh-CN" w:bidi="en-US"/>
        </w:rPr>
        <w:t xml:space="preserve">1. 6. </w:t>
      </w:r>
      <w:r>
        <w:rPr>
          <w:rFonts w:hint="eastAsia" w:ascii="宋体" w:hAnsi="宋体" w:eastAsia="宋体" w:cs="宋体"/>
          <w:color w:val="auto"/>
          <w:kern w:val="2"/>
          <w:sz w:val="24"/>
          <w:szCs w:val="24"/>
          <w:highlight w:val="none"/>
          <w:lang w:val="zh-CN" w:eastAsia="zh-CN" w:bidi="zh-CN"/>
        </w:rPr>
        <w:t>1项、第</w:t>
      </w:r>
      <w:r>
        <w:rPr>
          <w:rFonts w:hint="eastAsia" w:ascii="宋体" w:hAnsi="宋体" w:eastAsia="宋体" w:cs="宋体"/>
          <w:color w:val="auto"/>
          <w:kern w:val="2"/>
          <w:sz w:val="24"/>
          <w:szCs w:val="24"/>
          <w:highlight w:val="none"/>
          <w:lang w:val="en-US" w:eastAsia="zh-CN" w:bidi="en-US"/>
        </w:rPr>
        <w:t>1.6.2</w:t>
      </w:r>
      <w:r>
        <w:rPr>
          <w:rFonts w:hint="eastAsia" w:ascii="宋体" w:hAnsi="宋体" w:eastAsia="宋体" w:cs="宋体"/>
          <w:color w:val="auto"/>
          <w:kern w:val="2"/>
          <w:sz w:val="24"/>
          <w:szCs w:val="24"/>
          <w:highlight w:val="none"/>
          <w:lang w:val="zh-CN" w:eastAsia="zh-CN" w:bidi="zh-CN"/>
        </w:rPr>
        <w:t xml:space="preserve">项、第 </w:t>
      </w:r>
      <w:r>
        <w:rPr>
          <w:rFonts w:hint="eastAsia" w:ascii="宋体" w:hAnsi="宋体" w:eastAsia="宋体" w:cs="宋体"/>
          <w:color w:val="auto"/>
          <w:kern w:val="2"/>
          <w:sz w:val="24"/>
          <w:szCs w:val="24"/>
          <w:highlight w:val="none"/>
          <w:lang w:val="en-US" w:eastAsia="zh-CN" w:bidi="en-US"/>
        </w:rPr>
        <w:t xml:space="preserve">1.6. </w:t>
      </w:r>
      <w:r>
        <w:rPr>
          <w:rFonts w:hint="eastAsia" w:ascii="宋体" w:hAnsi="宋体" w:eastAsia="宋体" w:cs="宋体"/>
          <w:color w:val="auto"/>
          <w:kern w:val="2"/>
          <w:sz w:val="24"/>
          <w:szCs w:val="24"/>
          <w:highlight w:val="none"/>
          <w:lang w:val="zh-CN" w:eastAsia="zh-CN" w:bidi="zh-CN"/>
        </w:rPr>
        <w:t>3项约定内容的图纸和承包人文件。</w:t>
      </w:r>
    </w:p>
    <w:p w14:paraId="109DDE8E">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1.7联络</w:t>
      </w:r>
    </w:p>
    <w:p w14:paraId="7E9FA4A5">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1.7.1</w:t>
      </w:r>
      <w:r>
        <w:rPr>
          <w:rFonts w:hint="eastAsia" w:ascii="宋体" w:hAnsi="宋体" w:eastAsia="宋体" w:cs="宋体"/>
          <w:color w:val="auto"/>
          <w:kern w:val="2"/>
          <w:sz w:val="24"/>
          <w:szCs w:val="24"/>
          <w:highlight w:val="none"/>
          <w:lang w:val="zh-CN" w:eastAsia="zh-CN" w:bidi="zh-CN"/>
        </w:rPr>
        <w:t>与合同有关的通知、批准、证明、证书、指示、要求、请求、同意、意见、确 定和决定等，均应采用书面形式。</w:t>
      </w:r>
    </w:p>
    <w:p w14:paraId="3CA5B9C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1.7.2</w:t>
      </w:r>
      <w:r>
        <w:rPr>
          <w:rFonts w:hint="eastAsia" w:ascii="宋体" w:hAnsi="宋体" w:eastAsia="宋体" w:cs="宋体"/>
          <w:color w:val="auto"/>
          <w:kern w:val="2"/>
          <w:sz w:val="24"/>
          <w:szCs w:val="24"/>
          <w:highlight w:val="none"/>
          <w:lang w:val="zh-CN" w:eastAsia="zh-CN" w:bidi="zh-CN"/>
        </w:rPr>
        <w:t>第</w:t>
      </w:r>
      <w:r>
        <w:rPr>
          <w:rFonts w:hint="eastAsia" w:ascii="宋体" w:hAnsi="宋体" w:eastAsia="宋体" w:cs="宋体"/>
          <w:color w:val="auto"/>
          <w:kern w:val="2"/>
          <w:sz w:val="24"/>
          <w:szCs w:val="24"/>
          <w:highlight w:val="none"/>
          <w:lang w:val="en-US" w:eastAsia="zh-CN" w:bidi="en-US"/>
        </w:rPr>
        <w:t>1.7.1</w:t>
      </w:r>
      <w:r>
        <w:rPr>
          <w:rFonts w:hint="eastAsia" w:ascii="宋体" w:hAnsi="宋体" w:eastAsia="宋体" w:cs="宋体"/>
          <w:color w:val="auto"/>
          <w:kern w:val="2"/>
          <w:sz w:val="24"/>
          <w:szCs w:val="24"/>
          <w:highlight w:val="none"/>
          <w:lang w:val="zh-CN" w:eastAsia="zh-CN" w:bidi="zh-CN"/>
        </w:rPr>
        <w:t>项中的通知、批准、证明、证书、指示、要求、请求、同意、意见、 确定和决定等来往函件，均应在合同约定的期限内送达指定地点和接收人，并办理签收手续。来往函件的送达期限在技术标准和要求（合同技术条款）中约定，送达地点在专用合同条款中约定。</w:t>
      </w:r>
    </w:p>
    <w:p w14:paraId="627FD532">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1.7.3</w:t>
      </w:r>
      <w:r>
        <w:rPr>
          <w:rFonts w:hint="eastAsia" w:ascii="宋体" w:hAnsi="宋体" w:eastAsia="宋体" w:cs="宋体"/>
          <w:color w:val="auto"/>
          <w:kern w:val="2"/>
          <w:sz w:val="24"/>
          <w:szCs w:val="24"/>
          <w:highlight w:val="none"/>
          <w:lang w:val="zh-CN" w:eastAsia="zh-CN" w:bidi="zh-CN"/>
        </w:rPr>
        <w:t>来往函件均应按合同约定的期限及时发出和答复，不得无故扣压和拖延，亦不得拒收。否则，由此造成的后果由责任方负责。</w:t>
      </w:r>
    </w:p>
    <w:p w14:paraId="6DFEF6BD">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1.8转让</w:t>
      </w:r>
    </w:p>
    <w:p w14:paraId="563E9028">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除合同另有约定外，未经对方当事人同意，一方当事人不得将合同权利全部或部分转让给第三人，也不得全部或部分转移合同义务。</w:t>
      </w:r>
    </w:p>
    <w:p w14:paraId="4857ACF1">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1.9严禁贿赂</w:t>
      </w:r>
    </w:p>
    <w:p w14:paraId="139E11CF">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合同双方当事人不得以贿赂或变相贿赂的方式，谋取不当利益或损害对方权益。因贿赂造成对方损失的，行为人应赔偿损失，并承担相应的法律责任。</w:t>
      </w:r>
    </w:p>
    <w:p w14:paraId="362B20EC">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1.10化石、文物</w:t>
      </w:r>
    </w:p>
    <w:p w14:paraId="3CA4FD7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 xml:space="preserve">1.10. </w:t>
      </w:r>
      <w:r>
        <w:rPr>
          <w:rFonts w:hint="eastAsia" w:ascii="宋体" w:hAnsi="宋体" w:eastAsia="宋体" w:cs="宋体"/>
          <w:color w:val="auto"/>
          <w:kern w:val="2"/>
          <w:sz w:val="24"/>
          <w:szCs w:val="24"/>
          <w:highlight w:val="none"/>
          <w:lang w:val="zh-CN" w:eastAsia="zh-CN" w:bidi="zh-CN"/>
        </w:rPr>
        <w:t>1在施工场地发掘的所有文物、古迹以及具有地质研究或考古价值的其他遗迹、 化石、钱币或物品属于国家所有。一旦发现上述文物，承包人应采取有效合理的保护措施, 防止任何人员移动或损坏上述物品，并立即报告当地文物行政部门，同时通知监理人。发包人、监理人和承包人应按文物行政部门要求采取妥善保护措施，由此导致费用增加和（或）工期延误由发包人承担。</w:t>
      </w:r>
    </w:p>
    <w:p w14:paraId="57F54EB1">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1.10.</w:t>
      </w:r>
      <w:r>
        <w:rPr>
          <w:rFonts w:hint="eastAsia" w:ascii="宋体" w:hAnsi="宋体" w:eastAsia="宋体" w:cs="宋体"/>
          <w:color w:val="auto"/>
          <w:kern w:val="2"/>
          <w:sz w:val="24"/>
          <w:szCs w:val="24"/>
          <w:highlight w:val="none"/>
          <w:lang w:val="zh-CN" w:eastAsia="zh-CN" w:bidi="zh-CN"/>
        </w:rPr>
        <w:t>2承包人发现文物后不及时报告或隐瞒不报，致使文物丢失或损坏的，应赔偿损失，并承担相应的法律责任。</w:t>
      </w:r>
    </w:p>
    <w:p w14:paraId="3CCA58C4">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1.11专利技术</w:t>
      </w:r>
    </w:p>
    <w:p w14:paraId="0826A99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1.11.1</w:t>
      </w:r>
      <w:r>
        <w:rPr>
          <w:rFonts w:hint="eastAsia" w:ascii="宋体" w:hAnsi="宋体" w:eastAsia="宋体" w:cs="宋体"/>
          <w:color w:val="auto"/>
          <w:kern w:val="2"/>
          <w:sz w:val="24"/>
          <w:szCs w:val="24"/>
          <w:highlight w:val="none"/>
          <w:lang w:val="zh-CN" w:eastAsia="zh-CN" w:bidi="zh-CN"/>
        </w:rPr>
        <w:t>承包人在使用任何材料、承包人设备、工程设备或采用施工工艺时，因侵犯专利权或其他知识产权所引起的责任，由承包人承担，但由于遵照发包人提供的设计或技术标准和要求引起的除外。</w:t>
      </w:r>
    </w:p>
    <w:p w14:paraId="4E81681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1.11.2</w:t>
      </w:r>
      <w:r>
        <w:rPr>
          <w:rFonts w:hint="eastAsia" w:ascii="宋体" w:hAnsi="宋体" w:eastAsia="宋体" w:cs="宋体"/>
          <w:color w:val="auto"/>
          <w:kern w:val="2"/>
          <w:sz w:val="24"/>
          <w:szCs w:val="24"/>
          <w:highlight w:val="none"/>
          <w:lang w:val="zh-CN" w:eastAsia="zh-CN" w:bidi="zh-CN"/>
        </w:rPr>
        <w:t>承包人在投标文件中采用专利技术的，专利技术的使用费包含在投标报价内。</w:t>
      </w:r>
    </w:p>
    <w:p w14:paraId="30CE3151">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1.11.3</w:t>
      </w:r>
      <w:r>
        <w:rPr>
          <w:rFonts w:hint="eastAsia" w:ascii="宋体" w:hAnsi="宋体" w:eastAsia="宋体" w:cs="宋体"/>
          <w:color w:val="auto"/>
          <w:kern w:val="2"/>
          <w:sz w:val="24"/>
          <w:szCs w:val="24"/>
          <w:highlight w:val="none"/>
          <w:lang w:val="zh-CN" w:eastAsia="zh-CN" w:bidi="zh-CN"/>
        </w:rPr>
        <w:t>承包人的技术秘密和声明需要保密的资料和信息，发包人和监理人不得为合同以外的目的泄露给他人。</w:t>
      </w:r>
    </w:p>
    <w:p w14:paraId="7D53EF57">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1.11.4</w:t>
      </w:r>
      <w:r>
        <w:rPr>
          <w:rFonts w:hint="eastAsia" w:ascii="宋体" w:hAnsi="宋体" w:eastAsia="宋体" w:cs="宋体"/>
          <w:color w:val="auto"/>
          <w:kern w:val="2"/>
          <w:sz w:val="24"/>
          <w:szCs w:val="24"/>
          <w:highlight w:val="none"/>
          <w:lang w:val="zh-CN" w:eastAsia="zh-CN" w:bidi="zh-CN"/>
        </w:rPr>
        <w:t>合同实施过程中，发包人要求承包人采用专利技术的，发包人应办理相应的使用手续，承包人应按发包人约定的条件使用，并承担使用专利技术的相关试验工作。所需的费用由发包人承担。</w:t>
      </w:r>
    </w:p>
    <w:p w14:paraId="360EC8CC">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1.12图纸和文件的保密</w:t>
      </w:r>
    </w:p>
    <w:p w14:paraId="4D3FFC96">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1.12.1</w:t>
      </w:r>
      <w:r>
        <w:rPr>
          <w:rFonts w:hint="eastAsia" w:ascii="宋体" w:hAnsi="宋体" w:eastAsia="宋体" w:cs="宋体"/>
          <w:color w:val="auto"/>
          <w:kern w:val="2"/>
          <w:sz w:val="24"/>
          <w:szCs w:val="24"/>
          <w:highlight w:val="none"/>
          <w:lang w:val="zh-CN" w:eastAsia="zh-CN" w:bidi="zh-CN"/>
        </w:rPr>
        <w:t>发包人提供的图纸和文件，未经发包人书面同意，承包人不得为合同以外的目的泄露给他人或公开发表与引用。</w:t>
      </w:r>
    </w:p>
    <w:p w14:paraId="2D4A0B5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1.12.2</w:t>
      </w:r>
      <w:r>
        <w:rPr>
          <w:rFonts w:hint="eastAsia" w:ascii="宋体" w:hAnsi="宋体" w:eastAsia="宋体" w:cs="宋体"/>
          <w:color w:val="auto"/>
          <w:kern w:val="2"/>
          <w:sz w:val="24"/>
          <w:szCs w:val="24"/>
          <w:highlight w:val="none"/>
          <w:lang w:val="zh-CN" w:eastAsia="zh-CN" w:bidi="zh-CN"/>
        </w:rPr>
        <w:t>承包人提供的文件，未经承包人同意，发包人和监理人不得为合同以外的目的泄露给他人或公开发表与引用。</w:t>
      </w:r>
    </w:p>
    <w:p w14:paraId="72606667">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08" w:name="_Toc13777"/>
      <w:r>
        <w:rPr>
          <w:rFonts w:hint="eastAsia" w:ascii="宋体" w:hAnsi="宋体" w:eastAsia="宋体" w:cs="宋体"/>
          <w:color w:val="auto"/>
          <w:kern w:val="2"/>
          <w:sz w:val="24"/>
          <w:szCs w:val="24"/>
          <w:highlight w:val="none"/>
          <w:lang w:val="en-US" w:eastAsia="zh-CN" w:bidi="ar-SA"/>
        </w:rPr>
        <w:t>2.发包人义务</w:t>
      </w:r>
      <w:bookmarkEnd w:id="208"/>
    </w:p>
    <w:p w14:paraId="1413D7D5">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2.1遵守法律</w:t>
      </w:r>
    </w:p>
    <w:p w14:paraId="6D20F180">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发包人在履行合同过程中应遵守法律，并保证承包人免于承担因发包人违反法律而引 起的任何责任。</w:t>
      </w:r>
    </w:p>
    <w:p w14:paraId="7E2A62CA">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2.2发出开工通知</w:t>
      </w:r>
    </w:p>
    <w:p w14:paraId="6B1C503D">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发包人应委托监理人按第</w:t>
      </w:r>
      <w:r>
        <w:rPr>
          <w:rFonts w:hint="eastAsia" w:ascii="宋体" w:hAnsi="宋体" w:eastAsia="宋体" w:cs="宋体"/>
          <w:color w:val="auto"/>
          <w:kern w:val="2"/>
          <w:sz w:val="24"/>
          <w:szCs w:val="24"/>
          <w:highlight w:val="none"/>
          <w:lang w:val="en-US" w:eastAsia="zh-CN" w:bidi="en-US"/>
        </w:rPr>
        <w:t xml:space="preserve">H. </w:t>
      </w:r>
      <w:r>
        <w:rPr>
          <w:rFonts w:hint="eastAsia" w:ascii="宋体" w:hAnsi="宋体" w:eastAsia="宋体" w:cs="宋体"/>
          <w:color w:val="auto"/>
          <w:kern w:val="2"/>
          <w:sz w:val="24"/>
          <w:szCs w:val="24"/>
          <w:highlight w:val="none"/>
          <w:lang w:val="zh-CN" w:eastAsia="zh-CN" w:bidi="zh-CN"/>
        </w:rPr>
        <w:t>1款的约定向承包人发出开工通知。</w:t>
      </w:r>
    </w:p>
    <w:p w14:paraId="6D000013">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2.3提供施工场地</w:t>
      </w:r>
    </w:p>
    <w:p w14:paraId="7EBA5A8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2.3.1</w:t>
      </w:r>
      <w:r>
        <w:rPr>
          <w:rFonts w:hint="eastAsia" w:ascii="宋体" w:hAnsi="宋体" w:eastAsia="宋体" w:cs="宋体"/>
          <w:color w:val="auto"/>
          <w:kern w:val="2"/>
          <w:sz w:val="24"/>
          <w:szCs w:val="24"/>
          <w:highlight w:val="none"/>
          <w:lang w:val="zh-CN" w:eastAsia="zh-CN" w:bidi="zh-CN"/>
        </w:rPr>
        <w:t>发包人应在合同双方签定合同协议书后的14天内，将本合同工程的施工场地范围图提交给承包人。发包人提供的施工用地范围图应标明用地范围内永久占地与临时占地的范围和界限，以及指明提供给承包人用于施工场地布置的范围和界限及其有关资料。</w:t>
      </w:r>
    </w:p>
    <w:p w14:paraId="236ACF7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2.3.2</w:t>
      </w:r>
      <w:r>
        <w:rPr>
          <w:rFonts w:hint="eastAsia" w:ascii="宋体" w:hAnsi="宋体" w:eastAsia="宋体" w:cs="宋体"/>
          <w:color w:val="auto"/>
          <w:kern w:val="2"/>
          <w:sz w:val="24"/>
          <w:szCs w:val="24"/>
          <w:highlight w:val="none"/>
          <w:lang w:val="zh-CN" w:eastAsia="zh-CN" w:bidi="zh-CN"/>
        </w:rPr>
        <w:t>发包人提供的施工用地范围在专用合同条款中约定。</w:t>
      </w:r>
    </w:p>
    <w:p w14:paraId="292D89D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2.3.3</w:t>
      </w:r>
      <w:r>
        <w:rPr>
          <w:rFonts w:hint="eastAsia" w:ascii="宋体" w:hAnsi="宋体" w:eastAsia="宋体" w:cs="宋体"/>
          <w:color w:val="auto"/>
          <w:kern w:val="2"/>
          <w:sz w:val="24"/>
          <w:szCs w:val="24"/>
          <w:highlight w:val="none"/>
          <w:lang w:val="zh-CN" w:eastAsia="zh-CN" w:bidi="zh-CN"/>
        </w:rPr>
        <w:t>除专用合同条款另有约定外，发包人应按技术标准和要求（合同技术条款）的约定，向承包人提供施工场地内的工程地质图纸和报告，以及地下障碍物图纸等施工场地有关资料，并保证资料的真实、准确、完整。</w:t>
      </w:r>
    </w:p>
    <w:p w14:paraId="4A343089">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2.4协助承包人办理证件和批件</w:t>
      </w:r>
    </w:p>
    <w:p w14:paraId="4F5761F1">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发包人应协助承包人办理法律规定的有关施工证件和批件。</w:t>
      </w:r>
    </w:p>
    <w:p w14:paraId="66414FCC">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2.5组织设计交底</w:t>
      </w:r>
    </w:p>
    <w:p w14:paraId="72A20FAC">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发包人应根据合同进度计划，组织设计单位向承包人进行设计交底。</w:t>
      </w:r>
    </w:p>
    <w:p w14:paraId="2A857D5C">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2.6支付合同价款</w:t>
      </w:r>
    </w:p>
    <w:p w14:paraId="4B1051DD">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发包人应按合同约定向承包人及时支付合同价款。</w:t>
      </w:r>
    </w:p>
    <w:p w14:paraId="7F57114F">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2.7组织竣工验收（组织法人验收）</w:t>
      </w:r>
    </w:p>
    <w:p w14:paraId="5FE2D1BC">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发包人应按合同约定及时组织法人验收。</w:t>
      </w:r>
    </w:p>
    <w:p w14:paraId="5C22306B">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2.8其它义务</w:t>
      </w:r>
    </w:p>
    <w:p w14:paraId="29BAD36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其它义务在专用合同条款中补充约定。</w:t>
      </w:r>
    </w:p>
    <w:p w14:paraId="27E22B7B">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09" w:name="_Toc14575"/>
      <w:r>
        <w:rPr>
          <w:rFonts w:hint="eastAsia" w:ascii="宋体" w:hAnsi="宋体" w:eastAsia="宋体" w:cs="宋体"/>
          <w:color w:val="auto"/>
          <w:kern w:val="2"/>
          <w:sz w:val="24"/>
          <w:szCs w:val="24"/>
          <w:highlight w:val="none"/>
          <w:lang w:val="en-US" w:eastAsia="zh-CN" w:bidi="ar-SA"/>
        </w:rPr>
        <w:t>3.监理人</w:t>
      </w:r>
      <w:bookmarkEnd w:id="209"/>
    </w:p>
    <w:p w14:paraId="205978F5">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3.1监理人的职责和权利</w:t>
      </w:r>
    </w:p>
    <w:p w14:paraId="0D8169CB">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3.1.1</w:t>
      </w:r>
      <w:r>
        <w:rPr>
          <w:rFonts w:hint="eastAsia" w:ascii="宋体" w:hAnsi="宋体" w:eastAsia="宋体" w:cs="宋体"/>
          <w:color w:val="auto"/>
          <w:kern w:val="2"/>
          <w:sz w:val="24"/>
          <w:szCs w:val="24"/>
          <w:highlight w:val="none"/>
          <w:lang w:val="zh-CN" w:eastAsia="zh-CN" w:bidi="zh-CN"/>
        </w:rPr>
        <w:t>监理人受发包人的委托，享有合同约定的权力。监理人的权力范围在专用合同条款中约定。当监理人认为出现了危及生命、工程或毗邻财产等安全的紧急事件时，在不免除合同约定的承包人责任的情况下，监理人可以指示承包人实施为消除或减少这种危险 所必须进行的工作，即使没有发包人的事先批准，承包人也应立即遵照执行。监理人应按 第15条的约定增加相应的费用，并通知承包人。</w:t>
      </w:r>
    </w:p>
    <w:p w14:paraId="15B53B92">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3.1.2</w:t>
      </w:r>
      <w:r>
        <w:rPr>
          <w:rFonts w:hint="eastAsia" w:ascii="宋体" w:hAnsi="宋体" w:eastAsia="宋体" w:cs="宋体"/>
          <w:color w:val="auto"/>
          <w:kern w:val="2"/>
          <w:sz w:val="24"/>
          <w:szCs w:val="24"/>
          <w:highlight w:val="none"/>
          <w:lang w:val="zh-CN" w:eastAsia="zh-CN" w:bidi="zh-CN"/>
        </w:rPr>
        <w:t>监理人发出的任何指示应视为已得到发包人的批准，但监理人无权免除或变更合同约定的发包人和承包人的权利、义务和责任。</w:t>
      </w:r>
    </w:p>
    <w:p w14:paraId="45EFAC25">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3.1.3</w:t>
      </w:r>
      <w:r>
        <w:rPr>
          <w:rFonts w:hint="eastAsia" w:ascii="宋体" w:hAnsi="宋体" w:eastAsia="宋体" w:cs="宋体"/>
          <w:color w:val="auto"/>
          <w:kern w:val="2"/>
          <w:sz w:val="24"/>
          <w:szCs w:val="24"/>
          <w:highlight w:val="none"/>
          <w:lang w:val="zh-CN" w:eastAsia="zh-CN" w:bidi="zh-CN"/>
        </w:rPr>
        <w:t>合同约定应由承包人承担的义务和责任，不因监理人对承包人提交文件的审查或批准，对工程、材料和设备的检查和检验，以及为实施监理作出的指示等职务行为而减轻或解除。</w:t>
      </w:r>
    </w:p>
    <w:p w14:paraId="4F3CE097">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3.2总监理工程师</w:t>
      </w:r>
    </w:p>
    <w:p w14:paraId="1DFD491D">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发包人应在发出开工通知前将总监理工程师的任命通知承包人。总监理工程师更换时, 应在调离14天前通知承包人。总监理工程师短期离开施工场地的，应委派代表代行其职 责，并通知承包人。</w:t>
      </w:r>
    </w:p>
    <w:p w14:paraId="38E44A7E">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3.3监理人员</w:t>
      </w:r>
    </w:p>
    <w:p w14:paraId="1ADBC746">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3.3.1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承包人。</w:t>
      </w:r>
    </w:p>
    <w:p w14:paraId="76CA485E">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3.3.2</w:t>
      </w:r>
      <w:r>
        <w:rPr>
          <w:rFonts w:hint="eastAsia" w:ascii="宋体" w:hAnsi="宋体" w:eastAsia="宋体" w:cs="宋体"/>
          <w:color w:val="auto"/>
          <w:kern w:val="2"/>
          <w:sz w:val="24"/>
          <w:szCs w:val="24"/>
          <w:highlight w:val="none"/>
          <w:lang w:val="zh-CN" w:eastAsia="zh-CN" w:bidi="zh-CN"/>
        </w:rPr>
        <w:t>监理人员对承包人的任何工作、工程或其采用的材料和工程设备未在约定的或合理的期限内提出否定意见的，视为已获批准，但不影响监理人在以后拒绝该项工作、工程、材料或工程设备的权利。</w:t>
      </w:r>
    </w:p>
    <w:p w14:paraId="2705E83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3.3.3</w:t>
      </w:r>
      <w:r>
        <w:rPr>
          <w:rFonts w:hint="eastAsia" w:ascii="宋体" w:hAnsi="宋体" w:eastAsia="宋体" w:cs="宋体"/>
          <w:color w:val="auto"/>
          <w:kern w:val="2"/>
          <w:sz w:val="24"/>
          <w:szCs w:val="24"/>
          <w:highlight w:val="none"/>
          <w:lang w:val="zh-CN" w:eastAsia="zh-CN" w:bidi="zh-CN"/>
        </w:rPr>
        <w:t>承包人对总监理工程师授权的监理人员发出的指示有疑问的，可向总监理工程师提出书面异议，总监理工程师应在48小时内对该指示予以确认、更改或撤销。</w:t>
      </w:r>
    </w:p>
    <w:p w14:paraId="352F9838">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3.3.4除专用合同条款另有约定外，总监理工程师不应将第3. 5款约定应由总监理工程师作出确定的权力授权或委托给其他监理人员。</w:t>
      </w:r>
    </w:p>
    <w:p w14:paraId="6DD2DCAC">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3.4监理人的指示</w:t>
      </w:r>
    </w:p>
    <w:p w14:paraId="2CDDE6AB">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3.4.</w:t>
      </w:r>
      <w:r>
        <w:rPr>
          <w:rFonts w:hint="eastAsia" w:ascii="宋体" w:hAnsi="宋体" w:eastAsia="宋体" w:cs="宋体"/>
          <w:color w:val="auto"/>
          <w:kern w:val="2"/>
          <w:sz w:val="24"/>
          <w:szCs w:val="24"/>
          <w:highlight w:val="none"/>
          <w:lang w:val="zh-CN" w:eastAsia="zh-CN" w:bidi="zh-CN"/>
        </w:rPr>
        <w:t>1监理人应按第</w:t>
      </w:r>
      <w:r>
        <w:rPr>
          <w:rFonts w:hint="eastAsia" w:ascii="宋体" w:hAnsi="宋体" w:eastAsia="宋体" w:cs="宋体"/>
          <w:color w:val="auto"/>
          <w:kern w:val="2"/>
          <w:sz w:val="24"/>
          <w:szCs w:val="24"/>
          <w:highlight w:val="none"/>
          <w:lang w:val="en-US" w:eastAsia="zh-CN" w:bidi="en-US"/>
        </w:rPr>
        <w:t xml:space="preserve">3. </w:t>
      </w:r>
      <w:r>
        <w:rPr>
          <w:rFonts w:hint="eastAsia" w:ascii="宋体" w:hAnsi="宋体" w:eastAsia="宋体" w:cs="宋体"/>
          <w:color w:val="auto"/>
          <w:kern w:val="2"/>
          <w:sz w:val="24"/>
          <w:szCs w:val="24"/>
          <w:highlight w:val="none"/>
          <w:lang w:val="zh-CN" w:eastAsia="zh-CN" w:bidi="zh-CN"/>
        </w:rPr>
        <w:t>1款的约定向承包人发出指示，监理人的指示应盖有监理人授权的施工场地机构章，并由总监理工程师或总监理工程师按第</w:t>
      </w:r>
      <w:r>
        <w:rPr>
          <w:rFonts w:hint="eastAsia" w:ascii="宋体" w:hAnsi="宋体" w:eastAsia="宋体" w:cs="宋体"/>
          <w:color w:val="auto"/>
          <w:kern w:val="2"/>
          <w:sz w:val="24"/>
          <w:szCs w:val="24"/>
          <w:highlight w:val="none"/>
          <w:lang w:val="en-US" w:eastAsia="zh-CN" w:bidi="en-US"/>
        </w:rPr>
        <w:t xml:space="preserve">3. 3. </w:t>
      </w:r>
      <w:r>
        <w:rPr>
          <w:rFonts w:hint="eastAsia" w:ascii="宋体" w:hAnsi="宋体" w:eastAsia="宋体" w:cs="宋体"/>
          <w:color w:val="auto"/>
          <w:kern w:val="2"/>
          <w:sz w:val="24"/>
          <w:szCs w:val="24"/>
          <w:highlight w:val="none"/>
          <w:lang w:val="zh-CN" w:eastAsia="zh-CN" w:bidi="zh-CN"/>
        </w:rPr>
        <w:t>1项约定授权的监理人员签字</w:t>
      </w:r>
      <w:r>
        <w:rPr>
          <w:rFonts w:hint="eastAsia" w:ascii="宋体" w:hAnsi="宋体" w:eastAsia="宋体" w:cs="宋体"/>
          <w:color w:val="auto"/>
          <w:kern w:val="2"/>
          <w:sz w:val="24"/>
          <w:szCs w:val="24"/>
          <w:highlight w:val="none"/>
          <w:lang w:val="en-US" w:eastAsia="zh-CN" w:bidi="en-US"/>
        </w:rPr>
        <w:t>。</w:t>
      </w:r>
    </w:p>
    <w:p w14:paraId="0D4A0D40">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3.4.2</w:t>
      </w:r>
      <w:r>
        <w:rPr>
          <w:rFonts w:hint="eastAsia" w:ascii="宋体" w:hAnsi="宋体" w:eastAsia="宋体" w:cs="宋体"/>
          <w:color w:val="auto"/>
          <w:kern w:val="2"/>
          <w:sz w:val="24"/>
          <w:szCs w:val="24"/>
          <w:highlight w:val="none"/>
          <w:lang w:val="zh-CN" w:eastAsia="zh-CN" w:bidi="zh-CN"/>
        </w:rPr>
        <w:t>承包人收到监理人按第</w:t>
      </w:r>
      <w:r>
        <w:rPr>
          <w:rFonts w:hint="eastAsia" w:ascii="宋体" w:hAnsi="宋体" w:eastAsia="宋体" w:cs="宋体"/>
          <w:color w:val="auto"/>
          <w:kern w:val="2"/>
          <w:sz w:val="24"/>
          <w:szCs w:val="24"/>
          <w:highlight w:val="none"/>
          <w:lang w:val="en-US" w:eastAsia="zh-CN" w:bidi="en-US"/>
        </w:rPr>
        <w:t>3. 4.1</w:t>
      </w:r>
      <w:r>
        <w:rPr>
          <w:rFonts w:hint="eastAsia" w:ascii="宋体" w:hAnsi="宋体" w:eastAsia="宋体" w:cs="宋体"/>
          <w:color w:val="auto"/>
          <w:kern w:val="2"/>
          <w:sz w:val="24"/>
          <w:szCs w:val="24"/>
          <w:highlight w:val="none"/>
          <w:lang w:val="zh-CN" w:eastAsia="zh-CN" w:bidi="zh-CN"/>
        </w:rPr>
        <w:t>项作出的指示后应遵照执行。指示构成变更的，应按第15条处理。</w:t>
      </w:r>
    </w:p>
    <w:p w14:paraId="49B4A6CE">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3.4.3</w:t>
      </w:r>
      <w:r>
        <w:rPr>
          <w:rFonts w:hint="eastAsia" w:ascii="宋体" w:hAnsi="宋体" w:eastAsia="宋体" w:cs="宋体"/>
          <w:color w:val="auto"/>
          <w:kern w:val="2"/>
          <w:sz w:val="24"/>
          <w:szCs w:val="24"/>
          <w:highlight w:val="none"/>
          <w:lang w:val="zh-CN" w:eastAsia="zh-CN" w:bidi="zh-CN"/>
        </w:rPr>
        <w:t>在紧急情况下，总监理工程师或被授权的监理人员可以当场签发临时书面指示，承包人应遵照执行。承包人应在收到上述临时书面指示后24小时内，向监理人发出书 面确认函。监理人在收到书面确认函后24小时内未予答复的，该书面确认函应被视为监理人的正式指示。</w:t>
      </w:r>
    </w:p>
    <w:p w14:paraId="5EA5FC4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3.4.4</w:t>
      </w:r>
      <w:r>
        <w:rPr>
          <w:rFonts w:hint="eastAsia" w:ascii="宋体" w:hAnsi="宋体" w:eastAsia="宋体" w:cs="宋体"/>
          <w:color w:val="auto"/>
          <w:kern w:val="2"/>
          <w:sz w:val="24"/>
          <w:szCs w:val="24"/>
          <w:highlight w:val="none"/>
          <w:lang w:val="zh-CN" w:eastAsia="zh-CN" w:bidi="zh-CN"/>
        </w:rPr>
        <w:t>除合同另有约定外，承包人只从总监理工程师或按第</w:t>
      </w:r>
      <w:r>
        <w:rPr>
          <w:rFonts w:hint="eastAsia" w:ascii="宋体" w:hAnsi="宋体" w:eastAsia="宋体" w:cs="宋体"/>
          <w:color w:val="auto"/>
          <w:kern w:val="2"/>
          <w:sz w:val="24"/>
          <w:szCs w:val="24"/>
          <w:highlight w:val="none"/>
          <w:lang w:val="en-US" w:eastAsia="zh-CN" w:bidi="en-US"/>
        </w:rPr>
        <w:t xml:space="preserve">3. 3. </w:t>
      </w:r>
      <w:r>
        <w:rPr>
          <w:rFonts w:hint="eastAsia" w:ascii="宋体" w:hAnsi="宋体" w:eastAsia="宋体" w:cs="宋体"/>
          <w:color w:val="auto"/>
          <w:kern w:val="2"/>
          <w:sz w:val="24"/>
          <w:szCs w:val="24"/>
          <w:highlight w:val="none"/>
          <w:lang w:val="zh-CN" w:eastAsia="zh-CN" w:bidi="zh-CN"/>
        </w:rPr>
        <w:t>1项被授权的监理人员处取得指示。</w:t>
      </w:r>
    </w:p>
    <w:p w14:paraId="708D0EE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3.4.5</w:t>
      </w:r>
      <w:r>
        <w:rPr>
          <w:rFonts w:hint="eastAsia" w:ascii="宋体" w:hAnsi="宋体" w:eastAsia="宋体" w:cs="宋体"/>
          <w:color w:val="auto"/>
          <w:kern w:val="2"/>
          <w:sz w:val="24"/>
          <w:szCs w:val="24"/>
          <w:highlight w:val="none"/>
          <w:lang w:val="zh-CN" w:eastAsia="zh-CN" w:bidi="zh-CN"/>
        </w:rPr>
        <w:t>由于监理人未能按合同约定发出指示、指示延误或指示错误而导致承包人费用增加和（或）工期延误的，由发包人承担赔偿责任。</w:t>
      </w:r>
    </w:p>
    <w:p w14:paraId="6101E43A">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3.5商定或确定</w:t>
      </w:r>
    </w:p>
    <w:p w14:paraId="5A630871">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3.5.1</w:t>
      </w:r>
      <w:r>
        <w:rPr>
          <w:rFonts w:hint="eastAsia" w:ascii="宋体" w:hAnsi="宋体" w:eastAsia="宋体" w:cs="宋体"/>
          <w:color w:val="auto"/>
          <w:kern w:val="2"/>
          <w:sz w:val="24"/>
          <w:szCs w:val="24"/>
          <w:highlight w:val="none"/>
          <w:lang w:val="zh-CN" w:eastAsia="zh-CN" w:bidi="zh-CN"/>
        </w:rPr>
        <w:t>合同约定总监理工程师应按照本款对任何事项进行商定或确定时，总监理工程师应与合同当事人协商，尽量达成一致。不能达成一致的，总监理工程师应认真研究后审慎确定。</w:t>
      </w:r>
    </w:p>
    <w:p w14:paraId="60F7F3A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3.5.2</w:t>
      </w:r>
      <w:r>
        <w:rPr>
          <w:rFonts w:hint="eastAsia" w:ascii="宋体" w:hAnsi="宋体" w:eastAsia="宋体" w:cs="宋体"/>
          <w:color w:val="auto"/>
          <w:kern w:val="2"/>
          <w:sz w:val="24"/>
          <w:szCs w:val="24"/>
          <w:highlight w:val="none"/>
          <w:lang w:val="zh-CN" w:eastAsia="zh-CN" w:bidi="zh-CN"/>
        </w:rPr>
        <w:t>总监理工程师应将商定或确定的事项通知合同当事人，并附详细依据。对总监理工程师的确定有异议的，构成争议，按照第24条的约定处理。在争议解决前，双方应暂按总监理工程师的确定执行，按照第24条的约定对总监理工程师的确定作出修改的，按修 改后的结果执行</w:t>
      </w:r>
      <w:r>
        <w:rPr>
          <w:rFonts w:hint="eastAsia" w:ascii="宋体" w:hAnsi="宋体" w:eastAsia="宋体" w:cs="宋体"/>
          <w:color w:val="auto"/>
          <w:kern w:val="2"/>
          <w:sz w:val="24"/>
          <w:szCs w:val="24"/>
          <w:highlight w:val="none"/>
          <w:lang w:val="en-US" w:eastAsia="zh-CN" w:bidi="en-US"/>
        </w:rPr>
        <w:t>。</w:t>
      </w:r>
    </w:p>
    <w:p w14:paraId="427BBC1F">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10" w:name="_Toc5091"/>
      <w:r>
        <w:rPr>
          <w:rFonts w:hint="eastAsia" w:ascii="宋体" w:hAnsi="宋体" w:eastAsia="宋体" w:cs="宋体"/>
          <w:color w:val="auto"/>
          <w:kern w:val="2"/>
          <w:sz w:val="24"/>
          <w:szCs w:val="24"/>
          <w:highlight w:val="none"/>
          <w:lang w:val="en-US" w:eastAsia="zh-CN" w:bidi="ar-SA"/>
        </w:rPr>
        <w:t>4.承包人</w:t>
      </w:r>
      <w:bookmarkEnd w:id="210"/>
    </w:p>
    <w:p w14:paraId="34296C22">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4.1承包人的一般义务</w:t>
      </w:r>
    </w:p>
    <w:p w14:paraId="2D9C9B53">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4.1.1</w:t>
      </w:r>
      <w:r>
        <w:rPr>
          <w:rFonts w:hint="eastAsia" w:ascii="宋体" w:hAnsi="宋体" w:eastAsia="宋体" w:cs="宋体"/>
          <w:color w:val="auto"/>
          <w:kern w:val="2"/>
          <w:sz w:val="24"/>
          <w:szCs w:val="24"/>
          <w:highlight w:val="none"/>
          <w:lang w:val="zh-CN" w:eastAsia="zh-CN" w:bidi="zh-CN"/>
        </w:rPr>
        <w:t>遵守法律</w:t>
      </w:r>
    </w:p>
    <w:p w14:paraId="4036798C">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承包人在履行合同过程中应遵守法律，并保证发包人免于承担因承包人违反法律而引起的任何责任。</w:t>
      </w:r>
    </w:p>
    <w:p w14:paraId="0D88C7F2">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zh-CN"/>
        </w:rPr>
        <w:t>4.1.2</w:t>
      </w:r>
      <w:r>
        <w:rPr>
          <w:rFonts w:hint="eastAsia" w:ascii="宋体" w:hAnsi="宋体" w:eastAsia="宋体" w:cs="宋体"/>
          <w:color w:val="auto"/>
          <w:kern w:val="2"/>
          <w:sz w:val="24"/>
          <w:szCs w:val="24"/>
          <w:highlight w:val="none"/>
          <w:lang w:val="zh-CN" w:eastAsia="zh-CN" w:bidi="zh-CN"/>
        </w:rPr>
        <w:t>依法纳税</w:t>
      </w:r>
    </w:p>
    <w:p w14:paraId="23CEA48B">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承包人应按有关法律规定纳税，应缴纳的税金包括在合同价格内。</w:t>
      </w:r>
    </w:p>
    <w:p w14:paraId="506A5CA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zh-CN"/>
        </w:rPr>
        <w:t>4.1.3</w:t>
      </w:r>
      <w:r>
        <w:rPr>
          <w:rFonts w:hint="eastAsia" w:ascii="宋体" w:hAnsi="宋体" w:eastAsia="宋体" w:cs="宋体"/>
          <w:color w:val="auto"/>
          <w:kern w:val="2"/>
          <w:sz w:val="24"/>
          <w:szCs w:val="24"/>
          <w:highlight w:val="none"/>
          <w:lang w:val="zh-CN" w:eastAsia="zh-CN" w:bidi="zh-CN"/>
        </w:rPr>
        <w:t>完成各项承包工作</w:t>
      </w:r>
    </w:p>
    <w:p w14:paraId="30C0884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承包人应按合同约定以及监理人根据第</w:t>
      </w:r>
      <w:r>
        <w:rPr>
          <w:rFonts w:hint="eastAsia" w:ascii="宋体" w:hAnsi="宋体" w:eastAsia="宋体" w:cs="宋体"/>
          <w:color w:val="auto"/>
          <w:kern w:val="2"/>
          <w:sz w:val="24"/>
          <w:szCs w:val="24"/>
          <w:highlight w:val="none"/>
          <w:lang w:val="en-US" w:eastAsia="zh-CN" w:bidi="en-US"/>
        </w:rPr>
        <w:t>3.4</w:t>
      </w:r>
      <w:r>
        <w:rPr>
          <w:rFonts w:hint="eastAsia" w:ascii="宋体" w:hAnsi="宋体" w:eastAsia="宋体" w:cs="宋体"/>
          <w:color w:val="auto"/>
          <w:kern w:val="2"/>
          <w:sz w:val="24"/>
          <w:szCs w:val="24"/>
          <w:highlight w:val="none"/>
          <w:lang w:val="zh-CN" w:eastAsia="zh-CN" w:bidi="zh-CN"/>
        </w:rPr>
        <w:t>款作出的指示，实施、完成全部工程，并修补工程中的任何缺陷。除第</w:t>
      </w:r>
      <w:r>
        <w:rPr>
          <w:rFonts w:hint="eastAsia" w:ascii="宋体" w:hAnsi="宋体" w:eastAsia="宋体" w:cs="宋体"/>
          <w:color w:val="auto"/>
          <w:kern w:val="2"/>
          <w:sz w:val="24"/>
          <w:szCs w:val="24"/>
          <w:highlight w:val="none"/>
          <w:lang w:val="en-US" w:eastAsia="zh-CN" w:bidi="en-US"/>
        </w:rPr>
        <w:t xml:space="preserve">5. </w:t>
      </w:r>
      <w:r>
        <w:rPr>
          <w:rFonts w:hint="eastAsia" w:ascii="宋体" w:hAnsi="宋体" w:eastAsia="宋体" w:cs="宋体"/>
          <w:color w:val="auto"/>
          <w:kern w:val="2"/>
          <w:sz w:val="24"/>
          <w:szCs w:val="24"/>
          <w:highlight w:val="none"/>
          <w:lang w:val="zh-CN" w:eastAsia="zh-CN" w:bidi="zh-CN"/>
        </w:rPr>
        <w:t>2款、第</w:t>
      </w:r>
      <w:r>
        <w:rPr>
          <w:rFonts w:hint="eastAsia" w:ascii="宋体" w:hAnsi="宋体" w:eastAsia="宋体" w:cs="宋体"/>
          <w:color w:val="auto"/>
          <w:kern w:val="2"/>
          <w:sz w:val="24"/>
          <w:szCs w:val="24"/>
          <w:highlight w:val="none"/>
          <w:lang w:val="en-US" w:eastAsia="zh-CN" w:bidi="en-US"/>
        </w:rPr>
        <w:t xml:space="preserve">6. </w:t>
      </w:r>
      <w:r>
        <w:rPr>
          <w:rFonts w:hint="eastAsia" w:ascii="宋体" w:hAnsi="宋体" w:eastAsia="宋体" w:cs="宋体"/>
          <w:color w:val="auto"/>
          <w:kern w:val="2"/>
          <w:sz w:val="24"/>
          <w:szCs w:val="24"/>
          <w:highlight w:val="none"/>
          <w:lang w:val="zh-CN" w:eastAsia="zh-CN" w:bidi="zh-CN"/>
        </w:rPr>
        <w:t>2款另有约定外，承包人应提供为完成合同工作所需的劳务、材料、施工设备、工程设备和其它物品，并按合同约定负责临时设施的设计、建造、运行、维护、管理和拆除。</w:t>
      </w:r>
    </w:p>
    <w:p w14:paraId="44C5553F">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zh-CN"/>
        </w:rPr>
        <w:t>4.1.4</w:t>
      </w:r>
      <w:r>
        <w:rPr>
          <w:rFonts w:hint="eastAsia" w:ascii="宋体" w:hAnsi="宋体" w:eastAsia="宋体" w:cs="宋体"/>
          <w:color w:val="auto"/>
          <w:kern w:val="2"/>
          <w:sz w:val="24"/>
          <w:szCs w:val="24"/>
          <w:highlight w:val="none"/>
          <w:lang w:val="zh-CN" w:eastAsia="zh-CN" w:bidi="zh-CN"/>
        </w:rPr>
        <w:t>对施工作业和施工方法的完备性负责</w:t>
      </w:r>
    </w:p>
    <w:p w14:paraId="776D819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承包人应按合同约定的工作内容和施工进度要求，编制施工组织设计和施工措施计划，并对所有施工作业和施工方法的完备性和安全可靠性负责。</w:t>
      </w:r>
    </w:p>
    <w:p w14:paraId="05346C1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zh-CN"/>
        </w:rPr>
        <w:t>4.1.5</w:t>
      </w:r>
      <w:r>
        <w:rPr>
          <w:rFonts w:hint="eastAsia" w:ascii="宋体" w:hAnsi="宋体" w:eastAsia="宋体" w:cs="宋体"/>
          <w:color w:val="auto"/>
          <w:kern w:val="2"/>
          <w:sz w:val="24"/>
          <w:szCs w:val="24"/>
          <w:highlight w:val="none"/>
          <w:lang w:val="zh-CN" w:eastAsia="zh-CN" w:bidi="zh-CN"/>
        </w:rPr>
        <w:t>保证工程施工和人员的安全</w:t>
      </w:r>
    </w:p>
    <w:p w14:paraId="37A7FAA2">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承包人应按第</w:t>
      </w:r>
      <w:r>
        <w:rPr>
          <w:rFonts w:hint="eastAsia" w:ascii="宋体" w:hAnsi="宋体" w:eastAsia="宋体" w:cs="宋体"/>
          <w:color w:val="auto"/>
          <w:kern w:val="2"/>
          <w:sz w:val="24"/>
          <w:szCs w:val="24"/>
          <w:highlight w:val="none"/>
          <w:lang w:val="en-US" w:eastAsia="zh-CN" w:bidi="en-US"/>
        </w:rPr>
        <w:t xml:space="preserve">9. </w:t>
      </w:r>
      <w:r>
        <w:rPr>
          <w:rFonts w:hint="eastAsia" w:ascii="宋体" w:hAnsi="宋体" w:eastAsia="宋体" w:cs="宋体"/>
          <w:color w:val="auto"/>
          <w:kern w:val="2"/>
          <w:sz w:val="24"/>
          <w:szCs w:val="24"/>
          <w:highlight w:val="none"/>
          <w:lang w:val="zh-CN" w:eastAsia="zh-CN" w:bidi="zh-CN"/>
        </w:rPr>
        <w:t>2款约定采取施工安全措施，确保工程及其人员、材料、设备和设施的安全，防止因工程施工造成的人身伤害和财产损失。</w:t>
      </w:r>
    </w:p>
    <w:p w14:paraId="4AB3F71F">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zh-CN"/>
        </w:rPr>
        <w:t>4.1.6</w:t>
      </w:r>
      <w:r>
        <w:rPr>
          <w:rFonts w:hint="eastAsia" w:ascii="宋体" w:hAnsi="宋体" w:eastAsia="宋体" w:cs="宋体"/>
          <w:color w:val="auto"/>
          <w:kern w:val="2"/>
          <w:sz w:val="24"/>
          <w:szCs w:val="24"/>
          <w:highlight w:val="none"/>
          <w:lang w:val="zh-CN" w:eastAsia="zh-CN" w:bidi="zh-CN"/>
        </w:rPr>
        <w:t>负责施工场地及其周边环境与生态的保护工作</w:t>
      </w:r>
    </w:p>
    <w:p w14:paraId="05E3AC7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承包人应按照第</w:t>
      </w:r>
      <w:r>
        <w:rPr>
          <w:rFonts w:hint="eastAsia" w:ascii="宋体" w:hAnsi="宋体" w:eastAsia="宋体" w:cs="宋体"/>
          <w:color w:val="auto"/>
          <w:kern w:val="2"/>
          <w:sz w:val="24"/>
          <w:szCs w:val="24"/>
          <w:highlight w:val="none"/>
          <w:lang w:val="en-US" w:eastAsia="zh-CN" w:bidi="en-US"/>
        </w:rPr>
        <w:t>9.4</w:t>
      </w:r>
      <w:r>
        <w:rPr>
          <w:rFonts w:hint="eastAsia" w:ascii="宋体" w:hAnsi="宋体" w:eastAsia="宋体" w:cs="宋体"/>
          <w:color w:val="auto"/>
          <w:kern w:val="2"/>
          <w:sz w:val="24"/>
          <w:szCs w:val="24"/>
          <w:highlight w:val="none"/>
          <w:lang w:val="zh-CN" w:eastAsia="zh-CN" w:bidi="zh-CN"/>
        </w:rPr>
        <w:t>款约定负责施工场地及其周边环境与生态的保护工作。</w:t>
      </w:r>
    </w:p>
    <w:p w14:paraId="6AFBE6A8">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zh-CN"/>
        </w:rPr>
        <w:t>4.1.</w:t>
      </w:r>
      <w:r>
        <w:rPr>
          <w:rFonts w:hint="eastAsia" w:ascii="宋体" w:hAnsi="宋体" w:eastAsia="宋体" w:cs="宋体"/>
          <w:color w:val="auto"/>
          <w:kern w:val="2"/>
          <w:sz w:val="24"/>
          <w:szCs w:val="24"/>
          <w:highlight w:val="none"/>
          <w:lang w:val="zh-CN" w:eastAsia="zh-CN" w:bidi="zh-CN"/>
        </w:rPr>
        <w:t>7避免施工对公众与他人的利益造成损害</w:t>
      </w:r>
    </w:p>
    <w:p w14:paraId="0A1484CD">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承包人在进行合同约定的各项工作时，不得侵害发包人与他人使用公用道路、水源、 市政管网等公共设施的权利，避免对邻近的公共设施产生干扰。承包人占用或使用他人的施工场地，影响他人作业或生活的，应承担相应责任。</w:t>
      </w:r>
    </w:p>
    <w:p w14:paraId="4E8DDE7C">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zh-CN"/>
        </w:rPr>
        <w:t>4. 1.8</w:t>
      </w:r>
      <w:r>
        <w:rPr>
          <w:rFonts w:hint="eastAsia" w:ascii="宋体" w:hAnsi="宋体" w:eastAsia="宋体" w:cs="宋体"/>
          <w:color w:val="auto"/>
          <w:kern w:val="2"/>
          <w:sz w:val="24"/>
          <w:szCs w:val="24"/>
          <w:highlight w:val="none"/>
          <w:lang w:val="zh-CN" w:eastAsia="zh-CN" w:bidi="zh-CN"/>
        </w:rPr>
        <w:t>为他人提供方便</w:t>
      </w:r>
    </w:p>
    <w:p w14:paraId="3F177C47">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承包人应按监理人的指示为他人在施工场地或附近实施与工程有关的其他各项工作提供可能的条件。除合同另有约定外，提供有关条件的内容和可能发生的费用，由监理人按 第</w:t>
      </w:r>
      <w:r>
        <w:rPr>
          <w:rFonts w:hint="eastAsia" w:ascii="宋体" w:hAnsi="宋体" w:eastAsia="宋体" w:cs="宋体"/>
          <w:color w:val="auto"/>
          <w:kern w:val="2"/>
          <w:sz w:val="24"/>
          <w:szCs w:val="24"/>
          <w:highlight w:val="none"/>
          <w:lang w:val="en-US" w:eastAsia="zh-CN" w:bidi="en-US"/>
        </w:rPr>
        <w:t xml:space="preserve">3. </w:t>
      </w:r>
      <w:r>
        <w:rPr>
          <w:rFonts w:hint="eastAsia" w:ascii="宋体" w:hAnsi="宋体" w:eastAsia="宋体" w:cs="宋体"/>
          <w:color w:val="auto"/>
          <w:kern w:val="2"/>
          <w:sz w:val="24"/>
          <w:szCs w:val="24"/>
          <w:highlight w:val="none"/>
          <w:lang w:val="zh-CN" w:eastAsia="zh-CN" w:bidi="zh-CN"/>
        </w:rPr>
        <w:t>5款商定或确定。</w:t>
      </w:r>
    </w:p>
    <w:p w14:paraId="6B15B2FD">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zh-CN"/>
        </w:rPr>
        <w:t>4.1.9</w:t>
      </w:r>
      <w:r>
        <w:rPr>
          <w:rFonts w:hint="eastAsia" w:ascii="宋体" w:hAnsi="宋体" w:eastAsia="宋体" w:cs="宋体"/>
          <w:color w:val="auto"/>
          <w:kern w:val="2"/>
          <w:sz w:val="24"/>
          <w:szCs w:val="24"/>
          <w:highlight w:val="none"/>
          <w:lang w:val="zh-CN" w:eastAsia="zh-CN" w:bidi="zh-CN"/>
        </w:rPr>
        <w:t>工程的维护和照管</w:t>
      </w:r>
    </w:p>
    <w:p w14:paraId="1270C103">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除合同另有约定外，合同工程完工证书颁发前，承包人应负责照管和维护工程。合同工程完工证书颁发时尚有部分未完工程的，承包人还应负责该未完工程的照管和维护工作，直至完工后移交给发包人为止。</w:t>
      </w:r>
    </w:p>
    <w:p w14:paraId="793B989D">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4.1.10其它义务</w:t>
      </w:r>
    </w:p>
    <w:p w14:paraId="715FB3DF">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其它义务在专用合同条款中补充约定。</w:t>
      </w:r>
    </w:p>
    <w:p w14:paraId="0B6585EE">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4.2履约担保</w:t>
      </w:r>
    </w:p>
    <w:p w14:paraId="067FF243">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承包人应保证其履约担保在发包人颁发合同工程完工证书前一直有效。发包人应在合同工程完工证书颁发后，</w:t>
      </w:r>
      <w:r>
        <w:rPr>
          <w:rFonts w:hint="eastAsia" w:ascii="宋体" w:hAnsi="宋体" w:eastAsia="宋体" w:cs="宋体"/>
          <w:color w:val="auto"/>
          <w:kern w:val="2"/>
          <w:sz w:val="24"/>
          <w:szCs w:val="24"/>
          <w:highlight w:val="none"/>
          <w:lang w:val="en-US" w:eastAsia="zh-CN" w:bidi="zh-CN"/>
        </w:rPr>
        <w:t>经承包人申请</w:t>
      </w:r>
      <w:r>
        <w:rPr>
          <w:rFonts w:hint="eastAsia" w:ascii="宋体" w:hAnsi="宋体" w:eastAsia="宋体" w:cs="宋体"/>
          <w:color w:val="auto"/>
          <w:kern w:val="2"/>
          <w:sz w:val="24"/>
          <w:szCs w:val="24"/>
          <w:highlight w:val="none"/>
          <w:lang w:val="zh-CN" w:eastAsia="zh-CN" w:bidi="zh-CN"/>
        </w:rPr>
        <w:t>将履约担保退还给承包人。</w:t>
      </w:r>
    </w:p>
    <w:p w14:paraId="0277A07A">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4.3分包</w:t>
      </w:r>
    </w:p>
    <w:p w14:paraId="4182CE7B">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4.3.1</w:t>
      </w:r>
      <w:r>
        <w:rPr>
          <w:rFonts w:hint="eastAsia" w:ascii="宋体" w:hAnsi="宋体" w:eastAsia="宋体" w:cs="宋体"/>
          <w:color w:val="auto"/>
          <w:kern w:val="2"/>
          <w:sz w:val="24"/>
          <w:szCs w:val="24"/>
          <w:highlight w:val="none"/>
          <w:lang w:val="zh-CN" w:eastAsia="zh-CN" w:bidi="zh-CN"/>
        </w:rPr>
        <w:t>承包人不得将其承包的全部工程转包给第三人，或将其承包的全部工程肢解后以分包的名义转包给第三人。</w:t>
      </w:r>
    </w:p>
    <w:p w14:paraId="50720C8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4.3.2</w:t>
      </w:r>
      <w:r>
        <w:rPr>
          <w:rFonts w:hint="eastAsia" w:ascii="宋体" w:hAnsi="宋体" w:eastAsia="宋体" w:cs="宋体"/>
          <w:color w:val="auto"/>
          <w:kern w:val="2"/>
          <w:sz w:val="24"/>
          <w:szCs w:val="24"/>
          <w:highlight w:val="none"/>
          <w:lang w:val="zh-CN" w:eastAsia="zh-CN" w:bidi="zh-CN"/>
        </w:rPr>
        <w:t>承包人不得将工程主体、关键性工作分包给第三人。除专用合同条款另有约定外，未经发包人书面同意，承包人不得将工程的其他部分或工作分包给第三人。</w:t>
      </w:r>
    </w:p>
    <w:p w14:paraId="4CE0A1FE">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4.3.</w:t>
      </w:r>
      <w:r>
        <w:rPr>
          <w:rFonts w:hint="eastAsia" w:ascii="宋体" w:hAnsi="宋体" w:eastAsia="宋体" w:cs="宋体"/>
          <w:color w:val="auto"/>
          <w:kern w:val="2"/>
          <w:sz w:val="24"/>
          <w:szCs w:val="24"/>
          <w:highlight w:val="none"/>
          <w:lang w:val="zh-CN" w:eastAsia="zh-CN" w:bidi="zh-CN"/>
        </w:rPr>
        <w:t>3分包人的资格能力应与其分包工程的标准和规模相适应。</w:t>
      </w:r>
    </w:p>
    <w:p w14:paraId="1DA8C2B7">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4.3.4</w:t>
      </w:r>
      <w:r>
        <w:rPr>
          <w:rFonts w:hint="eastAsia" w:ascii="宋体" w:hAnsi="宋体" w:eastAsia="宋体" w:cs="宋体"/>
          <w:color w:val="auto"/>
          <w:kern w:val="2"/>
          <w:sz w:val="24"/>
          <w:szCs w:val="24"/>
          <w:highlight w:val="none"/>
          <w:lang w:val="zh-CN" w:eastAsia="zh-CN" w:bidi="zh-CN"/>
        </w:rPr>
        <w:t>按投标函附录约定分包工程的，承包人应向发包人和监理人提交分包合同副本。</w:t>
      </w:r>
    </w:p>
    <w:p w14:paraId="6403120C">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4.3.5</w:t>
      </w:r>
      <w:r>
        <w:rPr>
          <w:rFonts w:hint="eastAsia" w:ascii="宋体" w:hAnsi="宋体" w:eastAsia="宋体" w:cs="宋体"/>
          <w:color w:val="auto"/>
          <w:kern w:val="2"/>
          <w:sz w:val="24"/>
          <w:szCs w:val="24"/>
          <w:highlight w:val="none"/>
          <w:lang w:val="zh-CN" w:eastAsia="zh-CN" w:bidi="zh-CN"/>
        </w:rPr>
        <w:t>承包人应与分包人就分包工程向发包人承担连带责任。</w:t>
      </w:r>
    </w:p>
    <w:p w14:paraId="319A9FB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4.3.6</w:t>
      </w:r>
      <w:r>
        <w:rPr>
          <w:rFonts w:hint="eastAsia" w:ascii="宋体" w:hAnsi="宋体" w:eastAsia="宋体" w:cs="宋体"/>
          <w:color w:val="auto"/>
          <w:kern w:val="2"/>
          <w:sz w:val="24"/>
          <w:szCs w:val="24"/>
          <w:highlight w:val="none"/>
          <w:lang w:val="zh-CN" w:eastAsia="zh-CN" w:bidi="zh-CN"/>
        </w:rPr>
        <w:t>分包分为工程分包和劳务作业分包。工程分包应遵循合同约定或者经发包人书面认可。禁止承包人将本合同工程进行违法分包。分包人应具备与分包工程规模和标准相适应的资质和业绩，在人力、设备、资金等方面具有承担分包工程施工的能力。分包人应自行完成所承包的任务。</w:t>
      </w:r>
    </w:p>
    <w:p w14:paraId="48461BDB">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4.3.7</w:t>
      </w:r>
      <w:r>
        <w:rPr>
          <w:rFonts w:hint="eastAsia" w:ascii="宋体" w:hAnsi="宋体" w:eastAsia="宋体" w:cs="宋体"/>
          <w:color w:val="auto"/>
          <w:kern w:val="2"/>
          <w:sz w:val="24"/>
          <w:szCs w:val="24"/>
          <w:highlight w:val="none"/>
          <w:lang w:val="zh-CN" w:eastAsia="zh-CN" w:bidi="zh-CN"/>
        </w:rPr>
        <w:t>在合同实施过程中，如承包人无力在合同规定的期限内完成合同中的应急防 汛、抢险等危及公共安全和工程安全的项目，发包人可对该应急防汛、抢险等项目的部分工程指定分包人。因非承包人原因形成指定分包条件的，发包人的指定分包不得增加承包人的额外费用；因承包人原因形成指定分包条件的，承包人应承担指定分包所增加的费用。由指定分包人造成的与其分包工作有关的一切索赔、诉讼和损失赔偿由指定分包人直接对发包人负责，承包人不对此承担责任。</w:t>
      </w:r>
    </w:p>
    <w:p w14:paraId="5CF3058E">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4.3.8</w:t>
      </w:r>
      <w:r>
        <w:rPr>
          <w:rFonts w:hint="eastAsia" w:ascii="宋体" w:hAnsi="宋体" w:eastAsia="宋体" w:cs="宋体"/>
          <w:color w:val="auto"/>
          <w:kern w:val="2"/>
          <w:sz w:val="24"/>
          <w:szCs w:val="24"/>
          <w:highlight w:val="none"/>
          <w:lang w:val="zh-CN" w:eastAsia="zh-CN" w:bidi="zh-CN"/>
        </w:rPr>
        <w:t>承包人和发包人应当签订分包合同，并履行合同约定的义务。分包合同必须遵循承包合同的各项原则，满足相应条款的要求。发包人可以对分包合同实施情况进行监督检查。承包人应将分包合同副本提交发包人和监理人。</w:t>
      </w:r>
    </w:p>
    <w:p w14:paraId="4C499BF1">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4.3.9</w:t>
      </w:r>
      <w:r>
        <w:rPr>
          <w:rFonts w:hint="eastAsia" w:ascii="宋体" w:hAnsi="宋体" w:eastAsia="宋体" w:cs="宋体"/>
          <w:color w:val="auto"/>
          <w:kern w:val="2"/>
          <w:sz w:val="24"/>
          <w:szCs w:val="24"/>
          <w:highlight w:val="none"/>
          <w:lang w:val="zh-CN" w:eastAsia="zh-CN" w:bidi="zh-CN"/>
        </w:rPr>
        <w:t>除第</w:t>
      </w:r>
      <w:r>
        <w:rPr>
          <w:rFonts w:hint="eastAsia" w:ascii="宋体" w:hAnsi="宋体" w:eastAsia="宋体" w:cs="宋体"/>
          <w:color w:val="auto"/>
          <w:kern w:val="2"/>
          <w:sz w:val="24"/>
          <w:szCs w:val="24"/>
          <w:highlight w:val="none"/>
          <w:lang w:val="en-US" w:eastAsia="zh-CN" w:bidi="en-US"/>
        </w:rPr>
        <w:t xml:space="preserve">4. 3. </w:t>
      </w:r>
      <w:r>
        <w:rPr>
          <w:rFonts w:hint="eastAsia" w:ascii="宋体" w:hAnsi="宋体" w:eastAsia="宋体" w:cs="宋体"/>
          <w:color w:val="auto"/>
          <w:kern w:val="2"/>
          <w:sz w:val="24"/>
          <w:szCs w:val="24"/>
          <w:highlight w:val="none"/>
          <w:lang w:val="zh-CN" w:eastAsia="zh-CN" w:bidi="zh-CN"/>
        </w:rPr>
        <w:t>7项规定的指定分包外，承包人对其分包项目的实施以及分包人的行为向发包人负全部责任。承包人应对分包项目的工程进度、质量、安全、计量和验收等实施监督和管理。</w:t>
      </w:r>
    </w:p>
    <w:p w14:paraId="223E47D3">
      <w:pPr>
        <w:pageBreakBefore w:val="0"/>
        <w:widowControl w:val="0"/>
        <w:tabs>
          <w:tab w:val="left" w:pos="736"/>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4.3.10分包人应按专用合同条款的约定设立项目管理机构组织管理分包工程的施工活动。</w:t>
      </w:r>
    </w:p>
    <w:p w14:paraId="5F79B99F">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4.4联合体</w:t>
      </w:r>
    </w:p>
    <w:p w14:paraId="3F020F98">
      <w:pPr>
        <w:pageBreakBefore w:val="0"/>
        <w:widowControl w:val="0"/>
        <w:tabs>
          <w:tab w:val="left" w:pos="738"/>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4.4.1</w:t>
      </w:r>
      <w:r>
        <w:rPr>
          <w:rFonts w:hint="eastAsia" w:ascii="宋体" w:hAnsi="宋体" w:eastAsia="宋体" w:cs="宋体"/>
          <w:color w:val="auto"/>
          <w:kern w:val="2"/>
          <w:sz w:val="24"/>
          <w:szCs w:val="24"/>
          <w:highlight w:val="none"/>
          <w:lang w:val="zh-CN" w:eastAsia="zh-CN" w:bidi="zh-CN"/>
        </w:rPr>
        <w:t>联合体各方应共同与发包人签订合同协议书。联合体各方应为履行合同承担连带责任。</w:t>
      </w:r>
    </w:p>
    <w:p w14:paraId="21D4520E">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4.4.2</w:t>
      </w:r>
      <w:r>
        <w:rPr>
          <w:rFonts w:hint="eastAsia" w:ascii="宋体" w:hAnsi="宋体" w:eastAsia="宋体" w:cs="宋体"/>
          <w:color w:val="auto"/>
          <w:kern w:val="2"/>
          <w:sz w:val="24"/>
          <w:szCs w:val="24"/>
          <w:highlight w:val="none"/>
          <w:lang w:val="zh-CN" w:eastAsia="zh-CN" w:bidi="zh-CN"/>
        </w:rPr>
        <w:t>联合体协议经发包人确认后作为合同附件。在履行合同过程中，未经发包人书面同意，不得修改联合体协议。</w:t>
      </w:r>
    </w:p>
    <w:p w14:paraId="596921ED">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4.4.3</w:t>
      </w:r>
      <w:r>
        <w:rPr>
          <w:rFonts w:hint="eastAsia" w:ascii="宋体" w:hAnsi="宋体" w:eastAsia="宋体" w:cs="宋体"/>
          <w:color w:val="auto"/>
          <w:kern w:val="2"/>
          <w:sz w:val="24"/>
          <w:szCs w:val="24"/>
          <w:highlight w:val="none"/>
          <w:lang w:val="zh-CN" w:eastAsia="zh-CN" w:bidi="zh-CN"/>
        </w:rPr>
        <w:t>联合体牵头人负责与发包人和监理人联系，并接受指示，负责组织联合体各成员全面履行合同。</w:t>
      </w:r>
    </w:p>
    <w:p w14:paraId="29A1EA66">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4.5承包人项目经理</w:t>
      </w:r>
    </w:p>
    <w:p w14:paraId="61D803D2">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4.5.1</w:t>
      </w:r>
      <w:r>
        <w:rPr>
          <w:rFonts w:hint="eastAsia" w:ascii="宋体" w:hAnsi="宋体" w:eastAsia="宋体" w:cs="宋体"/>
          <w:color w:val="auto"/>
          <w:kern w:val="2"/>
          <w:sz w:val="24"/>
          <w:szCs w:val="24"/>
          <w:highlight w:val="none"/>
          <w:lang w:val="zh-CN" w:eastAsia="zh-CN" w:bidi="zh-CN"/>
        </w:rPr>
        <w:t>承包人应按合同约定指派项目经理，并在约定的期限内到职。承包人更换项目经理应事先征得发包人书面同意，并应在更换14天前通知发包人和监理人。承包人项目经理短 期离开施工场地，应事先征得监理人同意，并委派代表代行其职责。</w:t>
      </w:r>
    </w:p>
    <w:p w14:paraId="28CB902D">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4.5.2</w:t>
      </w:r>
      <w:r>
        <w:rPr>
          <w:rFonts w:hint="eastAsia" w:ascii="宋体" w:hAnsi="宋体" w:eastAsia="宋体" w:cs="宋体"/>
          <w:color w:val="auto"/>
          <w:kern w:val="2"/>
          <w:sz w:val="24"/>
          <w:szCs w:val="24"/>
          <w:highlight w:val="none"/>
          <w:lang w:val="zh-CN" w:eastAsia="zh-CN" w:bidi="zh-CN"/>
        </w:rPr>
        <w:t>承包人项目经理应按合同约定以及监理人按第</w:t>
      </w:r>
      <w:r>
        <w:rPr>
          <w:rFonts w:hint="eastAsia" w:ascii="宋体" w:hAnsi="宋体" w:eastAsia="宋体" w:cs="宋体"/>
          <w:color w:val="auto"/>
          <w:kern w:val="2"/>
          <w:sz w:val="24"/>
          <w:szCs w:val="24"/>
          <w:highlight w:val="none"/>
          <w:lang w:val="en-US" w:eastAsia="zh-CN" w:bidi="en-US"/>
        </w:rPr>
        <w:t>3.</w:t>
      </w:r>
      <w:r>
        <w:rPr>
          <w:rFonts w:hint="eastAsia" w:ascii="宋体" w:hAnsi="宋体" w:eastAsia="宋体" w:cs="宋体"/>
          <w:color w:val="auto"/>
          <w:kern w:val="2"/>
          <w:sz w:val="24"/>
          <w:szCs w:val="24"/>
          <w:highlight w:val="none"/>
          <w:lang w:val="zh-CN" w:eastAsia="zh-CN" w:bidi="zh-CN"/>
        </w:rPr>
        <w:t>4款作出的指示，负责组织合同工程的实施。在情况紧急且无法与监理人取得联系时，可采取保证工程和人员生命财产安全的紧急措施，并在采取措施后24小时内向监理人提交书面报告。</w:t>
      </w:r>
    </w:p>
    <w:p w14:paraId="1A88EFD6">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4.5.</w:t>
      </w:r>
      <w:r>
        <w:rPr>
          <w:rFonts w:hint="eastAsia" w:ascii="宋体" w:hAnsi="宋体" w:eastAsia="宋体" w:cs="宋体"/>
          <w:color w:val="auto"/>
          <w:kern w:val="2"/>
          <w:sz w:val="24"/>
          <w:szCs w:val="24"/>
          <w:highlight w:val="none"/>
          <w:lang w:val="zh-CN" w:eastAsia="zh-CN" w:bidi="zh-CN"/>
        </w:rPr>
        <w:t>3承包人为履行合同发出的一切函件均应盖有承包人授权的施工场地管理机构章，并由承包人项目经理或其授权代表签字。</w:t>
      </w:r>
    </w:p>
    <w:p w14:paraId="195E5B86">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4.5.4</w:t>
      </w:r>
      <w:r>
        <w:rPr>
          <w:rFonts w:hint="eastAsia" w:ascii="宋体" w:hAnsi="宋体" w:eastAsia="宋体" w:cs="宋体"/>
          <w:color w:val="auto"/>
          <w:kern w:val="2"/>
          <w:sz w:val="24"/>
          <w:szCs w:val="24"/>
          <w:highlight w:val="none"/>
          <w:lang w:val="zh-CN" w:eastAsia="zh-CN" w:bidi="zh-CN"/>
        </w:rPr>
        <w:t>承包人项目经理可以授权其下属人员履行其某项职责，但事先应将这些人员的姓名和授权范围通知监理人。</w:t>
      </w:r>
    </w:p>
    <w:p w14:paraId="11E0731A">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4.6承包人人员的管理</w:t>
      </w:r>
    </w:p>
    <w:p w14:paraId="7FAB886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4.6.1</w:t>
      </w:r>
      <w:r>
        <w:rPr>
          <w:rFonts w:hint="eastAsia" w:ascii="宋体" w:hAnsi="宋体" w:eastAsia="宋体" w:cs="宋体"/>
          <w:color w:val="auto"/>
          <w:kern w:val="2"/>
          <w:sz w:val="24"/>
          <w:szCs w:val="24"/>
          <w:highlight w:val="none"/>
          <w:lang w:val="zh-CN" w:eastAsia="zh-CN" w:bidi="zh-CN"/>
        </w:rPr>
        <w:t>承包人应在接到开工通知后28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14:paraId="7F7DAA26">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4.6.2</w:t>
      </w:r>
      <w:r>
        <w:rPr>
          <w:rFonts w:hint="eastAsia" w:ascii="宋体" w:hAnsi="宋体" w:eastAsia="宋体" w:cs="宋体"/>
          <w:color w:val="auto"/>
          <w:kern w:val="2"/>
          <w:sz w:val="24"/>
          <w:szCs w:val="24"/>
          <w:highlight w:val="none"/>
          <w:lang w:val="zh-CN" w:eastAsia="zh-CN" w:bidi="zh-CN"/>
        </w:rPr>
        <w:t>为完成合同约定的各项工作，承包人应向施工场地派遣或雇佣足够数量的下列 人员：</w:t>
      </w:r>
    </w:p>
    <w:p w14:paraId="780A109B">
      <w:pPr>
        <w:pageBreakBefore w:val="0"/>
        <w:widowControl w:val="0"/>
        <w:numPr>
          <w:ilvl w:val="0"/>
          <w:numId w:val="6"/>
        </w:numPr>
        <w:tabs>
          <w:tab w:val="left" w:pos="899"/>
          <w:tab w:val="left" w:pos="114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具有相应资格的专业技工和合格的普工；</w:t>
      </w:r>
    </w:p>
    <w:p w14:paraId="0F8F2BED">
      <w:pPr>
        <w:pageBreakBefore w:val="0"/>
        <w:widowControl w:val="0"/>
        <w:numPr>
          <w:ilvl w:val="0"/>
          <w:numId w:val="6"/>
        </w:numPr>
        <w:tabs>
          <w:tab w:val="left" w:pos="899"/>
          <w:tab w:val="left" w:pos="114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具有相应施工经验的技术人员；</w:t>
      </w:r>
    </w:p>
    <w:p w14:paraId="606BF98A">
      <w:pPr>
        <w:pageBreakBefore w:val="0"/>
        <w:widowControl w:val="0"/>
        <w:numPr>
          <w:ilvl w:val="0"/>
          <w:numId w:val="6"/>
        </w:numPr>
        <w:tabs>
          <w:tab w:val="left" w:pos="899"/>
          <w:tab w:val="left" w:pos="114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具有相应岗位资格的各级管理人员。</w:t>
      </w:r>
    </w:p>
    <w:p w14:paraId="6E664171">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4.6.3</w:t>
      </w:r>
      <w:r>
        <w:rPr>
          <w:rFonts w:hint="eastAsia" w:ascii="宋体" w:hAnsi="宋体" w:eastAsia="宋体" w:cs="宋体"/>
          <w:color w:val="auto"/>
          <w:kern w:val="2"/>
          <w:sz w:val="24"/>
          <w:szCs w:val="24"/>
          <w:highlight w:val="none"/>
          <w:lang w:val="zh-CN" w:eastAsia="zh-CN" w:bidi="zh-CN"/>
        </w:rPr>
        <w:t>承包人安排在施工场地的主要管理人员和技术骨干应相对稳定。承包人更换主要管理人员和技术骨干时，应取得监理人的同意。</w:t>
      </w:r>
    </w:p>
    <w:p w14:paraId="5E2D9150">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4. 6.4</w:t>
      </w:r>
      <w:r>
        <w:rPr>
          <w:rFonts w:hint="eastAsia" w:ascii="宋体" w:hAnsi="宋体" w:eastAsia="宋体" w:cs="宋体"/>
          <w:color w:val="auto"/>
          <w:kern w:val="2"/>
          <w:sz w:val="24"/>
          <w:szCs w:val="24"/>
          <w:highlight w:val="none"/>
          <w:lang w:val="zh-CN" w:eastAsia="zh-CN" w:bidi="zh-CN"/>
        </w:rPr>
        <w:t>特殊岗位的工作人员均应持有相应的资格证明，监理人有权随时检查。监理人认为有必要时，可进行现场考核。</w:t>
      </w:r>
    </w:p>
    <w:p w14:paraId="6E655C09">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4.7撤换承包人项目经理和其他人员</w:t>
      </w:r>
    </w:p>
    <w:p w14:paraId="2075B90B">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承包人应对其项目经理和其他人员进行有效管理。监理人要求撤换不能胜任本职工作、 行为不端或玩忽职守的承包人项目经理和其他人员的，承包人应予以撤换。</w:t>
      </w:r>
    </w:p>
    <w:p w14:paraId="4B8C1E98">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4.8保障承包人人员的合法权益</w:t>
      </w:r>
    </w:p>
    <w:p w14:paraId="11CB78B1">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4.8.</w:t>
      </w:r>
      <w:r>
        <w:rPr>
          <w:rFonts w:hint="eastAsia" w:ascii="宋体" w:hAnsi="宋体" w:eastAsia="宋体" w:cs="宋体"/>
          <w:color w:val="auto"/>
          <w:kern w:val="2"/>
          <w:sz w:val="24"/>
          <w:szCs w:val="24"/>
          <w:highlight w:val="none"/>
          <w:lang w:val="zh-CN" w:eastAsia="zh-CN" w:bidi="zh-CN"/>
        </w:rPr>
        <w:t>1承包人应与其雇佣的人员签订劳动合同，并按时发放工资。</w:t>
      </w:r>
    </w:p>
    <w:p w14:paraId="36B4CC0B">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4.8.</w:t>
      </w:r>
      <w:r>
        <w:rPr>
          <w:rFonts w:hint="eastAsia" w:ascii="宋体" w:hAnsi="宋体" w:eastAsia="宋体" w:cs="宋体"/>
          <w:color w:val="auto"/>
          <w:kern w:val="2"/>
          <w:sz w:val="24"/>
          <w:szCs w:val="24"/>
          <w:highlight w:val="none"/>
          <w:lang w:val="zh-CN" w:eastAsia="zh-CN" w:bidi="zh-CN"/>
        </w:rPr>
        <w:t>2承包人应按劳动法的规定安排工作时间，保证其雇佣人员享有休息和休假的权利。因工程施工的特殊需要占用休假日或延长工作时间的，应不超过法律规定的限度，并按法律规定给予补休或付酬。</w:t>
      </w:r>
    </w:p>
    <w:p w14:paraId="54AEAF40">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4.8.3</w:t>
      </w:r>
      <w:r>
        <w:rPr>
          <w:rFonts w:hint="eastAsia" w:ascii="宋体" w:hAnsi="宋体" w:eastAsia="宋体" w:cs="宋体"/>
          <w:color w:val="auto"/>
          <w:kern w:val="2"/>
          <w:sz w:val="24"/>
          <w:szCs w:val="24"/>
          <w:highlight w:val="none"/>
          <w:lang w:val="zh-CN" w:eastAsia="zh-CN" w:bidi="zh-CN"/>
        </w:rPr>
        <w:t>承包人应为其雇佣人员提供必要的食宿条件，以及符合环境保护和卫生要求的生活环境，在远离城镇的施工场地，还应配备必要的伤病防治和急救的医务人员与医疗设施。</w:t>
      </w:r>
    </w:p>
    <w:p w14:paraId="65534810">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4.8.4</w:t>
      </w:r>
      <w:r>
        <w:rPr>
          <w:rFonts w:hint="eastAsia" w:ascii="宋体" w:hAnsi="宋体" w:eastAsia="宋体" w:cs="宋体"/>
          <w:color w:val="auto"/>
          <w:kern w:val="2"/>
          <w:sz w:val="24"/>
          <w:szCs w:val="24"/>
          <w:highlight w:val="none"/>
          <w:lang w:val="zh-CN" w:eastAsia="zh-CN" w:bidi="zh-CN"/>
        </w:rPr>
        <w:t>承包人应按国家有关劳动保护的规定，采取有效的防止粉尘、降低噪声、控制有害气体和保障高温、高寒、高空作业安全等劳动保护措施。其雇佣人员在施工中受到伤害的，承包人应立即采取有效措施进行抢救和治疗。</w:t>
      </w:r>
    </w:p>
    <w:p w14:paraId="1A479FE3">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4.8.5</w:t>
      </w:r>
      <w:r>
        <w:rPr>
          <w:rFonts w:hint="eastAsia" w:ascii="宋体" w:hAnsi="宋体" w:eastAsia="宋体" w:cs="宋体"/>
          <w:color w:val="auto"/>
          <w:kern w:val="2"/>
          <w:sz w:val="24"/>
          <w:szCs w:val="24"/>
          <w:highlight w:val="none"/>
          <w:lang w:val="zh-CN" w:eastAsia="zh-CN" w:bidi="zh-CN"/>
        </w:rPr>
        <w:t>承包人应按有关法律规定和合同约定，为其雇佣人员办理保险。</w:t>
      </w:r>
    </w:p>
    <w:p w14:paraId="63FE6742">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4.8.6</w:t>
      </w:r>
      <w:r>
        <w:rPr>
          <w:rFonts w:hint="eastAsia" w:ascii="宋体" w:hAnsi="宋体" w:eastAsia="宋体" w:cs="宋体"/>
          <w:color w:val="auto"/>
          <w:kern w:val="2"/>
          <w:sz w:val="24"/>
          <w:szCs w:val="24"/>
          <w:highlight w:val="none"/>
          <w:lang w:val="zh-CN" w:eastAsia="zh-CN" w:bidi="zh-CN"/>
        </w:rPr>
        <w:t>承包人应负责处理其雇佣人员因工伤亡事故的善后事宜。</w:t>
      </w:r>
    </w:p>
    <w:p w14:paraId="62CF93CB">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4.9工程价款应专款专用</w:t>
      </w:r>
    </w:p>
    <w:p w14:paraId="746CEDFF">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发包人按合同约定支付给承包人的各项价款应专用于合同工程。</w:t>
      </w:r>
    </w:p>
    <w:p w14:paraId="65B4D7E1">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4.10承包人现场查勘</w:t>
      </w:r>
    </w:p>
    <w:p w14:paraId="2F22F67F">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4.10.</w:t>
      </w:r>
      <w:r>
        <w:rPr>
          <w:rFonts w:hint="eastAsia" w:ascii="宋体" w:hAnsi="宋体" w:eastAsia="宋体" w:cs="宋体"/>
          <w:color w:val="auto"/>
          <w:kern w:val="2"/>
          <w:sz w:val="24"/>
          <w:szCs w:val="24"/>
          <w:highlight w:val="none"/>
          <w:lang w:val="zh-CN" w:eastAsia="zh-CN" w:bidi="zh-CN"/>
        </w:rPr>
        <w:t>1发包人应将其持有的现场地质勘探资料、水文气象资料提供给承包人，并对其准确性负责。但承包人应对其阅读上述有关资料后所作出的解释和推断负责。</w:t>
      </w:r>
    </w:p>
    <w:p w14:paraId="1BF7954C">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4.10.2承包人应对施工场地和周围环境进行查勘，并收集有关地质、水文、气象条件、交通条件、风俗习惯以及其他为完成合同工作有关的当地资料。在全部合同工作中，应视为承包人已充分估计了应承担的责任和风险。</w:t>
      </w:r>
    </w:p>
    <w:p w14:paraId="4DAE782F">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4.11不利物质条件</w:t>
      </w:r>
    </w:p>
    <w:p w14:paraId="49E2F5EF">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4.11.1</w:t>
      </w:r>
      <w:r>
        <w:rPr>
          <w:rFonts w:hint="eastAsia" w:ascii="宋体" w:hAnsi="宋体" w:eastAsia="宋体" w:cs="宋体"/>
          <w:color w:val="auto"/>
          <w:kern w:val="2"/>
          <w:sz w:val="24"/>
          <w:szCs w:val="24"/>
          <w:highlight w:val="none"/>
          <w:lang w:val="zh-CN" w:eastAsia="zh-CN" w:bidi="zh-CN"/>
        </w:rPr>
        <w:t>除专用合同条款另有约定外，不利的物质条件是指在施工中遭遇不可预见的外界障碍或自然条件造成施工受阻。</w:t>
      </w:r>
    </w:p>
    <w:p w14:paraId="3B73F7B3">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4.11.2</w:t>
      </w:r>
      <w:r>
        <w:rPr>
          <w:rFonts w:hint="eastAsia" w:ascii="宋体" w:hAnsi="宋体" w:eastAsia="宋体" w:cs="宋体"/>
          <w:color w:val="auto"/>
          <w:kern w:val="2"/>
          <w:sz w:val="24"/>
          <w:szCs w:val="24"/>
          <w:highlight w:val="none"/>
          <w:lang w:val="zh-CN" w:eastAsia="zh-CN" w:bidi="zh-CN"/>
        </w:rPr>
        <w:t>承包人遇到不利物质条件时，应采取适应不利物质条件的合理措施继续施工, 并及时通知监理人。承包人应有权根据第</w:t>
      </w:r>
      <w:r>
        <w:rPr>
          <w:rFonts w:hint="eastAsia" w:ascii="宋体" w:hAnsi="宋体" w:eastAsia="宋体" w:cs="宋体"/>
          <w:color w:val="auto"/>
          <w:kern w:val="2"/>
          <w:sz w:val="24"/>
          <w:szCs w:val="24"/>
          <w:highlight w:val="none"/>
          <w:lang w:val="en-US" w:eastAsia="zh-CN" w:bidi="en-US"/>
        </w:rPr>
        <w:t>23.1</w:t>
      </w:r>
      <w:r>
        <w:rPr>
          <w:rFonts w:hint="eastAsia" w:ascii="宋体" w:hAnsi="宋体" w:eastAsia="宋体" w:cs="宋体"/>
          <w:color w:val="auto"/>
          <w:kern w:val="2"/>
          <w:sz w:val="24"/>
          <w:szCs w:val="24"/>
          <w:highlight w:val="none"/>
          <w:lang w:val="zh-CN" w:eastAsia="zh-CN" w:bidi="zh-CN"/>
        </w:rPr>
        <w:t>款的约定，要求延长工期及增加费用。监理人收到此类要求后，应在分析上述外界障碍或自然条件是否不可预见及不可预见程度的基础上，按照通用合同条款第15条的约定办理。</w:t>
      </w:r>
    </w:p>
    <w:p w14:paraId="61E6DFB2">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11" w:name="_Toc17675"/>
      <w:r>
        <w:rPr>
          <w:rFonts w:hint="eastAsia" w:ascii="宋体" w:hAnsi="宋体" w:eastAsia="宋体" w:cs="宋体"/>
          <w:color w:val="auto"/>
          <w:kern w:val="2"/>
          <w:sz w:val="24"/>
          <w:szCs w:val="24"/>
          <w:highlight w:val="none"/>
          <w:lang w:val="en-US" w:eastAsia="zh-CN" w:bidi="ar-SA"/>
        </w:rPr>
        <w:t>5.材料和工程设备</w:t>
      </w:r>
      <w:bookmarkEnd w:id="211"/>
    </w:p>
    <w:p w14:paraId="2BB47437">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5.1承包人提供的材料和工程设备</w:t>
      </w:r>
    </w:p>
    <w:p w14:paraId="785083EE">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en-US"/>
        </w:rPr>
      </w:pPr>
      <w:r>
        <w:rPr>
          <w:rFonts w:hint="eastAsia" w:ascii="宋体" w:hAnsi="宋体" w:eastAsia="宋体" w:cs="宋体"/>
          <w:color w:val="auto"/>
          <w:kern w:val="2"/>
          <w:sz w:val="24"/>
          <w:szCs w:val="24"/>
          <w:highlight w:val="none"/>
          <w:lang w:val="en-US" w:eastAsia="zh-CN" w:bidi="en-US"/>
        </w:rPr>
        <w:t>5.1.1除第5.2款约定由发包人提供的材料和工程设备外，承包人负责采购、运输和保管完成本合同工作所需的材料和工程设备。承包人应对其采购的材料和工程设备负责。</w:t>
      </w:r>
    </w:p>
    <w:p w14:paraId="3FE160C5">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en-US"/>
        </w:rPr>
      </w:pPr>
      <w:r>
        <w:rPr>
          <w:rFonts w:hint="eastAsia" w:ascii="宋体" w:hAnsi="宋体" w:eastAsia="宋体" w:cs="宋体"/>
          <w:color w:val="auto"/>
          <w:kern w:val="2"/>
          <w:sz w:val="24"/>
          <w:szCs w:val="24"/>
          <w:highlight w:val="none"/>
          <w:lang w:val="en-US" w:eastAsia="zh-CN" w:bidi="en-US"/>
        </w:rPr>
        <w:t>5.1.2承包人应按专用合同条款的约定，将各项材料和工程设备的供货人及品种、规格、数量和供货时间等报送监理人审批。承包人应向监理人提交其负责提供的材料和工程 设备的质量证明文件，并满足合同约定的质量标准。</w:t>
      </w:r>
    </w:p>
    <w:p w14:paraId="0C3F706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en-US"/>
        </w:rPr>
      </w:pPr>
      <w:r>
        <w:rPr>
          <w:rFonts w:hint="eastAsia" w:ascii="宋体" w:hAnsi="宋体" w:eastAsia="宋体" w:cs="宋体"/>
          <w:color w:val="auto"/>
          <w:kern w:val="2"/>
          <w:sz w:val="24"/>
          <w:szCs w:val="24"/>
          <w:highlight w:val="none"/>
          <w:lang w:val="en-US" w:eastAsia="zh-CN" w:bidi="en-US"/>
        </w:rPr>
        <w:t>5.1.3对承包人提供的材料和工程设备，承包人应会同监理人进行检验和交货验收,查验材料合格证明和产品合格证书，并按合同约定和监理人指示，进行材料的抽样检验和工程设备的检验测试，检验和测试结果应提交监理人，所需费用由承包人承担。</w:t>
      </w:r>
    </w:p>
    <w:p w14:paraId="1DE8A575">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5.2发包人提供的材料和工程设备</w:t>
      </w:r>
    </w:p>
    <w:p w14:paraId="5A3D8FB2">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5.2.1发包人提供的材料和工程设备，应在专用合同条款中写明材料和工程设备的名称、规格、数量、价格、交货方式、交货地点和计划交货日期等。</w:t>
      </w:r>
    </w:p>
    <w:p w14:paraId="382F89D8">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5.2.2</w:t>
      </w:r>
      <w:r>
        <w:rPr>
          <w:rFonts w:hint="eastAsia" w:ascii="宋体" w:hAnsi="宋体" w:eastAsia="宋体" w:cs="宋体"/>
          <w:color w:val="auto"/>
          <w:kern w:val="2"/>
          <w:sz w:val="24"/>
          <w:szCs w:val="24"/>
          <w:highlight w:val="none"/>
          <w:lang w:val="zh-CN" w:eastAsia="zh-CN" w:bidi="zh-CN"/>
        </w:rPr>
        <w:t>承包人应根据合同进度计划的安排，向监理人报送要求发包人交货的日期计划。发包人应按照监理人与合同双方当事人商定的交货日期，向承包人提交材料和工程设备。</w:t>
      </w:r>
    </w:p>
    <w:p w14:paraId="647630F2">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5.2.3</w:t>
      </w:r>
      <w:r>
        <w:rPr>
          <w:rFonts w:hint="eastAsia" w:ascii="宋体" w:hAnsi="宋体" w:eastAsia="宋体" w:cs="宋体"/>
          <w:color w:val="auto"/>
          <w:kern w:val="2"/>
          <w:sz w:val="24"/>
          <w:szCs w:val="24"/>
          <w:highlight w:val="none"/>
          <w:lang w:val="zh-CN" w:eastAsia="zh-CN" w:bidi="zh-CN"/>
        </w:rPr>
        <w:t>发包人应在材料和工程设备到货7天前通知承包人，承包人应会同监理人在约定的时间内，赴交货地点共同进行验收。发包人提供的材料和工程设备运至交货地点验收后，由承包人负责接收、卸货、运输和保管。</w:t>
      </w:r>
    </w:p>
    <w:p w14:paraId="4473993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5. 2.4</w:t>
      </w:r>
      <w:r>
        <w:rPr>
          <w:rFonts w:hint="eastAsia" w:ascii="宋体" w:hAnsi="宋体" w:eastAsia="宋体" w:cs="宋体"/>
          <w:color w:val="auto"/>
          <w:kern w:val="2"/>
          <w:sz w:val="24"/>
          <w:szCs w:val="24"/>
          <w:highlight w:val="none"/>
          <w:lang w:val="zh-CN" w:eastAsia="zh-CN" w:bidi="zh-CN"/>
        </w:rPr>
        <w:t>发包人要求向承包人提前交货的，承包人不得拒绝，但发包人应承担承包人由此增加的费用。</w:t>
      </w:r>
    </w:p>
    <w:p w14:paraId="2D610855">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5.2.5</w:t>
      </w:r>
      <w:r>
        <w:rPr>
          <w:rFonts w:hint="eastAsia" w:ascii="宋体" w:hAnsi="宋体" w:eastAsia="宋体" w:cs="宋体"/>
          <w:color w:val="auto"/>
          <w:kern w:val="2"/>
          <w:sz w:val="24"/>
          <w:szCs w:val="24"/>
          <w:highlight w:val="none"/>
          <w:lang w:val="zh-CN" w:eastAsia="zh-CN" w:bidi="zh-CN"/>
        </w:rPr>
        <w:t>承包人要求更改交货日期或地点的，应事先报请监理人批准。由于承包人要求更改交货时间或地点所增加的费用和（或）工期延误由承包人承担。</w:t>
      </w:r>
    </w:p>
    <w:p w14:paraId="2F60F5E1">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5.2.6</w:t>
      </w:r>
      <w:r>
        <w:rPr>
          <w:rFonts w:hint="eastAsia" w:ascii="宋体" w:hAnsi="宋体" w:eastAsia="宋体" w:cs="宋体"/>
          <w:color w:val="auto"/>
          <w:kern w:val="2"/>
          <w:sz w:val="24"/>
          <w:szCs w:val="24"/>
          <w:highlight w:val="none"/>
          <w:lang w:val="zh-CN" w:eastAsia="zh-CN" w:bidi="zh-CN"/>
        </w:rPr>
        <w:t>发包人提供的材料和工程设备的规格、数量或质量不符合合同要求，或由于发包人原因发生交货日期延误及交货地点变更等情况的，发包人应承担由此增加的费用和（或）工期延误，并向承包人支付合理利润。</w:t>
      </w:r>
    </w:p>
    <w:p w14:paraId="692A69D4">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5.3材料和工程设备专用于合同工程</w:t>
      </w:r>
    </w:p>
    <w:p w14:paraId="4D13B937">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5.3.1</w:t>
      </w:r>
      <w:r>
        <w:rPr>
          <w:rFonts w:hint="eastAsia" w:ascii="宋体" w:hAnsi="宋体" w:eastAsia="宋体" w:cs="宋体"/>
          <w:color w:val="auto"/>
          <w:kern w:val="2"/>
          <w:sz w:val="24"/>
          <w:szCs w:val="24"/>
          <w:highlight w:val="none"/>
          <w:lang w:val="zh-CN" w:eastAsia="zh-CN" w:bidi="zh-CN"/>
        </w:rPr>
        <w:t>运入施工场地的材料、工程设备，包括备品备件、安装专用工器具与随机资料，必须专用于合同工程，未经监理人同意，承包人不得运出施工场地或挪作他用。</w:t>
      </w:r>
    </w:p>
    <w:p w14:paraId="09FA1001">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5.3.2</w:t>
      </w:r>
      <w:r>
        <w:rPr>
          <w:rFonts w:hint="eastAsia" w:ascii="宋体" w:hAnsi="宋体" w:eastAsia="宋体" w:cs="宋体"/>
          <w:color w:val="auto"/>
          <w:kern w:val="2"/>
          <w:sz w:val="24"/>
          <w:szCs w:val="24"/>
          <w:highlight w:val="none"/>
          <w:lang w:val="zh-CN" w:eastAsia="zh-CN" w:bidi="zh-CN"/>
        </w:rPr>
        <w:t>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14:paraId="3C409355">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5.4禁止使用不合格的材料和工程设备</w:t>
      </w:r>
    </w:p>
    <w:p w14:paraId="27FA605D">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5.4.1监理人有权拒绝承包人提供的不合格材料或工程设备，并要求承包人立即进行更换。监理人应在更换后再次进行检查和检验，由此增加的费用和（或）工期延误由承包 人承担。</w:t>
      </w:r>
    </w:p>
    <w:p w14:paraId="38F23BD7">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5.4.2监理人发现承包人使用了不合格的材料和工程设备，应即时发出指示要求承包人立即改正，并禁止在工程中继续使用不合格的材料和工程设备。</w:t>
      </w:r>
    </w:p>
    <w:p w14:paraId="0D66CED5">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5.4.3</w:t>
      </w:r>
      <w:r>
        <w:rPr>
          <w:rFonts w:hint="eastAsia" w:ascii="宋体" w:hAnsi="宋体" w:eastAsia="宋体" w:cs="宋体"/>
          <w:color w:val="auto"/>
          <w:kern w:val="2"/>
          <w:sz w:val="24"/>
          <w:szCs w:val="24"/>
          <w:highlight w:val="none"/>
          <w:lang w:val="zh-CN" w:eastAsia="zh-CN" w:bidi="zh-CN"/>
        </w:rPr>
        <w:t>发包人提供的材料或工程设备不符合合同要求的，承包人有权拒绝，并可要求发包人更换，由此增加的费用和（或）工期延误由发包人承担。</w:t>
      </w:r>
    </w:p>
    <w:p w14:paraId="2D8E253B">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12" w:name="_Toc24250"/>
      <w:r>
        <w:rPr>
          <w:rFonts w:hint="eastAsia" w:ascii="宋体" w:hAnsi="宋体" w:eastAsia="宋体" w:cs="宋体"/>
          <w:color w:val="auto"/>
          <w:kern w:val="2"/>
          <w:sz w:val="24"/>
          <w:szCs w:val="24"/>
          <w:highlight w:val="none"/>
          <w:lang w:val="en-US" w:eastAsia="zh-CN" w:bidi="ar-SA"/>
        </w:rPr>
        <w:t>6.施工设备和临时设施</w:t>
      </w:r>
      <w:bookmarkEnd w:id="212"/>
    </w:p>
    <w:p w14:paraId="497FA46D">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6.1承包人提供的施工设备和临时设施</w:t>
      </w:r>
    </w:p>
    <w:p w14:paraId="16261B7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6.1.1</w:t>
      </w:r>
      <w:r>
        <w:rPr>
          <w:rFonts w:hint="eastAsia" w:ascii="宋体" w:hAnsi="宋体" w:eastAsia="宋体" w:cs="宋体"/>
          <w:color w:val="auto"/>
          <w:kern w:val="2"/>
          <w:sz w:val="24"/>
          <w:szCs w:val="24"/>
          <w:highlight w:val="none"/>
          <w:lang w:val="zh-CN" w:eastAsia="zh-CN" w:bidi="zh-CN"/>
        </w:rPr>
        <w:t>承包人应按合同进度计划的要求，及时配置施工设备和修建临时设施。进入施工场地的承包人设备需经监理人核查后才能投入使用。承包人更换合同约定的承包人设备的，应报监理人批准。</w:t>
      </w:r>
    </w:p>
    <w:p w14:paraId="68C6A8E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6.1.2</w:t>
      </w:r>
      <w:r>
        <w:rPr>
          <w:rFonts w:hint="eastAsia" w:ascii="宋体" w:hAnsi="宋体" w:eastAsia="宋体" w:cs="宋体"/>
          <w:color w:val="auto"/>
          <w:kern w:val="2"/>
          <w:sz w:val="24"/>
          <w:szCs w:val="24"/>
          <w:highlight w:val="none"/>
          <w:lang w:val="zh-CN" w:eastAsia="zh-CN" w:bidi="zh-CN"/>
        </w:rPr>
        <w:t>除专用合同条款另有约定外，承包人应自行承担修建临时设施的费用，需要临时占地的，应由发包人办理申请手续并承担相应费用。</w:t>
      </w:r>
    </w:p>
    <w:p w14:paraId="1E0E07A8">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6.2发包人提供的施工设备和临时设施</w:t>
      </w:r>
    </w:p>
    <w:p w14:paraId="4AF1A901">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发包人提供的施工设备或临时设施在专用合同条款中约定。</w:t>
      </w:r>
    </w:p>
    <w:p w14:paraId="10868D40">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6.3要求承包人增加或更换施工设备</w:t>
      </w:r>
    </w:p>
    <w:p w14:paraId="3014F671">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承包人使用的施工设备不能满足合同进度计划和（或）质量要求时，监理人有权要求承包人增加或更换施工设备，承包人应及时增加或更换，由此增加的费用和（或）工期延误由承包人承担。</w:t>
      </w:r>
    </w:p>
    <w:p w14:paraId="4A383A3B">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6.4施工设备和临时设施专用于合同工程</w:t>
      </w:r>
    </w:p>
    <w:p w14:paraId="5D8BA576">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6.4.1除合同另有约定外，运入施工场地的所有施工设备以及在施工场地建设的临时设施应专用于合同工程。未经监理人同意，不得将上述施工设备和临时设施中的任何部分运出施工场地或挪作他用。</w:t>
      </w:r>
    </w:p>
    <w:p w14:paraId="32E29310">
      <w:pPr>
        <w:pageBreakBefore w:val="0"/>
        <w:widowControl w:val="0"/>
        <w:tabs>
          <w:tab w:val="left" w:pos="754"/>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6.4.2</w:t>
      </w:r>
      <w:r>
        <w:rPr>
          <w:rFonts w:hint="eastAsia" w:ascii="宋体" w:hAnsi="宋体" w:eastAsia="宋体" w:cs="宋体"/>
          <w:color w:val="auto"/>
          <w:kern w:val="2"/>
          <w:sz w:val="24"/>
          <w:szCs w:val="24"/>
          <w:highlight w:val="none"/>
          <w:lang w:val="zh-CN" w:eastAsia="zh-CN" w:bidi="zh-CN"/>
        </w:rPr>
        <w:t>经监理人同意，承包人可根据合同进度计划撤走闲置的施工设备。</w:t>
      </w:r>
    </w:p>
    <w:p w14:paraId="4DAE1E3A">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13" w:name="_Toc28841"/>
      <w:r>
        <w:rPr>
          <w:rFonts w:hint="eastAsia" w:ascii="宋体" w:hAnsi="宋体" w:eastAsia="宋体" w:cs="宋体"/>
          <w:color w:val="auto"/>
          <w:kern w:val="2"/>
          <w:sz w:val="24"/>
          <w:szCs w:val="24"/>
          <w:highlight w:val="none"/>
          <w:lang w:val="en-US" w:eastAsia="zh-CN" w:bidi="ar-SA"/>
        </w:rPr>
        <w:t>7.交通运输</w:t>
      </w:r>
      <w:bookmarkEnd w:id="213"/>
    </w:p>
    <w:p w14:paraId="381D35ED">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7.1道路通行权和场外设施</w:t>
      </w:r>
    </w:p>
    <w:p w14:paraId="3B2E2E9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除专用合同条款另有约定外，承包人应根据合同工程的施工需要，负责办理取得出入施工场地的专用和临时道路的通行权，以及取得为工程建设所需修建场外设施的权利，并承担相关费用。发包人应协助承包人办理上述手续。</w:t>
      </w:r>
    </w:p>
    <w:p w14:paraId="781A8D91">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7.2场内施工道路</w:t>
      </w:r>
    </w:p>
    <w:p w14:paraId="53C8920E">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7.2.1</w:t>
      </w:r>
      <w:r>
        <w:rPr>
          <w:rFonts w:hint="eastAsia" w:ascii="宋体" w:hAnsi="宋体" w:eastAsia="宋体" w:cs="宋体"/>
          <w:color w:val="auto"/>
          <w:kern w:val="2"/>
          <w:sz w:val="24"/>
          <w:szCs w:val="24"/>
          <w:highlight w:val="none"/>
          <w:lang w:val="zh-CN" w:eastAsia="zh-CN" w:bidi="zh-CN"/>
        </w:rPr>
        <w:t>除本合同约定由发包人提供的部分道路和交通设施外，承包人应负责修建、维修、养护和管理其施工所需的全部临时道路和交通设施（包括合同约定由发包人提供的部 分道路和交通设施维修、养护和管理），并承担相应费用。</w:t>
      </w:r>
    </w:p>
    <w:p w14:paraId="27E3774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7.2.2</w:t>
      </w:r>
      <w:r>
        <w:rPr>
          <w:rFonts w:hint="eastAsia" w:ascii="宋体" w:hAnsi="宋体" w:eastAsia="宋体" w:cs="宋体"/>
          <w:color w:val="auto"/>
          <w:kern w:val="2"/>
          <w:sz w:val="24"/>
          <w:szCs w:val="24"/>
          <w:highlight w:val="none"/>
          <w:lang w:val="zh-CN" w:eastAsia="zh-CN" w:bidi="zh-CN"/>
        </w:rPr>
        <w:t>承包人修建的临时道路和交通设施，应免费提供发包人、监理人，以及与本合 同有关的其他承包人使用。</w:t>
      </w:r>
    </w:p>
    <w:p w14:paraId="0D64159A">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7.3场外交通</w:t>
      </w:r>
    </w:p>
    <w:p w14:paraId="521B60D7">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7.3.1</w:t>
      </w:r>
      <w:r>
        <w:rPr>
          <w:rFonts w:hint="eastAsia" w:ascii="宋体" w:hAnsi="宋体" w:eastAsia="宋体" w:cs="宋体"/>
          <w:color w:val="auto"/>
          <w:kern w:val="2"/>
          <w:sz w:val="24"/>
          <w:szCs w:val="24"/>
          <w:highlight w:val="none"/>
          <w:lang w:val="zh-CN" w:eastAsia="zh-CN" w:bidi="zh-CN"/>
        </w:rPr>
        <w:t>承包人车辆外出行驶所需的场外公共道路的通行费、养路费和税款等由承包人承担。</w:t>
      </w:r>
    </w:p>
    <w:p w14:paraId="548A50B6">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zh-CN"/>
        </w:rPr>
        <w:t>7.3.2</w:t>
      </w:r>
      <w:r>
        <w:rPr>
          <w:rFonts w:hint="eastAsia" w:ascii="宋体" w:hAnsi="宋体" w:eastAsia="宋体" w:cs="宋体"/>
          <w:color w:val="auto"/>
          <w:kern w:val="2"/>
          <w:sz w:val="24"/>
          <w:szCs w:val="24"/>
          <w:highlight w:val="none"/>
          <w:lang w:val="zh-CN" w:eastAsia="zh-CN" w:bidi="zh-CN"/>
        </w:rPr>
        <w:t>承包人应遵守有关交通法规，严格按照道路和桥梁的限制荷重安全行驶，并服从交通管理部门的检查和监督</w:t>
      </w:r>
      <w:r>
        <w:rPr>
          <w:rFonts w:hint="eastAsia" w:ascii="宋体" w:hAnsi="宋体" w:eastAsia="宋体" w:cs="宋体"/>
          <w:color w:val="auto"/>
          <w:kern w:val="2"/>
          <w:sz w:val="24"/>
          <w:szCs w:val="24"/>
          <w:highlight w:val="none"/>
          <w:lang w:val="en-US" w:eastAsia="zh-CN" w:bidi="zh-CN"/>
        </w:rPr>
        <w:t>。</w:t>
      </w:r>
    </w:p>
    <w:p w14:paraId="4D161C4D">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7.4超大件和超重件的运输</w:t>
      </w:r>
    </w:p>
    <w:p w14:paraId="2A3531A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由承包人负责运输的超大件或超重件，应由承包人负责向交通管理部门办理申请手续, 发包人给予协助。运输超大件或超重件所需的道路和桥梁临时加固改造费用和其他有关费用，由承包人承担，但专用合同条款另有约定除外。</w:t>
      </w:r>
    </w:p>
    <w:p w14:paraId="2235300E">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7.5道路和桥梁的损坏责任</w:t>
      </w:r>
    </w:p>
    <w:p w14:paraId="748340A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因承包人运输造成施工场地内外公共道路和桥梁损坏的，由承包人承担修复损坏的全部费用和可能引起的赔偿。</w:t>
      </w:r>
    </w:p>
    <w:p w14:paraId="7F5DE1DD">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7.6水路和航空运输</w:t>
      </w:r>
    </w:p>
    <w:p w14:paraId="3CB63776">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本条上述各款的内容适用于水路运输和航空运输，其中“道路” 一词的涵义包括河道、航线、船闸、机场、码头、堤防以及水路或航空运输中其他相似结构物；“车辆” 一词的涵义包括船舶和飞机等。</w:t>
      </w:r>
    </w:p>
    <w:p w14:paraId="7AB0BA82">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14" w:name="_Toc10906"/>
      <w:r>
        <w:rPr>
          <w:rFonts w:hint="eastAsia" w:ascii="宋体" w:hAnsi="宋体" w:eastAsia="宋体" w:cs="宋体"/>
          <w:color w:val="auto"/>
          <w:kern w:val="2"/>
          <w:sz w:val="24"/>
          <w:szCs w:val="24"/>
          <w:highlight w:val="none"/>
          <w:lang w:val="en-US" w:eastAsia="zh-CN" w:bidi="ar-SA"/>
        </w:rPr>
        <w:t>8.测量放线</w:t>
      </w:r>
      <w:bookmarkEnd w:id="214"/>
    </w:p>
    <w:p w14:paraId="37F58B55">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8.1施工控制网</w:t>
      </w:r>
    </w:p>
    <w:p w14:paraId="085F6D1F">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8.1.1</w:t>
      </w:r>
      <w:r>
        <w:rPr>
          <w:rFonts w:hint="eastAsia" w:ascii="宋体" w:hAnsi="宋体" w:eastAsia="宋体" w:cs="宋体"/>
          <w:color w:val="auto"/>
          <w:kern w:val="2"/>
          <w:sz w:val="24"/>
          <w:szCs w:val="24"/>
          <w:highlight w:val="none"/>
          <w:lang w:val="zh-CN" w:eastAsia="zh-CN" w:bidi="zh-CN"/>
        </w:rPr>
        <w:t>除专用条款另有约定外，施工控制网由承包人负责测设，发包人应在本合同协议书签订后的14天内，向承包人提供测量基准点、基准线和水准点及其相关资料。承包人应在收到上述资料后的28天内，将施测的施工控制网资料提交监理人审批。监理人应在收到报批件后的14天内批复承包人。</w:t>
      </w:r>
    </w:p>
    <w:p w14:paraId="621188C7">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8.1.2</w:t>
      </w:r>
      <w:r>
        <w:rPr>
          <w:rFonts w:hint="eastAsia" w:ascii="宋体" w:hAnsi="宋体" w:eastAsia="宋体" w:cs="宋体"/>
          <w:color w:val="auto"/>
          <w:kern w:val="2"/>
          <w:sz w:val="24"/>
          <w:szCs w:val="24"/>
          <w:highlight w:val="none"/>
          <w:lang w:val="zh-CN" w:eastAsia="zh-CN" w:bidi="zh-CN"/>
        </w:rPr>
        <w:t>承包人应负责管理施工控制网点。施工控制网点丢失或损坏的，承包人应及时修复。承包人应承担施工控制网点的管理与修复费用，并在工程竣工后将施工控制网点移交发包人。</w:t>
      </w:r>
    </w:p>
    <w:p w14:paraId="16A790C6">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8.2施工测量</w:t>
      </w:r>
    </w:p>
    <w:p w14:paraId="50DB4D7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8.2.1</w:t>
      </w:r>
      <w:r>
        <w:rPr>
          <w:rFonts w:hint="eastAsia" w:ascii="宋体" w:hAnsi="宋体" w:eastAsia="宋体" w:cs="宋体"/>
          <w:color w:val="auto"/>
          <w:kern w:val="2"/>
          <w:sz w:val="24"/>
          <w:szCs w:val="24"/>
          <w:highlight w:val="none"/>
          <w:lang w:val="zh-CN" w:eastAsia="zh-CN" w:bidi="zh-CN"/>
        </w:rPr>
        <w:t>承包人应负责施工过程中的全部施工测量放线工作，并配置合格的人员、仪 器、设备和其他物品。</w:t>
      </w:r>
    </w:p>
    <w:p w14:paraId="0C7DE5E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8.2.2</w:t>
      </w:r>
      <w:r>
        <w:rPr>
          <w:rFonts w:hint="eastAsia" w:ascii="宋体" w:hAnsi="宋体" w:eastAsia="宋体" w:cs="宋体"/>
          <w:color w:val="auto"/>
          <w:kern w:val="2"/>
          <w:sz w:val="24"/>
          <w:szCs w:val="24"/>
          <w:highlight w:val="none"/>
          <w:lang w:val="zh-CN" w:eastAsia="zh-CN" w:bidi="zh-CN"/>
        </w:rPr>
        <w:t>监理人可以指示承包人进行抽样复测，当复测中发现错误或出现超过合同约定的误差时，承包人应按监理人指示进行修正或补测，并承担相应的复测费用。</w:t>
      </w:r>
    </w:p>
    <w:p w14:paraId="77C981E7">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8.3基准资料错误的责任</w:t>
      </w:r>
    </w:p>
    <w:p w14:paraId="100491A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w:t>
      </w:r>
    </w:p>
    <w:p w14:paraId="2F6AEE85">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8.4监理人使用施工控制网</w:t>
      </w:r>
    </w:p>
    <w:p w14:paraId="30B45CFE">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监理人需要使用施工控制网的，承包人应提供必要的协助，发包人不再为此支付费用。</w:t>
      </w:r>
    </w:p>
    <w:p w14:paraId="652B07ED">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8.5补充地质勘探</w:t>
      </w:r>
    </w:p>
    <w:p w14:paraId="524C014E">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在合同实施期间，监理人可以指示承包人进行必要的补充地质勘探和提供有关资料；承包人为本合同永久工程施工的需要进行补充地质勘探时，须经监理人批准，并应向监理人提交有关资料，上述补充勘探的费用由发包人承担。承包人为其临时工程所需进行的补 充地质勘探，其费用由承包人承担。</w:t>
      </w:r>
    </w:p>
    <w:p w14:paraId="1AD039D4">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15" w:name="_Toc18302"/>
      <w:r>
        <w:rPr>
          <w:rFonts w:hint="eastAsia" w:ascii="宋体" w:hAnsi="宋体" w:eastAsia="宋体" w:cs="宋体"/>
          <w:color w:val="auto"/>
          <w:kern w:val="2"/>
          <w:sz w:val="24"/>
          <w:szCs w:val="24"/>
          <w:highlight w:val="none"/>
          <w:lang w:val="en-US" w:eastAsia="zh-CN" w:bidi="ar-SA"/>
        </w:rPr>
        <w:t>9.施工安全、治安保卫和环境保护</w:t>
      </w:r>
      <w:bookmarkEnd w:id="215"/>
    </w:p>
    <w:p w14:paraId="037D3D23">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9.1发包人的施工安全责任</w:t>
      </w:r>
    </w:p>
    <w:p w14:paraId="05319568">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9.1.1</w:t>
      </w:r>
      <w:r>
        <w:rPr>
          <w:rFonts w:hint="eastAsia" w:ascii="宋体" w:hAnsi="宋体" w:eastAsia="宋体" w:cs="宋体"/>
          <w:color w:val="auto"/>
          <w:kern w:val="2"/>
          <w:sz w:val="24"/>
          <w:szCs w:val="24"/>
          <w:highlight w:val="none"/>
          <w:lang w:val="zh-CN" w:eastAsia="zh-CN" w:bidi="zh-CN"/>
        </w:rPr>
        <w:t>发包人应按合同约定履行安全职责，发包人委托监理人根据国家有关安全的法律、法规、强制性标准以及部门规章，对承包人的安全责任履行情况进行监督和检查。监理人的监督检查不减轻承包人应负的安全责任。</w:t>
      </w:r>
    </w:p>
    <w:p w14:paraId="0D51B3B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9.1.2</w:t>
      </w:r>
      <w:r>
        <w:rPr>
          <w:rFonts w:hint="eastAsia" w:ascii="宋体" w:hAnsi="宋体" w:eastAsia="宋体" w:cs="宋体"/>
          <w:color w:val="auto"/>
          <w:kern w:val="2"/>
          <w:sz w:val="24"/>
          <w:szCs w:val="24"/>
          <w:highlight w:val="none"/>
          <w:lang w:val="zh-CN" w:eastAsia="zh-CN" w:bidi="zh-CN"/>
        </w:rPr>
        <w:t>发包人应对其现场机构雇佣的全部人员的工伤事故承担责任，但由于承包人原因造成发包人人员工伤的，应由承包人承担责任。</w:t>
      </w:r>
    </w:p>
    <w:p w14:paraId="5691FC6F">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 xml:space="preserve">9. 1. </w:t>
      </w:r>
      <w:r>
        <w:rPr>
          <w:rFonts w:hint="eastAsia" w:ascii="宋体" w:hAnsi="宋体" w:eastAsia="宋体" w:cs="宋体"/>
          <w:color w:val="auto"/>
          <w:kern w:val="2"/>
          <w:sz w:val="24"/>
          <w:szCs w:val="24"/>
          <w:highlight w:val="none"/>
          <w:lang w:val="zh-CN" w:eastAsia="zh-CN" w:bidi="zh-CN"/>
        </w:rPr>
        <w:t>3发包人应负责赔偿以下各种情况造成的第三者人身伤亡和财产损失：</w:t>
      </w:r>
    </w:p>
    <w:p w14:paraId="62D07A8B">
      <w:pPr>
        <w:pageBreakBefore w:val="0"/>
        <w:widowControl w:val="0"/>
        <w:numPr>
          <w:ilvl w:val="0"/>
          <w:numId w:val="7"/>
        </w:numPr>
        <w:tabs>
          <w:tab w:val="left" w:pos="898"/>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工程或工程的任何部分对土地的占用所造成的第三者财产损失；</w:t>
      </w:r>
    </w:p>
    <w:p w14:paraId="1ABA81E0">
      <w:pPr>
        <w:pageBreakBefore w:val="0"/>
        <w:widowControl w:val="0"/>
        <w:numPr>
          <w:ilvl w:val="0"/>
          <w:numId w:val="7"/>
        </w:numPr>
        <w:tabs>
          <w:tab w:val="left" w:pos="898"/>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由于发包人原因在施工场地及其毗邻地带造成的第三者人身伤亡和财产损失。</w:t>
      </w:r>
    </w:p>
    <w:p w14:paraId="21A140E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9.1.4</w:t>
      </w:r>
      <w:r>
        <w:rPr>
          <w:rFonts w:hint="eastAsia" w:ascii="宋体" w:hAnsi="宋体" w:eastAsia="宋体" w:cs="宋体"/>
          <w:color w:val="auto"/>
          <w:kern w:val="2"/>
          <w:sz w:val="24"/>
          <w:szCs w:val="24"/>
          <w:highlight w:val="none"/>
          <w:lang w:val="zh-CN" w:eastAsia="zh-CN" w:bidi="zh-CN"/>
        </w:rPr>
        <w:t>除专用合同条款另有约定外，发包人负责向承包人提供施工现场及施工可能影响的毗邻区域内供水、排水、供电、供气、供热、通信、广播电视等地下管线资料，气象 和水文观测资料，拟建工程可能影响的相邻建筑物地下工程的有关资料，并保证有关资料的真实、准确、完整，满足有关技术规程的要求。</w:t>
      </w:r>
    </w:p>
    <w:p w14:paraId="09FB9F38">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9.1.5</w:t>
      </w:r>
      <w:r>
        <w:rPr>
          <w:rFonts w:hint="eastAsia" w:ascii="宋体" w:hAnsi="宋体" w:eastAsia="宋体" w:cs="宋体"/>
          <w:color w:val="auto"/>
          <w:kern w:val="2"/>
          <w:sz w:val="24"/>
          <w:szCs w:val="24"/>
          <w:highlight w:val="none"/>
          <w:lang w:val="zh-CN" w:eastAsia="zh-CN" w:bidi="zh-CN"/>
        </w:rPr>
        <w:t>发包人按照已标价工程量清单所列金额和合同约定的计量支付规定，支付安全作业环境及安全施工措施所需费用。</w:t>
      </w:r>
    </w:p>
    <w:p w14:paraId="09DC3AE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9.1.6</w:t>
      </w:r>
      <w:r>
        <w:rPr>
          <w:rFonts w:hint="eastAsia" w:ascii="宋体" w:hAnsi="宋体" w:eastAsia="宋体" w:cs="宋体"/>
          <w:color w:val="auto"/>
          <w:kern w:val="2"/>
          <w:sz w:val="24"/>
          <w:szCs w:val="24"/>
          <w:highlight w:val="none"/>
          <w:lang w:val="zh-CN" w:eastAsia="zh-CN" w:bidi="zh-CN"/>
        </w:rPr>
        <w:t>发包人负责组织工程参建单位编制保证安全生产的措施方案。工程开工前，就 落实安全生产的措施进行全面系统的布置，进一步明确承包人的安全生产责任。</w:t>
      </w:r>
    </w:p>
    <w:p w14:paraId="59377010">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9.1.7</w:t>
      </w:r>
      <w:r>
        <w:rPr>
          <w:rFonts w:hint="eastAsia" w:ascii="宋体" w:hAnsi="宋体" w:eastAsia="宋体" w:cs="宋体"/>
          <w:color w:val="auto"/>
          <w:kern w:val="2"/>
          <w:sz w:val="24"/>
          <w:szCs w:val="24"/>
          <w:highlight w:val="none"/>
          <w:lang w:val="zh-CN" w:eastAsia="zh-CN" w:bidi="zh-CN"/>
        </w:rPr>
        <w:t>发包人负责在拆除工程和爆破工程施工14天前向有关部门或机构报送相关备案资料。</w:t>
      </w:r>
    </w:p>
    <w:p w14:paraId="6DCA644B">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9.2承包人的施工安全责任</w:t>
      </w:r>
    </w:p>
    <w:p w14:paraId="0BA23335">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9.2.1</w:t>
      </w:r>
      <w:r>
        <w:rPr>
          <w:rFonts w:hint="eastAsia" w:ascii="宋体" w:hAnsi="宋体" w:eastAsia="宋体" w:cs="宋体"/>
          <w:color w:val="auto"/>
          <w:kern w:val="2"/>
          <w:sz w:val="24"/>
          <w:szCs w:val="24"/>
          <w:highlight w:val="none"/>
          <w:lang w:val="zh-CN" w:eastAsia="zh-CN" w:bidi="zh-CN"/>
        </w:rPr>
        <w:t>承包人应按合同约定履行安全职责，执行监理人有关安全工作的指示。承包人应按技术标准和要求(合同技术条款)约定的内容和期限，以及监理人的指示，编制施工安全技术措施提交监理人审批。监理人应技术标准和要求(合同技术条款)约定的期限内 批复承包人。</w:t>
      </w:r>
    </w:p>
    <w:p w14:paraId="5945D9F3">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9.2.2</w:t>
      </w:r>
      <w:r>
        <w:rPr>
          <w:rFonts w:hint="eastAsia" w:ascii="宋体" w:hAnsi="宋体" w:eastAsia="宋体" w:cs="宋体"/>
          <w:color w:val="auto"/>
          <w:kern w:val="2"/>
          <w:sz w:val="24"/>
          <w:szCs w:val="24"/>
          <w:highlight w:val="none"/>
          <w:lang w:val="zh-CN" w:eastAsia="zh-CN" w:bidi="zh-CN"/>
        </w:rPr>
        <w:t>承包人应加强施工作业安全管理，特别应加强易燃、易爆材料、火工器材、有毒与腐蚀性材料和其他危险品的管理，以及对爆破作业和地下工程施工等危险作业的管理。</w:t>
      </w:r>
    </w:p>
    <w:p w14:paraId="04740516">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9.2.3</w:t>
      </w:r>
      <w:r>
        <w:rPr>
          <w:rFonts w:hint="eastAsia" w:ascii="宋体" w:hAnsi="宋体" w:eastAsia="宋体" w:cs="宋体"/>
          <w:color w:val="auto"/>
          <w:kern w:val="2"/>
          <w:sz w:val="24"/>
          <w:szCs w:val="24"/>
          <w:highlight w:val="none"/>
          <w:lang w:val="zh-CN" w:eastAsia="zh-CN" w:bidi="zh-CN"/>
        </w:rPr>
        <w:t>承包人应严格按照国家安全标准制定施工安全操作规程，配备必要的安全生产 和劳动保护设施，加强对承包人人员的安全教育，并发放安全工作手册和劳动保护用具。</w:t>
      </w:r>
    </w:p>
    <w:p w14:paraId="0DA4880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9. 2.4</w:t>
      </w:r>
      <w:r>
        <w:rPr>
          <w:rFonts w:hint="eastAsia" w:ascii="宋体" w:hAnsi="宋体" w:eastAsia="宋体" w:cs="宋体"/>
          <w:color w:val="auto"/>
          <w:kern w:val="2"/>
          <w:sz w:val="24"/>
          <w:szCs w:val="24"/>
          <w:highlight w:val="none"/>
          <w:lang w:val="zh-CN" w:eastAsia="zh-CN" w:bidi="zh-CN"/>
        </w:rPr>
        <w:t>承包人应按监理人的指示制定应对灾害的紧急预案，报送监理人审批。承包人还应按预案做好安全检查，配置必要的救助物资和器材，切实保护好有关人员的人身和财产安全。</w:t>
      </w:r>
    </w:p>
    <w:p w14:paraId="07E5DCD5">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9.2.5</w:t>
      </w:r>
      <w:r>
        <w:rPr>
          <w:rFonts w:hint="eastAsia" w:ascii="宋体" w:hAnsi="宋体" w:eastAsia="宋体" w:cs="宋体"/>
          <w:color w:val="auto"/>
          <w:kern w:val="2"/>
          <w:sz w:val="24"/>
          <w:szCs w:val="24"/>
          <w:highlight w:val="none"/>
          <w:lang w:val="zh-CN" w:eastAsia="zh-CN" w:bidi="zh-CN"/>
        </w:rPr>
        <w:t>合同约定的安全作业环境及安全施工措施所需费用应遵守有关规定，并包括在相关工作的合同价格中。因采取合同未约定的安全作业环境及安全施工措施增加的费用，由监理人按第</w:t>
      </w:r>
      <w:r>
        <w:rPr>
          <w:rFonts w:hint="eastAsia" w:ascii="宋体" w:hAnsi="宋体" w:eastAsia="宋体" w:cs="宋体"/>
          <w:color w:val="auto"/>
          <w:kern w:val="2"/>
          <w:sz w:val="24"/>
          <w:szCs w:val="24"/>
          <w:highlight w:val="none"/>
          <w:lang w:val="en-US" w:eastAsia="zh-CN" w:bidi="en-US"/>
        </w:rPr>
        <w:t xml:space="preserve">3. </w:t>
      </w:r>
      <w:r>
        <w:rPr>
          <w:rFonts w:hint="eastAsia" w:ascii="宋体" w:hAnsi="宋体" w:eastAsia="宋体" w:cs="宋体"/>
          <w:color w:val="auto"/>
          <w:kern w:val="2"/>
          <w:sz w:val="24"/>
          <w:szCs w:val="24"/>
          <w:highlight w:val="none"/>
          <w:lang w:val="zh-CN" w:eastAsia="zh-CN" w:bidi="zh-CN"/>
        </w:rPr>
        <w:t>5款商定或确定。</w:t>
      </w:r>
    </w:p>
    <w:p w14:paraId="06814F53">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9.2.6</w:t>
      </w:r>
      <w:r>
        <w:rPr>
          <w:rFonts w:hint="eastAsia" w:ascii="宋体" w:hAnsi="宋体" w:eastAsia="宋体" w:cs="宋体"/>
          <w:color w:val="auto"/>
          <w:kern w:val="2"/>
          <w:sz w:val="24"/>
          <w:szCs w:val="24"/>
          <w:highlight w:val="none"/>
          <w:lang w:val="zh-CN" w:eastAsia="zh-CN" w:bidi="zh-CN"/>
        </w:rPr>
        <w:t>承包人应对其履行合同所雇佣的全部人员，包括分包人人员的工伤事故承担责任，但由于发包人原因造成承包人人员工伤事故的，应由发包人承担责任。</w:t>
      </w:r>
    </w:p>
    <w:p w14:paraId="1AC3FF6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9.2.</w:t>
      </w:r>
      <w:r>
        <w:rPr>
          <w:rFonts w:hint="eastAsia" w:ascii="宋体" w:hAnsi="宋体" w:eastAsia="宋体" w:cs="宋体"/>
          <w:color w:val="auto"/>
          <w:kern w:val="2"/>
          <w:sz w:val="24"/>
          <w:szCs w:val="24"/>
          <w:highlight w:val="none"/>
          <w:lang w:val="zh-CN" w:eastAsia="zh-CN" w:bidi="zh-CN"/>
        </w:rPr>
        <w:t>7由于承包人原因在施工场地内及其毗邻地带造成的第三者人员伤亡和财产损失，由承包人负责赔偿。</w:t>
      </w:r>
    </w:p>
    <w:p w14:paraId="415B5045">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9.2.</w:t>
      </w:r>
      <w:r>
        <w:rPr>
          <w:rFonts w:hint="eastAsia" w:ascii="宋体" w:hAnsi="宋体" w:eastAsia="宋体" w:cs="宋体"/>
          <w:color w:val="auto"/>
          <w:kern w:val="2"/>
          <w:sz w:val="24"/>
          <w:szCs w:val="24"/>
          <w:highlight w:val="none"/>
          <w:lang w:val="zh-CN" w:eastAsia="zh-CN" w:bidi="zh-CN"/>
        </w:rPr>
        <w:t>8承包人已标价工程量清单应包含工程安全作业环境及安全施工措施所需费用。</w:t>
      </w:r>
    </w:p>
    <w:p w14:paraId="6A1D1F0B">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9.2.9</w:t>
      </w:r>
      <w:r>
        <w:rPr>
          <w:rFonts w:hint="eastAsia" w:ascii="宋体" w:hAnsi="宋体" w:eastAsia="宋体" w:cs="宋体"/>
          <w:color w:val="auto"/>
          <w:kern w:val="2"/>
          <w:sz w:val="24"/>
          <w:szCs w:val="24"/>
          <w:highlight w:val="none"/>
          <w:lang w:val="zh-CN" w:eastAsia="zh-CN" w:bidi="zh-CN"/>
        </w:rPr>
        <w:t>承包人应建立健全安全生产责任制度和安全生产教育培训制度，制定安全生产 规章制度和操作规程，保证本单位建立和完善安全生产条件所需资金的投入，对本工程进行定期和专项安全检查，并做好安全检查记录。</w:t>
      </w:r>
    </w:p>
    <w:p w14:paraId="3C82D4C8">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9.2.</w:t>
      </w:r>
      <w:r>
        <w:rPr>
          <w:rFonts w:hint="eastAsia" w:ascii="宋体" w:hAnsi="宋体" w:eastAsia="宋体" w:cs="宋体"/>
          <w:color w:val="auto"/>
          <w:kern w:val="2"/>
          <w:sz w:val="24"/>
          <w:szCs w:val="24"/>
          <w:highlight w:val="none"/>
          <w:lang w:val="zh-CN" w:eastAsia="zh-CN" w:bidi="zh-CN"/>
        </w:rPr>
        <w:t>10承包人应设立安全生产管理机构，施工现场应有专职安全生产管理人员。</w:t>
      </w:r>
    </w:p>
    <w:p w14:paraId="2954F49B">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9.2.11</w:t>
      </w:r>
      <w:r>
        <w:rPr>
          <w:rFonts w:hint="eastAsia" w:ascii="宋体" w:hAnsi="宋体" w:eastAsia="宋体" w:cs="宋体"/>
          <w:color w:val="auto"/>
          <w:kern w:val="2"/>
          <w:sz w:val="24"/>
          <w:szCs w:val="24"/>
          <w:highlight w:val="none"/>
          <w:lang w:val="zh-CN" w:eastAsia="zh-CN" w:bidi="zh-CN"/>
        </w:rPr>
        <w:t>承包人应负责对特种作业人员进行专门的安全作业培训，并保证特种作业人员持证上岗。</w:t>
      </w:r>
    </w:p>
    <w:p w14:paraId="09062EDE">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9.2.</w:t>
      </w:r>
      <w:r>
        <w:rPr>
          <w:rFonts w:hint="eastAsia" w:ascii="宋体" w:hAnsi="宋体" w:eastAsia="宋体" w:cs="宋体"/>
          <w:color w:val="auto"/>
          <w:kern w:val="2"/>
          <w:sz w:val="24"/>
          <w:szCs w:val="24"/>
          <w:highlight w:val="none"/>
          <w:lang w:val="zh-CN" w:eastAsia="zh-CN" w:bidi="zh-CN"/>
        </w:rPr>
        <w:t>12承包人应在施工组织设计中编制安全技术措施和施工现场临时用电方案。对专用合同条款约定的工程，应编制专项施工方案报监理人批准。对专用合同条款约定的专项施工方案，还应组织专家进行论证、审查，其中专家1/2人员应经发包人书面同意。</w:t>
      </w:r>
    </w:p>
    <w:p w14:paraId="1CA4E96F">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9.2.</w:t>
      </w:r>
      <w:r>
        <w:rPr>
          <w:rFonts w:hint="eastAsia" w:ascii="宋体" w:hAnsi="宋体" w:eastAsia="宋体" w:cs="宋体"/>
          <w:color w:val="auto"/>
          <w:kern w:val="2"/>
          <w:sz w:val="24"/>
          <w:szCs w:val="24"/>
          <w:highlight w:val="none"/>
          <w:lang w:val="zh-CN" w:eastAsia="zh-CN" w:bidi="zh-CN"/>
        </w:rPr>
        <w:t>13承包人在使用施工起重机构和整体提升脚手架、模板等自升式架设设施前,应组织有关单位进行验收。</w:t>
      </w:r>
    </w:p>
    <w:p w14:paraId="3D140D85">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9.3治安保卫</w:t>
      </w:r>
    </w:p>
    <w:p w14:paraId="2237BA9D">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9.3.1</w:t>
      </w:r>
      <w:r>
        <w:rPr>
          <w:rFonts w:hint="eastAsia" w:ascii="宋体" w:hAnsi="宋体" w:eastAsia="宋体" w:cs="宋体"/>
          <w:color w:val="auto"/>
          <w:kern w:val="2"/>
          <w:sz w:val="24"/>
          <w:szCs w:val="24"/>
          <w:highlight w:val="none"/>
          <w:lang w:val="zh-CN" w:eastAsia="zh-CN" w:bidi="zh-CN"/>
        </w:rPr>
        <w:t>除合同另有约定外，发包人应与当地公安部门协商，在现场建立治安管理机构或联防组织，统一管理施工场地的治安保卫事项，履行合同工程的治安保卫职责。</w:t>
      </w:r>
    </w:p>
    <w:p w14:paraId="71CECD61">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9.3.</w:t>
      </w:r>
      <w:r>
        <w:rPr>
          <w:rFonts w:hint="eastAsia" w:ascii="宋体" w:hAnsi="宋体" w:eastAsia="宋体" w:cs="宋体"/>
          <w:color w:val="auto"/>
          <w:kern w:val="2"/>
          <w:sz w:val="24"/>
          <w:szCs w:val="24"/>
          <w:highlight w:val="none"/>
          <w:lang w:val="zh-CN" w:eastAsia="zh-CN" w:bidi="zh-CN"/>
        </w:rPr>
        <w:t>2发包人和承包人除应协助现场治安管理机构或联防组织维护施工场地的社会治安外，还应做好包括生活区在内的各自管辖区的治安保卫工作。</w:t>
      </w:r>
    </w:p>
    <w:p w14:paraId="370D163B">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9.3.3</w:t>
      </w:r>
      <w:r>
        <w:rPr>
          <w:rFonts w:hint="eastAsia" w:ascii="宋体" w:hAnsi="宋体" w:eastAsia="宋体" w:cs="宋体"/>
          <w:color w:val="auto"/>
          <w:kern w:val="2"/>
          <w:sz w:val="24"/>
          <w:szCs w:val="24"/>
          <w:highlight w:val="none"/>
          <w:lang w:val="zh-CN" w:eastAsia="zh-CN" w:bidi="zh-CN"/>
        </w:rPr>
        <w:t>除合同另有约定外，发包人和承包人应在工程开工后，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14:paraId="7EE644DB">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9.4环境保护</w:t>
      </w:r>
    </w:p>
    <w:p w14:paraId="49584D95">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9.4.1</w:t>
      </w:r>
      <w:r>
        <w:rPr>
          <w:rFonts w:hint="eastAsia" w:ascii="宋体" w:hAnsi="宋体" w:eastAsia="宋体" w:cs="宋体"/>
          <w:color w:val="auto"/>
          <w:kern w:val="2"/>
          <w:sz w:val="24"/>
          <w:szCs w:val="24"/>
          <w:highlight w:val="none"/>
          <w:lang w:val="zh-CN" w:eastAsia="zh-CN" w:bidi="zh-CN"/>
        </w:rPr>
        <w:t>承包人在施工过程中，应遵守有关环境保护的法律，履行合同约定的环境保护义务，并对违反法律和合同约定义务所造成的环境破坏、人身伤害和财产损失负责。</w:t>
      </w:r>
    </w:p>
    <w:p w14:paraId="237EB663">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9.4.2</w:t>
      </w:r>
      <w:r>
        <w:rPr>
          <w:rFonts w:hint="eastAsia" w:ascii="宋体" w:hAnsi="宋体" w:eastAsia="宋体" w:cs="宋体"/>
          <w:color w:val="auto"/>
          <w:kern w:val="2"/>
          <w:sz w:val="24"/>
          <w:szCs w:val="24"/>
          <w:highlight w:val="none"/>
          <w:lang w:val="zh-CN" w:eastAsia="zh-CN" w:bidi="zh-CN"/>
        </w:rPr>
        <w:t>承包人应按合同约定的环保工作内容，编制施工环保措施计划，报送监理人审批。</w:t>
      </w:r>
    </w:p>
    <w:p w14:paraId="2DBC7971">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9.4.3</w:t>
      </w:r>
      <w:r>
        <w:rPr>
          <w:rFonts w:hint="eastAsia" w:ascii="宋体" w:hAnsi="宋体" w:eastAsia="宋体" w:cs="宋体"/>
          <w:color w:val="auto"/>
          <w:kern w:val="2"/>
          <w:sz w:val="24"/>
          <w:szCs w:val="24"/>
          <w:highlight w:val="none"/>
          <w:lang w:val="zh-CN" w:eastAsia="zh-CN" w:bidi="zh-CN"/>
        </w:rPr>
        <w:t>承包人应按照批准的施工环保措施计划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任。</w:t>
      </w:r>
    </w:p>
    <w:p w14:paraId="3F03C210">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9.4.4</w:t>
      </w:r>
      <w:r>
        <w:rPr>
          <w:rFonts w:hint="eastAsia" w:ascii="宋体" w:hAnsi="宋体" w:eastAsia="宋体" w:cs="宋体"/>
          <w:color w:val="auto"/>
          <w:kern w:val="2"/>
          <w:sz w:val="24"/>
          <w:szCs w:val="24"/>
          <w:highlight w:val="none"/>
          <w:lang w:val="zh-CN" w:eastAsia="zh-CN" w:bidi="zh-CN"/>
        </w:rPr>
        <w:t>承包人应按合同约定采取有效措施，对施工开挖的边坡及时进行支护，维护排 水设施，并进行水土保护，避免因施工造成的地质灾害。</w:t>
      </w:r>
    </w:p>
    <w:p w14:paraId="65701A6B">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9.4.5</w:t>
      </w:r>
      <w:r>
        <w:rPr>
          <w:rFonts w:hint="eastAsia" w:ascii="宋体" w:hAnsi="宋体" w:eastAsia="宋体" w:cs="宋体"/>
          <w:color w:val="auto"/>
          <w:kern w:val="2"/>
          <w:sz w:val="24"/>
          <w:szCs w:val="24"/>
          <w:highlight w:val="none"/>
          <w:lang w:val="zh-CN" w:eastAsia="zh-CN" w:bidi="zh-CN"/>
        </w:rPr>
        <w:t>承包人应按国家饮用水管理标准定期对饮用水源进行监测，防止施工活动污染饮用水源。</w:t>
      </w:r>
    </w:p>
    <w:p w14:paraId="05054941">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9.4.6</w:t>
      </w:r>
      <w:r>
        <w:rPr>
          <w:rFonts w:hint="eastAsia" w:ascii="宋体" w:hAnsi="宋体" w:eastAsia="宋体" w:cs="宋体"/>
          <w:color w:val="auto"/>
          <w:kern w:val="2"/>
          <w:sz w:val="24"/>
          <w:szCs w:val="24"/>
          <w:highlight w:val="none"/>
          <w:lang w:val="zh-CN" w:eastAsia="zh-CN" w:bidi="zh-CN"/>
        </w:rPr>
        <w:t>承包人应按合同约定，加强对噪声、粉尘、废气、废水和废油的控制，努力降低噪声，控制粉尘和废气浓度，做好废水和废油的治理和排放。</w:t>
      </w:r>
    </w:p>
    <w:p w14:paraId="1FF207CF">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bookmarkStart w:id="216" w:name="_Toc1363"/>
      <w:r>
        <w:rPr>
          <w:rFonts w:hint="eastAsia" w:ascii="宋体" w:hAnsi="宋体" w:eastAsia="宋体" w:cs="宋体"/>
          <w:color w:val="auto"/>
          <w:kern w:val="0"/>
          <w:sz w:val="24"/>
          <w:szCs w:val="24"/>
          <w:highlight w:val="none"/>
          <w:lang w:val="en-US" w:eastAsia="zh-CN" w:bidi="ar-SA"/>
        </w:rPr>
        <w:t>9.5事故处理</w:t>
      </w:r>
      <w:bookmarkEnd w:id="216"/>
    </w:p>
    <w:p w14:paraId="20405A35">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9.5.1</w:t>
      </w:r>
      <w:r>
        <w:rPr>
          <w:rFonts w:hint="eastAsia" w:ascii="宋体" w:hAnsi="宋体" w:eastAsia="宋体" w:cs="宋体"/>
          <w:color w:val="auto"/>
          <w:kern w:val="2"/>
          <w:sz w:val="24"/>
          <w:szCs w:val="24"/>
          <w:highlight w:val="none"/>
          <w:lang w:val="zh-CN" w:eastAsia="zh-CN" w:bidi="zh-CN"/>
        </w:rPr>
        <w:t>发包人负责组织参建单位制定本工程的质量与安全事故应急预案，建立质量与安全事故应急处置指挥部。</w:t>
      </w:r>
    </w:p>
    <w:p w14:paraId="3E9D63BC">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9.5.2</w:t>
      </w:r>
      <w:r>
        <w:rPr>
          <w:rFonts w:hint="eastAsia" w:ascii="宋体" w:hAnsi="宋体" w:eastAsia="宋体" w:cs="宋体"/>
          <w:color w:val="auto"/>
          <w:kern w:val="2"/>
          <w:sz w:val="24"/>
          <w:szCs w:val="24"/>
          <w:highlight w:val="none"/>
          <w:lang w:val="zh-CN" w:eastAsia="zh-CN" w:bidi="zh-CN"/>
        </w:rPr>
        <w:t>承包人应对施工现场易发生重大事故的部位、环节的进行监控，配备救援器材、设备，并定期组织演练。</w:t>
      </w:r>
    </w:p>
    <w:p w14:paraId="6AFCA922">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9.5.3</w:t>
      </w:r>
      <w:r>
        <w:rPr>
          <w:rFonts w:hint="eastAsia" w:ascii="宋体" w:hAnsi="宋体" w:eastAsia="宋体" w:cs="宋体"/>
          <w:color w:val="auto"/>
          <w:kern w:val="2"/>
          <w:sz w:val="24"/>
          <w:szCs w:val="24"/>
          <w:highlight w:val="none"/>
          <w:lang w:val="zh-CN" w:eastAsia="zh-CN" w:bidi="zh-CN"/>
        </w:rPr>
        <w:t>工程开工前，承包人应根据本工程特点制定施工现场施工质量与安全事故应急预案，并报发包人备案。</w:t>
      </w:r>
    </w:p>
    <w:p w14:paraId="0B92AEF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9.5.4</w:t>
      </w:r>
      <w:r>
        <w:rPr>
          <w:rFonts w:hint="eastAsia" w:ascii="宋体" w:hAnsi="宋体" w:eastAsia="宋体" w:cs="宋体"/>
          <w:color w:val="auto"/>
          <w:kern w:val="2"/>
          <w:sz w:val="24"/>
          <w:szCs w:val="24"/>
          <w:highlight w:val="none"/>
          <w:lang w:val="zh-CN" w:eastAsia="zh-CN" w:bidi="zh-CN"/>
        </w:rPr>
        <w:t>施工过程中发生事故时，发包人、承包人应立即启动应急预案。</w:t>
      </w:r>
    </w:p>
    <w:p w14:paraId="292F4252">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9.5.5</w:t>
      </w:r>
      <w:r>
        <w:rPr>
          <w:rFonts w:hint="eastAsia" w:ascii="宋体" w:hAnsi="宋体" w:eastAsia="宋体" w:cs="宋体"/>
          <w:color w:val="auto"/>
          <w:kern w:val="2"/>
          <w:sz w:val="24"/>
          <w:szCs w:val="24"/>
          <w:highlight w:val="none"/>
          <w:lang w:val="zh-CN" w:eastAsia="zh-CN" w:bidi="zh-CN"/>
        </w:rPr>
        <w:t>事故调查处理由发包人按相关规定履行手续，承包人应配合。</w:t>
      </w:r>
    </w:p>
    <w:p w14:paraId="63313CBB">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9.6水土保持</w:t>
      </w:r>
    </w:p>
    <w:p w14:paraId="76D6E4ED">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9.6.</w:t>
      </w:r>
      <w:r>
        <w:rPr>
          <w:rFonts w:hint="eastAsia" w:ascii="宋体" w:hAnsi="宋体" w:eastAsia="宋体" w:cs="宋体"/>
          <w:color w:val="auto"/>
          <w:kern w:val="2"/>
          <w:sz w:val="24"/>
          <w:szCs w:val="24"/>
          <w:highlight w:val="none"/>
          <w:lang w:val="zh-CN" w:eastAsia="zh-CN" w:bidi="zh-CN"/>
        </w:rPr>
        <w:t>1发包人应及时向承包人提供水土保持方案。</w:t>
      </w:r>
    </w:p>
    <w:p w14:paraId="463251EB">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9.6.2</w:t>
      </w:r>
      <w:r>
        <w:rPr>
          <w:rFonts w:hint="eastAsia" w:ascii="宋体" w:hAnsi="宋体" w:eastAsia="宋体" w:cs="宋体"/>
          <w:color w:val="auto"/>
          <w:kern w:val="2"/>
          <w:sz w:val="24"/>
          <w:szCs w:val="24"/>
          <w:highlight w:val="none"/>
          <w:lang w:val="zh-CN" w:eastAsia="zh-CN" w:bidi="zh-CN"/>
        </w:rPr>
        <w:t>承包人在施工过程中，应遵守有关水土保持的法律法规和规章，履行合同约定的水土保持义务，并对其违反法律和合同约定义务所造成的水土流失灾害、人身伤害和财 产损失负责。</w:t>
      </w:r>
    </w:p>
    <w:p w14:paraId="546F93F8">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9.6.3</w:t>
      </w:r>
      <w:r>
        <w:rPr>
          <w:rFonts w:hint="eastAsia" w:ascii="宋体" w:hAnsi="宋体" w:eastAsia="宋体" w:cs="宋体"/>
          <w:color w:val="auto"/>
          <w:kern w:val="2"/>
          <w:sz w:val="24"/>
          <w:szCs w:val="24"/>
          <w:highlight w:val="none"/>
          <w:lang w:val="zh-CN" w:eastAsia="zh-CN" w:bidi="zh-CN"/>
        </w:rPr>
        <w:t>承包人的水土保持措施计划，应满足技术标准和要求（合同技术条款）约定的要求。</w:t>
      </w:r>
    </w:p>
    <w:p w14:paraId="6D70FFAA">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9.7文明工地</w:t>
      </w:r>
    </w:p>
    <w:p w14:paraId="214C48D2">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9.7.1</w:t>
      </w:r>
      <w:r>
        <w:rPr>
          <w:rFonts w:hint="eastAsia" w:ascii="宋体" w:hAnsi="宋体" w:eastAsia="宋体" w:cs="宋体"/>
          <w:color w:val="auto"/>
          <w:kern w:val="2"/>
          <w:sz w:val="24"/>
          <w:szCs w:val="24"/>
          <w:highlight w:val="none"/>
          <w:lang w:val="zh-CN" w:eastAsia="zh-CN" w:bidi="zh-CN"/>
        </w:rPr>
        <w:t>发包人应按专用合同条款的约定，负责建立创建文明建设工地的组织机构，制定创建文明建设工地的规划和办法。</w:t>
      </w:r>
    </w:p>
    <w:p w14:paraId="76BCED9B">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9.7.2</w:t>
      </w:r>
      <w:r>
        <w:rPr>
          <w:rFonts w:hint="eastAsia" w:ascii="宋体" w:hAnsi="宋体" w:eastAsia="宋体" w:cs="宋体"/>
          <w:color w:val="auto"/>
          <w:kern w:val="2"/>
          <w:sz w:val="24"/>
          <w:szCs w:val="24"/>
          <w:highlight w:val="none"/>
          <w:lang w:val="zh-CN" w:eastAsia="zh-CN" w:bidi="zh-CN"/>
        </w:rPr>
        <w:t>承包人应按创建文明建设工地的规划和办法，履行职责，承担相应责任。所需费用应含在已标价工程量清单中。</w:t>
      </w:r>
    </w:p>
    <w:p w14:paraId="05238AE2">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9.8防汛度汛</w:t>
      </w:r>
    </w:p>
    <w:p w14:paraId="5CF02945">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9.8.</w:t>
      </w:r>
      <w:r>
        <w:rPr>
          <w:rFonts w:hint="eastAsia" w:ascii="宋体" w:hAnsi="宋体" w:eastAsia="宋体" w:cs="宋体"/>
          <w:color w:val="auto"/>
          <w:kern w:val="2"/>
          <w:sz w:val="24"/>
          <w:szCs w:val="24"/>
          <w:highlight w:val="none"/>
          <w:lang w:val="zh-CN" w:eastAsia="zh-CN" w:bidi="zh-CN"/>
        </w:rPr>
        <w:t>1发包人负责组织工程参建单位编制本工程的度汛方案和措施。</w:t>
      </w:r>
    </w:p>
    <w:p w14:paraId="13CD778F">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9.8.2</w:t>
      </w:r>
      <w:r>
        <w:rPr>
          <w:rFonts w:hint="eastAsia" w:ascii="宋体" w:hAnsi="宋体" w:eastAsia="宋体" w:cs="宋体"/>
          <w:color w:val="auto"/>
          <w:kern w:val="2"/>
          <w:sz w:val="24"/>
          <w:szCs w:val="24"/>
          <w:highlight w:val="none"/>
          <w:lang w:val="zh-CN" w:eastAsia="zh-CN" w:bidi="zh-CN"/>
        </w:rPr>
        <w:t>承包人应根据发包人编制的本工程度汛方案和措施，制定相应的度汛方案，报发包人批准后实施。</w:t>
      </w:r>
    </w:p>
    <w:p w14:paraId="06055176">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17" w:name="_Toc732"/>
      <w:r>
        <w:rPr>
          <w:rFonts w:hint="eastAsia" w:ascii="宋体" w:hAnsi="宋体" w:eastAsia="宋体" w:cs="宋体"/>
          <w:color w:val="auto"/>
          <w:kern w:val="2"/>
          <w:sz w:val="24"/>
          <w:szCs w:val="24"/>
          <w:highlight w:val="none"/>
          <w:lang w:val="en-US" w:eastAsia="zh-CN" w:bidi="ar-SA"/>
        </w:rPr>
        <w:t>10.进度计划</w:t>
      </w:r>
      <w:bookmarkEnd w:id="217"/>
    </w:p>
    <w:p w14:paraId="2BBC21F1">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10.1合同进度计划</w:t>
      </w:r>
    </w:p>
    <w:p w14:paraId="6B82E462">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承包人应按技术标准和要求（合同技术条款）约定的内容和期限以及监理人的指示, 编制详细的施工总进度计划及其说明提交监理人审批。监理人应在技术标准和要求（合同 技术条款）约定的期限内批复承包人，否则该进度计划视为已得到批准。经监理人批准的 施工进度计划称为合同进度计划，是控制合同工程进度的依据。承包人还应根据合同进度 计划，编制更为详细的分阶段或单位工程或分部工程进度计划，报监理人审批。</w:t>
      </w:r>
    </w:p>
    <w:p w14:paraId="5855B99B">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10.2合同进度计划的修订</w:t>
      </w:r>
    </w:p>
    <w:p w14:paraId="0CB6FBF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不论何种原因造成工程的实际进度与第</w:t>
      </w:r>
      <w:r>
        <w:rPr>
          <w:rFonts w:hint="eastAsia" w:ascii="宋体" w:hAnsi="宋体" w:eastAsia="宋体" w:cs="宋体"/>
          <w:color w:val="auto"/>
          <w:kern w:val="2"/>
          <w:sz w:val="24"/>
          <w:szCs w:val="24"/>
          <w:highlight w:val="none"/>
          <w:lang w:val="en-US" w:eastAsia="zh-CN" w:bidi="en-US"/>
        </w:rPr>
        <w:t xml:space="preserve">10. </w:t>
      </w:r>
      <w:r>
        <w:rPr>
          <w:rFonts w:hint="eastAsia" w:ascii="宋体" w:hAnsi="宋体" w:eastAsia="宋体" w:cs="宋体"/>
          <w:color w:val="auto"/>
          <w:kern w:val="2"/>
          <w:sz w:val="24"/>
          <w:szCs w:val="24"/>
          <w:highlight w:val="none"/>
          <w:lang w:val="zh-CN" w:eastAsia="zh-CN" w:bidi="zh-CN"/>
        </w:rPr>
        <w:t>1款的合同进度计划不符时，承包人均应在 14天内向监理人提交修订合同进度计划的申请报告，并附有关措施和相关资料，报监理人审批；监理人应在收到申请报告后的14天内批复。当监理人认为需要修订合同进度计划 时，承包人应按监理人的指示，在14天内向监理人提交修订的合同进度计划，并附调整计 划的相关资料，提交监理人审批。监理人应在收到进度计划后的14天内批复。</w:t>
      </w:r>
    </w:p>
    <w:p w14:paraId="144184E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不论何种原因造成施工进度延迟，承包人均应按监理人的指示，采取有效措施赶上进度。承包人应在向监理人提交修订合同进度计划的同时，编制一份赶工措施报告提交监理人审批。由于发包人原因造成施工进度延迟，应按第</w:t>
      </w:r>
      <w:r>
        <w:rPr>
          <w:rFonts w:hint="eastAsia" w:ascii="宋体" w:hAnsi="宋体" w:eastAsia="宋体" w:cs="宋体"/>
          <w:color w:val="auto"/>
          <w:kern w:val="2"/>
          <w:sz w:val="24"/>
          <w:szCs w:val="24"/>
          <w:highlight w:val="none"/>
          <w:lang w:val="en-US" w:eastAsia="zh-CN" w:bidi="en-US"/>
        </w:rPr>
        <w:t xml:space="preserve">11. </w:t>
      </w:r>
      <w:r>
        <w:rPr>
          <w:rFonts w:hint="eastAsia" w:ascii="宋体" w:hAnsi="宋体" w:eastAsia="宋体" w:cs="宋体"/>
          <w:color w:val="auto"/>
          <w:kern w:val="2"/>
          <w:sz w:val="24"/>
          <w:szCs w:val="24"/>
          <w:highlight w:val="none"/>
          <w:lang w:val="zh-CN" w:eastAsia="zh-CN" w:bidi="zh-CN"/>
        </w:rPr>
        <w:t>3款的约定办理；由于承包人原因造成施工进度延迟，应按第</w:t>
      </w:r>
      <w:r>
        <w:rPr>
          <w:rFonts w:hint="eastAsia" w:ascii="宋体" w:hAnsi="宋体" w:eastAsia="宋体" w:cs="宋体"/>
          <w:color w:val="auto"/>
          <w:kern w:val="2"/>
          <w:sz w:val="24"/>
          <w:szCs w:val="24"/>
          <w:highlight w:val="none"/>
          <w:lang w:val="en-US" w:eastAsia="zh-CN" w:bidi="en-US"/>
        </w:rPr>
        <w:t xml:space="preserve">11. </w:t>
      </w:r>
      <w:r>
        <w:rPr>
          <w:rFonts w:hint="eastAsia" w:ascii="宋体" w:hAnsi="宋体" w:eastAsia="宋体" w:cs="宋体"/>
          <w:color w:val="auto"/>
          <w:kern w:val="2"/>
          <w:sz w:val="24"/>
          <w:szCs w:val="24"/>
          <w:highlight w:val="none"/>
          <w:lang w:val="zh-CN" w:eastAsia="zh-CN" w:bidi="zh-CN"/>
        </w:rPr>
        <w:t>5款的约定办理。</w:t>
      </w:r>
    </w:p>
    <w:p w14:paraId="60CA8651">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10.3单位工程进度计划</w:t>
      </w:r>
    </w:p>
    <w:p w14:paraId="09A2C91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监理人认为有必要时，承包人应按监理人指示的内容和期限，并根据合同进度计划的进度控制要求，编制单位工程进度计划，提交监理人审批。</w:t>
      </w:r>
    </w:p>
    <w:p w14:paraId="7512E9F2">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10.4提交资金流估算表</w:t>
      </w:r>
    </w:p>
    <w:p w14:paraId="6024BA87">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承包人应在按第</w:t>
      </w:r>
      <w:r>
        <w:rPr>
          <w:rFonts w:hint="eastAsia" w:ascii="宋体" w:hAnsi="宋体" w:eastAsia="宋体" w:cs="宋体"/>
          <w:color w:val="auto"/>
          <w:kern w:val="2"/>
          <w:sz w:val="24"/>
          <w:szCs w:val="24"/>
          <w:highlight w:val="none"/>
          <w:lang w:val="en-US" w:eastAsia="zh-CN" w:bidi="en-US"/>
        </w:rPr>
        <w:t xml:space="preserve">10. </w:t>
      </w:r>
      <w:r>
        <w:rPr>
          <w:rFonts w:hint="eastAsia" w:ascii="宋体" w:hAnsi="宋体" w:eastAsia="宋体" w:cs="宋体"/>
          <w:color w:val="auto"/>
          <w:kern w:val="2"/>
          <w:sz w:val="24"/>
          <w:szCs w:val="24"/>
          <w:highlight w:val="none"/>
          <w:lang w:val="zh-CN" w:eastAsia="zh-CN" w:bidi="zh-CN"/>
        </w:rPr>
        <w:t>1款约定向监理人提交施工总进度计划的同时，按下表约定的格式，向监理人提交按月的资金流估算表。估算表应包括承包人计划可从发包人处得到的全部款额，以供发包人参考。此后，当监理人提出要求时，承包人应在监理人指定的期限内提交修订的资金流估算表。</w:t>
      </w:r>
    </w:p>
    <w:p w14:paraId="6FC4AB94">
      <w:pPr>
        <w:pageBreakBefore w:val="0"/>
        <w:widowControl w:val="0"/>
        <w:tabs>
          <w:tab w:val="left" w:pos="3329"/>
        </w:tabs>
        <w:kinsoku/>
        <w:wordWrap/>
        <w:overflowPunct/>
        <w:topLinePunct w:val="0"/>
        <w:bidi w:val="0"/>
        <w:spacing w:line="360" w:lineRule="auto"/>
        <w:ind w:left="0" w:leftChars="0" w:firstLine="480" w:firstLineChars="200"/>
        <w:jc w:val="center"/>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资金流估算表（参考格式）</w:t>
      </w:r>
      <w:r>
        <w:rPr>
          <w:rFonts w:hint="eastAsia" w:ascii="宋体" w:hAnsi="宋体" w:eastAsia="宋体" w:cs="宋体"/>
          <w:color w:val="auto"/>
          <w:kern w:val="2"/>
          <w:sz w:val="24"/>
          <w:szCs w:val="24"/>
          <w:highlight w:val="none"/>
          <w:lang w:val="en-US" w:eastAsia="zh-CN" w:bidi="zh-CN"/>
        </w:rPr>
        <w:t xml:space="preserve">                   </w:t>
      </w:r>
      <w:r>
        <w:rPr>
          <w:rFonts w:hint="eastAsia" w:ascii="宋体" w:hAnsi="宋体" w:eastAsia="宋体" w:cs="宋体"/>
          <w:color w:val="auto"/>
          <w:kern w:val="2"/>
          <w:sz w:val="24"/>
          <w:szCs w:val="24"/>
          <w:highlight w:val="none"/>
          <w:lang w:val="zh-CN" w:eastAsia="zh-CN" w:bidi="zh-CN"/>
        </w:rPr>
        <w:t>金额单位：</w:t>
      </w:r>
    </w:p>
    <w:tbl>
      <w:tblPr>
        <w:tblStyle w:val="27"/>
        <w:tblW w:w="0" w:type="auto"/>
        <w:jc w:val="center"/>
        <w:tblLayout w:type="autofit"/>
        <w:tblCellMar>
          <w:top w:w="0" w:type="dxa"/>
          <w:left w:w="10" w:type="dxa"/>
          <w:bottom w:w="0" w:type="dxa"/>
          <w:right w:w="10" w:type="dxa"/>
        </w:tblCellMar>
      </w:tblPr>
      <w:tblGrid>
        <w:gridCol w:w="359"/>
        <w:gridCol w:w="372"/>
        <w:gridCol w:w="864"/>
        <w:gridCol w:w="1675"/>
        <w:gridCol w:w="1237"/>
        <w:gridCol w:w="934"/>
        <w:gridCol w:w="1038"/>
        <w:gridCol w:w="470"/>
        <w:gridCol w:w="671"/>
        <w:gridCol w:w="1070"/>
      </w:tblGrid>
      <w:tr w14:paraId="1BF89EFD">
        <w:tblPrEx>
          <w:tblCellMar>
            <w:top w:w="0" w:type="dxa"/>
            <w:left w:w="10" w:type="dxa"/>
            <w:bottom w:w="0" w:type="dxa"/>
            <w:right w:w="10" w:type="dxa"/>
          </w:tblCellMar>
        </w:tblPrEx>
        <w:trPr>
          <w:trHeight w:val="903" w:hRule="exact"/>
          <w:jc w:val="center"/>
        </w:trPr>
        <w:tc>
          <w:tcPr>
            <w:tcW w:w="370" w:type="dxa"/>
            <w:tcBorders>
              <w:top w:val="single" w:color="auto" w:sz="4" w:space="0"/>
              <w:left w:val="single" w:color="auto" w:sz="4" w:space="0"/>
            </w:tcBorders>
            <w:shd w:val="clear" w:color="auto" w:fill="FFFFFF"/>
            <w:noWrap w:val="0"/>
            <w:vAlign w:val="center"/>
          </w:tcPr>
          <w:p w14:paraId="00D3CFE5">
            <w:pPr>
              <w:pStyle w:val="5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w:t>
            </w:r>
          </w:p>
        </w:tc>
        <w:tc>
          <w:tcPr>
            <w:tcW w:w="384" w:type="dxa"/>
            <w:tcBorders>
              <w:top w:val="single" w:color="auto" w:sz="4" w:space="0"/>
              <w:left w:val="single" w:color="auto" w:sz="4" w:space="0"/>
            </w:tcBorders>
            <w:shd w:val="clear" w:color="auto" w:fill="FFFFFF"/>
            <w:noWrap w:val="0"/>
            <w:vAlign w:val="center"/>
          </w:tcPr>
          <w:p w14:paraId="5A8153D4">
            <w:pPr>
              <w:pStyle w:val="5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月</w:t>
            </w:r>
          </w:p>
        </w:tc>
        <w:tc>
          <w:tcPr>
            <w:tcW w:w="928" w:type="dxa"/>
            <w:tcBorders>
              <w:top w:val="single" w:color="auto" w:sz="4" w:space="0"/>
              <w:left w:val="single" w:color="auto" w:sz="4" w:space="0"/>
            </w:tcBorders>
            <w:shd w:val="clear" w:color="auto" w:fill="FFFFFF"/>
            <w:noWrap w:val="0"/>
            <w:vAlign w:val="center"/>
          </w:tcPr>
          <w:p w14:paraId="472F57E4">
            <w:pPr>
              <w:pStyle w:val="5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工程预付款</w:t>
            </w:r>
          </w:p>
        </w:tc>
        <w:tc>
          <w:tcPr>
            <w:tcW w:w="1825" w:type="dxa"/>
            <w:tcBorders>
              <w:top w:val="single" w:color="auto" w:sz="4" w:space="0"/>
              <w:left w:val="single" w:color="auto" w:sz="4" w:space="0"/>
            </w:tcBorders>
            <w:shd w:val="clear" w:color="auto" w:fill="FFFFFF"/>
            <w:noWrap w:val="0"/>
            <w:vAlign w:val="center"/>
          </w:tcPr>
          <w:p w14:paraId="62CB3D08">
            <w:pPr>
              <w:pStyle w:val="5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完成工作量付款</w:t>
            </w:r>
          </w:p>
        </w:tc>
        <w:tc>
          <w:tcPr>
            <w:tcW w:w="1340" w:type="dxa"/>
            <w:tcBorders>
              <w:top w:val="single" w:color="auto" w:sz="4" w:space="0"/>
              <w:left w:val="single" w:color="auto" w:sz="4" w:space="0"/>
            </w:tcBorders>
            <w:shd w:val="clear" w:color="auto" w:fill="FFFFFF"/>
            <w:noWrap w:val="0"/>
            <w:vAlign w:val="center"/>
          </w:tcPr>
          <w:p w14:paraId="6E9DFCC6">
            <w:pPr>
              <w:pStyle w:val="5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保留金扣留</w:t>
            </w:r>
          </w:p>
        </w:tc>
        <w:tc>
          <w:tcPr>
            <w:tcW w:w="1005" w:type="dxa"/>
            <w:tcBorders>
              <w:top w:val="single" w:color="auto" w:sz="4" w:space="0"/>
              <w:left w:val="single" w:color="auto" w:sz="4" w:space="0"/>
            </w:tcBorders>
            <w:shd w:val="clear" w:color="auto" w:fill="FFFFFF"/>
            <w:noWrap w:val="0"/>
            <w:vAlign w:val="center"/>
          </w:tcPr>
          <w:p w14:paraId="16A4D54D">
            <w:pPr>
              <w:pStyle w:val="5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材料款扣除</w:t>
            </w:r>
          </w:p>
        </w:tc>
        <w:tc>
          <w:tcPr>
            <w:tcW w:w="1120" w:type="dxa"/>
            <w:tcBorders>
              <w:top w:val="single" w:color="auto" w:sz="4" w:space="0"/>
              <w:left w:val="single" w:color="auto" w:sz="4" w:space="0"/>
            </w:tcBorders>
            <w:shd w:val="clear" w:color="auto" w:fill="FFFFFF"/>
            <w:noWrap w:val="0"/>
            <w:vAlign w:val="center"/>
          </w:tcPr>
          <w:p w14:paraId="3593D80B">
            <w:pPr>
              <w:pStyle w:val="5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预付款扣还</w:t>
            </w:r>
          </w:p>
        </w:tc>
        <w:tc>
          <w:tcPr>
            <w:tcW w:w="492" w:type="dxa"/>
            <w:tcBorders>
              <w:top w:val="single" w:color="auto" w:sz="4" w:space="0"/>
              <w:left w:val="single" w:color="auto" w:sz="4" w:space="0"/>
            </w:tcBorders>
            <w:shd w:val="clear" w:color="auto" w:fill="FFFFFF"/>
            <w:noWrap w:val="0"/>
            <w:vAlign w:val="center"/>
          </w:tcPr>
          <w:p w14:paraId="47B12BDB">
            <w:pPr>
              <w:pStyle w:val="5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c>
          <w:tcPr>
            <w:tcW w:w="714" w:type="dxa"/>
            <w:tcBorders>
              <w:top w:val="single" w:color="auto" w:sz="4" w:space="0"/>
              <w:left w:val="single" w:color="auto" w:sz="4" w:space="0"/>
            </w:tcBorders>
            <w:shd w:val="clear" w:color="auto" w:fill="FFFFFF"/>
            <w:noWrap w:val="0"/>
            <w:vAlign w:val="center"/>
          </w:tcPr>
          <w:p w14:paraId="40624DDA">
            <w:pPr>
              <w:pStyle w:val="5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应收款</w:t>
            </w:r>
          </w:p>
        </w:tc>
        <w:tc>
          <w:tcPr>
            <w:tcW w:w="1156" w:type="dxa"/>
            <w:tcBorders>
              <w:top w:val="single" w:color="auto" w:sz="4" w:space="0"/>
              <w:left w:val="single" w:color="auto" w:sz="4" w:space="0"/>
              <w:right w:val="single" w:color="auto" w:sz="4" w:space="0"/>
            </w:tcBorders>
            <w:shd w:val="clear" w:color="auto" w:fill="FFFFFF"/>
            <w:noWrap w:val="0"/>
            <w:vAlign w:val="center"/>
          </w:tcPr>
          <w:p w14:paraId="02197AC8">
            <w:pPr>
              <w:pStyle w:val="5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累计应收款</w:t>
            </w:r>
          </w:p>
        </w:tc>
      </w:tr>
      <w:tr w14:paraId="0A0076F0">
        <w:tblPrEx>
          <w:tblCellMar>
            <w:top w:w="0" w:type="dxa"/>
            <w:left w:w="10" w:type="dxa"/>
            <w:bottom w:w="0" w:type="dxa"/>
            <w:right w:w="10" w:type="dxa"/>
          </w:tblCellMar>
        </w:tblPrEx>
        <w:trPr>
          <w:trHeight w:val="417" w:hRule="exact"/>
          <w:jc w:val="center"/>
        </w:trPr>
        <w:tc>
          <w:tcPr>
            <w:tcW w:w="370" w:type="dxa"/>
            <w:tcBorders>
              <w:top w:val="single" w:color="auto" w:sz="4" w:space="0"/>
              <w:left w:val="single" w:color="auto" w:sz="4" w:space="0"/>
            </w:tcBorders>
            <w:shd w:val="clear" w:color="auto" w:fill="FFFFFF"/>
            <w:noWrap w:val="0"/>
            <w:vAlign w:val="top"/>
          </w:tcPr>
          <w:p w14:paraId="1853C58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p>
        </w:tc>
        <w:tc>
          <w:tcPr>
            <w:tcW w:w="384" w:type="dxa"/>
            <w:tcBorders>
              <w:top w:val="single" w:color="auto" w:sz="4" w:space="0"/>
              <w:left w:val="single" w:color="auto" w:sz="4" w:space="0"/>
            </w:tcBorders>
            <w:shd w:val="clear" w:color="auto" w:fill="FFFFFF"/>
            <w:noWrap w:val="0"/>
            <w:vAlign w:val="top"/>
          </w:tcPr>
          <w:p w14:paraId="5D6EA6F6">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p>
        </w:tc>
        <w:tc>
          <w:tcPr>
            <w:tcW w:w="928" w:type="dxa"/>
            <w:tcBorders>
              <w:top w:val="single" w:color="auto" w:sz="4" w:space="0"/>
              <w:left w:val="single" w:color="auto" w:sz="4" w:space="0"/>
            </w:tcBorders>
            <w:shd w:val="clear" w:color="auto" w:fill="FFFFFF"/>
            <w:noWrap w:val="0"/>
            <w:vAlign w:val="top"/>
          </w:tcPr>
          <w:p w14:paraId="3D4B8659">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p>
        </w:tc>
        <w:tc>
          <w:tcPr>
            <w:tcW w:w="1825" w:type="dxa"/>
            <w:tcBorders>
              <w:top w:val="single" w:color="auto" w:sz="4" w:space="0"/>
              <w:left w:val="single" w:color="auto" w:sz="4" w:space="0"/>
            </w:tcBorders>
            <w:shd w:val="clear" w:color="auto" w:fill="FFFFFF"/>
            <w:noWrap w:val="0"/>
            <w:vAlign w:val="top"/>
          </w:tcPr>
          <w:p w14:paraId="0882335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p>
        </w:tc>
        <w:tc>
          <w:tcPr>
            <w:tcW w:w="1340" w:type="dxa"/>
            <w:tcBorders>
              <w:top w:val="single" w:color="auto" w:sz="4" w:space="0"/>
              <w:left w:val="single" w:color="auto" w:sz="4" w:space="0"/>
            </w:tcBorders>
            <w:shd w:val="clear" w:color="auto" w:fill="FFFFFF"/>
            <w:noWrap w:val="0"/>
            <w:vAlign w:val="top"/>
          </w:tcPr>
          <w:p w14:paraId="27771BD1">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p>
        </w:tc>
        <w:tc>
          <w:tcPr>
            <w:tcW w:w="1005" w:type="dxa"/>
            <w:tcBorders>
              <w:top w:val="single" w:color="auto" w:sz="4" w:space="0"/>
              <w:left w:val="single" w:color="auto" w:sz="4" w:space="0"/>
            </w:tcBorders>
            <w:shd w:val="clear" w:color="auto" w:fill="FFFFFF"/>
            <w:noWrap w:val="0"/>
            <w:vAlign w:val="top"/>
          </w:tcPr>
          <w:p w14:paraId="47B4D368">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p>
        </w:tc>
        <w:tc>
          <w:tcPr>
            <w:tcW w:w="1120" w:type="dxa"/>
            <w:tcBorders>
              <w:top w:val="single" w:color="auto" w:sz="4" w:space="0"/>
              <w:left w:val="single" w:color="auto" w:sz="4" w:space="0"/>
            </w:tcBorders>
            <w:shd w:val="clear" w:color="auto" w:fill="FFFFFF"/>
            <w:noWrap w:val="0"/>
            <w:vAlign w:val="top"/>
          </w:tcPr>
          <w:p w14:paraId="0985608D">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p>
        </w:tc>
        <w:tc>
          <w:tcPr>
            <w:tcW w:w="492" w:type="dxa"/>
            <w:tcBorders>
              <w:top w:val="single" w:color="auto" w:sz="4" w:space="0"/>
              <w:left w:val="single" w:color="auto" w:sz="4" w:space="0"/>
            </w:tcBorders>
            <w:shd w:val="clear" w:color="auto" w:fill="FFFFFF"/>
            <w:noWrap w:val="0"/>
            <w:vAlign w:val="top"/>
          </w:tcPr>
          <w:p w14:paraId="41355DD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p>
        </w:tc>
        <w:tc>
          <w:tcPr>
            <w:tcW w:w="714" w:type="dxa"/>
            <w:tcBorders>
              <w:top w:val="single" w:color="auto" w:sz="4" w:space="0"/>
              <w:left w:val="single" w:color="auto" w:sz="4" w:space="0"/>
            </w:tcBorders>
            <w:shd w:val="clear" w:color="auto" w:fill="FFFFFF"/>
            <w:noWrap w:val="0"/>
            <w:vAlign w:val="top"/>
          </w:tcPr>
          <w:p w14:paraId="61D558BE">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p>
        </w:tc>
        <w:tc>
          <w:tcPr>
            <w:tcW w:w="1156" w:type="dxa"/>
            <w:tcBorders>
              <w:top w:val="single" w:color="auto" w:sz="4" w:space="0"/>
              <w:left w:val="single" w:color="auto" w:sz="4" w:space="0"/>
              <w:right w:val="single" w:color="auto" w:sz="4" w:space="0"/>
            </w:tcBorders>
            <w:shd w:val="clear" w:color="auto" w:fill="FFFFFF"/>
            <w:noWrap w:val="0"/>
            <w:vAlign w:val="top"/>
          </w:tcPr>
          <w:p w14:paraId="7007E7D1">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p>
        </w:tc>
      </w:tr>
      <w:tr w14:paraId="5C7260E1">
        <w:tblPrEx>
          <w:tblCellMar>
            <w:top w:w="0" w:type="dxa"/>
            <w:left w:w="10" w:type="dxa"/>
            <w:bottom w:w="0" w:type="dxa"/>
            <w:right w:w="10" w:type="dxa"/>
          </w:tblCellMar>
        </w:tblPrEx>
        <w:trPr>
          <w:trHeight w:val="417" w:hRule="exact"/>
          <w:jc w:val="center"/>
        </w:trPr>
        <w:tc>
          <w:tcPr>
            <w:tcW w:w="370" w:type="dxa"/>
            <w:tcBorders>
              <w:top w:val="single" w:color="auto" w:sz="4" w:space="0"/>
              <w:left w:val="single" w:color="auto" w:sz="4" w:space="0"/>
            </w:tcBorders>
            <w:shd w:val="clear" w:color="auto" w:fill="FFFFFF"/>
            <w:noWrap w:val="0"/>
            <w:vAlign w:val="top"/>
          </w:tcPr>
          <w:p w14:paraId="6D1695BE">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p>
        </w:tc>
        <w:tc>
          <w:tcPr>
            <w:tcW w:w="384" w:type="dxa"/>
            <w:tcBorders>
              <w:top w:val="single" w:color="auto" w:sz="4" w:space="0"/>
              <w:left w:val="single" w:color="auto" w:sz="4" w:space="0"/>
            </w:tcBorders>
            <w:shd w:val="clear" w:color="auto" w:fill="FFFFFF"/>
            <w:noWrap w:val="0"/>
            <w:vAlign w:val="top"/>
          </w:tcPr>
          <w:p w14:paraId="3BEDBDD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p>
        </w:tc>
        <w:tc>
          <w:tcPr>
            <w:tcW w:w="928" w:type="dxa"/>
            <w:tcBorders>
              <w:top w:val="single" w:color="auto" w:sz="4" w:space="0"/>
              <w:left w:val="single" w:color="auto" w:sz="4" w:space="0"/>
            </w:tcBorders>
            <w:shd w:val="clear" w:color="auto" w:fill="FFFFFF"/>
            <w:noWrap w:val="0"/>
            <w:vAlign w:val="top"/>
          </w:tcPr>
          <w:p w14:paraId="40E9861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p>
        </w:tc>
        <w:tc>
          <w:tcPr>
            <w:tcW w:w="1825" w:type="dxa"/>
            <w:tcBorders>
              <w:top w:val="single" w:color="auto" w:sz="4" w:space="0"/>
              <w:left w:val="single" w:color="auto" w:sz="4" w:space="0"/>
            </w:tcBorders>
            <w:shd w:val="clear" w:color="auto" w:fill="FFFFFF"/>
            <w:noWrap w:val="0"/>
            <w:vAlign w:val="top"/>
          </w:tcPr>
          <w:p w14:paraId="3841BC2C">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p>
        </w:tc>
        <w:tc>
          <w:tcPr>
            <w:tcW w:w="1340" w:type="dxa"/>
            <w:tcBorders>
              <w:top w:val="single" w:color="auto" w:sz="4" w:space="0"/>
              <w:left w:val="single" w:color="auto" w:sz="4" w:space="0"/>
            </w:tcBorders>
            <w:shd w:val="clear" w:color="auto" w:fill="FFFFFF"/>
            <w:noWrap w:val="0"/>
            <w:vAlign w:val="top"/>
          </w:tcPr>
          <w:p w14:paraId="1AB9C2A6">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p>
        </w:tc>
        <w:tc>
          <w:tcPr>
            <w:tcW w:w="1005" w:type="dxa"/>
            <w:tcBorders>
              <w:top w:val="single" w:color="auto" w:sz="4" w:space="0"/>
              <w:left w:val="single" w:color="auto" w:sz="4" w:space="0"/>
            </w:tcBorders>
            <w:shd w:val="clear" w:color="auto" w:fill="FFFFFF"/>
            <w:noWrap w:val="0"/>
            <w:vAlign w:val="top"/>
          </w:tcPr>
          <w:p w14:paraId="5BE79AB1">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p>
        </w:tc>
        <w:tc>
          <w:tcPr>
            <w:tcW w:w="1120" w:type="dxa"/>
            <w:tcBorders>
              <w:top w:val="single" w:color="auto" w:sz="4" w:space="0"/>
              <w:left w:val="single" w:color="auto" w:sz="4" w:space="0"/>
            </w:tcBorders>
            <w:shd w:val="clear" w:color="auto" w:fill="FFFFFF"/>
            <w:noWrap w:val="0"/>
            <w:vAlign w:val="top"/>
          </w:tcPr>
          <w:p w14:paraId="3DEA9A42">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p>
        </w:tc>
        <w:tc>
          <w:tcPr>
            <w:tcW w:w="492" w:type="dxa"/>
            <w:tcBorders>
              <w:top w:val="single" w:color="auto" w:sz="4" w:space="0"/>
              <w:left w:val="single" w:color="auto" w:sz="4" w:space="0"/>
            </w:tcBorders>
            <w:shd w:val="clear" w:color="auto" w:fill="FFFFFF"/>
            <w:noWrap w:val="0"/>
            <w:vAlign w:val="top"/>
          </w:tcPr>
          <w:p w14:paraId="0F55DD3C">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p>
        </w:tc>
        <w:tc>
          <w:tcPr>
            <w:tcW w:w="714" w:type="dxa"/>
            <w:tcBorders>
              <w:top w:val="single" w:color="auto" w:sz="4" w:space="0"/>
              <w:left w:val="single" w:color="auto" w:sz="4" w:space="0"/>
            </w:tcBorders>
            <w:shd w:val="clear" w:color="auto" w:fill="FFFFFF"/>
            <w:noWrap w:val="0"/>
            <w:vAlign w:val="top"/>
          </w:tcPr>
          <w:p w14:paraId="79A651A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p>
        </w:tc>
        <w:tc>
          <w:tcPr>
            <w:tcW w:w="1156" w:type="dxa"/>
            <w:tcBorders>
              <w:top w:val="single" w:color="auto" w:sz="4" w:space="0"/>
              <w:left w:val="single" w:color="auto" w:sz="4" w:space="0"/>
              <w:right w:val="single" w:color="auto" w:sz="4" w:space="0"/>
            </w:tcBorders>
            <w:shd w:val="clear" w:color="auto" w:fill="FFFFFF"/>
            <w:noWrap w:val="0"/>
            <w:vAlign w:val="top"/>
          </w:tcPr>
          <w:p w14:paraId="2CF386BA">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p>
        </w:tc>
      </w:tr>
      <w:tr w14:paraId="0FC177E5">
        <w:tblPrEx>
          <w:tblCellMar>
            <w:top w:w="0" w:type="dxa"/>
            <w:left w:w="10" w:type="dxa"/>
            <w:bottom w:w="0" w:type="dxa"/>
            <w:right w:w="10" w:type="dxa"/>
          </w:tblCellMar>
        </w:tblPrEx>
        <w:trPr>
          <w:trHeight w:val="431" w:hRule="exact"/>
          <w:jc w:val="center"/>
        </w:trPr>
        <w:tc>
          <w:tcPr>
            <w:tcW w:w="370" w:type="dxa"/>
            <w:tcBorders>
              <w:top w:val="single" w:color="auto" w:sz="4" w:space="0"/>
              <w:left w:val="single" w:color="auto" w:sz="4" w:space="0"/>
              <w:bottom w:val="single" w:color="auto" w:sz="4" w:space="0"/>
            </w:tcBorders>
            <w:shd w:val="clear" w:color="auto" w:fill="FFFFFF"/>
            <w:noWrap w:val="0"/>
            <w:vAlign w:val="top"/>
          </w:tcPr>
          <w:p w14:paraId="20090AAC">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p>
        </w:tc>
        <w:tc>
          <w:tcPr>
            <w:tcW w:w="384" w:type="dxa"/>
            <w:tcBorders>
              <w:top w:val="single" w:color="auto" w:sz="4" w:space="0"/>
              <w:left w:val="single" w:color="auto" w:sz="4" w:space="0"/>
              <w:bottom w:val="single" w:color="auto" w:sz="4" w:space="0"/>
            </w:tcBorders>
            <w:shd w:val="clear" w:color="auto" w:fill="FFFFFF"/>
            <w:noWrap w:val="0"/>
            <w:vAlign w:val="top"/>
          </w:tcPr>
          <w:p w14:paraId="39B7EAA8">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p>
        </w:tc>
        <w:tc>
          <w:tcPr>
            <w:tcW w:w="928" w:type="dxa"/>
            <w:tcBorders>
              <w:top w:val="single" w:color="auto" w:sz="4" w:space="0"/>
              <w:left w:val="single" w:color="auto" w:sz="4" w:space="0"/>
              <w:bottom w:val="single" w:color="auto" w:sz="4" w:space="0"/>
            </w:tcBorders>
            <w:shd w:val="clear" w:color="auto" w:fill="FFFFFF"/>
            <w:noWrap w:val="0"/>
            <w:vAlign w:val="top"/>
          </w:tcPr>
          <w:p w14:paraId="43DCABF1">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p>
        </w:tc>
        <w:tc>
          <w:tcPr>
            <w:tcW w:w="1825" w:type="dxa"/>
            <w:tcBorders>
              <w:top w:val="single" w:color="auto" w:sz="4" w:space="0"/>
              <w:left w:val="single" w:color="auto" w:sz="4" w:space="0"/>
              <w:bottom w:val="single" w:color="auto" w:sz="4" w:space="0"/>
            </w:tcBorders>
            <w:shd w:val="clear" w:color="auto" w:fill="FFFFFF"/>
            <w:noWrap w:val="0"/>
            <w:vAlign w:val="top"/>
          </w:tcPr>
          <w:p w14:paraId="08B8B87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p>
        </w:tc>
        <w:tc>
          <w:tcPr>
            <w:tcW w:w="1340" w:type="dxa"/>
            <w:tcBorders>
              <w:top w:val="single" w:color="auto" w:sz="4" w:space="0"/>
              <w:left w:val="single" w:color="auto" w:sz="4" w:space="0"/>
              <w:bottom w:val="single" w:color="auto" w:sz="4" w:space="0"/>
            </w:tcBorders>
            <w:shd w:val="clear" w:color="auto" w:fill="FFFFFF"/>
            <w:noWrap w:val="0"/>
            <w:vAlign w:val="top"/>
          </w:tcPr>
          <w:p w14:paraId="1D052D85">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p>
        </w:tc>
        <w:tc>
          <w:tcPr>
            <w:tcW w:w="1005" w:type="dxa"/>
            <w:tcBorders>
              <w:top w:val="single" w:color="auto" w:sz="4" w:space="0"/>
              <w:left w:val="single" w:color="auto" w:sz="4" w:space="0"/>
              <w:bottom w:val="single" w:color="auto" w:sz="4" w:space="0"/>
            </w:tcBorders>
            <w:shd w:val="clear" w:color="auto" w:fill="FFFFFF"/>
            <w:noWrap w:val="0"/>
            <w:vAlign w:val="top"/>
          </w:tcPr>
          <w:p w14:paraId="5522D6B6">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p>
        </w:tc>
        <w:tc>
          <w:tcPr>
            <w:tcW w:w="1120" w:type="dxa"/>
            <w:tcBorders>
              <w:top w:val="single" w:color="auto" w:sz="4" w:space="0"/>
              <w:left w:val="single" w:color="auto" w:sz="4" w:space="0"/>
              <w:bottom w:val="single" w:color="auto" w:sz="4" w:space="0"/>
            </w:tcBorders>
            <w:shd w:val="clear" w:color="auto" w:fill="FFFFFF"/>
            <w:noWrap w:val="0"/>
            <w:vAlign w:val="top"/>
          </w:tcPr>
          <w:p w14:paraId="4534E415">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p>
        </w:tc>
        <w:tc>
          <w:tcPr>
            <w:tcW w:w="492" w:type="dxa"/>
            <w:tcBorders>
              <w:top w:val="single" w:color="auto" w:sz="4" w:space="0"/>
              <w:left w:val="single" w:color="auto" w:sz="4" w:space="0"/>
              <w:bottom w:val="single" w:color="auto" w:sz="4" w:space="0"/>
            </w:tcBorders>
            <w:shd w:val="clear" w:color="auto" w:fill="FFFFFF"/>
            <w:noWrap w:val="0"/>
            <w:vAlign w:val="top"/>
          </w:tcPr>
          <w:p w14:paraId="38B718B2">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p>
        </w:tc>
        <w:tc>
          <w:tcPr>
            <w:tcW w:w="714" w:type="dxa"/>
            <w:tcBorders>
              <w:top w:val="single" w:color="auto" w:sz="4" w:space="0"/>
              <w:left w:val="single" w:color="auto" w:sz="4" w:space="0"/>
              <w:bottom w:val="single" w:color="auto" w:sz="4" w:space="0"/>
            </w:tcBorders>
            <w:shd w:val="clear" w:color="auto" w:fill="FFFFFF"/>
            <w:noWrap w:val="0"/>
            <w:vAlign w:val="top"/>
          </w:tcPr>
          <w:p w14:paraId="5C848E3C">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p>
        </w:tc>
        <w:tc>
          <w:tcPr>
            <w:tcW w:w="1156"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769F2B6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p>
        </w:tc>
      </w:tr>
    </w:tbl>
    <w:p w14:paraId="0FD7BAA4">
      <w:pPr>
        <w:pageBreakBefore w:val="0"/>
        <w:widowControl w:val="0"/>
        <w:kinsoku/>
        <w:wordWrap/>
        <w:overflowPunct/>
        <w:topLinePunct w:val="0"/>
        <w:bidi w:val="0"/>
        <w:spacing w:line="360" w:lineRule="auto"/>
        <w:ind w:left="0" w:leftChars="0" w:firstLine="480" w:firstLineChars="200"/>
        <w:rPr>
          <w:rFonts w:hint="eastAsia" w:ascii="宋体" w:hAnsi="宋体" w:eastAsia="宋体" w:cs="宋体"/>
          <w:color w:val="auto"/>
          <w:sz w:val="24"/>
          <w:szCs w:val="24"/>
          <w:highlight w:val="none"/>
        </w:rPr>
      </w:pPr>
    </w:p>
    <w:p w14:paraId="43ABD9DA">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18" w:name="_Toc1039"/>
      <w:r>
        <w:rPr>
          <w:rFonts w:hint="eastAsia" w:ascii="宋体" w:hAnsi="宋体" w:eastAsia="宋体" w:cs="宋体"/>
          <w:color w:val="auto"/>
          <w:kern w:val="2"/>
          <w:sz w:val="24"/>
          <w:szCs w:val="24"/>
          <w:highlight w:val="none"/>
          <w:lang w:val="en-US" w:eastAsia="zh-CN" w:bidi="ar-SA"/>
        </w:rPr>
        <w:t>11.开工和竣工（完工）</w:t>
      </w:r>
      <w:bookmarkEnd w:id="218"/>
    </w:p>
    <w:p w14:paraId="1BA2B720">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11.1开工</w:t>
      </w:r>
    </w:p>
    <w:p w14:paraId="246D8591">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11.1.1</w:t>
      </w:r>
      <w:r>
        <w:rPr>
          <w:rFonts w:hint="eastAsia" w:ascii="宋体" w:hAnsi="宋体" w:eastAsia="宋体" w:cs="宋体"/>
          <w:color w:val="auto"/>
          <w:kern w:val="2"/>
          <w:sz w:val="24"/>
          <w:szCs w:val="24"/>
          <w:highlight w:val="none"/>
          <w:lang w:val="zh-CN" w:eastAsia="zh-CN" w:bidi="zh-CN"/>
        </w:rPr>
        <w:t>监理人应在开工日期7天前向承包人发出开工通知。监理人在发出开工通知前应获得发包人书面同意。工期自监理人发出的开工通知中载明的开工日期起计算。承包人应 在开工日期后尽快施工。</w:t>
      </w:r>
    </w:p>
    <w:p w14:paraId="6FC8A715">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11.1.</w:t>
      </w:r>
      <w:r>
        <w:rPr>
          <w:rFonts w:hint="eastAsia" w:ascii="宋体" w:hAnsi="宋体" w:eastAsia="宋体" w:cs="宋体"/>
          <w:color w:val="auto"/>
          <w:kern w:val="2"/>
          <w:sz w:val="24"/>
          <w:szCs w:val="24"/>
          <w:highlight w:val="none"/>
          <w:lang w:val="zh-CN" w:eastAsia="zh-CN" w:bidi="zh-CN"/>
        </w:rPr>
        <w:t>2承包人应按第</w:t>
      </w:r>
      <w:r>
        <w:rPr>
          <w:rFonts w:hint="eastAsia" w:ascii="宋体" w:hAnsi="宋体" w:eastAsia="宋体" w:cs="宋体"/>
          <w:color w:val="auto"/>
          <w:kern w:val="2"/>
          <w:sz w:val="24"/>
          <w:szCs w:val="24"/>
          <w:highlight w:val="none"/>
          <w:lang w:val="en-US" w:eastAsia="zh-CN" w:bidi="en-US"/>
        </w:rPr>
        <w:t>10.</w:t>
      </w:r>
      <w:r>
        <w:rPr>
          <w:rFonts w:hint="eastAsia" w:ascii="宋体" w:hAnsi="宋体" w:eastAsia="宋体" w:cs="宋体"/>
          <w:color w:val="auto"/>
          <w:kern w:val="2"/>
          <w:sz w:val="24"/>
          <w:szCs w:val="24"/>
          <w:highlight w:val="none"/>
          <w:lang w:val="zh-CN" w:eastAsia="zh-CN" w:bidi="zh-CN"/>
        </w:rPr>
        <w:t>1款约定的合同进度计划，向监理人提交工程开工报审表, 经监理人审批后执行。开工报审表应详细说明按合同进度计划正常施工所需的施工道路、临时设施、材料设备、施工人员等施工组织措施的落实情况以及工程的进度安排。</w:t>
      </w:r>
    </w:p>
    <w:p w14:paraId="7911FFA6">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11.1.3</w:t>
      </w:r>
      <w:r>
        <w:rPr>
          <w:rFonts w:hint="eastAsia" w:ascii="宋体" w:hAnsi="宋体" w:eastAsia="宋体" w:cs="宋体"/>
          <w:color w:val="auto"/>
          <w:kern w:val="2"/>
          <w:sz w:val="24"/>
          <w:szCs w:val="24"/>
          <w:highlight w:val="none"/>
          <w:lang w:val="zh-CN" w:eastAsia="zh-CN" w:bidi="zh-CN"/>
        </w:rPr>
        <w:t>若发包人未能按合同约定向承包人提供开工的必要条件，承包人有权要求延 长工期。监理人应在收到承包人的书面要求后，按第</w:t>
      </w:r>
      <w:r>
        <w:rPr>
          <w:rFonts w:hint="eastAsia" w:ascii="宋体" w:hAnsi="宋体" w:eastAsia="宋体" w:cs="宋体"/>
          <w:color w:val="auto"/>
          <w:kern w:val="2"/>
          <w:sz w:val="24"/>
          <w:szCs w:val="24"/>
          <w:highlight w:val="none"/>
          <w:lang w:val="en-US" w:eastAsia="zh-CN" w:bidi="en-US"/>
        </w:rPr>
        <w:t xml:space="preserve">3. </w:t>
      </w:r>
      <w:r>
        <w:rPr>
          <w:rFonts w:hint="eastAsia" w:ascii="宋体" w:hAnsi="宋体" w:eastAsia="宋体" w:cs="宋体"/>
          <w:color w:val="auto"/>
          <w:kern w:val="2"/>
          <w:sz w:val="24"/>
          <w:szCs w:val="24"/>
          <w:highlight w:val="none"/>
          <w:lang w:val="zh-CN" w:eastAsia="zh-CN" w:bidi="zh-CN"/>
        </w:rPr>
        <w:t>5款的约定，与合同双方商定或确定增加的费用和延长的工期。</w:t>
      </w:r>
    </w:p>
    <w:p w14:paraId="312F7915">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11.1.4</w:t>
      </w:r>
      <w:r>
        <w:rPr>
          <w:rFonts w:hint="eastAsia" w:ascii="宋体" w:hAnsi="宋体" w:eastAsia="宋体" w:cs="宋体"/>
          <w:color w:val="auto"/>
          <w:kern w:val="2"/>
          <w:sz w:val="24"/>
          <w:szCs w:val="24"/>
          <w:highlight w:val="none"/>
          <w:lang w:val="zh-CN" w:eastAsia="zh-CN" w:bidi="zh-CN"/>
        </w:rPr>
        <w:t>承包人在接到开工通知后14天内未按进度计划要求及时进场组织施工，监理人可通知承包人在接到通知后7天内提交一份说明其进场延误的书面报告，报送监理人。书面报告应说明不能及时进场的原因和补救措施，由此增加的费用和工期延误责任由承包人承担。</w:t>
      </w:r>
    </w:p>
    <w:p w14:paraId="3BFE68AF">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11.2竣工(完工)</w:t>
      </w:r>
    </w:p>
    <w:p w14:paraId="18E6F00D">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承包人应在第</w:t>
      </w:r>
      <w:r>
        <w:rPr>
          <w:rFonts w:hint="eastAsia" w:ascii="宋体" w:hAnsi="宋体" w:eastAsia="宋体" w:cs="宋体"/>
          <w:color w:val="auto"/>
          <w:kern w:val="2"/>
          <w:sz w:val="24"/>
          <w:szCs w:val="24"/>
          <w:highlight w:val="none"/>
          <w:lang w:val="en-US" w:eastAsia="zh-CN" w:bidi="en-US"/>
        </w:rPr>
        <w:t xml:space="preserve">1.1. 4. </w:t>
      </w:r>
      <w:r>
        <w:rPr>
          <w:rFonts w:hint="eastAsia" w:ascii="宋体" w:hAnsi="宋体" w:eastAsia="宋体" w:cs="宋体"/>
          <w:color w:val="auto"/>
          <w:kern w:val="2"/>
          <w:sz w:val="24"/>
          <w:szCs w:val="24"/>
          <w:highlight w:val="none"/>
          <w:lang w:val="zh-CN" w:eastAsia="zh-CN" w:bidi="zh-CN"/>
        </w:rPr>
        <w:t>3目约定的期限内完成合同工程。合同工程实际完工时间在合同工程完工证书中明确（以完工验收鉴定书或竣工验收鉴定书标明的验收日期为准，没有标明验收日期的则以印发鉴定书的日期为准）</w:t>
      </w:r>
      <w:r>
        <w:rPr>
          <w:rFonts w:hint="eastAsia" w:ascii="宋体" w:hAnsi="宋体" w:eastAsia="宋体" w:cs="宋体"/>
          <w:color w:val="auto"/>
          <w:kern w:val="2"/>
          <w:sz w:val="24"/>
          <w:szCs w:val="24"/>
          <w:highlight w:val="none"/>
          <w:lang w:val="en-US" w:eastAsia="zh-CN" w:bidi="en-US"/>
        </w:rPr>
        <w:t>。</w:t>
      </w:r>
    </w:p>
    <w:p w14:paraId="6F459C20">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11.3发包人的工期延误</w:t>
      </w:r>
    </w:p>
    <w:p w14:paraId="40B082DE">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在履行合同过程中，由于发包人的下列原因造成工期延误的，承包人有权要求发包人延长工期和(或)增加费用，并支付合理利润。需要修订合同进度计划的，按照第</w:t>
      </w:r>
      <w:r>
        <w:rPr>
          <w:rFonts w:hint="eastAsia" w:ascii="宋体" w:hAnsi="宋体" w:eastAsia="宋体" w:cs="宋体"/>
          <w:color w:val="auto"/>
          <w:kern w:val="2"/>
          <w:sz w:val="24"/>
          <w:szCs w:val="24"/>
          <w:highlight w:val="none"/>
          <w:lang w:val="en-US" w:eastAsia="zh-CN" w:bidi="en-US"/>
        </w:rPr>
        <w:t xml:space="preserve">10. </w:t>
      </w:r>
      <w:r>
        <w:rPr>
          <w:rFonts w:hint="eastAsia" w:ascii="宋体" w:hAnsi="宋体" w:eastAsia="宋体" w:cs="宋体"/>
          <w:color w:val="auto"/>
          <w:kern w:val="2"/>
          <w:sz w:val="24"/>
          <w:szCs w:val="24"/>
          <w:highlight w:val="none"/>
          <w:lang w:val="zh-CN" w:eastAsia="zh-CN" w:bidi="zh-CN"/>
        </w:rPr>
        <w:t>2款的约定办理。</w:t>
      </w:r>
    </w:p>
    <w:p w14:paraId="145FEF95">
      <w:pPr>
        <w:pageBreakBefore w:val="0"/>
        <w:widowControl w:val="0"/>
        <w:numPr>
          <w:ilvl w:val="0"/>
          <w:numId w:val="8"/>
        </w:numPr>
        <w:tabs>
          <w:tab w:val="left" w:pos="92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增加合同工作内容；</w:t>
      </w:r>
    </w:p>
    <w:p w14:paraId="0AED7F40">
      <w:pPr>
        <w:pageBreakBefore w:val="0"/>
        <w:widowControl w:val="0"/>
        <w:numPr>
          <w:ilvl w:val="0"/>
          <w:numId w:val="8"/>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改变合同中任何一项工作的质量要求或其他特性；</w:t>
      </w:r>
    </w:p>
    <w:p w14:paraId="19BA67F4">
      <w:pPr>
        <w:pageBreakBefore w:val="0"/>
        <w:widowControl w:val="0"/>
        <w:numPr>
          <w:ilvl w:val="0"/>
          <w:numId w:val="8"/>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发包人迟延提供材料、工程设备或变更交货地点的；</w:t>
      </w:r>
    </w:p>
    <w:p w14:paraId="287642BA">
      <w:pPr>
        <w:pageBreakBefore w:val="0"/>
        <w:widowControl w:val="0"/>
        <w:numPr>
          <w:ilvl w:val="0"/>
          <w:numId w:val="8"/>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因发包人原因导致的暂停施工；</w:t>
      </w:r>
    </w:p>
    <w:p w14:paraId="06C081D5">
      <w:pPr>
        <w:pageBreakBefore w:val="0"/>
        <w:widowControl w:val="0"/>
        <w:numPr>
          <w:ilvl w:val="0"/>
          <w:numId w:val="8"/>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提供图纸延误；</w:t>
      </w:r>
    </w:p>
    <w:p w14:paraId="4EE35AD2">
      <w:pPr>
        <w:pageBreakBefore w:val="0"/>
        <w:widowControl w:val="0"/>
        <w:numPr>
          <w:ilvl w:val="0"/>
          <w:numId w:val="8"/>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发包人造成工期延误的其他原因。</w:t>
      </w:r>
    </w:p>
    <w:p w14:paraId="01A0578D">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11.4异常恶劣的气候条件</w:t>
      </w:r>
    </w:p>
    <w:p w14:paraId="7BB05F25">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11.4.1</w:t>
      </w:r>
      <w:r>
        <w:rPr>
          <w:rFonts w:hint="eastAsia" w:ascii="宋体" w:hAnsi="宋体" w:eastAsia="宋体" w:cs="宋体"/>
          <w:color w:val="auto"/>
          <w:kern w:val="2"/>
          <w:sz w:val="24"/>
          <w:szCs w:val="24"/>
          <w:highlight w:val="none"/>
          <w:lang w:val="zh-CN" w:eastAsia="zh-CN" w:bidi="zh-CN"/>
        </w:rPr>
        <w:t>当工程所在地发生危及施工安全的异常恶劣气候时，发包人和承包人应按本合同通用合同条款第12条的约定，及时采取暂停施工或部分暂停施工措施。异常恶劣气候条件解除后，承包人应及时安排复工。</w:t>
      </w:r>
    </w:p>
    <w:p w14:paraId="076D6ECC">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11.4.2</w:t>
      </w:r>
      <w:r>
        <w:rPr>
          <w:rFonts w:hint="eastAsia" w:ascii="宋体" w:hAnsi="宋体" w:eastAsia="宋体" w:cs="宋体"/>
          <w:color w:val="auto"/>
          <w:kern w:val="2"/>
          <w:sz w:val="24"/>
          <w:szCs w:val="24"/>
          <w:highlight w:val="none"/>
          <w:lang w:val="zh-CN" w:eastAsia="zh-CN" w:bidi="zh-CN"/>
        </w:rPr>
        <w:t>异常恶劣气候条件造成的工期延误和工程损坏，应由发包人与承包人参照本合同通用合同条款第</w:t>
      </w:r>
      <w:r>
        <w:rPr>
          <w:rFonts w:hint="eastAsia" w:ascii="宋体" w:hAnsi="宋体" w:eastAsia="宋体" w:cs="宋体"/>
          <w:color w:val="auto"/>
          <w:kern w:val="2"/>
          <w:sz w:val="24"/>
          <w:szCs w:val="24"/>
          <w:highlight w:val="none"/>
          <w:lang w:val="en-US" w:eastAsia="zh-CN" w:bidi="en-US"/>
        </w:rPr>
        <w:t xml:space="preserve">21. </w:t>
      </w:r>
      <w:r>
        <w:rPr>
          <w:rFonts w:hint="eastAsia" w:ascii="宋体" w:hAnsi="宋体" w:eastAsia="宋体" w:cs="宋体"/>
          <w:color w:val="auto"/>
          <w:kern w:val="2"/>
          <w:sz w:val="24"/>
          <w:szCs w:val="24"/>
          <w:highlight w:val="none"/>
          <w:lang w:val="zh-CN" w:eastAsia="zh-CN" w:bidi="zh-CN"/>
        </w:rPr>
        <w:t>3款的约定共同协商处理。</w:t>
      </w:r>
    </w:p>
    <w:p w14:paraId="7080BD5D">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11.4.</w:t>
      </w:r>
      <w:r>
        <w:rPr>
          <w:rFonts w:hint="eastAsia" w:ascii="宋体" w:hAnsi="宋体" w:eastAsia="宋体" w:cs="宋体"/>
          <w:color w:val="auto"/>
          <w:kern w:val="2"/>
          <w:sz w:val="24"/>
          <w:szCs w:val="24"/>
          <w:highlight w:val="none"/>
          <w:lang w:val="zh-CN" w:eastAsia="zh-CN" w:bidi="zh-CN"/>
        </w:rPr>
        <w:t>3本合同工程界定异常恶劣气候条件的范围在专用合同条款中约定。</w:t>
      </w:r>
    </w:p>
    <w:p w14:paraId="5B4E73C3">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11.5承包人工期延误</w:t>
      </w:r>
    </w:p>
    <w:p w14:paraId="4DDD5548">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由于承包人原因，未能按合同进度计划完成工作，或监理人认为承包人施工进度不能满足合同工期要求的，承包人应采取措施加快进度，并承担加快进度所增加的费用。由于承包人原因造成工期延误，承包人应支付逾期竣工违约金。逾期竣工违约金的计算方法在专用合同条款中约定。承包人支付逾期竣工违约金，不免除承包人完成工程及修补缺陷的义务。</w:t>
      </w:r>
    </w:p>
    <w:p w14:paraId="13DF7564">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11.6工期提前</w:t>
      </w:r>
    </w:p>
    <w:p w14:paraId="0946B97C">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发包人要求承包人提前完工，或承包人提出提前完工的建议能够给发包人带来效益的， 应由监理人与承包人共同协商采取加快工程进度的措施和修订合同进度计划。发包人应承担承包人由此增加的费用，并向承包人支付专用合同条款约定的相应奖金。</w:t>
      </w:r>
    </w:p>
    <w:p w14:paraId="5C58FAE7">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发包人要求提前完工的，双方协商一致后应签订提前完工协议，协议内容包括：</w:t>
      </w:r>
    </w:p>
    <w:p w14:paraId="2B32646E">
      <w:pPr>
        <w:pageBreakBefore w:val="0"/>
        <w:widowControl w:val="0"/>
        <w:numPr>
          <w:ilvl w:val="0"/>
          <w:numId w:val="9"/>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提前的时间和修订后的进度计划。</w:t>
      </w:r>
    </w:p>
    <w:p w14:paraId="184E5300">
      <w:pPr>
        <w:pageBreakBefore w:val="0"/>
        <w:widowControl w:val="0"/>
        <w:numPr>
          <w:ilvl w:val="0"/>
          <w:numId w:val="9"/>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承包人的赶工措施。</w:t>
      </w:r>
    </w:p>
    <w:p w14:paraId="439A9BB8">
      <w:pPr>
        <w:pageBreakBefore w:val="0"/>
        <w:widowControl w:val="0"/>
        <w:numPr>
          <w:ilvl w:val="0"/>
          <w:numId w:val="9"/>
        </w:numPr>
        <w:tabs>
          <w:tab w:val="left" w:pos="92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发包人为赶工提供的条件。</w:t>
      </w:r>
    </w:p>
    <w:p w14:paraId="4971E751">
      <w:pPr>
        <w:pageBreakBefore w:val="0"/>
        <w:widowControl w:val="0"/>
        <w:numPr>
          <w:ilvl w:val="0"/>
          <w:numId w:val="9"/>
        </w:numPr>
        <w:tabs>
          <w:tab w:val="left" w:pos="92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赶工费用(包括利润和奖金)</w:t>
      </w:r>
    </w:p>
    <w:p w14:paraId="031779C1">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19" w:name="_Toc27200"/>
      <w:r>
        <w:rPr>
          <w:rFonts w:hint="eastAsia" w:ascii="宋体" w:hAnsi="宋体" w:eastAsia="宋体" w:cs="宋体"/>
          <w:color w:val="auto"/>
          <w:kern w:val="2"/>
          <w:sz w:val="24"/>
          <w:szCs w:val="24"/>
          <w:highlight w:val="none"/>
          <w:lang w:val="en-US" w:eastAsia="zh-CN" w:bidi="ar-SA"/>
        </w:rPr>
        <w:t>12.暂停施工</w:t>
      </w:r>
      <w:bookmarkEnd w:id="219"/>
    </w:p>
    <w:p w14:paraId="67A03B4F">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12.1承包人暂停施工的责任</w:t>
      </w:r>
    </w:p>
    <w:p w14:paraId="0E1B63A3">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因下列暂停施工增加的费用和(或)工期延误由承包人承担：</w:t>
      </w:r>
    </w:p>
    <w:p w14:paraId="58660175">
      <w:pPr>
        <w:pageBreakBefore w:val="0"/>
        <w:widowControl w:val="0"/>
        <w:numPr>
          <w:ilvl w:val="0"/>
          <w:numId w:val="10"/>
        </w:numPr>
        <w:tabs>
          <w:tab w:val="left" w:pos="92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承包人违约引起的暂停施工；</w:t>
      </w:r>
    </w:p>
    <w:p w14:paraId="4EA5BD77">
      <w:pPr>
        <w:pageBreakBefore w:val="0"/>
        <w:widowControl w:val="0"/>
        <w:numPr>
          <w:ilvl w:val="0"/>
          <w:numId w:val="10"/>
        </w:numPr>
        <w:tabs>
          <w:tab w:val="left" w:pos="92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由于承包人原因为工程合理施工和安全保障所必需的暂停施工；</w:t>
      </w:r>
    </w:p>
    <w:p w14:paraId="397FB4DC">
      <w:pPr>
        <w:pageBreakBefore w:val="0"/>
        <w:widowControl w:val="0"/>
        <w:numPr>
          <w:ilvl w:val="0"/>
          <w:numId w:val="10"/>
        </w:numPr>
        <w:tabs>
          <w:tab w:val="left" w:pos="92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承包人擅自暂停施工；</w:t>
      </w:r>
    </w:p>
    <w:p w14:paraId="79F40A63">
      <w:pPr>
        <w:pageBreakBefore w:val="0"/>
        <w:widowControl w:val="0"/>
        <w:numPr>
          <w:ilvl w:val="0"/>
          <w:numId w:val="10"/>
        </w:numPr>
        <w:tabs>
          <w:tab w:val="left" w:pos="92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承包人其他原因引起的暂停施工；</w:t>
      </w:r>
    </w:p>
    <w:p w14:paraId="275E0F02">
      <w:pPr>
        <w:pageBreakBefore w:val="0"/>
        <w:widowControl w:val="0"/>
        <w:numPr>
          <w:ilvl w:val="0"/>
          <w:numId w:val="10"/>
        </w:numPr>
        <w:tabs>
          <w:tab w:val="left" w:pos="92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专用合同条款约定由承包人承担的其他暂停施工。</w:t>
      </w:r>
    </w:p>
    <w:p w14:paraId="7B153533">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12.2发包人暂停施工的责任</w:t>
      </w:r>
    </w:p>
    <w:p w14:paraId="255BD1DD">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由于发包人原因引起的暂停施工造成工期延误的，承包人有权要求发包人延长工期和 (或)增加费用，并支付合理利润。属于下列任何一种情况引起的暂停施工，均为发包人的责任：</w:t>
      </w:r>
    </w:p>
    <w:p w14:paraId="2FDEB5BB">
      <w:pPr>
        <w:pageBreakBefore w:val="0"/>
        <w:widowControl w:val="0"/>
        <w:numPr>
          <w:ilvl w:val="0"/>
          <w:numId w:val="11"/>
        </w:numPr>
        <w:tabs>
          <w:tab w:val="left" w:pos="92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由于发包人违约引起的暂停施工。</w:t>
      </w:r>
    </w:p>
    <w:p w14:paraId="2886D369">
      <w:pPr>
        <w:pageBreakBefore w:val="0"/>
        <w:widowControl w:val="0"/>
        <w:numPr>
          <w:ilvl w:val="0"/>
          <w:numId w:val="11"/>
        </w:numPr>
        <w:tabs>
          <w:tab w:val="left" w:pos="92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由于不可抗力的自然或社会因素引起的暂停施工。</w:t>
      </w:r>
    </w:p>
    <w:p w14:paraId="02313CBC">
      <w:pPr>
        <w:pageBreakBefore w:val="0"/>
        <w:widowControl w:val="0"/>
        <w:numPr>
          <w:ilvl w:val="0"/>
          <w:numId w:val="11"/>
        </w:numPr>
        <w:tabs>
          <w:tab w:val="left" w:pos="92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专用合同条款中约定的其它由于发包人原因引起的暂停施工。</w:t>
      </w:r>
    </w:p>
    <w:p w14:paraId="5EF7CD8E">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12.3监理人暂停施工指示</w:t>
      </w:r>
    </w:p>
    <w:p w14:paraId="20EEBB30">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12.3.1</w:t>
      </w:r>
      <w:r>
        <w:rPr>
          <w:rFonts w:hint="eastAsia" w:ascii="宋体" w:hAnsi="宋体" w:eastAsia="宋体" w:cs="宋体"/>
          <w:color w:val="auto"/>
          <w:kern w:val="2"/>
          <w:sz w:val="24"/>
          <w:szCs w:val="24"/>
          <w:highlight w:val="none"/>
          <w:lang w:val="zh-CN" w:eastAsia="zh-CN" w:bidi="zh-CN"/>
        </w:rPr>
        <w:t>监理人认为有必要时，可向承包人作出暂停施工的指示，承包人应按监理人指示暂停施工。不论由于何种原因引起的暂停施工，暂停施工期间承包人应负责妥善保护工程并提供安全保障。</w:t>
      </w:r>
    </w:p>
    <w:p w14:paraId="34D5A3C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12.3.2</w:t>
      </w:r>
      <w:r>
        <w:rPr>
          <w:rFonts w:hint="eastAsia" w:ascii="宋体" w:hAnsi="宋体" w:eastAsia="宋体" w:cs="宋体"/>
          <w:color w:val="auto"/>
          <w:kern w:val="2"/>
          <w:sz w:val="24"/>
          <w:szCs w:val="24"/>
          <w:highlight w:val="none"/>
          <w:lang w:val="zh-CN" w:eastAsia="zh-CN" w:bidi="zh-CN"/>
        </w:rPr>
        <w:t>由于发包人的原因发生暂停施工的紧急情况，且监理人未及时下达暂停施工指示的，承包人可先暂停施工，并及时向监理人提出暂停施工的书面请求。监理人应在接到书面请求后的24小时内予以答复，逾期未答复的，视为同意承包人的暂停施工请求。</w:t>
      </w:r>
    </w:p>
    <w:p w14:paraId="40D527A3">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12.4暂停施工后的复工</w:t>
      </w:r>
    </w:p>
    <w:p w14:paraId="1663BD35">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12.4.1暂停施工后，监理人应与发包人和承包人协商，采取有效措施积极消除暂停施工的影响。当工程具备复工条件时，监理人应立即向承包人发出复工通知。承包人收到复工通知后，应在监理人指定的期限内复工。</w:t>
      </w:r>
    </w:p>
    <w:p w14:paraId="400114C8">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12</w:t>
      </w:r>
      <w:r>
        <w:rPr>
          <w:rFonts w:hint="eastAsia" w:ascii="宋体" w:hAnsi="宋体" w:eastAsia="宋体" w:cs="宋体"/>
          <w:color w:val="auto"/>
          <w:kern w:val="2"/>
          <w:sz w:val="24"/>
          <w:szCs w:val="24"/>
          <w:highlight w:val="none"/>
          <w:lang w:val="en-US" w:eastAsia="zh-CN" w:bidi="zh-CN"/>
        </w:rPr>
        <w:t>.4.</w:t>
      </w:r>
      <w:r>
        <w:rPr>
          <w:rFonts w:hint="eastAsia" w:ascii="宋体" w:hAnsi="宋体" w:eastAsia="宋体" w:cs="宋体"/>
          <w:color w:val="auto"/>
          <w:kern w:val="2"/>
          <w:sz w:val="24"/>
          <w:szCs w:val="24"/>
          <w:highlight w:val="none"/>
          <w:lang w:val="zh-CN" w:eastAsia="zh-CN" w:bidi="zh-CN"/>
        </w:rPr>
        <w:t>2承包人无故拖延和拒绝复工的，由此增加的费用和工期延误由承包人承担；因发包人原因无法按时复工的，承包人有权要求发包人延长工期和(或)增加费用，并支付合理利润。</w:t>
      </w:r>
    </w:p>
    <w:p w14:paraId="36D4DA63">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12.5暂停施工持续56天以上</w:t>
      </w:r>
    </w:p>
    <w:p w14:paraId="57A87177">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12.5.1</w:t>
      </w:r>
      <w:r>
        <w:rPr>
          <w:rFonts w:hint="eastAsia" w:ascii="宋体" w:hAnsi="宋体" w:eastAsia="宋体" w:cs="宋体"/>
          <w:color w:val="auto"/>
          <w:kern w:val="2"/>
          <w:sz w:val="24"/>
          <w:szCs w:val="24"/>
          <w:highlight w:val="none"/>
          <w:lang w:val="zh-CN" w:eastAsia="zh-CN" w:bidi="zh-CN"/>
        </w:rPr>
        <w:t>监理人发出暂停施工指示后56天内未向承包人发出复工通知，除了该项停工属于第</w:t>
      </w:r>
      <w:r>
        <w:rPr>
          <w:rFonts w:hint="eastAsia" w:ascii="宋体" w:hAnsi="宋体" w:eastAsia="宋体" w:cs="宋体"/>
          <w:color w:val="auto"/>
          <w:kern w:val="2"/>
          <w:sz w:val="24"/>
          <w:szCs w:val="24"/>
          <w:highlight w:val="none"/>
          <w:lang w:val="en-US" w:eastAsia="zh-CN" w:bidi="en-US"/>
        </w:rPr>
        <w:t>12.1</w:t>
      </w:r>
      <w:r>
        <w:rPr>
          <w:rFonts w:hint="eastAsia" w:ascii="宋体" w:hAnsi="宋体" w:eastAsia="宋体" w:cs="宋体"/>
          <w:color w:val="auto"/>
          <w:kern w:val="2"/>
          <w:sz w:val="24"/>
          <w:szCs w:val="24"/>
          <w:highlight w:val="none"/>
          <w:lang w:val="zh-CN" w:eastAsia="zh-CN" w:bidi="zh-CN"/>
        </w:rPr>
        <w:t>款的情况外，承包人可向监理人提交书面通知，要求监理人在收到书面通知后 28天内准许已暂停施工的工程或其中一部分工程继续施工。如监理人逾期不予批准，则承包人可以通知监理人，将工程受影响的部分视为按第</w:t>
      </w:r>
      <w:r>
        <w:rPr>
          <w:rFonts w:hint="eastAsia" w:ascii="宋体" w:hAnsi="宋体" w:eastAsia="宋体" w:cs="宋体"/>
          <w:color w:val="auto"/>
          <w:kern w:val="2"/>
          <w:sz w:val="24"/>
          <w:szCs w:val="24"/>
          <w:highlight w:val="none"/>
          <w:lang w:val="en-US" w:eastAsia="zh-CN" w:bidi="en-US"/>
        </w:rPr>
        <w:t xml:space="preserve">15.1 </w:t>
      </w:r>
      <w:r>
        <w:rPr>
          <w:rFonts w:hint="eastAsia" w:ascii="宋体" w:hAnsi="宋体" w:eastAsia="宋体" w:cs="宋体"/>
          <w:color w:val="auto"/>
          <w:kern w:val="2"/>
          <w:sz w:val="24"/>
          <w:szCs w:val="24"/>
          <w:highlight w:val="none"/>
          <w:lang w:val="zh-CN" w:eastAsia="zh-CN" w:bidi="zh-CN"/>
        </w:rPr>
        <w:t>(1)项的可取消工作。如暂停 施工影响到整个工程，可视为发包人违约，应按第</w:t>
      </w:r>
      <w:r>
        <w:rPr>
          <w:rFonts w:hint="eastAsia" w:ascii="宋体" w:hAnsi="宋体" w:eastAsia="宋体" w:cs="宋体"/>
          <w:color w:val="auto"/>
          <w:kern w:val="2"/>
          <w:sz w:val="24"/>
          <w:szCs w:val="24"/>
          <w:highlight w:val="none"/>
          <w:lang w:val="en-US" w:eastAsia="zh-CN" w:bidi="en-US"/>
        </w:rPr>
        <w:t xml:space="preserve">22. </w:t>
      </w:r>
      <w:r>
        <w:rPr>
          <w:rFonts w:hint="eastAsia" w:ascii="宋体" w:hAnsi="宋体" w:eastAsia="宋体" w:cs="宋体"/>
          <w:color w:val="auto"/>
          <w:kern w:val="2"/>
          <w:sz w:val="24"/>
          <w:szCs w:val="24"/>
          <w:highlight w:val="none"/>
          <w:lang w:val="zh-CN" w:eastAsia="zh-CN" w:bidi="zh-CN"/>
        </w:rPr>
        <w:t>2款的约定办理。</w:t>
      </w:r>
    </w:p>
    <w:p w14:paraId="3C608643">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12.5.2</w:t>
      </w:r>
      <w:r>
        <w:rPr>
          <w:rFonts w:hint="eastAsia" w:ascii="宋体" w:hAnsi="宋体" w:eastAsia="宋体" w:cs="宋体"/>
          <w:color w:val="auto"/>
          <w:kern w:val="2"/>
          <w:sz w:val="24"/>
          <w:szCs w:val="24"/>
          <w:highlight w:val="none"/>
          <w:lang w:val="zh-CN" w:eastAsia="zh-CN" w:bidi="zh-CN"/>
        </w:rPr>
        <w:t>由于承包人责任引起的暂停施工，如承包人在收到监理人暂停施工指示后56 天内不认真采取有效的复工措施，造成工期延误，可视为承包人违约，应按第</w:t>
      </w:r>
      <w:r>
        <w:rPr>
          <w:rFonts w:hint="eastAsia" w:ascii="宋体" w:hAnsi="宋体" w:eastAsia="宋体" w:cs="宋体"/>
          <w:color w:val="auto"/>
          <w:kern w:val="2"/>
          <w:sz w:val="24"/>
          <w:szCs w:val="24"/>
          <w:highlight w:val="none"/>
          <w:lang w:val="en-US" w:eastAsia="zh-CN" w:bidi="en-US"/>
        </w:rPr>
        <w:t>22.1</w:t>
      </w:r>
      <w:r>
        <w:rPr>
          <w:rFonts w:hint="eastAsia" w:ascii="宋体" w:hAnsi="宋体" w:eastAsia="宋体" w:cs="宋体"/>
          <w:color w:val="auto"/>
          <w:kern w:val="2"/>
          <w:sz w:val="24"/>
          <w:szCs w:val="24"/>
          <w:highlight w:val="none"/>
          <w:lang w:val="zh-CN" w:eastAsia="zh-CN" w:bidi="zh-CN"/>
        </w:rPr>
        <w:t>款的约定办理。</w:t>
      </w:r>
    </w:p>
    <w:p w14:paraId="0E8850D9">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20" w:name="_Toc12099"/>
      <w:r>
        <w:rPr>
          <w:rFonts w:hint="eastAsia" w:ascii="宋体" w:hAnsi="宋体" w:eastAsia="宋体" w:cs="宋体"/>
          <w:color w:val="auto"/>
          <w:kern w:val="2"/>
          <w:sz w:val="24"/>
          <w:szCs w:val="24"/>
          <w:highlight w:val="none"/>
          <w:lang w:val="en-US" w:eastAsia="zh-CN" w:bidi="ar-SA"/>
        </w:rPr>
        <w:t>13.工程质量</w:t>
      </w:r>
      <w:bookmarkEnd w:id="220"/>
    </w:p>
    <w:p w14:paraId="0439364B">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13.1工程质量要求</w:t>
      </w:r>
    </w:p>
    <w:p w14:paraId="1547780A">
      <w:pPr>
        <w:pageBreakBefore w:val="0"/>
        <w:widowControl w:val="0"/>
        <w:tabs>
          <w:tab w:val="left" w:pos="82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13.1.</w:t>
      </w:r>
      <w:r>
        <w:rPr>
          <w:rFonts w:hint="eastAsia" w:ascii="宋体" w:hAnsi="宋体" w:eastAsia="宋体" w:cs="宋体"/>
          <w:color w:val="auto"/>
          <w:kern w:val="2"/>
          <w:sz w:val="24"/>
          <w:szCs w:val="24"/>
          <w:highlight w:val="none"/>
          <w:lang w:val="zh-CN" w:eastAsia="zh-CN" w:bidi="zh-CN"/>
        </w:rPr>
        <w:t>1工程质量验收按合同约定验收标准执行。</w:t>
      </w:r>
    </w:p>
    <w:p w14:paraId="091447A1">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13.1.2</w:t>
      </w:r>
      <w:r>
        <w:rPr>
          <w:rFonts w:hint="eastAsia" w:ascii="宋体" w:hAnsi="宋体" w:eastAsia="宋体" w:cs="宋体"/>
          <w:color w:val="auto"/>
          <w:kern w:val="2"/>
          <w:sz w:val="24"/>
          <w:szCs w:val="24"/>
          <w:highlight w:val="none"/>
          <w:lang w:val="zh-CN" w:eastAsia="zh-CN" w:bidi="zh-CN"/>
        </w:rPr>
        <w:t>因承包人原因造成工程质量达不到合同约定验收标准的，监理人有权要求承包人返工直至符合合同要求为止，由此造成的费用增加和（或）工期延误由承包人承担。</w:t>
      </w:r>
    </w:p>
    <w:p w14:paraId="7861DC4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13.1.3</w:t>
      </w:r>
      <w:r>
        <w:rPr>
          <w:rFonts w:hint="eastAsia" w:ascii="宋体" w:hAnsi="宋体" w:eastAsia="宋体" w:cs="宋体"/>
          <w:color w:val="auto"/>
          <w:kern w:val="2"/>
          <w:sz w:val="24"/>
          <w:szCs w:val="24"/>
          <w:highlight w:val="none"/>
          <w:lang w:val="zh-CN" w:eastAsia="zh-CN" w:bidi="zh-CN"/>
        </w:rPr>
        <w:t>因发包人原因造成工程质量达不到合同约定验收标准的，发包人应承担由于承包人返工造成的费用增加和（或）工期延误，并支付承包人合理利润。</w:t>
      </w:r>
    </w:p>
    <w:p w14:paraId="3EF1437E">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13.2承包人的质量管理</w:t>
      </w:r>
    </w:p>
    <w:p w14:paraId="52C0BDAE">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13.2.1</w:t>
      </w:r>
      <w:r>
        <w:rPr>
          <w:rFonts w:hint="eastAsia" w:ascii="宋体" w:hAnsi="宋体" w:eastAsia="宋体" w:cs="宋体"/>
          <w:color w:val="auto"/>
          <w:kern w:val="2"/>
          <w:sz w:val="24"/>
          <w:szCs w:val="24"/>
          <w:highlight w:val="none"/>
          <w:lang w:val="zh-CN" w:eastAsia="zh-CN" w:bidi="zh-CN"/>
        </w:rPr>
        <w:t>承包人应在施工场地设置专门的质量检查机构，配备专职质量检查人员，建立完善的质量检查制度。承包人应按技术标准和要求（合同技术条款）约定的内容和期限, 编制工程质量保证措施文件，包括质量检查机构的组织和岗位责任、质量检查人员的组成、质量检查程序和实施细则等，提交监理人监批。监理人应在技术标准和要求（合同技术条 款）约定期限内批复承包人。</w:t>
      </w:r>
    </w:p>
    <w:p w14:paraId="1180B408">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13.2. 2承包人应加强对施工人员的质量教育和技术培训，定期考核施工人员的劳动 技能，严格执行规范和操作规程。</w:t>
      </w:r>
    </w:p>
    <w:p w14:paraId="1E1381F3">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13.3承包人的质量检查</w:t>
      </w:r>
    </w:p>
    <w:p w14:paraId="777E591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承包人应按合同约定对材料、工程设备以及工程的所有部位及其施工工艺进行全过程的质量检查和检验，并作详细记录，编制工程质量报表，报送监理人审查。</w:t>
      </w:r>
    </w:p>
    <w:p w14:paraId="0503A727">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13.4监理人的质量检查</w:t>
      </w:r>
    </w:p>
    <w:p w14:paraId="504D7BCF">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w:t>
      </w:r>
    </w:p>
    <w:p w14:paraId="31EEDC3A">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13.5工程隐蔽部位覆盖前的检查</w:t>
      </w:r>
    </w:p>
    <w:p w14:paraId="31167E00">
      <w:pPr>
        <w:pageBreakBefore w:val="0"/>
        <w:widowControl w:val="0"/>
        <w:tabs>
          <w:tab w:val="left" w:pos="84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 xml:space="preserve">13.5. </w:t>
      </w:r>
      <w:r>
        <w:rPr>
          <w:rFonts w:hint="eastAsia" w:ascii="宋体" w:hAnsi="宋体" w:eastAsia="宋体" w:cs="宋体"/>
          <w:color w:val="auto"/>
          <w:kern w:val="2"/>
          <w:sz w:val="24"/>
          <w:szCs w:val="24"/>
          <w:highlight w:val="none"/>
          <w:lang w:val="zh-CN" w:eastAsia="zh-CN" w:bidi="zh-CN"/>
        </w:rPr>
        <w:t>1通知监理人检查</w:t>
      </w:r>
    </w:p>
    <w:p w14:paraId="24F14E8F">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经承包人自检确认的工程隐蔽部位具备覆盖条件后，承包人应通知监理人在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14:paraId="599ABFBC">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13.5.2</w:t>
      </w:r>
      <w:r>
        <w:rPr>
          <w:rFonts w:hint="eastAsia" w:ascii="宋体" w:hAnsi="宋体" w:eastAsia="宋体" w:cs="宋体"/>
          <w:color w:val="auto"/>
          <w:kern w:val="2"/>
          <w:sz w:val="24"/>
          <w:szCs w:val="24"/>
          <w:highlight w:val="none"/>
          <w:lang w:val="zh-CN" w:eastAsia="zh-CN" w:bidi="zh-CN"/>
        </w:rPr>
        <w:t>监理人未到场检查</w:t>
      </w:r>
    </w:p>
    <w:p w14:paraId="3CB9C0B2">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监理人未按第</w:t>
      </w:r>
      <w:r>
        <w:rPr>
          <w:rFonts w:hint="eastAsia" w:ascii="宋体" w:hAnsi="宋体" w:eastAsia="宋体" w:cs="宋体"/>
          <w:color w:val="auto"/>
          <w:kern w:val="2"/>
          <w:sz w:val="24"/>
          <w:szCs w:val="24"/>
          <w:highlight w:val="none"/>
          <w:lang w:val="en-US" w:eastAsia="zh-CN" w:bidi="en-US"/>
        </w:rPr>
        <w:t>13.5.1</w:t>
      </w:r>
      <w:r>
        <w:rPr>
          <w:rFonts w:hint="eastAsia" w:ascii="宋体" w:hAnsi="宋体" w:eastAsia="宋体" w:cs="宋体"/>
          <w:color w:val="auto"/>
          <w:kern w:val="2"/>
          <w:sz w:val="24"/>
          <w:szCs w:val="24"/>
          <w:highlight w:val="none"/>
          <w:lang w:val="zh-CN" w:eastAsia="zh-CN" w:bidi="zh-CN"/>
        </w:rPr>
        <w:t>项约定的时间进行检查的，除监理人另有指示外，承包人可自行完成覆盖工作，并作相应记录报送监理人，监理人应签字确认。监理人事后对检查记录有疑问的，可按第</w:t>
      </w:r>
      <w:r>
        <w:rPr>
          <w:rFonts w:hint="eastAsia" w:ascii="宋体" w:hAnsi="宋体" w:eastAsia="宋体" w:cs="宋体"/>
          <w:color w:val="auto"/>
          <w:kern w:val="2"/>
          <w:sz w:val="24"/>
          <w:szCs w:val="24"/>
          <w:highlight w:val="none"/>
          <w:lang w:val="en-US" w:eastAsia="zh-CN" w:bidi="en-US"/>
        </w:rPr>
        <w:t>13.5.3</w:t>
      </w:r>
      <w:r>
        <w:rPr>
          <w:rFonts w:hint="eastAsia" w:ascii="宋体" w:hAnsi="宋体" w:eastAsia="宋体" w:cs="宋体"/>
          <w:color w:val="auto"/>
          <w:kern w:val="2"/>
          <w:sz w:val="24"/>
          <w:szCs w:val="24"/>
          <w:highlight w:val="none"/>
          <w:lang w:val="zh-CN" w:eastAsia="zh-CN" w:bidi="zh-CN"/>
        </w:rPr>
        <w:t>项的约定重新检查。</w:t>
      </w:r>
    </w:p>
    <w:p w14:paraId="20C0FC25">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13.5.3</w:t>
      </w:r>
      <w:r>
        <w:rPr>
          <w:rFonts w:hint="eastAsia" w:ascii="宋体" w:hAnsi="宋体" w:eastAsia="宋体" w:cs="宋体"/>
          <w:color w:val="auto"/>
          <w:kern w:val="2"/>
          <w:sz w:val="24"/>
          <w:szCs w:val="24"/>
          <w:highlight w:val="none"/>
          <w:lang w:val="zh-CN" w:eastAsia="zh-CN" w:bidi="zh-CN"/>
        </w:rPr>
        <w:t>监理人重新检查</w:t>
      </w:r>
    </w:p>
    <w:p w14:paraId="29D6F8BC">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承包人按第</w:t>
      </w:r>
      <w:r>
        <w:rPr>
          <w:rFonts w:hint="eastAsia" w:ascii="宋体" w:hAnsi="宋体" w:eastAsia="宋体" w:cs="宋体"/>
          <w:color w:val="auto"/>
          <w:kern w:val="2"/>
          <w:sz w:val="24"/>
          <w:szCs w:val="24"/>
          <w:highlight w:val="none"/>
          <w:lang w:val="en-US" w:eastAsia="zh-CN" w:bidi="en-US"/>
        </w:rPr>
        <w:t xml:space="preserve">13. 5. </w:t>
      </w:r>
      <w:r>
        <w:rPr>
          <w:rFonts w:hint="eastAsia" w:ascii="宋体" w:hAnsi="宋体" w:eastAsia="宋体" w:cs="宋体"/>
          <w:color w:val="auto"/>
          <w:kern w:val="2"/>
          <w:sz w:val="24"/>
          <w:szCs w:val="24"/>
          <w:highlight w:val="none"/>
          <w:lang w:val="zh-CN" w:eastAsia="zh-CN" w:bidi="zh-CN"/>
        </w:rPr>
        <w:t>1项或第</w:t>
      </w:r>
      <w:r>
        <w:rPr>
          <w:rFonts w:hint="eastAsia" w:ascii="宋体" w:hAnsi="宋体" w:eastAsia="宋体" w:cs="宋体"/>
          <w:color w:val="auto"/>
          <w:kern w:val="2"/>
          <w:sz w:val="24"/>
          <w:szCs w:val="24"/>
          <w:highlight w:val="none"/>
          <w:lang w:val="en-US" w:eastAsia="zh-CN" w:bidi="en-US"/>
        </w:rPr>
        <w:t xml:space="preserve">13. 5. </w:t>
      </w:r>
      <w:r>
        <w:rPr>
          <w:rFonts w:hint="eastAsia" w:ascii="宋体" w:hAnsi="宋体" w:eastAsia="宋体" w:cs="宋体"/>
          <w:color w:val="auto"/>
          <w:kern w:val="2"/>
          <w:sz w:val="24"/>
          <w:szCs w:val="24"/>
          <w:highlight w:val="none"/>
          <w:lang w:val="zh-CN" w:eastAsia="zh-CN" w:bidi="zh-CN"/>
        </w:rPr>
        <w:t>2项覆盖工程隐蔽部位后，监理人对质量有疑问的，可要求承包人对已覆盖的部位进行钻孔探测或揭开重新检验，承包人应遵照执行，并在检 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14:paraId="1F6AE972">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13.5.4</w:t>
      </w:r>
      <w:r>
        <w:rPr>
          <w:rFonts w:hint="eastAsia" w:ascii="宋体" w:hAnsi="宋体" w:eastAsia="宋体" w:cs="宋体"/>
          <w:color w:val="auto"/>
          <w:kern w:val="2"/>
          <w:sz w:val="24"/>
          <w:szCs w:val="24"/>
          <w:highlight w:val="none"/>
          <w:lang w:val="zh-CN" w:eastAsia="zh-CN" w:bidi="zh-CN"/>
        </w:rPr>
        <w:t>承包人私自覆盖</w:t>
      </w:r>
    </w:p>
    <w:p w14:paraId="48E73DC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承包人未通知监理人到场检查，私自将工程隐蔽部位覆盖的，监理人有权指示承包人钻孔探测或揭开检查，由此增加的费用和（或）工期延误由承包人承担。</w:t>
      </w:r>
    </w:p>
    <w:p w14:paraId="09E5FD8A">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13.6清除不合格工程</w:t>
      </w:r>
    </w:p>
    <w:p w14:paraId="4B386E46">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13.6.1</w:t>
      </w:r>
      <w:r>
        <w:rPr>
          <w:rFonts w:hint="eastAsia" w:ascii="宋体" w:hAnsi="宋体" w:eastAsia="宋体" w:cs="宋体"/>
          <w:color w:val="auto"/>
          <w:kern w:val="2"/>
          <w:sz w:val="24"/>
          <w:szCs w:val="24"/>
          <w:highlight w:val="none"/>
          <w:lang w:val="zh-CN" w:eastAsia="zh-CN" w:bidi="zh-CN"/>
        </w:rPr>
        <w:t>承包人使用不合格材料、工程设备，或采用不适当的施工工艺，或施工不当， 造成工程不合格的，监理人可以随时发出指示，要求承包人立即采取措施进行补救，直至达到合同要求的质量标准，由此增加的费用和（或）工期延误由承包人承担。</w:t>
      </w:r>
    </w:p>
    <w:p w14:paraId="3B64B87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13.6.2</w:t>
      </w:r>
      <w:r>
        <w:rPr>
          <w:rFonts w:hint="eastAsia" w:ascii="宋体" w:hAnsi="宋体" w:eastAsia="宋体" w:cs="宋体"/>
          <w:color w:val="auto"/>
          <w:kern w:val="2"/>
          <w:sz w:val="24"/>
          <w:szCs w:val="24"/>
          <w:highlight w:val="none"/>
          <w:lang w:val="zh-CN" w:eastAsia="zh-CN" w:bidi="zh-CN"/>
        </w:rPr>
        <w:t>由于发包人提供的材料或工程设备不合格造成的工程不合格，需要承包人采取措施补救的，发包人应承担由此增加的费用和（或）工期延误，并支付承包人合理利润。</w:t>
      </w:r>
    </w:p>
    <w:p w14:paraId="310112DD">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13.7质量评定</w:t>
      </w:r>
    </w:p>
    <w:p w14:paraId="3D49F2CC">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13.7.1</w:t>
      </w:r>
      <w:r>
        <w:rPr>
          <w:rFonts w:hint="eastAsia" w:ascii="宋体" w:hAnsi="宋体" w:eastAsia="宋体" w:cs="宋体"/>
          <w:color w:val="auto"/>
          <w:kern w:val="2"/>
          <w:sz w:val="24"/>
          <w:szCs w:val="24"/>
          <w:highlight w:val="none"/>
          <w:lang w:val="zh-CN" w:eastAsia="zh-CN" w:bidi="zh-CN"/>
        </w:rPr>
        <w:t>发包人应组织承包人进行工程项目划分，并确定单位工程、主要分部工程、重要隐蔽单元工程和关键部位单元工程。</w:t>
      </w:r>
    </w:p>
    <w:p w14:paraId="3B136F5B">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13.7.2</w:t>
      </w:r>
      <w:r>
        <w:rPr>
          <w:rFonts w:hint="eastAsia" w:ascii="宋体" w:hAnsi="宋体" w:eastAsia="宋体" w:cs="宋体"/>
          <w:color w:val="auto"/>
          <w:kern w:val="2"/>
          <w:sz w:val="24"/>
          <w:szCs w:val="24"/>
          <w:highlight w:val="none"/>
          <w:lang w:val="zh-CN" w:eastAsia="zh-CN" w:bidi="zh-CN"/>
        </w:rPr>
        <w:t>工程实施过程中，单位工程、主要分部工程、重要隐蔽单元工程和关键部位单元工程的项目划分需要调整时，承包人应报发包人确认。</w:t>
      </w:r>
    </w:p>
    <w:p w14:paraId="1C4255A8">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13.7.3</w:t>
      </w:r>
      <w:r>
        <w:rPr>
          <w:rFonts w:hint="eastAsia" w:ascii="宋体" w:hAnsi="宋体" w:eastAsia="宋体" w:cs="宋体"/>
          <w:color w:val="auto"/>
          <w:kern w:val="2"/>
          <w:sz w:val="24"/>
          <w:szCs w:val="24"/>
          <w:highlight w:val="none"/>
          <w:lang w:val="zh-CN" w:eastAsia="zh-CN" w:bidi="zh-CN"/>
        </w:rPr>
        <w:t>承包人应在单元（工序）工程质量自评合格后，报监理人核定质量等级并签证认可。</w:t>
      </w:r>
    </w:p>
    <w:p w14:paraId="41C49AD3">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13.7.4</w:t>
      </w:r>
      <w:r>
        <w:rPr>
          <w:rFonts w:hint="eastAsia" w:ascii="宋体" w:hAnsi="宋体" w:eastAsia="宋体" w:cs="宋体"/>
          <w:color w:val="auto"/>
          <w:kern w:val="2"/>
          <w:sz w:val="24"/>
          <w:szCs w:val="24"/>
          <w:highlight w:val="none"/>
          <w:lang w:val="zh-CN" w:eastAsia="zh-CN" w:bidi="zh-CN"/>
        </w:rPr>
        <w:t>除专用合同条款另有约定外，承包人应在重要隐蔽单元工程和关键部位单元工程质量自评合格后以及监理人抽检后，由监理人组织承包人等单位组成的联合小组，共同检查核定其质量等级并填写签证表。发包人按有关规定完成质量结论报工程质量监督机构核备手续。</w:t>
      </w:r>
    </w:p>
    <w:p w14:paraId="00795F60">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13.7.5</w:t>
      </w:r>
      <w:r>
        <w:rPr>
          <w:rFonts w:hint="eastAsia" w:ascii="宋体" w:hAnsi="宋体" w:eastAsia="宋体" w:cs="宋体"/>
          <w:color w:val="auto"/>
          <w:kern w:val="2"/>
          <w:sz w:val="24"/>
          <w:szCs w:val="24"/>
          <w:highlight w:val="none"/>
          <w:lang w:val="zh-CN" w:eastAsia="zh-CN" w:bidi="zh-CN"/>
        </w:rPr>
        <w:t>承包人应在分部工程质量自评合格后，报监理人复核和发包人认定。发包人负责按有关规定完成分部工程质量结论报工程质量监督机构核备（核定）手续。</w:t>
      </w:r>
    </w:p>
    <w:p w14:paraId="53428EFC">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13.7.6</w:t>
      </w:r>
      <w:r>
        <w:rPr>
          <w:rFonts w:hint="eastAsia" w:ascii="宋体" w:hAnsi="宋体" w:eastAsia="宋体" w:cs="宋体"/>
          <w:color w:val="auto"/>
          <w:kern w:val="2"/>
          <w:sz w:val="24"/>
          <w:szCs w:val="24"/>
          <w:highlight w:val="none"/>
          <w:lang w:val="zh-CN" w:eastAsia="zh-CN" w:bidi="zh-CN"/>
        </w:rPr>
        <w:t>承包人应在单位工程质量自评合格后，报监理人复核和发包人认定。发包人负责按有关规定完成单位工程质量结论报工程质量监督机构核定手续。</w:t>
      </w:r>
    </w:p>
    <w:p w14:paraId="2E57523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13.7.7</w:t>
      </w:r>
      <w:r>
        <w:rPr>
          <w:rFonts w:hint="eastAsia" w:ascii="宋体" w:hAnsi="宋体" w:eastAsia="宋体" w:cs="宋体"/>
          <w:color w:val="auto"/>
          <w:kern w:val="2"/>
          <w:sz w:val="24"/>
          <w:szCs w:val="24"/>
          <w:highlight w:val="none"/>
          <w:lang w:val="zh-CN" w:eastAsia="zh-CN" w:bidi="zh-CN"/>
        </w:rPr>
        <w:t>除专用合同条款另有约定外，工程质量等级分为合格和优良，应分别达到约定的标准。</w:t>
      </w:r>
    </w:p>
    <w:p w14:paraId="652C3A22">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13.8质量事故处理</w:t>
      </w:r>
    </w:p>
    <w:p w14:paraId="5CBBAF41">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13.8.1</w:t>
      </w:r>
      <w:r>
        <w:rPr>
          <w:rFonts w:hint="eastAsia" w:ascii="宋体" w:hAnsi="宋体" w:eastAsia="宋体" w:cs="宋体"/>
          <w:color w:val="auto"/>
          <w:kern w:val="2"/>
          <w:sz w:val="24"/>
          <w:szCs w:val="24"/>
          <w:highlight w:val="none"/>
          <w:lang w:val="zh-CN" w:eastAsia="zh-CN" w:bidi="zh-CN"/>
        </w:rPr>
        <w:t>发生质量事故时，承包人应及时向发包人和监理人报告。</w:t>
      </w:r>
    </w:p>
    <w:p w14:paraId="68E6C9F2">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13.8.2</w:t>
      </w:r>
      <w:r>
        <w:rPr>
          <w:rFonts w:hint="eastAsia" w:ascii="宋体" w:hAnsi="宋体" w:eastAsia="宋体" w:cs="宋体"/>
          <w:color w:val="auto"/>
          <w:kern w:val="2"/>
          <w:sz w:val="24"/>
          <w:szCs w:val="24"/>
          <w:highlight w:val="none"/>
          <w:lang w:val="zh-CN" w:eastAsia="zh-CN" w:bidi="zh-CN"/>
        </w:rPr>
        <w:t>质量事故调查处理由发包人按相关规定履行手续，承包人应配合。</w:t>
      </w:r>
    </w:p>
    <w:p w14:paraId="06A88B5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13.8.3</w:t>
      </w:r>
      <w:r>
        <w:rPr>
          <w:rFonts w:hint="eastAsia" w:ascii="宋体" w:hAnsi="宋体" w:eastAsia="宋体" w:cs="宋体"/>
          <w:color w:val="auto"/>
          <w:kern w:val="2"/>
          <w:sz w:val="24"/>
          <w:szCs w:val="24"/>
          <w:highlight w:val="none"/>
          <w:lang w:val="zh-CN" w:eastAsia="zh-CN" w:bidi="zh-CN"/>
        </w:rPr>
        <w:t>承包人应对质量缺陷进行备案。发包人委托监理人对质量缺陷备案情况进行监督检查并履行相关手续。</w:t>
      </w:r>
    </w:p>
    <w:p w14:paraId="51533CF8">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13.8.4</w:t>
      </w:r>
      <w:r>
        <w:rPr>
          <w:rFonts w:hint="eastAsia" w:ascii="宋体" w:hAnsi="宋体" w:eastAsia="宋体" w:cs="宋体"/>
          <w:color w:val="auto"/>
          <w:kern w:val="2"/>
          <w:sz w:val="24"/>
          <w:szCs w:val="24"/>
          <w:highlight w:val="none"/>
          <w:lang w:val="zh-CN" w:eastAsia="zh-CN" w:bidi="zh-CN"/>
        </w:rPr>
        <w:t>除专用合同条款另有约定外，工程竣工验收时，发包人负责向竣工验收委员会汇报并提交历次质量缺陷处理的备案资料。</w:t>
      </w:r>
    </w:p>
    <w:p w14:paraId="27063E14">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21" w:name="_Toc6821"/>
      <w:r>
        <w:rPr>
          <w:rFonts w:hint="eastAsia" w:ascii="宋体" w:hAnsi="宋体" w:eastAsia="宋体" w:cs="宋体"/>
          <w:color w:val="auto"/>
          <w:kern w:val="2"/>
          <w:sz w:val="24"/>
          <w:szCs w:val="24"/>
          <w:highlight w:val="none"/>
          <w:lang w:val="en-US" w:eastAsia="zh-CN" w:bidi="ar-SA"/>
        </w:rPr>
        <w:t>14 .试验和检验</w:t>
      </w:r>
      <w:bookmarkEnd w:id="221"/>
    </w:p>
    <w:p w14:paraId="733D1B58">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14.1材料、工程设备和工程的试验和检验</w:t>
      </w:r>
    </w:p>
    <w:p w14:paraId="7E448375">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14.1.1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3748DA5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14.1.2</w:t>
      </w:r>
      <w:r>
        <w:rPr>
          <w:rFonts w:hint="eastAsia" w:ascii="宋体" w:hAnsi="宋体" w:eastAsia="宋体" w:cs="宋体"/>
          <w:color w:val="auto"/>
          <w:kern w:val="2"/>
          <w:sz w:val="24"/>
          <w:szCs w:val="24"/>
          <w:highlight w:val="none"/>
          <w:lang w:val="zh-CN" w:eastAsia="zh-CN" w:bidi="zh-CN"/>
        </w:rPr>
        <w:t>监理人未按合同约定派员参加试验和检验的，除监理人另有指示外，承包人可自行试验和检验，并应立即将试验和检验结果报送监理人，监理人应签字确认。</w:t>
      </w:r>
    </w:p>
    <w:p w14:paraId="556F942E">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14.1.3</w:t>
      </w:r>
      <w:r>
        <w:rPr>
          <w:rFonts w:hint="eastAsia" w:ascii="宋体" w:hAnsi="宋体" w:eastAsia="宋体" w:cs="宋体"/>
          <w:color w:val="auto"/>
          <w:kern w:val="2"/>
          <w:sz w:val="24"/>
          <w:szCs w:val="24"/>
          <w:highlight w:val="none"/>
          <w:lang w:val="zh-CN" w:eastAsia="zh-CN" w:bidi="zh-CN"/>
        </w:rPr>
        <w:t>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14:paraId="528BBE36">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14.1.4</w:t>
      </w:r>
      <w:r>
        <w:rPr>
          <w:rFonts w:hint="eastAsia" w:ascii="宋体" w:hAnsi="宋体" w:eastAsia="宋体" w:cs="宋体"/>
          <w:color w:val="auto"/>
          <w:kern w:val="2"/>
          <w:sz w:val="24"/>
          <w:szCs w:val="24"/>
          <w:highlight w:val="none"/>
          <w:lang w:val="zh-CN" w:eastAsia="zh-CN" w:bidi="zh-CN"/>
        </w:rPr>
        <w:t>承包人应按相关规定和标准对水泥、钢材等原材料与中间产品质量进行检验, 并报监理人复核。</w:t>
      </w:r>
    </w:p>
    <w:p w14:paraId="7BC64FD7">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14.1.5</w:t>
      </w:r>
      <w:r>
        <w:rPr>
          <w:rFonts w:hint="eastAsia" w:ascii="宋体" w:hAnsi="宋体" w:eastAsia="宋体" w:cs="宋体"/>
          <w:color w:val="auto"/>
          <w:kern w:val="2"/>
          <w:sz w:val="24"/>
          <w:szCs w:val="24"/>
          <w:highlight w:val="none"/>
          <w:lang w:val="zh-CN" w:eastAsia="zh-CN" w:bidi="zh-CN"/>
        </w:rPr>
        <w:t>除专用合同条款另有约定外，水工金属结构、启闭机及机电产品进场后，监理人组织发包人按合同进行交货检查和验收。安装前，承包人应检查产品是否有出厂合格证、设备安装说明书及有关技术文件，对在运输和存放过程中发生的变形、受潮、损坏等问题应作好记录，并进行妥善处理。</w:t>
      </w:r>
    </w:p>
    <w:p w14:paraId="3F0AD435">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14.1.6</w:t>
      </w:r>
      <w:r>
        <w:rPr>
          <w:rFonts w:hint="eastAsia" w:ascii="宋体" w:hAnsi="宋体" w:eastAsia="宋体" w:cs="宋体"/>
          <w:color w:val="auto"/>
          <w:kern w:val="2"/>
          <w:sz w:val="24"/>
          <w:szCs w:val="24"/>
          <w:highlight w:val="none"/>
          <w:lang w:val="zh-CN" w:eastAsia="zh-CN" w:bidi="zh-CN"/>
        </w:rPr>
        <w:t>对专用合同条款约定的试块、试件及有关材料，监理人实行见证取样。见证取样资料由承包人制备，记录应真实齐全，监理人、承包人等参与见证取样人员均应在相关文件上签字。</w:t>
      </w:r>
    </w:p>
    <w:p w14:paraId="5E116380">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14.2现场材料试验</w:t>
      </w:r>
    </w:p>
    <w:p w14:paraId="28477396">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14.2.</w:t>
      </w:r>
      <w:r>
        <w:rPr>
          <w:rFonts w:hint="eastAsia" w:ascii="宋体" w:hAnsi="宋体" w:eastAsia="宋体" w:cs="宋体"/>
          <w:color w:val="auto"/>
          <w:kern w:val="2"/>
          <w:sz w:val="24"/>
          <w:szCs w:val="24"/>
          <w:highlight w:val="none"/>
          <w:lang w:val="zh-CN" w:eastAsia="zh-CN" w:bidi="zh-CN"/>
        </w:rPr>
        <w:t>1承包人根据合同约定或监理人指示进行的现场材料试验，应由承包人提供试 验场所、试验人员、试验设备器材以及其他必要的试验条件。</w:t>
      </w:r>
    </w:p>
    <w:p w14:paraId="21610435">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14.2.</w:t>
      </w:r>
      <w:r>
        <w:rPr>
          <w:rFonts w:hint="eastAsia" w:ascii="宋体" w:hAnsi="宋体" w:eastAsia="宋体" w:cs="宋体"/>
          <w:color w:val="auto"/>
          <w:kern w:val="2"/>
          <w:sz w:val="24"/>
          <w:szCs w:val="24"/>
          <w:highlight w:val="none"/>
          <w:lang w:val="zh-CN" w:eastAsia="zh-CN" w:bidi="zh-CN"/>
        </w:rPr>
        <w:t>2监理人在必要时可以使用承包人的试验场所、试验设备器材以及其他试验条件，进行以工程质量检查为目的的复核性材料试验，承包人应予以协助。</w:t>
      </w:r>
    </w:p>
    <w:p w14:paraId="0425D915">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14.3现场工艺试验</w:t>
      </w:r>
    </w:p>
    <w:p w14:paraId="7225D7CD">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承包人应按合同约定或监理人指示进行现场工艺试验。对大型的现场工艺试验，监理人认为必要时，应由承包人根据监理人提出的工艺试验要求，编制工艺试验措施计划，报送监理人审批。</w:t>
      </w:r>
    </w:p>
    <w:p w14:paraId="24AD9ECE">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22" w:name="_Toc1451"/>
      <w:r>
        <w:rPr>
          <w:rFonts w:hint="eastAsia" w:ascii="宋体" w:hAnsi="宋体" w:eastAsia="宋体" w:cs="宋体"/>
          <w:color w:val="auto"/>
          <w:kern w:val="2"/>
          <w:sz w:val="24"/>
          <w:szCs w:val="24"/>
          <w:highlight w:val="none"/>
          <w:lang w:val="en-US" w:eastAsia="zh-CN" w:bidi="ar-SA"/>
        </w:rPr>
        <w:t>15.变更</w:t>
      </w:r>
      <w:bookmarkEnd w:id="222"/>
    </w:p>
    <w:p w14:paraId="07959E4C">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15.1变更的范围和内容</w:t>
      </w:r>
    </w:p>
    <w:p w14:paraId="550A1FDB">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在履行合同中发生以下情形之一，应按照本条规定进行变更。</w:t>
      </w:r>
    </w:p>
    <w:p w14:paraId="1C07DBBE">
      <w:pPr>
        <w:pageBreakBefore w:val="0"/>
        <w:widowControl w:val="0"/>
        <w:numPr>
          <w:ilvl w:val="0"/>
          <w:numId w:val="12"/>
        </w:numPr>
        <w:tabs>
          <w:tab w:val="left" w:pos="92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取消合同中任何一项工作，但被取消的工作不能转由发包人或其它人实施；</w:t>
      </w:r>
    </w:p>
    <w:p w14:paraId="1DC41C44">
      <w:pPr>
        <w:pageBreakBefore w:val="0"/>
        <w:widowControl w:val="0"/>
        <w:numPr>
          <w:ilvl w:val="0"/>
          <w:numId w:val="12"/>
        </w:numPr>
        <w:tabs>
          <w:tab w:val="left" w:pos="92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改变合同中任何一项工作的质量或其它特性；</w:t>
      </w:r>
    </w:p>
    <w:p w14:paraId="16BE70FA">
      <w:pPr>
        <w:pageBreakBefore w:val="0"/>
        <w:widowControl w:val="0"/>
        <w:numPr>
          <w:ilvl w:val="0"/>
          <w:numId w:val="12"/>
        </w:numPr>
        <w:tabs>
          <w:tab w:val="left" w:pos="92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改变合同工程的基线、标高、位置或尺寸；</w:t>
      </w:r>
    </w:p>
    <w:p w14:paraId="374A0728">
      <w:pPr>
        <w:pageBreakBefore w:val="0"/>
        <w:widowControl w:val="0"/>
        <w:numPr>
          <w:ilvl w:val="0"/>
          <w:numId w:val="12"/>
        </w:numPr>
        <w:tabs>
          <w:tab w:val="left" w:pos="92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改变合同中任何一项工作的施工时间或改变已批准的施工工艺或顺序；</w:t>
      </w:r>
    </w:p>
    <w:p w14:paraId="2519024C">
      <w:pPr>
        <w:pageBreakBefore w:val="0"/>
        <w:widowControl w:val="0"/>
        <w:numPr>
          <w:ilvl w:val="0"/>
          <w:numId w:val="12"/>
        </w:numPr>
        <w:tabs>
          <w:tab w:val="left" w:pos="92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为完成工程需要追加的额外工作；</w:t>
      </w:r>
    </w:p>
    <w:p w14:paraId="3F2A7261">
      <w:pPr>
        <w:pageBreakBefore w:val="0"/>
        <w:widowControl w:val="0"/>
        <w:numPr>
          <w:ilvl w:val="0"/>
          <w:numId w:val="12"/>
        </w:numPr>
        <w:tabs>
          <w:tab w:val="left" w:pos="92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增加或减少专用合同条款中约定的关键项目工程量超过其工程总量的一定数量的百分比。</w:t>
      </w:r>
    </w:p>
    <w:p w14:paraId="2D91502E">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上述第(1)~ (6)目的变更内容引起工程施工组织和进度计划发生实质性变动和影响其原定的价格时，才予调整该项目的单价。第(6)目情形下单价调整方式在专用合同条款中约定。</w:t>
      </w:r>
    </w:p>
    <w:p w14:paraId="0EBF2541">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15.2变更权</w:t>
      </w:r>
    </w:p>
    <w:p w14:paraId="0B9FAB9D">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在履行合同过程中，经发包人书面同意，监理人可按第</w:t>
      </w:r>
      <w:r>
        <w:rPr>
          <w:rFonts w:hint="eastAsia" w:ascii="宋体" w:hAnsi="宋体" w:eastAsia="宋体" w:cs="宋体"/>
          <w:color w:val="auto"/>
          <w:kern w:val="2"/>
          <w:sz w:val="24"/>
          <w:szCs w:val="24"/>
          <w:highlight w:val="none"/>
          <w:lang w:val="en-US" w:eastAsia="zh-CN" w:bidi="en-US"/>
        </w:rPr>
        <w:t xml:space="preserve">15. </w:t>
      </w:r>
      <w:r>
        <w:rPr>
          <w:rFonts w:hint="eastAsia" w:ascii="宋体" w:hAnsi="宋体" w:eastAsia="宋体" w:cs="宋体"/>
          <w:color w:val="auto"/>
          <w:kern w:val="2"/>
          <w:sz w:val="24"/>
          <w:szCs w:val="24"/>
          <w:highlight w:val="none"/>
          <w:lang w:val="zh-CN" w:eastAsia="zh-CN" w:bidi="zh-CN"/>
        </w:rPr>
        <w:t>3款约定的变更程序向承包人作出变更指示，承包人应遵照执行。没有监理人的变更指示，承包人不得擅自变更。</w:t>
      </w:r>
    </w:p>
    <w:p w14:paraId="5D41F7FA">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15.3变更程序</w:t>
      </w:r>
    </w:p>
    <w:p w14:paraId="70C6B0F7">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en-US" w:bidi="en-US"/>
        </w:rPr>
        <w:t>15.3.1</w:t>
      </w:r>
      <w:r>
        <w:rPr>
          <w:rFonts w:hint="eastAsia" w:ascii="宋体" w:hAnsi="宋体" w:eastAsia="宋体" w:cs="宋体"/>
          <w:color w:val="auto"/>
          <w:kern w:val="2"/>
          <w:sz w:val="24"/>
          <w:szCs w:val="24"/>
          <w:highlight w:val="none"/>
          <w:lang w:val="zh-CN" w:eastAsia="zh-CN" w:bidi="zh-CN"/>
        </w:rPr>
        <w:t>变更的提出</w:t>
      </w:r>
    </w:p>
    <w:p w14:paraId="64EBE4AF">
      <w:pPr>
        <w:pageBreakBefore w:val="0"/>
        <w:widowControl w:val="0"/>
        <w:numPr>
          <w:ilvl w:val="0"/>
          <w:numId w:val="13"/>
        </w:numPr>
        <w:tabs>
          <w:tab w:val="left" w:pos="918"/>
          <w:tab w:val="left" w:pos="114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在合同履行过程中，可能发生第</w:t>
      </w:r>
      <w:r>
        <w:rPr>
          <w:rFonts w:hint="eastAsia" w:ascii="宋体" w:hAnsi="宋体" w:eastAsia="宋体" w:cs="宋体"/>
          <w:color w:val="auto"/>
          <w:kern w:val="2"/>
          <w:sz w:val="24"/>
          <w:szCs w:val="24"/>
          <w:highlight w:val="none"/>
          <w:lang w:val="en-US" w:eastAsia="zh-CN" w:bidi="en-US"/>
        </w:rPr>
        <w:t>15.1</w:t>
      </w:r>
      <w:r>
        <w:rPr>
          <w:rFonts w:hint="eastAsia" w:ascii="宋体" w:hAnsi="宋体" w:eastAsia="宋体" w:cs="宋体"/>
          <w:color w:val="auto"/>
          <w:kern w:val="2"/>
          <w:sz w:val="24"/>
          <w:szCs w:val="24"/>
          <w:highlight w:val="none"/>
          <w:lang w:val="zh-CN" w:eastAsia="zh-CN" w:bidi="zh-CN"/>
        </w:rPr>
        <w:t>款约定情形的，监理人可向承包人发出变更意向书。变更意向书应说明变更的具体内容和发包人对变更的时间要求，并附必要的图纸和相关资料。变更意向书应要求承包人提交包括拟实施变更工作的计划、措施和竣工时间等内容的实施方案。发包人书面同意承包人根据变更意向书要求提交的变更实施方案的，由监理人按第</w:t>
      </w:r>
      <w:r>
        <w:rPr>
          <w:rFonts w:hint="eastAsia" w:ascii="宋体" w:hAnsi="宋体" w:eastAsia="宋体" w:cs="宋体"/>
          <w:color w:val="auto"/>
          <w:kern w:val="2"/>
          <w:sz w:val="24"/>
          <w:szCs w:val="24"/>
          <w:highlight w:val="none"/>
          <w:lang w:val="en-US" w:eastAsia="zh-CN" w:bidi="en-US"/>
        </w:rPr>
        <w:t xml:space="preserve">15. </w:t>
      </w:r>
      <w:r>
        <w:rPr>
          <w:rFonts w:hint="eastAsia" w:ascii="宋体" w:hAnsi="宋体" w:eastAsia="宋体" w:cs="宋体"/>
          <w:color w:val="auto"/>
          <w:kern w:val="2"/>
          <w:sz w:val="24"/>
          <w:szCs w:val="24"/>
          <w:highlight w:val="none"/>
          <w:lang w:val="en-US" w:eastAsia="en-US" w:bidi="en-US"/>
        </w:rPr>
        <w:t xml:space="preserve">3. </w:t>
      </w:r>
      <w:r>
        <w:rPr>
          <w:rFonts w:hint="eastAsia" w:ascii="宋体" w:hAnsi="宋体" w:eastAsia="宋体" w:cs="宋体"/>
          <w:color w:val="auto"/>
          <w:kern w:val="2"/>
          <w:sz w:val="24"/>
          <w:szCs w:val="24"/>
          <w:highlight w:val="none"/>
          <w:lang w:val="zh-CN" w:eastAsia="zh-CN" w:bidi="zh-CN"/>
        </w:rPr>
        <w:t>3项约定发出变更指示。</w:t>
      </w:r>
    </w:p>
    <w:p w14:paraId="5CC4007D">
      <w:pPr>
        <w:pageBreakBefore w:val="0"/>
        <w:widowControl w:val="0"/>
        <w:numPr>
          <w:ilvl w:val="0"/>
          <w:numId w:val="13"/>
        </w:numPr>
        <w:tabs>
          <w:tab w:val="left" w:pos="901"/>
          <w:tab w:val="left" w:pos="114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在合同履行过程中，发生第</w:t>
      </w:r>
      <w:r>
        <w:rPr>
          <w:rFonts w:hint="eastAsia" w:ascii="宋体" w:hAnsi="宋体" w:eastAsia="宋体" w:cs="宋体"/>
          <w:color w:val="auto"/>
          <w:kern w:val="2"/>
          <w:sz w:val="24"/>
          <w:szCs w:val="24"/>
          <w:highlight w:val="none"/>
          <w:lang w:val="en-US" w:eastAsia="zh-CN" w:bidi="en-US"/>
        </w:rPr>
        <w:t xml:space="preserve">15. </w:t>
      </w:r>
      <w:r>
        <w:rPr>
          <w:rFonts w:hint="eastAsia" w:ascii="宋体" w:hAnsi="宋体" w:eastAsia="宋体" w:cs="宋体"/>
          <w:color w:val="auto"/>
          <w:kern w:val="2"/>
          <w:sz w:val="24"/>
          <w:szCs w:val="24"/>
          <w:highlight w:val="none"/>
          <w:lang w:val="zh-CN" w:eastAsia="zh-CN" w:bidi="zh-CN"/>
        </w:rPr>
        <w:t>1款约定情形的，监理人应按照第</w:t>
      </w:r>
      <w:r>
        <w:rPr>
          <w:rFonts w:hint="eastAsia" w:ascii="宋体" w:hAnsi="宋体" w:eastAsia="宋体" w:cs="宋体"/>
          <w:color w:val="auto"/>
          <w:kern w:val="2"/>
          <w:sz w:val="24"/>
          <w:szCs w:val="24"/>
          <w:highlight w:val="none"/>
          <w:lang w:val="en-US" w:eastAsia="zh-CN" w:bidi="en-US"/>
        </w:rPr>
        <w:t xml:space="preserve">15. 3. </w:t>
      </w:r>
      <w:r>
        <w:rPr>
          <w:rFonts w:hint="eastAsia" w:ascii="宋体" w:hAnsi="宋体" w:eastAsia="宋体" w:cs="宋体"/>
          <w:color w:val="auto"/>
          <w:kern w:val="2"/>
          <w:sz w:val="24"/>
          <w:szCs w:val="24"/>
          <w:highlight w:val="none"/>
          <w:lang w:val="zh-CN" w:eastAsia="zh-CN" w:bidi="zh-CN"/>
        </w:rPr>
        <w:t>3项约定向承包人发出变更指示。</w:t>
      </w:r>
    </w:p>
    <w:p w14:paraId="33AEC7CB">
      <w:pPr>
        <w:pageBreakBefore w:val="0"/>
        <w:widowControl w:val="0"/>
        <w:numPr>
          <w:ilvl w:val="0"/>
          <w:numId w:val="13"/>
        </w:numPr>
        <w:tabs>
          <w:tab w:val="left" w:pos="922"/>
          <w:tab w:val="left" w:pos="114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承包人收到监理人按合同约定发出的图纸和文件，经检查认为其中存在第</w:t>
      </w:r>
      <w:r>
        <w:rPr>
          <w:rFonts w:hint="eastAsia" w:ascii="宋体" w:hAnsi="宋体" w:eastAsia="宋体" w:cs="宋体"/>
          <w:color w:val="auto"/>
          <w:kern w:val="2"/>
          <w:sz w:val="24"/>
          <w:szCs w:val="24"/>
          <w:highlight w:val="none"/>
          <w:lang w:val="en-US" w:eastAsia="zh-CN" w:bidi="en-US"/>
        </w:rPr>
        <w:t xml:space="preserve">15. </w:t>
      </w:r>
      <w:r>
        <w:rPr>
          <w:rFonts w:hint="eastAsia" w:ascii="宋体" w:hAnsi="宋体" w:eastAsia="宋体" w:cs="宋体"/>
          <w:color w:val="auto"/>
          <w:kern w:val="2"/>
          <w:sz w:val="24"/>
          <w:szCs w:val="24"/>
          <w:highlight w:val="none"/>
          <w:lang w:val="zh-CN" w:eastAsia="zh-CN" w:bidi="zh-CN"/>
        </w:rPr>
        <w:t>1款 约定情形的，可向监理人提出书面变更建议。变更建议应阐明要求变更的依据，并附必要的图纸和说明。监理人收到承包人书面建议后，应与发包人共同研究，确认存在变更的，应在收到承包人书面建议后的14天内作出变更指示。经研究后不同意作为变更的，应由监理人书面答复承包人。</w:t>
      </w:r>
    </w:p>
    <w:p w14:paraId="38585903">
      <w:pPr>
        <w:pageBreakBefore w:val="0"/>
        <w:widowControl w:val="0"/>
        <w:numPr>
          <w:ilvl w:val="0"/>
          <w:numId w:val="13"/>
        </w:numPr>
        <w:tabs>
          <w:tab w:val="left" w:pos="922"/>
          <w:tab w:val="left" w:pos="114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若承包人收到监理人的变更意向书后认为难以实施此项变更，应立即通知监理人, 说明原因并附详细依据。监理人与承包人和发包人协商后确定撤销、改变或不改变原变更 意向书。</w:t>
      </w:r>
    </w:p>
    <w:p w14:paraId="0411DC83">
      <w:pPr>
        <w:pageBreakBefore w:val="0"/>
        <w:widowControl w:val="0"/>
        <w:kinsoku/>
        <w:wordWrap/>
        <w:overflowPunct/>
        <w:topLinePunct w:val="0"/>
        <w:bidi w:val="0"/>
        <w:spacing w:after="0" w:line="360" w:lineRule="auto"/>
        <w:ind w:left="0" w:leftChars="0"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15.3.2</w:t>
      </w:r>
      <w:r>
        <w:rPr>
          <w:rFonts w:hint="eastAsia" w:ascii="宋体" w:hAnsi="宋体" w:eastAsia="宋体" w:cs="宋体"/>
          <w:color w:val="auto"/>
          <w:kern w:val="0"/>
          <w:sz w:val="24"/>
          <w:szCs w:val="24"/>
          <w:highlight w:val="none"/>
          <w:lang w:val="zh-CN" w:eastAsia="zh-CN" w:bidi="zh-CN"/>
        </w:rPr>
        <w:t>变更估价</w:t>
      </w:r>
    </w:p>
    <w:p w14:paraId="7506DB8A">
      <w:pPr>
        <w:pageBreakBefore w:val="0"/>
        <w:widowControl w:val="0"/>
        <w:numPr>
          <w:ilvl w:val="0"/>
          <w:numId w:val="14"/>
        </w:numPr>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除专用合同条款对期限另有约定外，承包人应在收到变更指示或变更意向书后的14天内，向监理人提交变更报价书，报价内容应根据第</w:t>
      </w:r>
      <w:r>
        <w:rPr>
          <w:rFonts w:hint="eastAsia" w:ascii="宋体" w:hAnsi="宋体" w:eastAsia="宋体" w:cs="宋体"/>
          <w:color w:val="auto"/>
          <w:kern w:val="2"/>
          <w:sz w:val="24"/>
          <w:szCs w:val="24"/>
          <w:highlight w:val="none"/>
          <w:lang w:val="en-US" w:eastAsia="zh-CN" w:bidi="en-US"/>
        </w:rPr>
        <w:t xml:space="preserve">15. </w:t>
      </w:r>
      <w:r>
        <w:rPr>
          <w:rFonts w:hint="eastAsia" w:ascii="宋体" w:hAnsi="宋体" w:eastAsia="宋体" w:cs="宋体"/>
          <w:color w:val="auto"/>
          <w:kern w:val="2"/>
          <w:sz w:val="24"/>
          <w:szCs w:val="24"/>
          <w:highlight w:val="none"/>
          <w:lang w:val="zh-CN" w:eastAsia="zh-CN" w:bidi="zh-CN"/>
        </w:rPr>
        <w:t>4款约定的估价原则，详细开列变更工作的价格组成及其依据，并附必要的施工方法说明和有关图纸。</w:t>
      </w:r>
    </w:p>
    <w:p w14:paraId="70804FB6">
      <w:pPr>
        <w:pageBreakBefore w:val="0"/>
        <w:widowControl w:val="0"/>
        <w:numPr>
          <w:ilvl w:val="0"/>
          <w:numId w:val="14"/>
        </w:numPr>
        <w:tabs>
          <w:tab w:val="left" w:pos="915"/>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变更工作影响工期的，承包人应提出调整工期的具体细节。监理人认为有必要时,可要求承包人提交要求提前或延长工期的施工进度计划及相应施工措施等详细资料。</w:t>
      </w:r>
    </w:p>
    <w:p w14:paraId="4382604C">
      <w:pPr>
        <w:pageBreakBefore w:val="0"/>
        <w:widowControl w:val="0"/>
        <w:numPr>
          <w:ilvl w:val="0"/>
          <w:numId w:val="14"/>
        </w:numPr>
        <w:tabs>
          <w:tab w:val="left" w:pos="92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除专用合同条款对期限另有约定外，监理人收到承包人变更报价书后的14天内，根据第</w:t>
      </w:r>
      <w:r>
        <w:rPr>
          <w:rFonts w:hint="eastAsia" w:ascii="宋体" w:hAnsi="宋体" w:eastAsia="宋体" w:cs="宋体"/>
          <w:color w:val="auto"/>
          <w:kern w:val="2"/>
          <w:sz w:val="24"/>
          <w:szCs w:val="24"/>
          <w:highlight w:val="none"/>
          <w:lang w:val="en-US" w:eastAsia="zh-CN" w:bidi="en-US"/>
        </w:rPr>
        <w:t xml:space="preserve">15. </w:t>
      </w:r>
      <w:r>
        <w:rPr>
          <w:rFonts w:hint="eastAsia" w:ascii="宋体" w:hAnsi="宋体" w:eastAsia="宋体" w:cs="宋体"/>
          <w:color w:val="auto"/>
          <w:kern w:val="2"/>
          <w:sz w:val="24"/>
          <w:szCs w:val="24"/>
          <w:highlight w:val="none"/>
          <w:lang w:val="zh-CN" w:eastAsia="zh-CN" w:bidi="zh-CN"/>
        </w:rPr>
        <w:t>4款约定的估价原则，按照第</w:t>
      </w:r>
      <w:r>
        <w:rPr>
          <w:rFonts w:hint="eastAsia" w:ascii="宋体" w:hAnsi="宋体" w:eastAsia="宋体" w:cs="宋体"/>
          <w:color w:val="auto"/>
          <w:kern w:val="2"/>
          <w:sz w:val="24"/>
          <w:szCs w:val="24"/>
          <w:highlight w:val="none"/>
          <w:lang w:val="en-US" w:eastAsia="zh-CN" w:bidi="en-US"/>
        </w:rPr>
        <w:t xml:space="preserve">3. </w:t>
      </w:r>
      <w:r>
        <w:rPr>
          <w:rFonts w:hint="eastAsia" w:ascii="宋体" w:hAnsi="宋体" w:eastAsia="宋体" w:cs="宋体"/>
          <w:color w:val="auto"/>
          <w:kern w:val="2"/>
          <w:sz w:val="24"/>
          <w:szCs w:val="24"/>
          <w:highlight w:val="none"/>
          <w:lang w:val="zh-CN" w:eastAsia="zh-CN" w:bidi="zh-CN"/>
        </w:rPr>
        <w:t>5款商定或确定变更价格。</w:t>
      </w:r>
    </w:p>
    <w:p w14:paraId="7DC1C765">
      <w:pPr>
        <w:pageBreakBefore w:val="0"/>
        <w:widowControl w:val="0"/>
        <w:kinsoku/>
        <w:wordWrap/>
        <w:overflowPunct/>
        <w:topLinePunct w:val="0"/>
        <w:bidi w:val="0"/>
        <w:spacing w:after="0" w:line="360" w:lineRule="auto"/>
        <w:ind w:left="0" w:leftChars="0"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15.3.3</w:t>
      </w:r>
      <w:r>
        <w:rPr>
          <w:rFonts w:hint="eastAsia" w:ascii="宋体" w:hAnsi="宋体" w:eastAsia="宋体" w:cs="宋体"/>
          <w:color w:val="auto"/>
          <w:kern w:val="0"/>
          <w:sz w:val="24"/>
          <w:szCs w:val="24"/>
          <w:highlight w:val="none"/>
          <w:lang w:val="zh-CN" w:eastAsia="zh-CN" w:bidi="zh-CN"/>
        </w:rPr>
        <w:t>变更指示</w:t>
      </w:r>
    </w:p>
    <w:p w14:paraId="1A64660A">
      <w:pPr>
        <w:pageBreakBefore w:val="0"/>
        <w:widowControl w:val="0"/>
        <w:numPr>
          <w:ilvl w:val="0"/>
          <w:numId w:val="15"/>
        </w:numPr>
        <w:tabs>
          <w:tab w:val="left" w:pos="92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变更指示只能由监理人发出。</w:t>
      </w:r>
    </w:p>
    <w:p w14:paraId="525F1620">
      <w:pPr>
        <w:pageBreakBefore w:val="0"/>
        <w:widowControl w:val="0"/>
        <w:numPr>
          <w:ilvl w:val="0"/>
          <w:numId w:val="15"/>
        </w:numPr>
        <w:tabs>
          <w:tab w:val="left" w:pos="922"/>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变更指示应说明变更的目的、范围、变更内容以及变更的工程量及其进度和技术要求，并附有关图纸和文件。承包人收到变更指示后，应按变更指示进行变更工作。</w:t>
      </w:r>
    </w:p>
    <w:p w14:paraId="06F47F9D">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15.4变更的估价原则</w:t>
      </w:r>
    </w:p>
    <w:p w14:paraId="0FCD1C05">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除专用合同条款另有约定外，因变更引起的价格调整按照本款约定处理。</w:t>
      </w:r>
    </w:p>
    <w:p w14:paraId="29926A8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15.4.1</w:t>
      </w:r>
      <w:r>
        <w:rPr>
          <w:rFonts w:hint="eastAsia" w:ascii="宋体" w:hAnsi="宋体" w:eastAsia="宋体" w:cs="宋体"/>
          <w:color w:val="auto"/>
          <w:kern w:val="2"/>
          <w:sz w:val="24"/>
          <w:szCs w:val="24"/>
          <w:highlight w:val="none"/>
          <w:lang w:val="zh-CN" w:eastAsia="zh-CN" w:bidi="zh-CN"/>
        </w:rPr>
        <w:t>已标价工程量清单中有适用于变更工作的子目的，采用该子目的单价。</w:t>
      </w:r>
    </w:p>
    <w:p w14:paraId="1AAB58CF">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15.4.2</w:t>
      </w:r>
      <w:r>
        <w:rPr>
          <w:rFonts w:hint="eastAsia" w:ascii="宋体" w:hAnsi="宋体" w:eastAsia="宋体" w:cs="宋体"/>
          <w:color w:val="auto"/>
          <w:kern w:val="2"/>
          <w:sz w:val="24"/>
          <w:szCs w:val="24"/>
          <w:highlight w:val="none"/>
          <w:lang w:val="zh-CN" w:eastAsia="zh-CN" w:bidi="zh-CN"/>
        </w:rPr>
        <w:t>已标价工程量清单中无适用于变更工作的子目，但有类似子目的，可在合理范围内参照类似子目的单价，由监理人按第</w:t>
      </w:r>
      <w:r>
        <w:rPr>
          <w:rFonts w:hint="eastAsia" w:ascii="宋体" w:hAnsi="宋体" w:eastAsia="宋体" w:cs="宋体"/>
          <w:color w:val="auto"/>
          <w:kern w:val="2"/>
          <w:sz w:val="24"/>
          <w:szCs w:val="24"/>
          <w:highlight w:val="none"/>
          <w:lang w:val="en-US" w:eastAsia="zh-CN" w:bidi="en-US"/>
        </w:rPr>
        <w:t xml:space="preserve">3. </w:t>
      </w:r>
      <w:r>
        <w:rPr>
          <w:rFonts w:hint="eastAsia" w:ascii="宋体" w:hAnsi="宋体" w:eastAsia="宋体" w:cs="宋体"/>
          <w:color w:val="auto"/>
          <w:kern w:val="2"/>
          <w:sz w:val="24"/>
          <w:szCs w:val="24"/>
          <w:highlight w:val="none"/>
          <w:lang w:val="zh-CN" w:eastAsia="zh-CN" w:bidi="zh-CN"/>
        </w:rPr>
        <w:t>5款商定或确定变更工作的单价。</w:t>
      </w:r>
    </w:p>
    <w:p w14:paraId="38AF6AA8">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15.4.3</w:t>
      </w:r>
      <w:r>
        <w:rPr>
          <w:rFonts w:hint="eastAsia" w:ascii="宋体" w:hAnsi="宋体" w:eastAsia="宋体" w:cs="宋体"/>
          <w:color w:val="auto"/>
          <w:kern w:val="2"/>
          <w:sz w:val="24"/>
          <w:szCs w:val="24"/>
          <w:highlight w:val="none"/>
          <w:lang w:val="zh-CN" w:eastAsia="zh-CN" w:bidi="zh-CN"/>
        </w:rPr>
        <w:t>已标价工程量清单中无适用或类似子目的单价，可按照成本加利润的原则，由监理人按第</w:t>
      </w:r>
      <w:r>
        <w:rPr>
          <w:rFonts w:hint="eastAsia" w:ascii="宋体" w:hAnsi="宋体" w:eastAsia="宋体" w:cs="宋体"/>
          <w:color w:val="auto"/>
          <w:kern w:val="2"/>
          <w:sz w:val="24"/>
          <w:szCs w:val="24"/>
          <w:highlight w:val="none"/>
          <w:lang w:val="en-US" w:eastAsia="zh-CN" w:bidi="en-US"/>
        </w:rPr>
        <w:t>3.</w:t>
      </w:r>
      <w:r>
        <w:rPr>
          <w:rFonts w:hint="eastAsia" w:ascii="宋体" w:hAnsi="宋体" w:eastAsia="宋体" w:cs="宋体"/>
          <w:color w:val="auto"/>
          <w:kern w:val="2"/>
          <w:sz w:val="24"/>
          <w:szCs w:val="24"/>
          <w:highlight w:val="none"/>
          <w:lang w:val="zh-CN" w:eastAsia="zh-CN" w:bidi="zh-CN"/>
        </w:rPr>
        <w:t>5款商定或确定变更工作的单价。</w:t>
      </w:r>
    </w:p>
    <w:p w14:paraId="061DA20B">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15.5承包人的合理化建议</w:t>
      </w:r>
    </w:p>
    <w:p w14:paraId="4F25AD6B">
      <w:pPr>
        <w:pageBreakBefore w:val="0"/>
        <w:widowControl w:val="0"/>
        <w:tabs>
          <w:tab w:val="left" w:pos="854"/>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 xml:space="preserve">15.5. </w:t>
      </w:r>
      <w:r>
        <w:rPr>
          <w:rFonts w:hint="eastAsia" w:ascii="宋体" w:hAnsi="宋体" w:eastAsia="宋体" w:cs="宋体"/>
          <w:color w:val="auto"/>
          <w:kern w:val="2"/>
          <w:sz w:val="24"/>
          <w:szCs w:val="24"/>
          <w:highlight w:val="none"/>
          <w:lang w:val="zh-CN" w:eastAsia="zh-CN" w:bidi="zh-CN"/>
        </w:rPr>
        <w:t>1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w:t>
      </w:r>
      <w:r>
        <w:rPr>
          <w:rFonts w:hint="eastAsia" w:ascii="宋体" w:hAnsi="宋体" w:eastAsia="宋体" w:cs="宋体"/>
          <w:color w:val="auto"/>
          <w:kern w:val="2"/>
          <w:sz w:val="24"/>
          <w:szCs w:val="24"/>
          <w:highlight w:val="none"/>
          <w:lang w:val="en-US" w:eastAsia="zh-CN" w:bidi="en-US"/>
        </w:rPr>
        <w:t xml:space="preserve">15. 3. </w:t>
      </w:r>
      <w:r>
        <w:rPr>
          <w:rFonts w:hint="eastAsia" w:ascii="宋体" w:hAnsi="宋体" w:eastAsia="宋体" w:cs="宋体"/>
          <w:color w:val="auto"/>
          <w:kern w:val="2"/>
          <w:sz w:val="24"/>
          <w:szCs w:val="24"/>
          <w:highlight w:val="none"/>
          <w:lang w:val="zh-CN" w:eastAsia="zh-CN" w:bidi="zh-CN"/>
        </w:rPr>
        <w:t>3项约定向承包人发出变更指示。</w:t>
      </w:r>
    </w:p>
    <w:p w14:paraId="117E02F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15.5.2</w:t>
      </w:r>
      <w:r>
        <w:rPr>
          <w:rFonts w:hint="eastAsia" w:ascii="宋体" w:hAnsi="宋体" w:eastAsia="宋体" w:cs="宋体"/>
          <w:color w:val="auto"/>
          <w:kern w:val="2"/>
          <w:sz w:val="24"/>
          <w:szCs w:val="24"/>
          <w:highlight w:val="none"/>
          <w:lang w:val="zh-CN" w:eastAsia="zh-CN" w:bidi="zh-CN"/>
        </w:rPr>
        <w:t>承包人提出的合理化建议降低了合同价格、缩短了工期或者提高了工程经济效益的，发包人可按国家有关规定在专用合同条款中约定给予奖励。</w:t>
      </w:r>
    </w:p>
    <w:p w14:paraId="50A3EC20">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15.6暂列金额</w:t>
      </w:r>
    </w:p>
    <w:p w14:paraId="5953FD9B">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暂列金额只能按照监理人的指示使用，并对合同价格进行相应调整。</w:t>
      </w:r>
    </w:p>
    <w:p w14:paraId="488AEB68">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23" w:name="_Toc26568"/>
      <w:r>
        <w:rPr>
          <w:rFonts w:hint="eastAsia" w:ascii="宋体" w:hAnsi="宋体" w:eastAsia="宋体" w:cs="宋体"/>
          <w:color w:val="auto"/>
          <w:kern w:val="2"/>
          <w:sz w:val="24"/>
          <w:szCs w:val="24"/>
          <w:highlight w:val="none"/>
          <w:lang w:val="en-US" w:eastAsia="zh-CN" w:bidi="ar-SA"/>
        </w:rPr>
        <w:t>15.7计日工</w:t>
      </w:r>
      <w:bookmarkEnd w:id="223"/>
    </w:p>
    <w:p w14:paraId="7C7441D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zh-CN"/>
        </w:rPr>
        <w:t>15.7.1</w:t>
      </w:r>
      <w:r>
        <w:rPr>
          <w:rFonts w:hint="eastAsia" w:ascii="宋体" w:hAnsi="宋体" w:eastAsia="宋体" w:cs="宋体"/>
          <w:color w:val="auto"/>
          <w:kern w:val="2"/>
          <w:sz w:val="24"/>
          <w:szCs w:val="24"/>
          <w:highlight w:val="none"/>
          <w:lang w:val="zh-CN" w:eastAsia="zh-CN" w:bidi="zh-CN"/>
        </w:rPr>
        <w:t>发包人认为有必要时，由监理人通知承包人以计日工方式实施变更的零星工作。其价款按列入已标价工程量清单中的计日工计价子目及其单价进行计算。</w:t>
      </w:r>
    </w:p>
    <w:p w14:paraId="452AE461">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15.7.2</w:t>
      </w:r>
      <w:r>
        <w:rPr>
          <w:rFonts w:hint="eastAsia" w:ascii="宋体" w:hAnsi="宋体" w:eastAsia="宋体" w:cs="宋体"/>
          <w:color w:val="auto"/>
          <w:kern w:val="2"/>
          <w:sz w:val="24"/>
          <w:szCs w:val="24"/>
          <w:highlight w:val="none"/>
          <w:lang w:val="zh-CN" w:eastAsia="zh-CN" w:bidi="zh-CN"/>
        </w:rPr>
        <w:t>采用计日工计价的任何一项变更工作，应从暂列金额中支付，承包人应在该项变更的实施过程中，每天提交以下报表和有关凭证报送监理人审批：</w:t>
      </w:r>
    </w:p>
    <w:p w14:paraId="31FA0C54">
      <w:pPr>
        <w:pageBreakBefore w:val="0"/>
        <w:widowControl w:val="0"/>
        <w:numPr>
          <w:ilvl w:val="0"/>
          <w:numId w:val="16"/>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工作名称、内容和数量；</w:t>
      </w:r>
    </w:p>
    <w:p w14:paraId="2F978EB5">
      <w:pPr>
        <w:pageBreakBefore w:val="0"/>
        <w:widowControl w:val="0"/>
        <w:numPr>
          <w:ilvl w:val="0"/>
          <w:numId w:val="16"/>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投入该工作所有人员的姓名、工种、级别和耗用工时；</w:t>
      </w:r>
    </w:p>
    <w:p w14:paraId="5EDFA945">
      <w:pPr>
        <w:pageBreakBefore w:val="0"/>
        <w:widowControl w:val="0"/>
        <w:numPr>
          <w:ilvl w:val="0"/>
          <w:numId w:val="16"/>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投入该工作的材料类别和数量；</w:t>
      </w:r>
    </w:p>
    <w:p w14:paraId="12205022">
      <w:pPr>
        <w:pageBreakBefore w:val="0"/>
        <w:widowControl w:val="0"/>
        <w:numPr>
          <w:ilvl w:val="0"/>
          <w:numId w:val="16"/>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投入该工作的施工设备型号、台数和耗用台时；</w:t>
      </w:r>
    </w:p>
    <w:p w14:paraId="00A2ADA7">
      <w:pPr>
        <w:pageBreakBefore w:val="0"/>
        <w:widowControl w:val="0"/>
        <w:numPr>
          <w:ilvl w:val="0"/>
          <w:numId w:val="16"/>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监理人要求提交的其他资料和凭证。</w:t>
      </w:r>
    </w:p>
    <w:p w14:paraId="310B3CF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15.7.3</w:t>
      </w:r>
      <w:r>
        <w:rPr>
          <w:rFonts w:hint="eastAsia" w:ascii="宋体" w:hAnsi="宋体" w:eastAsia="宋体" w:cs="宋体"/>
          <w:color w:val="auto"/>
          <w:kern w:val="2"/>
          <w:sz w:val="24"/>
          <w:szCs w:val="24"/>
          <w:highlight w:val="none"/>
          <w:lang w:val="zh-CN" w:eastAsia="zh-CN" w:bidi="zh-CN"/>
        </w:rPr>
        <w:t>计日工由承包人汇总后，按第</w:t>
      </w:r>
      <w:r>
        <w:rPr>
          <w:rFonts w:hint="eastAsia" w:ascii="宋体" w:hAnsi="宋体" w:eastAsia="宋体" w:cs="宋体"/>
          <w:color w:val="auto"/>
          <w:kern w:val="2"/>
          <w:sz w:val="24"/>
          <w:szCs w:val="24"/>
          <w:highlight w:val="none"/>
          <w:lang w:val="en-US" w:eastAsia="zh-CN" w:bidi="en-US"/>
        </w:rPr>
        <w:t>17.3.2</w:t>
      </w:r>
      <w:r>
        <w:rPr>
          <w:rFonts w:hint="eastAsia" w:ascii="宋体" w:hAnsi="宋体" w:eastAsia="宋体" w:cs="宋体"/>
          <w:color w:val="auto"/>
          <w:kern w:val="2"/>
          <w:sz w:val="24"/>
          <w:szCs w:val="24"/>
          <w:highlight w:val="none"/>
          <w:lang w:val="zh-CN" w:eastAsia="zh-CN" w:bidi="zh-CN"/>
        </w:rPr>
        <w:t>项的约定列入进度付款申请单，由监理人复核并经发包人书面同意后列入进度付款。</w:t>
      </w:r>
    </w:p>
    <w:p w14:paraId="18850A62">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15.8暂估价</w:t>
      </w:r>
    </w:p>
    <w:p w14:paraId="3400CCA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15.8.1发包人在工程量清单中给定暂估价的材料、工程设备和专业工程属于依法必须招标的范围并达到规定的规模标准的，若承包人不具备承担暂估价项目的能力或具备承担暂估价项目的能力但明确不参与投标的，由发包人和承包人组织招标；若承包人具备承担暂估价项目的能力且明确参与投标的，由发包人组织招标。暂估价项目中标金额与工程 量清单中所列金额差以及相应的税金等其他费用列入合同价格。必须招标的暂估价项目招标组织形式、发包人和承包人组织招标时双方的权利义务关系在专用合同条款中约定。</w:t>
      </w:r>
    </w:p>
    <w:p w14:paraId="000552C7">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15.8.2发包人在工程量清单中给定暂估价的材料和工程设备不属于依法必须招标的范围或未达到规定的规模标准的，应由承包人按第5.1款的约定提供。经监理人确认的材料、工程设备的价格与工程量清单中所列的暂估价的金额差以及相应的税金等其他费用列入合同价格。</w:t>
      </w:r>
    </w:p>
    <w:p w14:paraId="17DB853C">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15.8.3发包人在工程量清单中给定暂估价的专业工程不属于依法必须招标的范围或未达到规定的规模标准的，由监理人按照第15.4款进行估价，但专用合同条款另有约定的除外。经估价的专业工程与工程量清单中所列的暂估价的金额差以及相应的税金等其他费用列入合同价格。</w:t>
      </w:r>
    </w:p>
    <w:p w14:paraId="3C9863B4">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24" w:name="_Toc6100"/>
      <w:r>
        <w:rPr>
          <w:rFonts w:hint="eastAsia" w:ascii="宋体" w:hAnsi="宋体" w:eastAsia="宋体" w:cs="宋体"/>
          <w:color w:val="auto"/>
          <w:kern w:val="2"/>
          <w:sz w:val="24"/>
          <w:szCs w:val="24"/>
          <w:highlight w:val="none"/>
          <w:lang w:val="en-US" w:eastAsia="zh-CN" w:bidi="ar-SA"/>
        </w:rPr>
        <w:t>16 .价格调整</w:t>
      </w:r>
      <w:bookmarkEnd w:id="224"/>
    </w:p>
    <w:p w14:paraId="3E6AE044">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16.1物价波动引起的价格调整</w:t>
      </w:r>
    </w:p>
    <w:p w14:paraId="47245F53">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由于物价波动原因引起合同价格需要调整的，其价格调整方式在专用合同条款中约定；除专用合同条款另有约定外，因物价波动引起的价格调整按照本款约定处理。</w:t>
      </w:r>
    </w:p>
    <w:p w14:paraId="06EEAD09">
      <w:pPr>
        <w:pageBreakBefore w:val="0"/>
        <w:widowControl w:val="0"/>
        <w:tabs>
          <w:tab w:val="left" w:pos="839"/>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 xml:space="preserve">16.1. </w:t>
      </w:r>
      <w:r>
        <w:rPr>
          <w:rFonts w:hint="eastAsia" w:ascii="宋体" w:hAnsi="宋体" w:eastAsia="宋体" w:cs="宋体"/>
          <w:color w:val="auto"/>
          <w:kern w:val="2"/>
          <w:sz w:val="24"/>
          <w:szCs w:val="24"/>
          <w:highlight w:val="none"/>
          <w:lang w:val="zh-CN" w:eastAsia="zh-CN" w:bidi="zh-CN"/>
        </w:rPr>
        <w:t>1采用价格指数调整价格差额</w:t>
      </w:r>
    </w:p>
    <w:p w14:paraId="52093423">
      <w:pPr>
        <w:pageBreakBefore w:val="0"/>
        <w:widowControl w:val="0"/>
        <w:tabs>
          <w:tab w:val="left" w:pos="839"/>
        </w:tabs>
        <w:kinsoku/>
        <w:wordWrap/>
        <w:overflowPunct/>
        <w:topLinePunct w:val="0"/>
        <w:bidi w:val="0"/>
        <w:spacing w:after="0" w:line="360" w:lineRule="auto"/>
        <w:ind w:left="0" w:leftChars="0"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16. 1. 1. </w:t>
      </w:r>
      <w:r>
        <w:rPr>
          <w:rFonts w:hint="eastAsia" w:ascii="宋体" w:hAnsi="宋体" w:eastAsia="宋体" w:cs="宋体"/>
          <w:color w:val="auto"/>
          <w:kern w:val="0"/>
          <w:sz w:val="24"/>
          <w:szCs w:val="24"/>
          <w:highlight w:val="none"/>
          <w:lang w:val="zh-CN" w:eastAsia="zh-CN" w:bidi="zh-CN"/>
        </w:rPr>
        <w:t>1价格调整公式</w:t>
      </w:r>
    </w:p>
    <w:p w14:paraId="5909994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因人工、材料和设备等价格波动影响合同价格时，根据投标函附录中的价格指数和权重表约定的数据，按以下公式计算差额并调整合同价格。</w:t>
      </w:r>
    </w:p>
    <w:p w14:paraId="28113AE3">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zh-CN"/>
        </w:rPr>
      </w:pPr>
      <w:r>
        <w:rPr>
          <w:rFonts w:hint="eastAsia" w:ascii="宋体" w:hAnsi="宋体" w:eastAsia="宋体" w:cs="宋体"/>
          <w:color w:val="auto"/>
          <w:kern w:val="2"/>
          <w:position w:val="-34"/>
          <w:sz w:val="24"/>
          <w:szCs w:val="24"/>
          <w:highlight w:val="none"/>
          <w:lang w:val="zh-CN" w:eastAsia="zh-CN" w:bidi="zh-CN"/>
        </w:rPr>
        <w:object>
          <v:shape id="_x0000_i1025" o:spt="75" type="#_x0000_t75" style="height:49.5pt;width:324.05pt;" o:ole="t" filled="f" o:preferrelative="t" stroked="f" coordsize="21600,21600">
            <v:path/>
            <v:fill on="f" focussize="0,0"/>
            <v:stroke on="f"/>
            <v:imagedata r:id="rId27" embosscolor="#FFFFFF" o:title=""/>
            <o:lock v:ext="edit" grouping="f" rotation="f" text="f" aspectratio="t"/>
            <w10:wrap type="none"/>
            <w10:anchorlock/>
          </v:shape>
          <o:OLEObject Type="Embed" ProgID="Equation.3" ShapeID="_x0000_i1025" DrawAspect="Content" ObjectID="_1468075725" r:id="rId26">
            <o:LockedField>false</o:LockedField>
          </o:OLEObject>
        </w:object>
      </w:r>
    </w:p>
    <w:p w14:paraId="5C4EE117">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zh-CN"/>
        </w:rPr>
      </w:pPr>
    </w:p>
    <w:p w14:paraId="7A5D2298">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zh-CN"/>
        </w:rPr>
      </w:pPr>
      <w:r>
        <w:rPr>
          <w:rFonts w:hint="eastAsia" w:ascii="宋体" w:hAnsi="宋体" w:eastAsia="宋体" w:cs="宋体"/>
          <w:color w:val="auto"/>
          <w:kern w:val="2"/>
          <w:sz w:val="24"/>
          <w:szCs w:val="24"/>
          <w:highlight w:val="none"/>
          <w:lang w:val="en-US" w:eastAsia="zh-CN" w:bidi="zh-CN"/>
        </w:rPr>
        <w:t>式中： △P -- 需调整的价格差额；</w:t>
      </w:r>
    </w:p>
    <w:p w14:paraId="08489A6F">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zh-CN"/>
        </w:rPr>
      </w:pPr>
      <w:r>
        <w:rPr>
          <w:rFonts w:hint="eastAsia" w:ascii="宋体" w:hAnsi="宋体" w:eastAsia="宋体" w:cs="宋体"/>
          <w:color w:val="auto"/>
          <w:kern w:val="2"/>
          <w:sz w:val="24"/>
          <w:szCs w:val="24"/>
          <w:highlight w:val="none"/>
          <w:lang w:val="en-US" w:eastAsia="zh-CN" w:bidi="zh-CN"/>
        </w:rPr>
        <w:t>P0 -- 第17.3.3项、第17.5.2项和第17.6.2项约定的付款证书中承包人应得到的已完成工程量的金额。此项金额应不包括价格调整、不计质量保证金的扣留和支付、预付款的支付和扣回。第15条约定的变更及其他金额已按现行价格计价的，也不计在内；</w:t>
      </w:r>
    </w:p>
    <w:p w14:paraId="4097E620">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zh-CN"/>
        </w:rPr>
      </w:pPr>
      <w:r>
        <w:rPr>
          <w:rFonts w:hint="eastAsia" w:ascii="宋体" w:hAnsi="宋体" w:eastAsia="宋体" w:cs="宋体"/>
          <w:color w:val="auto"/>
          <w:kern w:val="2"/>
          <w:sz w:val="24"/>
          <w:szCs w:val="24"/>
          <w:highlight w:val="none"/>
          <w:lang w:val="en-US" w:eastAsia="zh-CN" w:bidi="zh-CN"/>
        </w:rPr>
        <w:t>A -- 定值权重(即不调部分的权重)；</w:t>
      </w:r>
    </w:p>
    <w:p w14:paraId="15AD6F3C">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zh-CN"/>
        </w:rPr>
      </w:pPr>
      <w:r>
        <w:rPr>
          <w:rFonts w:hint="eastAsia" w:ascii="宋体" w:hAnsi="宋体" w:eastAsia="宋体" w:cs="宋体"/>
          <w:color w:val="auto"/>
          <w:kern w:val="2"/>
          <w:sz w:val="24"/>
          <w:szCs w:val="24"/>
          <w:highlight w:val="none"/>
          <w:lang w:val="en-US" w:eastAsia="zh-CN" w:bidi="zh-CN"/>
        </w:rPr>
        <w:t>B1；B2；B3·····Bn -- 各可调因子的变值权重(即可调部分的权重)为各可调因子在投标函投标总报价中所占的比例；</w:t>
      </w:r>
    </w:p>
    <w:p w14:paraId="5D0B5BD6">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zh-CN"/>
        </w:rPr>
      </w:pPr>
      <w:r>
        <w:rPr>
          <w:rFonts w:hint="eastAsia" w:ascii="宋体" w:hAnsi="宋体" w:eastAsia="宋体" w:cs="宋体"/>
          <w:color w:val="auto"/>
          <w:kern w:val="2"/>
          <w:sz w:val="24"/>
          <w:szCs w:val="24"/>
          <w:highlight w:val="none"/>
          <w:lang w:val="en-US" w:eastAsia="zh-CN" w:bidi="zh-CN"/>
        </w:rPr>
        <w:t>Ft1；Ft2；Ft3·····Ftn -- 各可调因子的现行价格指数，指第17.3.3项、第17.5.2项和第17.6.2项约定的付款证书相关周期最后一天的前42天的各可调因子的价格指数；</w:t>
      </w:r>
    </w:p>
    <w:p w14:paraId="6A0808CE">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zh-CN"/>
        </w:rPr>
      </w:pPr>
      <w:r>
        <w:rPr>
          <w:rFonts w:hint="eastAsia" w:ascii="宋体" w:hAnsi="宋体" w:eastAsia="宋体" w:cs="宋体"/>
          <w:color w:val="auto"/>
          <w:kern w:val="2"/>
          <w:sz w:val="24"/>
          <w:szCs w:val="24"/>
          <w:highlight w:val="none"/>
          <w:lang w:val="en-US" w:eastAsia="zh-CN" w:bidi="zh-CN"/>
        </w:rPr>
        <w:t>Fo1；Fo2; Fo3·····Fon -- 各可调因子的基本价格指数，指基准日期的各可调因子的价格指数。</w:t>
      </w:r>
    </w:p>
    <w:p w14:paraId="12E19D85">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以上价格调整公式中的各可调因子、定值和变值权重，以及基本价格指数及其来源在投标函附录价格指数和权重表中约定。价格指数应首先采用有关部门提供的价格指数，缺乏上述价格指数时，可采用有关部门提供的价格代替。</w:t>
      </w:r>
    </w:p>
    <w:p w14:paraId="5676B3A8">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16.1.1.2</w:t>
      </w:r>
      <w:r>
        <w:rPr>
          <w:rFonts w:hint="eastAsia" w:ascii="宋体" w:hAnsi="宋体" w:eastAsia="宋体" w:cs="宋体"/>
          <w:color w:val="auto"/>
          <w:kern w:val="2"/>
          <w:sz w:val="24"/>
          <w:szCs w:val="24"/>
          <w:highlight w:val="none"/>
          <w:lang w:val="zh-CN" w:eastAsia="zh-CN" w:bidi="zh-CN"/>
        </w:rPr>
        <w:t>暂时确定调整差额</w:t>
      </w:r>
    </w:p>
    <w:p w14:paraId="2787116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在计算调整差额时得不到现行价格指数的，可暂用上一次价格指数计算，并在以后的付款中再按实际价格指数进行调整。</w:t>
      </w:r>
    </w:p>
    <w:p w14:paraId="2E64AFC8">
      <w:pPr>
        <w:pageBreakBefore w:val="0"/>
        <w:widowControl w:val="0"/>
        <w:kinsoku/>
        <w:wordWrap/>
        <w:overflowPunct/>
        <w:topLinePunct w:val="0"/>
        <w:bidi w:val="0"/>
        <w:spacing w:after="0" w:line="360" w:lineRule="auto"/>
        <w:ind w:left="0" w:leftChars="0"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16.1.1.3</w:t>
      </w:r>
      <w:r>
        <w:rPr>
          <w:rFonts w:hint="eastAsia" w:ascii="宋体" w:hAnsi="宋体" w:eastAsia="宋体" w:cs="宋体"/>
          <w:color w:val="auto"/>
          <w:kern w:val="0"/>
          <w:sz w:val="24"/>
          <w:szCs w:val="24"/>
          <w:highlight w:val="none"/>
          <w:lang w:val="zh-CN" w:eastAsia="zh-CN" w:bidi="zh-CN"/>
        </w:rPr>
        <w:t>权重的调整</w:t>
      </w:r>
    </w:p>
    <w:p w14:paraId="3146F20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按第</w:t>
      </w:r>
      <w:r>
        <w:rPr>
          <w:rFonts w:hint="eastAsia" w:ascii="宋体" w:hAnsi="宋体" w:eastAsia="宋体" w:cs="宋体"/>
          <w:color w:val="auto"/>
          <w:kern w:val="2"/>
          <w:sz w:val="24"/>
          <w:szCs w:val="24"/>
          <w:highlight w:val="none"/>
          <w:lang w:val="en-US" w:eastAsia="zh-CN" w:bidi="en-US"/>
        </w:rPr>
        <w:t xml:space="preserve">15. </w:t>
      </w:r>
      <w:r>
        <w:rPr>
          <w:rFonts w:hint="eastAsia" w:ascii="宋体" w:hAnsi="宋体" w:eastAsia="宋体" w:cs="宋体"/>
          <w:color w:val="auto"/>
          <w:kern w:val="2"/>
          <w:sz w:val="24"/>
          <w:szCs w:val="24"/>
          <w:highlight w:val="none"/>
          <w:lang w:val="zh-CN" w:eastAsia="zh-CN" w:bidi="zh-CN"/>
        </w:rPr>
        <w:t>1款约定的变更导致原定合同中的权重不合理时，由监理人与承包人和发包人协商后进行调整。</w:t>
      </w:r>
    </w:p>
    <w:p w14:paraId="19B71671">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16.1.1.4</w:t>
      </w:r>
      <w:r>
        <w:rPr>
          <w:rFonts w:hint="eastAsia" w:ascii="宋体" w:hAnsi="宋体" w:eastAsia="宋体" w:cs="宋体"/>
          <w:color w:val="auto"/>
          <w:kern w:val="2"/>
          <w:sz w:val="24"/>
          <w:szCs w:val="24"/>
          <w:highlight w:val="none"/>
          <w:lang w:val="zh-CN" w:eastAsia="zh-CN" w:bidi="zh-CN"/>
        </w:rPr>
        <w:t>承包人工期延误后的价格调整</w:t>
      </w:r>
    </w:p>
    <w:p w14:paraId="5F5BECB6">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由于承包人原因未在约定的工期内竣工的，则对原约定竣工日期后继续施工的工程, 在使用第</w:t>
      </w:r>
      <w:r>
        <w:rPr>
          <w:rFonts w:hint="eastAsia" w:ascii="宋体" w:hAnsi="宋体" w:eastAsia="宋体" w:cs="宋体"/>
          <w:color w:val="auto"/>
          <w:kern w:val="2"/>
          <w:sz w:val="24"/>
          <w:szCs w:val="24"/>
          <w:highlight w:val="none"/>
          <w:lang w:val="en-US" w:eastAsia="zh-CN" w:bidi="en-US"/>
        </w:rPr>
        <w:t xml:space="preserve">16. 1. 1. </w:t>
      </w:r>
      <w:r>
        <w:rPr>
          <w:rFonts w:hint="eastAsia" w:ascii="宋体" w:hAnsi="宋体" w:eastAsia="宋体" w:cs="宋体"/>
          <w:color w:val="auto"/>
          <w:kern w:val="2"/>
          <w:sz w:val="24"/>
          <w:szCs w:val="24"/>
          <w:highlight w:val="none"/>
          <w:lang w:val="zh-CN" w:eastAsia="zh-CN" w:bidi="zh-CN"/>
        </w:rPr>
        <w:t>1目价格调整公式时，应采用原约定竣工日期与实际竣工日期的两个价格指数中较低的一个作为现行价格指数。</w:t>
      </w:r>
    </w:p>
    <w:p w14:paraId="7B2BA270">
      <w:pPr>
        <w:pageBreakBefore w:val="0"/>
        <w:widowControl w:val="0"/>
        <w:tabs>
          <w:tab w:val="left" w:pos="861"/>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 xml:space="preserve">16.1. </w:t>
      </w:r>
      <w:r>
        <w:rPr>
          <w:rFonts w:hint="eastAsia" w:ascii="宋体" w:hAnsi="宋体" w:eastAsia="宋体" w:cs="宋体"/>
          <w:color w:val="auto"/>
          <w:kern w:val="2"/>
          <w:sz w:val="24"/>
          <w:szCs w:val="24"/>
          <w:highlight w:val="none"/>
          <w:lang w:val="zh-CN" w:eastAsia="zh-CN" w:bidi="zh-CN"/>
        </w:rPr>
        <w:t>2采用造价信息调整价格差额</w:t>
      </w:r>
    </w:p>
    <w:p w14:paraId="73C1B581">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施工期内，因人工、材料、设备和机械台班价格波动影响合同价格时，人工、机械使用费按照国家或省(自治区、直辖市)建设行政管理部门、行业建设管理部门或其授权的工程造价管理机构发布的人工成本信息、机械台班单价或机械使用费系数进行调整；需要进行价格调整的材料，其单价和采购数应由监理人复核，监理人确认需调整的材料单价及 数量，作为调整工程合同价格差额的依据。</w:t>
      </w:r>
    </w:p>
    <w:p w14:paraId="7D8B88A6">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工程造价信息的来源以及价格调整的项目和系数在专用合同条款中约定。</w:t>
      </w:r>
    </w:p>
    <w:p w14:paraId="4A71F5DA">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16.2法律变化引起的价格调整</w:t>
      </w:r>
    </w:p>
    <w:p w14:paraId="00FF278D">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在基准日后，因法律变化导致承包人在合同履行中所需要的工程费用发生除第</w:t>
      </w:r>
      <w:r>
        <w:rPr>
          <w:rFonts w:hint="eastAsia" w:ascii="宋体" w:hAnsi="宋体" w:eastAsia="宋体" w:cs="宋体"/>
          <w:color w:val="auto"/>
          <w:kern w:val="2"/>
          <w:sz w:val="24"/>
          <w:szCs w:val="24"/>
          <w:highlight w:val="none"/>
          <w:lang w:val="en-US" w:eastAsia="zh-CN" w:bidi="en-US"/>
        </w:rPr>
        <w:t>16.</w:t>
      </w:r>
      <w:r>
        <w:rPr>
          <w:rFonts w:hint="eastAsia" w:ascii="宋体" w:hAnsi="宋体" w:eastAsia="宋体" w:cs="宋体"/>
          <w:color w:val="auto"/>
          <w:kern w:val="2"/>
          <w:sz w:val="24"/>
          <w:szCs w:val="24"/>
          <w:highlight w:val="none"/>
          <w:lang w:val="zh-CN" w:eastAsia="zh-CN" w:bidi="zh-CN"/>
        </w:rPr>
        <w:t>1款约定以外的增减时，监理人应根据法律、国家或省、自治区、直辖市有关部门的规定，按第</w:t>
      </w:r>
      <w:r>
        <w:rPr>
          <w:rFonts w:hint="eastAsia" w:ascii="宋体" w:hAnsi="宋体" w:eastAsia="宋体" w:cs="宋体"/>
          <w:color w:val="auto"/>
          <w:kern w:val="2"/>
          <w:sz w:val="24"/>
          <w:szCs w:val="24"/>
          <w:highlight w:val="none"/>
          <w:lang w:val="en-US" w:eastAsia="zh-CN" w:bidi="en-US"/>
        </w:rPr>
        <w:t xml:space="preserve">3. </w:t>
      </w:r>
      <w:r>
        <w:rPr>
          <w:rFonts w:hint="eastAsia" w:ascii="宋体" w:hAnsi="宋体" w:eastAsia="宋体" w:cs="宋体"/>
          <w:color w:val="auto"/>
          <w:kern w:val="2"/>
          <w:sz w:val="24"/>
          <w:szCs w:val="24"/>
          <w:highlight w:val="none"/>
          <w:lang w:val="zh-CN" w:eastAsia="zh-CN" w:bidi="zh-CN"/>
        </w:rPr>
        <w:t>5款商定或确定需调整的合同价款。</w:t>
      </w:r>
    </w:p>
    <w:p w14:paraId="20F98D67">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25" w:name="_Toc1209"/>
      <w:r>
        <w:rPr>
          <w:rFonts w:hint="eastAsia" w:ascii="宋体" w:hAnsi="宋体" w:eastAsia="宋体" w:cs="宋体"/>
          <w:color w:val="auto"/>
          <w:kern w:val="2"/>
          <w:sz w:val="24"/>
          <w:szCs w:val="24"/>
          <w:highlight w:val="none"/>
          <w:lang w:val="en-US" w:eastAsia="zh-CN" w:bidi="ar-SA"/>
        </w:rPr>
        <w:t>17.计量与支付</w:t>
      </w:r>
      <w:bookmarkEnd w:id="225"/>
    </w:p>
    <w:p w14:paraId="4177977A">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17.1计量</w:t>
      </w:r>
    </w:p>
    <w:p w14:paraId="494042F8">
      <w:pPr>
        <w:pageBreakBefore w:val="0"/>
        <w:widowControl w:val="0"/>
        <w:tabs>
          <w:tab w:val="left" w:pos="841"/>
        </w:tabs>
        <w:kinsoku/>
        <w:wordWrap/>
        <w:overflowPunct/>
        <w:topLinePunct w:val="0"/>
        <w:bidi w:val="0"/>
        <w:spacing w:after="0" w:line="360" w:lineRule="auto"/>
        <w:ind w:left="0" w:leftChars="0"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17.1.</w:t>
      </w:r>
      <w:r>
        <w:rPr>
          <w:rFonts w:hint="eastAsia" w:ascii="宋体" w:hAnsi="宋体" w:eastAsia="宋体" w:cs="宋体"/>
          <w:color w:val="auto"/>
          <w:kern w:val="0"/>
          <w:sz w:val="24"/>
          <w:szCs w:val="24"/>
          <w:highlight w:val="none"/>
          <w:lang w:val="zh-CN" w:eastAsia="zh-CN" w:bidi="zh-CN"/>
        </w:rPr>
        <w:t>1计量单位</w:t>
      </w:r>
    </w:p>
    <w:p w14:paraId="4ACF5C12">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计量采用国家法定的计量单位。</w:t>
      </w:r>
    </w:p>
    <w:p w14:paraId="529B9AF2">
      <w:pPr>
        <w:pageBreakBefore w:val="0"/>
        <w:widowControl w:val="0"/>
        <w:tabs>
          <w:tab w:val="left" w:pos="841"/>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17.1.</w:t>
      </w:r>
      <w:r>
        <w:rPr>
          <w:rFonts w:hint="eastAsia" w:ascii="宋体" w:hAnsi="宋体" w:eastAsia="宋体" w:cs="宋体"/>
          <w:color w:val="auto"/>
          <w:kern w:val="2"/>
          <w:sz w:val="24"/>
          <w:szCs w:val="24"/>
          <w:highlight w:val="none"/>
          <w:lang w:val="zh-CN" w:eastAsia="zh-CN" w:bidi="zh-CN"/>
        </w:rPr>
        <w:t>2计量方法</w:t>
      </w:r>
    </w:p>
    <w:p w14:paraId="04D882E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结算工程量应按工程量清单中约定的方法计算。</w:t>
      </w:r>
    </w:p>
    <w:p w14:paraId="4295B293">
      <w:pPr>
        <w:pageBreakBefore w:val="0"/>
        <w:widowControl w:val="0"/>
        <w:kinsoku/>
        <w:wordWrap/>
        <w:overflowPunct/>
        <w:topLinePunct w:val="0"/>
        <w:bidi w:val="0"/>
        <w:spacing w:after="0" w:line="360" w:lineRule="auto"/>
        <w:ind w:left="0" w:leftChars="0"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17.1.</w:t>
      </w:r>
      <w:r>
        <w:rPr>
          <w:rFonts w:hint="eastAsia" w:ascii="宋体" w:hAnsi="宋体" w:eastAsia="宋体" w:cs="宋体"/>
          <w:color w:val="auto"/>
          <w:kern w:val="0"/>
          <w:sz w:val="24"/>
          <w:szCs w:val="24"/>
          <w:highlight w:val="none"/>
          <w:lang w:val="zh-CN" w:eastAsia="zh-CN" w:bidi="zh-CN"/>
        </w:rPr>
        <w:t>3计量周期</w:t>
      </w:r>
    </w:p>
    <w:p w14:paraId="63CF10A0">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除专用合同条款另有约定外，单价子目已完成工程量按月计量，总价子目的计量周期 按批准的支付分解报告确定。</w:t>
      </w:r>
    </w:p>
    <w:p w14:paraId="4BBB0ABF">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en-US" w:bidi="en-US"/>
        </w:rPr>
        <w:t>17.1.4</w:t>
      </w:r>
      <w:r>
        <w:rPr>
          <w:rFonts w:hint="eastAsia" w:ascii="宋体" w:hAnsi="宋体" w:eastAsia="宋体" w:cs="宋体"/>
          <w:color w:val="auto"/>
          <w:kern w:val="2"/>
          <w:sz w:val="24"/>
          <w:szCs w:val="24"/>
          <w:highlight w:val="none"/>
          <w:lang w:val="zh-CN" w:eastAsia="zh-CN" w:bidi="zh-CN"/>
        </w:rPr>
        <w:t>单价子目的计量</w:t>
      </w:r>
    </w:p>
    <w:p w14:paraId="2BA21871">
      <w:pPr>
        <w:pageBreakBefore w:val="0"/>
        <w:widowControl w:val="0"/>
        <w:numPr>
          <w:ilvl w:val="0"/>
          <w:numId w:val="17"/>
        </w:numPr>
        <w:tabs>
          <w:tab w:val="left" w:pos="92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已标价工程量清单中的单价子目工程量为估算工程量。结算工程量是承包人实际完成的，并按合同约定的计量方法进行计量的工程量。</w:t>
      </w:r>
    </w:p>
    <w:p w14:paraId="72CE2A03">
      <w:pPr>
        <w:pageBreakBefore w:val="0"/>
        <w:widowControl w:val="0"/>
        <w:numPr>
          <w:ilvl w:val="0"/>
          <w:numId w:val="17"/>
        </w:numPr>
        <w:tabs>
          <w:tab w:val="left" w:pos="92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承包人对已完成的工程进行计量，向监理人提交进度付款申请单、已完成工程量报表和有关计量资料。</w:t>
      </w:r>
    </w:p>
    <w:p w14:paraId="154072DA">
      <w:pPr>
        <w:pageBreakBefore w:val="0"/>
        <w:widowControl w:val="0"/>
        <w:numPr>
          <w:ilvl w:val="0"/>
          <w:numId w:val="17"/>
        </w:numPr>
        <w:tabs>
          <w:tab w:val="left" w:pos="48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监理人对承包人提交的工程量报表进行复核，以确定实际完成的工程量。对数量有异议的，可要求承包人按第</w:t>
      </w:r>
      <w:r>
        <w:rPr>
          <w:rFonts w:hint="eastAsia" w:ascii="宋体" w:hAnsi="宋体" w:eastAsia="宋体" w:cs="宋体"/>
          <w:color w:val="auto"/>
          <w:kern w:val="2"/>
          <w:sz w:val="24"/>
          <w:szCs w:val="24"/>
          <w:highlight w:val="none"/>
          <w:lang w:val="en-US" w:eastAsia="zh-CN" w:bidi="en-US"/>
        </w:rPr>
        <w:t xml:space="preserve">8. </w:t>
      </w:r>
      <w:r>
        <w:rPr>
          <w:rFonts w:hint="eastAsia" w:ascii="宋体" w:hAnsi="宋体" w:eastAsia="宋体" w:cs="宋体"/>
          <w:color w:val="auto"/>
          <w:kern w:val="2"/>
          <w:sz w:val="24"/>
          <w:szCs w:val="24"/>
          <w:highlight w:val="none"/>
          <w:lang w:val="zh-CN" w:eastAsia="zh-CN" w:bidi="zh-CN"/>
        </w:rPr>
        <w:t>2款约定进行共同复核和抽样复测。承包人应协助监理人进行复核并按监理人要求提供补充计量资料。承包人未按监理人要求参加复核，监理人复核或修正的工程量视为承包人实际完成的工程量。</w:t>
      </w:r>
    </w:p>
    <w:p w14:paraId="749C4C05">
      <w:pPr>
        <w:pageBreakBefore w:val="0"/>
        <w:widowControl w:val="0"/>
        <w:numPr>
          <w:ilvl w:val="0"/>
          <w:numId w:val="17"/>
        </w:numPr>
        <w:tabs>
          <w:tab w:val="left" w:pos="899"/>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监理人认为有必要时，可通知承包人共同进行联合测量、计量，承包人应遵照执行。</w:t>
      </w:r>
    </w:p>
    <w:p w14:paraId="0F4826C2">
      <w:pPr>
        <w:pageBreakBefore w:val="0"/>
        <w:widowControl w:val="0"/>
        <w:numPr>
          <w:ilvl w:val="0"/>
          <w:numId w:val="17"/>
        </w:numPr>
        <w:tabs>
          <w:tab w:val="left" w:pos="902"/>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未按监理人要求派员参加的，监理人最终核实的工程量视为承包人完成该子目的准确工程量。</w:t>
      </w:r>
    </w:p>
    <w:p w14:paraId="38CD36AF">
      <w:pPr>
        <w:pageBreakBefore w:val="0"/>
        <w:widowControl w:val="0"/>
        <w:numPr>
          <w:ilvl w:val="0"/>
          <w:numId w:val="17"/>
        </w:numPr>
        <w:tabs>
          <w:tab w:val="left" w:pos="902"/>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监理人应在收到承包人提交的工程量报表后的7天内进行复核，监理人未在约定时间内复核的，承包人提交的工程量报表中的工程量视为承包人实际完成的工程量，据此计算工程价款。</w:t>
      </w:r>
    </w:p>
    <w:p w14:paraId="2FA15011">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17.1.5</w:t>
      </w:r>
      <w:r>
        <w:rPr>
          <w:rFonts w:hint="eastAsia" w:ascii="宋体" w:hAnsi="宋体" w:eastAsia="宋体" w:cs="宋体"/>
          <w:color w:val="auto"/>
          <w:kern w:val="2"/>
          <w:sz w:val="24"/>
          <w:szCs w:val="24"/>
          <w:highlight w:val="none"/>
          <w:lang w:val="zh-CN" w:eastAsia="zh-CN" w:bidi="zh-CN"/>
        </w:rPr>
        <w:t>总价子目的计量</w:t>
      </w:r>
    </w:p>
    <w:p w14:paraId="18D6753B">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总价子目的分解和计量按照下述约定进行。</w:t>
      </w:r>
    </w:p>
    <w:p w14:paraId="564AB632">
      <w:pPr>
        <w:pageBreakBefore w:val="0"/>
        <w:widowControl w:val="0"/>
        <w:numPr>
          <w:ilvl w:val="0"/>
          <w:numId w:val="18"/>
        </w:numPr>
        <w:tabs>
          <w:tab w:val="left" w:pos="899"/>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总价子目的计量和支付应以总价为基础，不因第</w:t>
      </w:r>
      <w:r>
        <w:rPr>
          <w:rFonts w:hint="eastAsia" w:ascii="宋体" w:hAnsi="宋体" w:eastAsia="宋体" w:cs="宋体"/>
          <w:color w:val="auto"/>
          <w:kern w:val="2"/>
          <w:sz w:val="24"/>
          <w:szCs w:val="24"/>
          <w:highlight w:val="none"/>
          <w:lang w:val="en-US" w:eastAsia="zh-CN" w:bidi="en-US"/>
        </w:rPr>
        <w:t>16.1</w:t>
      </w:r>
      <w:r>
        <w:rPr>
          <w:rFonts w:hint="eastAsia" w:ascii="宋体" w:hAnsi="宋体" w:eastAsia="宋体" w:cs="宋体"/>
          <w:color w:val="auto"/>
          <w:kern w:val="2"/>
          <w:sz w:val="24"/>
          <w:szCs w:val="24"/>
          <w:highlight w:val="none"/>
          <w:lang w:val="zh-CN" w:eastAsia="zh-CN" w:bidi="zh-CN"/>
        </w:rPr>
        <w:t>款中的因素而进行调整。承包人实际完成的工程量，是进行工程目标管理和控制进度支付的依据。</w:t>
      </w:r>
    </w:p>
    <w:p w14:paraId="1CB98915">
      <w:pPr>
        <w:pageBreakBefore w:val="0"/>
        <w:widowControl w:val="0"/>
        <w:numPr>
          <w:ilvl w:val="0"/>
          <w:numId w:val="18"/>
        </w:numPr>
        <w:tabs>
          <w:tab w:val="left" w:pos="899"/>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应按工程量清单的要求对总价子目进行分解，并在签订协议书后的28天内将各子目的总价支付分解表提交监理人审批。分解表应标明其所属子目和分阶段需支付的金额。承包人应按批准的各总价子目支付周期，对已完成的总价子目进行计量，确定分项的应付金额列入进度付款申请单中。</w:t>
      </w:r>
    </w:p>
    <w:p w14:paraId="77B4B5B1">
      <w:pPr>
        <w:pageBreakBefore w:val="0"/>
        <w:widowControl w:val="0"/>
        <w:numPr>
          <w:ilvl w:val="0"/>
          <w:numId w:val="18"/>
        </w:numPr>
        <w:tabs>
          <w:tab w:val="left" w:pos="899"/>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监理人对承包人提交的上述资料进行复核，以确定分阶段实际完成的工程量和工程形象目标。对其有异议的，可要求承包人按第</w:t>
      </w:r>
      <w:r>
        <w:rPr>
          <w:rFonts w:hint="eastAsia" w:ascii="宋体" w:hAnsi="宋体" w:eastAsia="宋体" w:cs="宋体"/>
          <w:color w:val="auto"/>
          <w:kern w:val="2"/>
          <w:sz w:val="24"/>
          <w:szCs w:val="24"/>
          <w:highlight w:val="none"/>
          <w:lang w:val="en-US" w:eastAsia="zh-CN" w:bidi="en-US"/>
        </w:rPr>
        <w:t xml:space="preserve">8. </w:t>
      </w:r>
      <w:r>
        <w:rPr>
          <w:rFonts w:hint="eastAsia" w:ascii="宋体" w:hAnsi="宋体" w:eastAsia="宋体" w:cs="宋体"/>
          <w:color w:val="auto"/>
          <w:kern w:val="2"/>
          <w:sz w:val="24"/>
          <w:szCs w:val="24"/>
          <w:highlight w:val="none"/>
          <w:lang w:val="zh-CN" w:eastAsia="zh-CN" w:bidi="zh-CN"/>
        </w:rPr>
        <w:t>2款约定进行共同复核和抽样复测。</w:t>
      </w:r>
    </w:p>
    <w:p w14:paraId="145CEF49">
      <w:pPr>
        <w:pageBreakBefore w:val="0"/>
        <w:widowControl w:val="0"/>
        <w:numPr>
          <w:ilvl w:val="0"/>
          <w:numId w:val="18"/>
        </w:numPr>
        <w:tabs>
          <w:tab w:val="left" w:pos="899"/>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除按照第15条约定的变更外，总价子目的工程量是承包人用于结算的最终工程量。</w:t>
      </w:r>
    </w:p>
    <w:p w14:paraId="4F857AB8">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17.2预付款</w:t>
      </w:r>
    </w:p>
    <w:p w14:paraId="72B79EE6">
      <w:pPr>
        <w:pageBreakBefore w:val="0"/>
        <w:widowControl w:val="0"/>
        <w:kinsoku/>
        <w:wordWrap/>
        <w:overflowPunct/>
        <w:topLinePunct w:val="0"/>
        <w:bidi w:val="0"/>
        <w:spacing w:after="0" w:line="360" w:lineRule="auto"/>
        <w:ind w:left="0" w:leftChars="0"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17.2.1</w:t>
      </w:r>
      <w:r>
        <w:rPr>
          <w:rFonts w:hint="eastAsia" w:ascii="宋体" w:hAnsi="宋体" w:eastAsia="宋体" w:cs="宋体"/>
          <w:color w:val="auto"/>
          <w:kern w:val="0"/>
          <w:sz w:val="24"/>
          <w:szCs w:val="24"/>
          <w:highlight w:val="none"/>
          <w:lang w:val="zh-CN" w:eastAsia="zh-CN" w:bidi="zh-CN"/>
        </w:rPr>
        <w:t>预付款</w:t>
      </w:r>
    </w:p>
    <w:p w14:paraId="73E6A2F8">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预付款用于承包人为合同工程施工购置材料、工程设备、施工设备、修建临时设施以及组织施工队伍进场等，分为工程预付款和工程材料预付款。预付款必须专用于合同工程。预付款的额度和预付办法在专用合同条款中约定。</w:t>
      </w:r>
    </w:p>
    <w:p w14:paraId="5BB0840D">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en-US" w:bidi="en-US"/>
        </w:rPr>
        <w:t>17.2.2</w:t>
      </w:r>
      <w:r>
        <w:rPr>
          <w:rFonts w:hint="eastAsia" w:ascii="宋体" w:hAnsi="宋体" w:eastAsia="宋体" w:cs="宋体"/>
          <w:color w:val="auto"/>
          <w:kern w:val="2"/>
          <w:sz w:val="24"/>
          <w:szCs w:val="24"/>
          <w:highlight w:val="none"/>
          <w:lang w:val="zh-CN" w:eastAsia="zh-CN" w:bidi="zh-CN"/>
        </w:rPr>
        <w:t>预付款保函(担保)</w:t>
      </w:r>
    </w:p>
    <w:p w14:paraId="6143B817">
      <w:pPr>
        <w:pageBreakBefore w:val="0"/>
        <w:widowControl w:val="0"/>
        <w:numPr>
          <w:ilvl w:val="0"/>
          <w:numId w:val="19"/>
        </w:numPr>
        <w:tabs>
          <w:tab w:val="left" w:pos="899"/>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承包人应在收到第一次工程预付款的同时向发包人提交工程预付款担保，担保金额应与第一次工程预付款金额相同，工程预付款担保在第一次工程预付款被发包人扣回前一直有效。</w:t>
      </w:r>
    </w:p>
    <w:p w14:paraId="0F329E85">
      <w:pPr>
        <w:pageBreakBefore w:val="0"/>
        <w:widowControl w:val="0"/>
        <w:numPr>
          <w:ilvl w:val="0"/>
          <w:numId w:val="19"/>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工程材料预付款的担保在专用合同条款中约定。</w:t>
      </w:r>
    </w:p>
    <w:p w14:paraId="15EC15F6">
      <w:pPr>
        <w:pageBreakBefore w:val="0"/>
        <w:widowControl w:val="0"/>
        <w:numPr>
          <w:ilvl w:val="0"/>
          <w:numId w:val="19"/>
        </w:numPr>
        <w:tabs>
          <w:tab w:val="left" w:pos="88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预付款担保的担保金额可根据预付款扣回的金额相应递减。</w:t>
      </w:r>
    </w:p>
    <w:p w14:paraId="673804C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17.2.3</w:t>
      </w:r>
      <w:r>
        <w:rPr>
          <w:rFonts w:hint="eastAsia" w:ascii="宋体" w:hAnsi="宋体" w:eastAsia="宋体" w:cs="宋体"/>
          <w:color w:val="auto"/>
          <w:kern w:val="2"/>
          <w:sz w:val="24"/>
          <w:szCs w:val="24"/>
          <w:highlight w:val="none"/>
          <w:lang w:val="zh-CN" w:eastAsia="zh-CN" w:bidi="zh-CN"/>
        </w:rPr>
        <w:t>预付款的扣回与还清</w:t>
      </w:r>
    </w:p>
    <w:p w14:paraId="2BD568E3">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预付款在进度付款中扣回，扣回与还清办法在专用合同条款中约定。在颁发合同工程 完工证书前，由于不可抗力或其它原因解除合同时，预付款尚未扣清的，尚未扣清的预付款余额应作为承包人的到期应付款。</w:t>
      </w:r>
    </w:p>
    <w:p w14:paraId="05CBDF09">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17.3工程进度付款</w:t>
      </w:r>
    </w:p>
    <w:p w14:paraId="6DCEA1A3">
      <w:pPr>
        <w:pageBreakBefore w:val="0"/>
        <w:widowControl w:val="0"/>
        <w:kinsoku/>
        <w:wordWrap/>
        <w:overflowPunct/>
        <w:topLinePunct w:val="0"/>
        <w:bidi w:val="0"/>
        <w:spacing w:after="0" w:line="360" w:lineRule="auto"/>
        <w:ind w:left="0" w:leftChars="0"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17.3.1</w:t>
      </w:r>
      <w:r>
        <w:rPr>
          <w:rFonts w:hint="eastAsia" w:ascii="宋体" w:hAnsi="宋体" w:eastAsia="宋体" w:cs="宋体"/>
          <w:color w:val="auto"/>
          <w:kern w:val="0"/>
          <w:sz w:val="24"/>
          <w:szCs w:val="24"/>
          <w:highlight w:val="none"/>
          <w:lang w:val="zh-CN" w:eastAsia="zh-CN" w:bidi="zh-CN"/>
        </w:rPr>
        <w:t>付款周期</w:t>
      </w:r>
    </w:p>
    <w:p w14:paraId="370D4DDF">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付款周期同计量周期。</w:t>
      </w:r>
    </w:p>
    <w:p w14:paraId="41895E67">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17.3.2</w:t>
      </w:r>
      <w:r>
        <w:rPr>
          <w:rFonts w:hint="eastAsia" w:ascii="宋体" w:hAnsi="宋体" w:eastAsia="宋体" w:cs="宋体"/>
          <w:color w:val="auto"/>
          <w:kern w:val="2"/>
          <w:sz w:val="24"/>
          <w:szCs w:val="24"/>
          <w:highlight w:val="none"/>
          <w:lang w:val="zh-CN" w:eastAsia="zh-CN" w:bidi="zh-CN"/>
        </w:rPr>
        <w:t>进度付款申请单</w:t>
      </w:r>
    </w:p>
    <w:p w14:paraId="1BE401DC">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承包人应在每个付款周期末，按监理人批准的格式和专用合同条款约定的份数，向监理人提交进度付款申请单，并附相应的支持性证明文件。除专用合同条款另有约定外，进度付款申请单应包括下列内容：</w:t>
      </w:r>
    </w:p>
    <w:p w14:paraId="19F35CFB">
      <w:pPr>
        <w:pageBreakBefore w:val="0"/>
        <w:widowControl w:val="0"/>
        <w:numPr>
          <w:ilvl w:val="0"/>
          <w:numId w:val="20"/>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截至本次付款周期末已实施工程的价款；</w:t>
      </w:r>
    </w:p>
    <w:p w14:paraId="0B6F3AFE">
      <w:pPr>
        <w:pageBreakBefore w:val="0"/>
        <w:widowControl w:val="0"/>
        <w:numPr>
          <w:ilvl w:val="0"/>
          <w:numId w:val="20"/>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根据第15条应增加和扣减的变更金额；</w:t>
      </w:r>
    </w:p>
    <w:p w14:paraId="5D32EFFE">
      <w:pPr>
        <w:pageBreakBefore w:val="0"/>
        <w:widowControl w:val="0"/>
        <w:numPr>
          <w:ilvl w:val="0"/>
          <w:numId w:val="20"/>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根据第23条应增加和扣减的索赔金额；</w:t>
      </w:r>
    </w:p>
    <w:p w14:paraId="29EB66A8">
      <w:pPr>
        <w:pageBreakBefore w:val="0"/>
        <w:widowControl w:val="0"/>
        <w:numPr>
          <w:ilvl w:val="0"/>
          <w:numId w:val="20"/>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根据第</w:t>
      </w:r>
      <w:r>
        <w:rPr>
          <w:rFonts w:hint="eastAsia" w:ascii="宋体" w:hAnsi="宋体" w:eastAsia="宋体" w:cs="宋体"/>
          <w:color w:val="auto"/>
          <w:kern w:val="2"/>
          <w:sz w:val="24"/>
          <w:szCs w:val="24"/>
          <w:highlight w:val="none"/>
          <w:lang w:val="en-US" w:eastAsia="zh-CN" w:bidi="en-US"/>
        </w:rPr>
        <w:t xml:space="preserve">17. </w:t>
      </w:r>
      <w:r>
        <w:rPr>
          <w:rFonts w:hint="eastAsia" w:ascii="宋体" w:hAnsi="宋体" w:eastAsia="宋体" w:cs="宋体"/>
          <w:color w:val="auto"/>
          <w:kern w:val="2"/>
          <w:sz w:val="24"/>
          <w:szCs w:val="24"/>
          <w:highlight w:val="none"/>
          <w:lang w:val="zh-CN" w:eastAsia="zh-CN" w:bidi="zh-CN"/>
        </w:rPr>
        <w:t>2款约定应支付的预付款和扣减的返还预付款；</w:t>
      </w:r>
    </w:p>
    <w:p w14:paraId="54F97017">
      <w:pPr>
        <w:pageBreakBefore w:val="0"/>
        <w:widowControl w:val="0"/>
        <w:numPr>
          <w:ilvl w:val="0"/>
          <w:numId w:val="20"/>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根据第</w:t>
      </w:r>
      <w:r>
        <w:rPr>
          <w:rFonts w:hint="eastAsia" w:ascii="宋体" w:hAnsi="宋体" w:eastAsia="宋体" w:cs="宋体"/>
          <w:color w:val="auto"/>
          <w:kern w:val="2"/>
          <w:sz w:val="24"/>
          <w:szCs w:val="24"/>
          <w:highlight w:val="none"/>
          <w:lang w:val="en-US" w:eastAsia="zh-CN" w:bidi="en-US"/>
        </w:rPr>
        <w:t xml:space="preserve">17.4. </w:t>
      </w:r>
      <w:r>
        <w:rPr>
          <w:rFonts w:hint="eastAsia" w:ascii="宋体" w:hAnsi="宋体" w:eastAsia="宋体" w:cs="宋体"/>
          <w:color w:val="auto"/>
          <w:kern w:val="2"/>
          <w:sz w:val="24"/>
          <w:szCs w:val="24"/>
          <w:highlight w:val="none"/>
          <w:lang w:val="zh-CN" w:eastAsia="zh-CN" w:bidi="zh-CN"/>
        </w:rPr>
        <w:t>1项约定应扣减的质量保证金；</w:t>
      </w:r>
    </w:p>
    <w:p w14:paraId="55AF7009">
      <w:pPr>
        <w:pageBreakBefore w:val="0"/>
        <w:widowControl w:val="0"/>
        <w:numPr>
          <w:ilvl w:val="0"/>
          <w:numId w:val="20"/>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根据合同应增加和扣减的其他金额。</w:t>
      </w:r>
    </w:p>
    <w:p w14:paraId="10C76623">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17.3.3</w:t>
      </w:r>
      <w:r>
        <w:rPr>
          <w:rFonts w:hint="eastAsia" w:ascii="宋体" w:hAnsi="宋体" w:eastAsia="宋体" w:cs="宋体"/>
          <w:color w:val="auto"/>
          <w:kern w:val="2"/>
          <w:sz w:val="24"/>
          <w:szCs w:val="24"/>
          <w:highlight w:val="none"/>
          <w:lang w:val="zh-CN" w:eastAsia="zh-CN" w:bidi="zh-CN"/>
        </w:rPr>
        <w:t>进度付款证书和支付时间</w:t>
      </w:r>
    </w:p>
    <w:p w14:paraId="794FD786">
      <w:pPr>
        <w:pageBreakBefore w:val="0"/>
        <w:widowControl w:val="0"/>
        <w:numPr>
          <w:ilvl w:val="0"/>
          <w:numId w:val="21"/>
        </w:numPr>
        <w:tabs>
          <w:tab w:val="left" w:pos="92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监理人在收到承包人进度付款申请单以及相应的支持性证明文件后的14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14:paraId="1CE6E557">
      <w:pPr>
        <w:pageBreakBefore w:val="0"/>
        <w:widowControl w:val="0"/>
        <w:numPr>
          <w:ilvl w:val="0"/>
          <w:numId w:val="21"/>
        </w:numPr>
        <w:tabs>
          <w:tab w:val="left" w:pos="922"/>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发包人应在监理人收到进度付款申请单后的28天内，将进度应付款支付给承包人。发包人不按期支付的，按专用合同条款的约定支付逾期付款违约金。</w:t>
      </w:r>
    </w:p>
    <w:p w14:paraId="76CCAF71">
      <w:pPr>
        <w:pageBreakBefore w:val="0"/>
        <w:widowControl w:val="0"/>
        <w:numPr>
          <w:ilvl w:val="0"/>
          <w:numId w:val="21"/>
        </w:numPr>
        <w:tabs>
          <w:tab w:val="left" w:pos="922"/>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监理人出具进度付款证书，不应视为监理人已同意、批准或接受了承包人完成的该部分工作。</w:t>
      </w:r>
    </w:p>
    <w:p w14:paraId="1F964568">
      <w:pPr>
        <w:pageBreakBefore w:val="0"/>
        <w:widowControl w:val="0"/>
        <w:numPr>
          <w:ilvl w:val="0"/>
          <w:numId w:val="21"/>
        </w:numPr>
        <w:tabs>
          <w:tab w:val="left" w:pos="918"/>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进度付款涉及政府投资资金的，按照国库集中支付等国家相关规定和专用合同条款的约定办理。</w:t>
      </w:r>
    </w:p>
    <w:p w14:paraId="4FCA088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17.3.4</w:t>
      </w:r>
      <w:r>
        <w:rPr>
          <w:rFonts w:hint="eastAsia" w:ascii="宋体" w:hAnsi="宋体" w:eastAsia="宋体" w:cs="宋体"/>
          <w:color w:val="auto"/>
          <w:kern w:val="2"/>
          <w:sz w:val="24"/>
          <w:szCs w:val="24"/>
          <w:highlight w:val="none"/>
          <w:lang w:val="zh-CN" w:eastAsia="zh-CN" w:bidi="zh-CN"/>
        </w:rPr>
        <w:t>工程进度付款的修正</w:t>
      </w:r>
    </w:p>
    <w:p w14:paraId="32E86DA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在对以往历次已签发的进度付款证书进行汇总和复核中发现错、漏或重复的，监理人有权予以修正，承包人也有权提出修正申请。经双方复核同意的修正，应在本次进度付款中支付或扣除。</w:t>
      </w:r>
    </w:p>
    <w:p w14:paraId="537EC451">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17.4质量保证金</w:t>
      </w:r>
    </w:p>
    <w:p w14:paraId="562F9DC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17.4.1</w:t>
      </w:r>
      <w:r>
        <w:rPr>
          <w:rFonts w:hint="eastAsia" w:ascii="宋体" w:hAnsi="宋体" w:eastAsia="宋体" w:cs="宋体"/>
          <w:color w:val="auto"/>
          <w:kern w:val="2"/>
          <w:sz w:val="24"/>
          <w:szCs w:val="24"/>
          <w:highlight w:val="none"/>
          <w:lang w:val="zh-CN" w:eastAsia="zh-CN" w:bidi="zh-CN"/>
        </w:rPr>
        <w:t>监理人应从第一个工程进度付款周期开始，在发包人的进度付款中，按专用合同条款约定扣留质量保证金，直至扣留的工程质量保证金总额达到专用合同条款约定的金额或比例为止。质量保证金的计算额度不包括预付款的支付与扣回金额。</w:t>
      </w:r>
    </w:p>
    <w:p w14:paraId="420AF3C7">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17.4.2</w:t>
      </w:r>
      <w:r>
        <w:rPr>
          <w:rFonts w:hint="eastAsia" w:ascii="宋体" w:hAnsi="宋体" w:eastAsia="宋体" w:cs="宋体"/>
          <w:color w:val="auto"/>
          <w:kern w:val="2"/>
          <w:sz w:val="24"/>
          <w:szCs w:val="24"/>
          <w:highlight w:val="none"/>
          <w:lang w:val="zh-CN" w:eastAsia="zh-CN" w:bidi="zh-CN"/>
        </w:rPr>
        <w:t>在第</w:t>
      </w:r>
      <w:r>
        <w:rPr>
          <w:rFonts w:hint="eastAsia" w:ascii="宋体" w:hAnsi="宋体" w:eastAsia="宋体" w:cs="宋体"/>
          <w:color w:val="auto"/>
          <w:kern w:val="2"/>
          <w:sz w:val="24"/>
          <w:szCs w:val="24"/>
          <w:highlight w:val="none"/>
          <w:lang w:val="en-US" w:eastAsia="zh-CN" w:bidi="en-US"/>
        </w:rPr>
        <w:t xml:space="preserve">1.1. 4. </w:t>
      </w:r>
      <w:r>
        <w:rPr>
          <w:rFonts w:hint="eastAsia" w:ascii="宋体" w:hAnsi="宋体" w:eastAsia="宋体" w:cs="宋体"/>
          <w:color w:val="auto"/>
          <w:kern w:val="2"/>
          <w:sz w:val="24"/>
          <w:szCs w:val="24"/>
          <w:highlight w:val="none"/>
          <w:lang w:val="zh-CN" w:eastAsia="zh-CN" w:bidi="zh-CN"/>
        </w:rPr>
        <w:t>5目约定的缺陷责任期(工程质量保修期)满时，发包人将在30个工作日内会同承包人按照合同约定的内容核实承包人是否完成保修责任。如无异议，发包人应当在核实后将质量保证金支付给承包人。</w:t>
      </w:r>
    </w:p>
    <w:p w14:paraId="4F2D4452">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17.4.3</w:t>
      </w:r>
      <w:r>
        <w:rPr>
          <w:rFonts w:hint="eastAsia" w:ascii="宋体" w:hAnsi="宋体" w:eastAsia="宋体" w:cs="宋体"/>
          <w:color w:val="auto"/>
          <w:kern w:val="2"/>
          <w:sz w:val="24"/>
          <w:szCs w:val="24"/>
          <w:highlight w:val="none"/>
          <w:lang w:val="zh-CN" w:eastAsia="zh-CN" w:bidi="zh-CN"/>
        </w:rPr>
        <w:t>在第</w:t>
      </w:r>
      <w:r>
        <w:rPr>
          <w:rFonts w:hint="eastAsia" w:ascii="宋体" w:hAnsi="宋体" w:eastAsia="宋体" w:cs="宋体"/>
          <w:color w:val="auto"/>
          <w:kern w:val="2"/>
          <w:sz w:val="24"/>
          <w:szCs w:val="24"/>
          <w:highlight w:val="none"/>
          <w:lang w:val="en-US" w:eastAsia="zh-CN" w:bidi="en-US"/>
        </w:rPr>
        <w:t>1.1.4.</w:t>
      </w:r>
      <w:r>
        <w:rPr>
          <w:rFonts w:hint="eastAsia" w:ascii="宋体" w:hAnsi="宋体" w:eastAsia="宋体" w:cs="宋体"/>
          <w:color w:val="auto"/>
          <w:kern w:val="2"/>
          <w:sz w:val="24"/>
          <w:szCs w:val="24"/>
          <w:highlight w:val="none"/>
          <w:lang w:val="zh-CN" w:eastAsia="zh-CN" w:bidi="zh-CN"/>
        </w:rPr>
        <w:t>5目约定的缺陷责任期满时，承包人没有完成缺陷责任的，发包人有权扣留与未履行责任剩余工作所需金额相应的质量保证金余额，并有权根据第</w:t>
      </w:r>
      <w:r>
        <w:rPr>
          <w:rFonts w:hint="eastAsia" w:ascii="宋体" w:hAnsi="宋体" w:eastAsia="宋体" w:cs="宋体"/>
          <w:color w:val="auto"/>
          <w:kern w:val="2"/>
          <w:sz w:val="24"/>
          <w:szCs w:val="24"/>
          <w:highlight w:val="none"/>
          <w:lang w:val="en-US" w:eastAsia="zh-CN" w:bidi="en-US"/>
        </w:rPr>
        <w:t xml:space="preserve">19. </w:t>
      </w:r>
      <w:r>
        <w:rPr>
          <w:rFonts w:hint="eastAsia" w:ascii="宋体" w:hAnsi="宋体" w:eastAsia="宋体" w:cs="宋体"/>
          <w:color w:val="auto"/>
          <w:kern w:val="2"/>
          <w:sz w:val="24"/>
          <w:szCs w:val="24"/>
          <w:highlight w:val="none"/>
          <w:lang w:val="zh-CN" w:eastAsia="zh-CN" w:bidi="zh-CN"/>
        </w:rPr>
        <w:t>3款约定要求延长缺陷责任期，直至完成剩余工作为止。</w:t>
      </w:r>
    </w:p>
    <w:p w14:paraId="78CD9739">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17.5竣工结算(完工结算)</w:t>
      </w:r>
    </w:p>
    <w:p w14:paraId="673F0F57">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17.5.1</w:t>
      </w:r>
      <w:r>
        <w:rPr>
          <w:rFonts w:hint="eastAsia" w:ascii="宋体" w:hAnsi="宋体" w:eastAsia="宋体" w:cs="宋体"/>
          <w:color w:val="auto"/>
          <w:kern w:val="2"/>
          <w:sz w:val="24"/>
          <w:szCs w:val="24"/>
          <w:highlight w:val="none"/>
          <w:lang w:val="zh-CN" w:eastAsia="zh-CN" w:bidi="zh-CN"/>
        </w:rPr>
        <w:t>竣工(完工)付款申请单</w:t>
      </w:r>
    </w:p>
    <w:p w14:paraId="7509D4CB">
      <w:pPr>
        <w:pageBreakBefore w:val="0"/>
        <w:widowControl w:val="0"/>
        <w:numPr>
          <w:ilvl w:val="0"/>
          <w:numId w:val="22"/>
        </w:numPr>
        <w:tabs>
          <w:tab w:val="left" w:pos="918"/>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应在合同工程完工证书颁发后28天内，按专用合同条款约定的份数向监理人提交完工付款申请单，并提供相关证明材料。完工付款申请单应包括下列内容：完工结算合同总价、发包人已支付承包人的工程价款、应扣留的质量保证金、应支付的完工付款金额。</w:t>
      </w:r>
    </w:p>
    <w:p w14:paraId="032E7174">
      <w:pPr>
        <w:pageBreakBefore w:val="0"/>
        <w:widowControl w:val="0"/>
        <w:numPr>
          <w:ilvl w:val="0"/>
          <w:numId w:val="22"/>
        </w:numPr>
        <w:tabs>
          <w:tab w:val="left" w:pos="916"/>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监理人对完工付款申请单有异议的，有权要求承包人进行修正和提供补充资料。经监理人和承包人协商后，由承包人向监理人提交修正后的完工付款申请单。</w:t>
      </w:r>
    </w:p>
    <w:p w14:paraId="7260B38E">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17.5.2</w:t>
      </w:r>
      <w:r>
        <w:rPr>
          <w:rFonts w:hint="eastAsia" w:ascii="宋体" w:hAnsi="宋体" w:eastAsia="宋体" w:cs="宋体"/>
          <w:color w:val="auto"/>
          <w:kern w:val="2"/>
          <w:sz w:val="24"/>
          <w:szCs w:val="24"/>
          <w:highlight w:val="none"/>
          <w:lang w:val="zh-CN" w:eastAsia="zh-CN" w:bidi="zh-CN"/>
        </w:rPr>
        <w:t>竣工(完工)付款证书及支付时间</w:t>
      </w:r>
    </w:p>
    <w:p w14:paraId="44AE8B2D">
      <w:pPr>
        <w:pageBreakBefore w:val="0"/>
        <w:widowControl w:val="0"/>
        <w:numPr>
          <w:ilvl w:val="0"/>
          <w:numId w:val="23"/>
        </w:numPr>
        <w:tabs>
          <w:tab w:val="left" w:pos="918"/>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监理人在收到承包人提交的完工付款申请单后的14天内完成核查，提出发包人到期应支付给承包人的价款送发包人审核并抄送承包人。发包人应在收到后14天内审核完毕，由监理人向承包人出具经发包人签认的完工付款证书。监理人未在约定时间内核查, 又未提出具体意见的，视为承包人提交的完工付款申请单已经监理人核查同意。发包人未 在约定时间内审核又未提出具体意见的，监理人提出发包人到期应支付给承包人的价款视 为已经发包人书面同意。</w:t>
      </w:r>
    </w:p>
    <w:p w14:paraId="70F93980">
      <w:pPr>
        <w:pageBreakBefore w:val="0"/>
        <w:widowControl w:val="0"/>
        <w:numPr>
          <w:ilvl w:val="0"/>
          <w:numId w:val="23"/>
        </w:numPr>
        <w:tabs>
          <w:tab w:val="left" w:pos="918"/>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发包人应在监理人出具完工付款证书后的14天内，将应支付款支付给承包人。发包人不按期支付的，按第</w:t>
      </w:r>
      <w:r>
        <w:rPr>
          <w:rFonts w:hint="eastAsia" w:ascii="宋体" w:hAnsi="宋体" w:eastAsia="宋体" w:cs="宋体"/>
          <w:color w:val="auto"/>
          <w:kern w:val="2"/>
          <w:sz w:val="24"/>
          <w:szCs w:val="24"/>
          <w:highlight w:val="none"/>
          <w:lang w:val="en-US" w:eastAsia="zh-CN" w:bidi="en-US"/>
        </w:rPr>
        <w:t xml:space="preserve">17.3.3 </w:t>
      </w:r>
      <w:r>
        <w:rPr>
          <w:rFonts w:hint="eastAsia" w:ascii="宋体" w:hAnsi="宋体" w:eastAsia="宋体" w:cs="宋体"/>
          <w:color w:val="auto"/>
          <w:kern w:val="2"/>
          <w:sz w:val="24"/>
          <w:szCs w:val="24"/>
          <w:highlight w:val="none"/>
          <w:lang w:val="zh-CN" w:eastAsia="zh-CN" w:bidi="zh-CN"/>
        </w:rPr>
        <w:t>(2)目的约定，将逾期付款违约金支付给承包人。</w:t>
      </w:r>
    </w:p>
    <w:p w14:paraId="2E98F8D1">
      <w:pPr>
        <w:pageBreakBefore w:val="0"/>
        <w:widowControl w:val="0"/>
        <w:numPr>
          <w:ilvl w:val="0"/>
          <w:numId w:val="23"/>
        </w:numPr>
        <w:tabs>
          <w:tab w:val="left" w:pos="914"/>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承包人对发包人签认的完工付款证书有异议的，发包人可出具完工付款申请单中承包人已同意部分的临时付款证书。存在争议的部分，按第24条的约定办理。</w:t>
      </w:r>
    </w:p>
    <w:p w14:paraId="3D05A240">
      <w:pPr>
        <w:pageBreakBefore w:val="0"/>
        <w:widowControl w:val="0"/>
        <w:numPr>
          <w:ilvl w:val="0"/>
          <w:numId w:val="23"/>
        </w:numPr>
        <w:tabs>
          <w:tab w:val="left" w:pos="922"/>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完工付款涉及政府投资资金的，按第</w:t>
      </w:r>
      <w:r>
        <w:rPr>
          <w:rFonts w:hint="eastAsia" w:ascii="宋体" w:hAnsi="宋体" w:eastAsia="宋体" w:cs="宋体"/>
          <w:color w:val="auto"/>
          <w:kern w:val="2"/>
          <w:sz w:val="24"/>
          <w:szCs w:val="24"/>
          <w:highlight w:val="none"/>
          <w:lang w:val="en-US" w:eastAsia="zh-CN" w:bidi="en-US"/>
        </w:rPr>
        <w:t xml:space="preserve">17.3.3 </w:t>
      </w:r>
      <w:r>
        <w:rPr>
          <w:rFonts w:hint="eastAsia" w:ascii="宋体" w:hAnsi="宋体" w:eastAsia="宋体" w:cs="宋体"/>
          <w:color w:val="auto"/>
          <w:kern w:val="2"/>
          <w:sz w:val="24"/>
          <w:szCs w:val="24"/>
          <w:highlight w:val="none"/>
          <w:lang w:val="zh-CN" w:eastAsia="zh-CN" w:bidi="zh-CN"/>
        </w:rPr>
        <w:t>(4)目的约定办理。</w:t>
      </w:r>
    </w:p>
    <w:p w14:paraId="05CCCAED">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17.6最终结清</w:t>
      </w:r>
    </w:p>
    <w:p w14:paraId="588950A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17.6.1</w:t>
      </w:r>
      <w:r>
        <w:rPr>
          <w:rFonts w:hint="eastAsia" w:ascii="宋体" w:hAnsi="宋体" w:eastAsia="宋体" w:cs="宋体"/>
          <w:color w:val="auto"/>
          <w:kern w:val="2"/>
          <w:sz w:val="24"/>
          <w:szCs w:val="24"/>
          <w:highlight w:val="none"/>
          <w:lang w:val="zh-CN" w:eastAsia="zh-CN" w:bidi="zh-CN"/>
        </w:rPr>
        <w:t>最终结清申请单</w:t>
      </w:r>
    </w:p>
    <w:p w14:paraId="5155AFFF">
      <w:pPr>
        <w:pageBreakBefore w:val="0"/>
        <w:widowControl w:val="0"/>
        <w:numPr>
          <w:ilvl w:val="0"/>
          <w:numId w:val="24"/>
        </w:numPr>
        <w:tabs>
          <w:tab w:val="left" w:pos="894"/>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工程质量保修责任终止证书签发后，承包人应按监理人批准的格式提交最终结清申请单。提交最终结清申请单的份数在专用合同条款中约定。</w:t>
      </w:r>
    </w:p>
    <w:p w14:paraId="3EBAFE3A">
      <w:pPr>
        <w:pageBreakBefore w:val="0"/>
        <w:widowControl w:val="0"/>
        <w:numPr>
          <w:ilvl w:val="0"/>
          <w:numId w:val="24"/>
        </w:numPr>
        <w:tabs>
          <w:tab w:val="left" w:pos="918"/>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发包人对最终结清申请单内容有异议的，有权要求承包人进行修正和提供补充资料，由承包人向监理人提交修正后的最终结清申请单。</w:t>
      </w:r>
    </w:p>
    <w:p w14:paraId="3D05F080">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17.6.2</w:t>
      </w:r>
      <w:r>
        <w:rPr>
          <w:rFonts w:hint="eastAsia" w:ascii="宋体" w:hAnsi="宋体" w:eastAsia="宋体" w:cs="宋体"/>
          <w:color w:val="auto"/>
          <w:kern w:val="2"/>
          <w:sz w:val="24"/>
          <w:szCs w:val="24"/>
          <w:highlight w:val="none"/>
          <w:lang w:val="zh-CN" w:eastAsia="zh-CN" w:bidi="zh-CN"/>
        </w:rPr>
        <w:t>最终结清证书和支付时间</w:t>
      </w:r>
    </w:p>
    <w:p w14:paraId="553EC7F8">
      <w:pPr>
        <w:pageBreakBefore w:val="0"/>
        <w:widowControl w:val="0"/>
        <w:numPr>
          <w:ilvl w:val="0"/>
          <w:numId w:val="25"/>
        </w:numPr>
        <w:tabs>
          <w:tab w:val="left" w:pos="918"/>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监理人收到承包人提交的最终结清申请单后的14天内，提出发包人应支付给承包人的价款送发包人审核并抄送承包人。发包人应在收到后14天内审核完毕，由监理人向承包人出具经发包人签认的最终结清证书。监理人未在约定时间内核查，又未提出具体意见的，视为承包人提交的最终结清申请已经监理人核查同意；发包人未在约定时间内审核又未提出具体意见的，监理人提出应支付给承包人的价款视为已经发包人书面同意。</w:t>
      </w:r>
    </w:p>
    <w:p w14:paraId="7C70F583">
      <w:pPr>
        <w:pageBreakBefore w:val="0"/>
        <w:widowControl w:val="0"/>
        <w:numPr>
          <w:ilvl w:val="0"/>
          <w:numId w:val="25"/>
        </w:numPr>
        <w:tabs>
          <w:tab w:val="left" w:pos="918"/>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发包人应在监理人出具最终结清证书后的14天内，将应支付款支付给承包人。发包人不按期支付的，按第</w:t>
      </w:r>
      <w:r>
        <w:rPr>
          <w:rFonts w:hint="eastAsia" w:ascii="宋体" w:hAnsi="宋体" w:eastAsia="宋体" w:cs="宋体"/>
          <w:color w:val="auto"/>
          <w:kern w:val="2"/>
          <w:sz w:val="24"/>
          <w:szCs w:val="24"/>
          <w:highlight w:val="none"/>
          <w:lang w:val="en-US" w:eastAsia="zh-CN" w:bidi="en-US"/>
        </w:rPr>
        <w:t xml:space="preserve">17.3.3 </w:t>
      </w:r>
      <w:r>
        <w:rPr>
          <w:rFonts w:hint="eastAsia" w:ascii="宋体" w:hAnsi="宋体" w:eastAsia="宋体" w:cs="宋体"/>
          <w:color w:val="auto"/>
          <w:kern w:val="2"/>
          <w:sz w:val="24"/>
          <w:szCs w:val="24"/>
          <w:highlight w:val="none"/>
          <w:lang w:val="zh-CN" w:eastAsia="zh-CN" w:bidi="zh-CN"/>
        </w:rPr>
        <w:t>(2)目的约定，将逾期付款违约金支付给承包人。</w:t>
      </w:r>
    </w:p>
    <w:p w14:paraId="5DDE2BE3">
      <w:pPr>
        <w:pageBreakBefore w:val="0"/>
        <w:widowControl w:val="0"/>
        <w:numPr>
          <w:ilvl w:val="0"/>
          <w:numId w:val="25"/>
        </w:numPr>
        <w:tabs>
          <w:tab w:val="left" w:pos="922"/>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承包人对发包人签认的最终结清证书有异议的，按第24条的约定办理。</w:t>
      </w:r>
    </w:p>
    <w:p w14:paraId="2F0E68BE">
      <w:pPr>
        <w:pageBreakBefore w:val="0"/>
        <w:widowControl w:val="0"/>
        <w:numPr>
          <w:ilvl w:val="0"/>
          <w:numId w:val="25"/>
        </w:numPr>
        <w:tabs>
          <w:tab w:val="left" w:pos="922"/>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最终结清付款涉及政府投资资金的，按第</w:t>
      </w:r>
      <w:r>
        <w:rPr>
          <w:rFonts w:hint="eastAsia" w:ascii="宋体" w:hAnsi="宋体" w:eastAsia="宋体" w:cs="宋体"/>
          <w:color w:val="auto"/>
          <w:kern w:val="2"/>
          <w:sz w:val="24"/>
          <w:szCs w:val="24"/>
          <w:highlight w:val="none"/>
          <w:lang w:val="en-US" w:eastAsia="zh-CN" w:bidi="en-US"/>
        </w:rPr>
        <w:t xml:space="preserve">17.3.3 </w:t>
      </w:r>
      <w:r>
        <w:rPr>
          <w:rFonts w:hint="eastAsia" w:ascii="宋体" w:hAnsi="宋体" w:eastAsia="宋体" w:cs="宋体"/>
          <w:color w:val="auto"/>
          <w:kern w:val="2"/>
          <w:sz w:val="24"/>
          <w:szCs w:val="24"/>
          <w:highlight w:val="none"/>
          <w:lang w:val="zh-CN" w:eastAsia="zh-CN" w:bidi="zh-CN"/>
        </w:rPr>
        <w:t>(4)目的约定办理。</w:t>
      </w:r>
    </w:p>
    <w:p w14:paraId="0C6B49FD">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17.7竣工财务决算</w:t>
      </w:r>
    </w:p>
    <w:p w14:paraId="284DBF88">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发包人负责编制本工程项目竣工财务决算，承包人应按专用合同条款的约定提供竣工财务决算编制所需的相关材料。</w:t>
      </w:r>
    </w:p>
    <w:p w14:paraId="62B7B2D0">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17.8竣工审计</w:t>
      </w:r>
    </w:p>
    <w:p w14:paraId="37FA55E8">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发包人负责完成本工程竣工审计手续，承包人应完成相关配合工作。</w:t>
      </w:r>
    </w:p>
    <w:p w14:paraId="3D2E0C06">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26" w:name="_Toc1631"/>
      <w:r>
        <w:rPr>
          <w:rFonts w:hint="eastAsia" w:ascii="宋体" w:hAnsi="宋体" w:eastAsia="宋体" w:cs="宋体"/>
          <w:color w:val="auto"/>
          <w:kern w:val="2"/>
          <w:sz w:val="24"/>
          <w:szCs w:val="24"/>
          <w:highlight w:val="none"/>
          <w:lang w:val="en-US" w:eastAsia="zh-CN" w:bidi="ar-SA"/>
        </w:rPr>
        <w:t>18.竣工验收（验收）</w:t>
      </w:r>
      <w:bookmarkEnd w:id="226"/>
    </w:p>
    <w:p w14:paraId="46476E5C">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18.1验收工作分类</w:t>
      </w:r>
    </w:p>
    <w:p w14:paraId="45676361">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本工程验收工作按主持单位分为法人验收和政府验收。法人验收和政府验收的类别在专用合同条款中约定。除专用合同条款另有约定外，法人验收由发包人主持。承包人应完成法人验收和政府验收的配合工作，所需费用应含在已标价工程量清单中。</w:t>
      </w:r>
    </w:p>
    <w:p w14:paraId="4C729AB6">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18.2分部工程验收</w:t>
      </w:r>
    </w:p>
    <w:p w14:paraId="1524D43F">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18.2.1</w:t>
      </w:r>
      <w:r>
        <w:rPr>
          <w:rFonts w:hint="eastAsia" w:ascii="宋体" w:hAnsi="宋体" w:eastAsia="宋体" w:cs="宋体"/>
          <w:color w:val="auto"/>
          <w:kern w:val="2"/>
          <w:sz w:val="24"/>
          <w:szCs w:val="24"/>
          <w:highlight w:val="none"/>
          <w:lang w:val="zh-CN" w:eastAsia="zh-CN" w:bidi="zh-CN"/>
        </w:rPr>
        <w:t>分部工程具备验收条件时，承包人应向发包人提交验收申请报告，发包人应在收到验收申请报告之日起10个工作日内决定是否同意进行验收。</w:t>
      </w:r>
    </w:p>
    <w:p w14:paraId="5F28EC2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18.2.2</w:t>
      </w:r>
      <w:r>
        <w:rPr>
          <w:rFonts w:hint="eastAsia" w:ascii="宋体" w:hAnsi="宋体" w:eastAsia="宋体" w:cs="宋体"/>
          <w:color w:val="auto"/>
          <w:kern w:val="2"/>
          <w:sz w:val="24"/>
          <w:szCs w:val="24"/>
          <w:highlight w:val="none"/>
          <w:lang w:val="zh-CN" w:eastAsia="zh-CN" w:bidi="zh-CN"/>
        </w:rPr>
        <w:t>除专用合同条款另有约定外，监理人主持分部工程验收，承包人应派符合条件的代表参加验收工作组。</w:t>
      </w:r>
    </w:p>
    <w:p w14:paraId="2C23B4C0">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18.2.3</w:t>
      </w:r>
      <w:r>
        <w:rPr>
          <w:rFonts w:hint="eastAsia" w:ascii="宋体" w:hAnsi="宋体" w:eastAsia="宋体" w:cs="宋体"/>
          <w:color w:val="auto"/>
          <w:kern w:val="2"/>
          <w:sz w:val="24"/>
          <w:szCs w:val="24"/>
          <w:highlight w:val="none"/>
          <w:lang w:val="zh-CN" w:eastAsia="zh-CN" w:bidi="zh-CN"/>
        </w:rPr>
        <w:t>分部工程验收通过后，发包人向承包人发送分部工程验收鉴定书。承包人应及时完成分部工程验收鉴定书载明应由承包人处理的遗留问题。</w:t>
      </w:r>
    </w:p>
    <w:p w14:paraId="457E256A">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18.3单位工程验收</w:t>
      </w:r>
    </w:p>
    <w:p w14:paraId="38CA85CD">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18.3.1</w:t>
      </w:r>
      <w:r>
        <w:rPr>
          <w:rFonts w:hint="eastAsia" w:ascii="宋体" w:hAnsi="宋体" w:eastAsia="宋体" w:cs="宋体"/>
          <w:color w:val="auto"/>
          <w:kern w:val="2"/>
          <w:sz w:val="24"/>
          <w:szCs w:val="24"/>
          <w:highlight w:val="none"/>
          <w:lang w:val="zh-CN" w:eastAsia="zh-CN" w:bidi="zh-CN"/>
        </w:rPr>
        <w:t>单位工程具备验收条件时，承包人应向发包人提交验收申请报告，发包人应在收到验收申请报告之日起10个工作日内决定是否同意进行验收。</w:t>
      </w:r>
    </w:p>
    <w:p w14:paraId="0EA03357">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18.3.2</w:t>
      </w:r>
      <w:r>
        <w:rPr>
          <w:rFonts w:hint="eastAsia" w:ascii="宋体" w:hAnsi="宋体" w:eastAsia="宋体" w:cs="宋体"/>
          <w:color w:val="auto"/>
          <w:kern w:val="2"/>
          <w:sz w:val="24"/>
          <w:szCs w:val="24"/>
          <w:highlight w:val="none"/>
          <w:lang w:val="zh-CN" w:eastAsia="zh-CN" w:bidi="zh-CN"/>
        </w:rPr>
        <w:t>发包人主持单位工程验收，承包人应派符合条件的代表参加验收工作组。</w:t>
      </w:r>
    </w:p>
    <w:p w14:paraId="3E87D54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18.3.3</w:t>
      </w:r>
      <w:r>
        <w:rPr>
          <w:rFonts w:hint="eastAsia" w:ascii="宋体" w:hAnsi="宋体" w:eastAsia="宋体" w:cs="宋体"/>
          <w:color w:val="auto"/>
          <w:kern w:val="2"/>
          <w:sz w:val="24"/>
          <w:szCs w:val="24"/>
          <w:highlight w:val="none"/>
          <w:lang w:val="zh-CN" w:eastAsia="zh-CN" w:bidi="zh-CN"/>
        </w:rPr>
        <w:t>单位工程验收通过后，发包人向承包人发送单位工程验收鉴定书。承包人应及时完成单位工程验收鉴定书载明应由承包人处理的遗留问题。</w:t>
      </w:r>
    </w:p>
    <w:p w14:paraId="4A385A41">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18.3.4</w:t>
      </w:r>
      <w:r>
        <w:rPr>
          <w:rFonts w:hint="eastAsia" w:ascii="宋体" w:hAnsi="宋体" w:eastAsia="宋体" w:cs="宋体"/>
          <w:color w:val="auto"/>
          <w:kern w:val="2"/>
          <w:sz w:val="24"/>
          <w:szCs w:val="24"/>
          <w:highlight w:val="none"/>
          <w:lang w:val="zh-CN" w:eastAsia="zh-CN" w:bidi="zh-CN"/>
        </w:rPr>
        <w:t>需提前投入使用的单位工程在专用合同条款中明确。</w:t>
      </w:r>
    </w:p>
    <w:p w14:paraId="22E699B0">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18.4合同工程完工验收</w:t>
      </w:r>
    </w:p>
    <w:p w14:paraId="7BE28996">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18.4.1</w:t>
      </w:r>
      <w:r>
        <w:rPr>
          <w:rFonts w:hint="eastAsia" w:ascii="宋体" w:hAnsi="宋体" w:eastAsia="宋体" w:cs="宋体"/>
          <w:color w:val="auto"/>
          <w:kern w:val="2"/>
          <w:sz w:val="24"/>
          <w:szCs w:val="24"/>
          <w:highlight w:val="none"/>
          <w:lang w:val="zh-CN" w:eastAsia="zh-CN" w:bidi="zh-CN"/>
        </w:rPr>
        <w:t>合同工程具备验收条件时，承包人应向发包人提交验收申请报告，发包人应在收到验收申请报告之日起20个工作日内决定是否同意进行验收。</w:t>
      </w:r>
    </w:p>
    <w:p w14:paraId="78CC253D">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18.4.2</w:t>
      </w:r>
      <w:r>
        <w:rPr>
          <w:rFonts w:hint="eastAsia" w:ascii="宋体" w:hAnsi="宋体" w:eastAsia="宋体" w:cs="宋体"/>
          <w:color w:val="auto"/>
          <w:kern w:val="2"/>
          <w:sz w:val="24"/>
          <w:szCs w:val="24"/>
          <w:highlight w:val="none"/>
          <w:lang w:val="zh-CN" w:eastAsia="zh-CN" w:bidi="zh-CN"/>
        </w:rPr>
        <w:t>发包人主持合同工程完工验收，承包人应派项目经理参加验收工作组。</w:t>
      </w:r>
    </w:p>
    <w:p w14:paraId="2DBD32C6">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18.4.3</w:t>
      </w:r>
      <w:r>
        <w:rPr>
          <w:rFonts w:hint="eastAsia" w:ascii="宋体" w:hAnsi="宋体" w:eastAsia="宋体" w:cs="宋体"/>
          <w:color w:val="auto"/>
          <w:kern w:val="2"/>
          <w:sz w:val="24"/>
          <w:szCs w:val="24"/>
          <w:highlight w:val="none"/>
          <w:lang w:val="zh-CN" w:eastAsia="zh-CN" w:bidi="zh-CN"/>
        </w:rPr>
        <w:t>合同工程完工验收通过后，发包人向承包人发送合同工程完工验收鉴定书。承包人应及时完成合同工程完工验收鉴定书载明应由承包人处理的遗留问题。</w:t>
      </w:r>
    </w:p>
    <w:p w14:paraId="69E49FB0">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18.4.4</w:t>
      </w:r>
      <w:r>
        <w:rPr>
          <w:rFonts w:hint="eastAsia" w:ascii="宋体" w:hAnsi="宋体" w:eastAsia="宋体" w:cs="宋体"/>
          <w:color w:val="auto"/>
          <w:kern w:val="2"/>
          <w:sz w:val="24"/>
          <w:szCs w:val="24"/>
          <w:highlight w:val="none"/>
          <w:lang w:val="zh-CN" w:eastAsia="zh-CN" w:bidi="zh-CN"/>
        </w:rPr>
        <w:t>合同工程完工验收通过后，发包人与承包人应在30个工作日内组织专人负责工程交接，双方交接负责人应在交接记录上签字。承包人应按验收鉴定书约定的时间及时 移交工程及其档案资料。工程移交时，承包人应向发包人递交工程质量保修书。在承包人 递交了工程质量保修书、完成施工场地清理以及提交有关资料后，发包人应30个工作日内 向承包人颁发合同工程完工证书。</w:t>
      </w:r>
    </w:p>
    <w:p w14:paraId="343FFC7E">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18.5阶段验收</w:t>
      </w:r>
    </w:p>
    <w:p w14:paraId="2AAE0BC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18.5.1</w:t>
      </w:r>
      <w:r>
        <w:rPr>
          <w:rFonts w:hint="eastAsia" w:ascii="宋体" w:hAnsi="宋体" w:eastAsia="宋体" w:cs="宋体"/>
          <w:color w:val="auto"/>
          <w:kern w:val="2"/>
          <w:sz w:val="24"/>
          <w:szCs w:val="24"/>
          <w:highlight w:val="none"/>
          <w:lang w:val="zh-CN" w:eastAsia="zh-CN" w:bidi="zh-CN"/>
        </w:rPr>
        <w:t>工程建设具备阶段验收条件时，发包人负责提出阶段验收申请报告。承包人应派代表参加阶段验收，并作为被验收单位在验收鉴定书上签字。阶段验收的具体类别在专用合同条款中约定。</w:t>
      </w:r>
    </w:p>
    <w:p w14:paraId="1FD72DCF">
      <w:pPr>
        <w:pageBreakBefore w:val="0"/>
        <w:widowControl w:val="0"/>
        <w:tabs>
          <w:tab w:val="left" w:pos="841"/>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18.5.</w:t>
      </w:r>
      <w:r>
        <w:rPr>
          <w:rFonts w:hint="eastAsia" w:ascii="宋体" w:hAnsi="宋体" w:eastAsia="宋体" w:cs="宋体"/>
          <w:color w:val="auto"/>
          <w:kern w:val="2"/>
          <w:sz w:val="24"/>
          <w:szCs w:val="24"/>
          <w:highlight w:val="none"/>
          <w:lang w:val="zh-CN" w:eastAsia="zh-CN" w:bidi="zh-CN"/>
        </w:rPr>
        <w:t>2承包人应及时完成阶段验收鉴定书载明应由承包人处理的遗留问题。</w:t>
      </w:r>
    </w:p>
    <w:p w14:paraId="4009A9D7">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18.6专项验收</w:t>
      </w:r>
    </w:p>
    <w:p w14:paraId="4C5D92B0">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18.6.1</w:t>
      </w:r>
      <w:r>
        <w:rPr>
          <w:rFonts w:hint="eastAsia" w:ascii="宋体" w:hAnsi="宋体" w:eastAsia="宋体" w:cs="宋体"/>
          <w:color w:val="auto"/>
          <w:kern w:val="2"/>
          <w:sz w:val="24"/>
          <w:szCs w:val="24"/>
          <w:highlight w:val="none"/>
          <w:lang w:val="zh-CN" w:eastAsia="zh-CN" w:bidi="zh-CN"/>
        </w:rPr>
        <w:t>发包人负责提出专项验收申请报告。承包人应按专项验收的相关规定参加专项验收。专项验收的具体类别在专用合同条款中约定。</w:t>
      </w:r>
    </w:p>
    <w:p w14:paraId="4C22436B">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18.6.</w:t>
      </w:r>
      <w:r>
        <w:rPr>
          <w:rFonts w:hint="eastAsia" w:ascii="宋体" w:hAnsi="宋体" w:eastAsia="宋体" w:cs="宋体"/>
          <w:color w:val="auto"/>
          <w:kern w:val="2"/>
          <w:sz w:val="24"/>
          <w:szCs w:val="24"/>
          <w:highlight w:val="none"/>
          <w:lang w:val="zh-CN" w:eastAsia="zh-CN" w:bidi="zh-CN"/>
        </w:rPr>
        <w:t>2承包应及时完成专项验收成果性文件载明应由承包人处理的遗留问题。</w:t>
      </w:r>
    </w:p>
    <w:p w14:paraId="46BB217B">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18.7竣工验收</w:t>
      </w:r>
    </w:p>
    <w:p w14:paraId="5C5CB556">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18.7.1</w:t>
      </w:r>
      <w:r>
        <w:rPr>
          <w:rFonts w:hint="eastAsia" w:ascii="宋体" w:hAnsi="宋体" w:eastAsia="宋体" w:cs="宋体"/>
          <w:color w:val="auto"/>
          <w:kern w:val="2"/>
          <w:sz w:val="24"/>
          <w:szCs w:val="24"/>
          <w:highlight w:val="none"/>
          <w:lang w:val="zh-CN" w:eastAsia="zh-CN" w:bidi="zh-CN"/>
        </w:rPr>
        <w:t>申请竣工验收前，发包人组织竣工验收自查，承包人应派项目经理或技术负责人参加。</w:t>
      </w:r>
    </w:p>
    <w:p w14:paraId="386238BF">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18.7.2</w:t>
      </w:r>
      <w:r>
        <w:rPr>
          <w:rFonts w:hint="eastAsia" w:ascii="宋体" w:hAnsi="宋体" w:eastAsia="宋体" w:cs="宋体"/>
          <w:color w:val="auto"/>
          <w:kern w:val="2"/>
          <w:sz w:val="24"/>
          <w:szCs w:val="24"/>
          <w:highlight w:val="none"/>
          <w:lang w:val="zh-CN" w:eastAsia="zh-CN" w:bidi="zh-CN"/>
        </w:rPr>
        <w:t>竣工验收分为竣工技术预验收和竣工验收两个阶段，发包人应通知承包人派法定代表人或项目经理参加技术预验收和竣工验收。</w:t>
      </w:r>
    </w:p>
    <w:p w14:paraId="41EF89C3">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18.7.3</w:t>
      </w:r>
      <w:r>
        <w:rPr>
          <w:rFonts w:hint="eastAsia" w:ascii="宋体" w:hAnsi="宋体" w:eastAsia="宋体" w:cs="宋体"/>
          <w:color w:val="auto"/>
          <w:kern w:val="2"/>
          <w:sz w:val="24"/>
          <w:szCs w:val="24"/>
          <w:highlight w:val="none"/>
          <w:lang w:val="zh-CN" w:eastAsia="zh-CN" w:bidi="zh-CN"/>
        </w:rPr>
        <w:t>专用合同条款约定工程需要进行技术鉴定的，承包人应提交有关资料并完成配合工作。</w:t>
      </w:r>
    </w:p>
    <w:p w14:paraId="27118610">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18.7.4</w:t>
      </w:r>
      <w:r>
        <w:rPr>
          <w:rFonts w:hint="eastAsia" w:ascii="宋体" w:hAnsi="宋体" w:eastAsia="宋体" w:cs="宋体"/>
          <w:color w:val="auto"/>
          <w:kern w:val="2"/>
          <w:sz w:val="24"/>
          <w:szCs w:val="24"/>
          <w:highlight w:val="none"/>
          <w:lang w:val="zh-CN" w:eastAsia="zh-CN" w:bidi="zh-CN"/>
        </w:rPr>
        <w:t>竣工验收需要进行质量检测的，所需费用由发包人承担，但因承包人原因造成质量不合格的除外。</w:t>
      </w:r>
    </w:p>
    <w:p w14:paraId="037FBD3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18.7.5</w:t>
      </w:r>
      <w:r>
        <w:rPr>
          <w:rFonts w:hint="eastAsia" w:ascii="宋体" w:hAnsi="宋体" w:eastAsia="宋体" w:cs="宋体"/>
          <w:color w:val="auto"/>
          <w:kern w:val="2"/>
          <w:sz w:val="24"/>
          <w:szCs w:val="24"/>
          <w:highlight w:val="none"/>
          <w:lang w:val="zh-CN" w:eastAsia="zh-CN" w:bidi="zh-CN"/>
        </w:rPr>
        <w:t>工程质量保修期满以及竣工验收遗留问题和尾工处理完成并通过验收后，发包人负责将处理情况和验收成果报送竣工验收主持单位，申请领取工程竣工证书，并发送承包人。</w:t>
      </w:r>
    </w:p>
    <w:p w14:paraId="7EDBBBD0">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18.8施工期运行</w:t>
      </w:r>
    </w:p>
    <w:p w14:paraId="3CCF6BB7">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18.8.1</w:t>
      </w:r>
      <w:r>
        <w:rPr>
          <w:rFonts w:hint="eastAsia" w:ascii="宋体" w:hAnsi="宋体" w:eastAsia="宋体" w:cs="宋体"/>
          <w:color w:val="auto"/>
          <w:kern w:val="2"/>
          <w:sz w:val="24"/>
          <w:szCs w:val="24"/>
          <w:highlight w:val="none"/>
          <w:lang w:val="zh-CN" w:eastAsia="zh-CN" w:bidi="zh-CN"/>
        </w:rPr>
        <w:t>施工期运行是指合同工程尚未全部完工，其中某单位工程或部分工程已完工, 需要投入施工期运行的，经发包人按第</w:t>
      </w:r>
      <w:r>
        <w:rPr>
          <w:rFonts w:hint="eastAsia" w:ascii="宋体" w:hAnsi="宋体" w:eastAsia="宋体" w:cs="宋体"/>
          <w:color w:val="auto"/>
          <w:kern w:val="2"/>
          <w:sz w:val="24"/>
          <w:szCs w:val="24"/>
          <w:highlight w:val="none"/>
          <w:lang w:val="en-US" w:eastAsia="zh-CN" w:bidi="en-US"/>
        </w:rPr>
        <w:t xml:space="preserve">18. </w:t>
      </w:r>
      <w:r>
        <w:rPr>
          <w:rFonts w:hint="eastAsia" w:ascii="宋体" w:hAnsi="宋体" w:eastAsia="宋体" w:cs="宋体"/>
          <w:color w:val="auto"/>
          <w:kern w:val="2"/>
          <w:sz w:val="24"/>
          <w:szCs w:val="24"/>
          <w:highlight w:val="none"/>
          <w:lang w:val="zh-CN" w:eastAsia="zh-CN" w:bidi="zh-CN"/>
        </w:rPr>
        <w:t>2款或第</w:t>
      </w:r>
      <w:r>
        <w:rPr>
          <w:rFonts w:hint="eastAsia" w:ascii="宋体" w:hAnsi="宋体" w:eastAsia="宋体" w:cs="宋体"/>
          <w:color w:val="auto"/>
          <w:kern w:val="2"/>
          <w:sz w:val="24"/>
          <w:szCs w:val="24"/>
          <w:highlight w:val="none"/>
          <w:lang w:val="en-US" w:eastAsia="zh-CN" w:bidi="en-US"/>
        </w:rPr>
        <w:t xml:space="preserve">18. </w:t>
      </w:r>
      <w:r>
        <w:rPr>
          <w:rFonts w:hint="eastAsia" w:ascii="宋体" w:hAnsi="宋体" w:eastAsia="宋体" w:cs="宋体"/>
          <w:color w:val="auto"/>
          <w:kern w:val="2"/>
          <w:sz w:val="24"/>
          <w:szCs w:val="24"/>
          <w:highlight w:val="none"/>
          <w:lang w:val="zh-CN" w:eastAsia="zh-CN" w:bidi="zh-CN"/>
        </w:rPr>
        <w:t>3款的约定验收合格，证明能确保安全后，才能在施工期投入运行。需要在施工期运行的单位工程或部分工程在专用合同条款中约定。</w:t>
      </w:r>
    </w:p>
    <w:p w14:paraId="6B92EAE3">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18.8.2</w:t>
      </w:r>
      <w:r>
        <w:rPr>
          <w:rFonts w:hint="eastAsia" w:ascii="宋体" w:hAnsi="宋体" w:eastAsia="宋体" w:cs="宋体"/>
          <w:color w:val="auto"/>
          <w:kern w:val="2"/>
          <w:sz w:val="24"/>
          <w:szCs w:val="24"/>
          <w:highlight w:val="none"/>
          <w:lang w:val="zh-CN" w:eastAsia="zh-CN" w:bidi="zh-CN"/>
        </w:rPr>
        <w:t>在施工期运行中发现工程或工程设备损坏或存在缺陷的，由承包人按第</w:t>
      </w:r>
      <w:r>
        <w:rPr>
          <w:rFonts w:hint="eastAsia" w:ascii="宋体" w:hAnsi="宋体" w:eastAsia="宋体" w:cs="宋体"/>
          <w:color w:val="auto"/>
          <w:kern w:val="2"/>
          <w:sz w:val="24"/>
          <w:szCs w:val="24"/>
          <w:highlight w:val="none"/>
          <w:lang w:val="en-US" w:eastAsia="zh-CN" w:bidi="en-US"/>
        </w:rPr>
        <w:t xml:space="preserve">19. </w:t>
      </w:r>
      <w:r>
        <w:rPr>
          <w:rFonts w:hint="eastAsia" w:ascii="宋体" w:hAnsi="宋体" w:eastAsia="宋体" w:cs="宋体"/>
          <w:color w:val="auto"/>
          <w:kern w:val="2"/>
          <w:sz w:val="24"/>
          <w:szCs w:val="24"/>
          <w:highlight w:val="none"/>
          <w:lang w:val="zh-CN" w:eastAsia="zh-CN" w:bidi="zh-CN"/>
        </w:rPr>
        <w:t>2 款约定进行修复。</w:t>
      </w:r>
    </w:p>
    <w:p w14:paraId="31177F01">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18.9试运行</w:t>
      </w:r>
    </w:p>
    <w:p w14:paraId="16E5CF7D">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18.9.1</w:t>
      </w:r>
      <w:r>
        <w:rPr>
          <w:rFonts w:hint="eastAsia" w:ascii="宋体" w:hAnsi="宋体" w:eastAsia="宋体" w:cs="宋体"/>
          <w:color w:val="auto"/>
          <w:kern w:val="2"/>
          <w:sz w:val="24"/>
          <w:szCs w:val="24"/>
          <w:highlight w:val="none"/>
          <w:lang w:val="zh-CN" w:eastAsia="zh-CN" w:bidi="zh-CN"/>
        </w:rPr>
        <w:t>除专用合同条款另有约定外，承包人应按规定进行工程及工程设备试运行, 负责提供试运行所需的人员、器材和必要的条件，并承担全部试运行费用。</w:t>
      </w:r>
    </w:p>
    <w:p w14:paraId="3A089370">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18.9.2</w:t>
      </w:r>
      <w:r>
        <w:rPr>
          <w:rFonts w:hint="eastAsia" w:ascii="宋体" w:hAnsi="宋体" w:eastAsia="宋体" w:cs="宋体"/>
          <w:color w:val="auto"/>
          <w:kern w:val="2"/>
          <w:sz w:val="24"/>
          <w:szCs w:val="24"/>
          <w:highlight w:val="none"/>
          <w:lang w:val="zh-CN" w:eastAsia="zh-CN" w:bidi="zh-CN"/>
        </w:rPr>
        <w:t>由于承包人的原因导致试运行失败的，承包人应采取措施保证试运行合格, 并承担相应费用。由于发包人的原因导致试运行失败的，承包人应当采取措施保证试运行合格，发包人应承担由此产生的费用，并支付承包人合理利润。</w:t>
      </w:r>
    </w:p>
    <w:p w14:paraId="0E94B818">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18.10竣工（完工）清场</w:t>
      </w:r>
    </w:p>
    <w:p w14:paraId="75D94630">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18.10.1</w:t>
      </w:r>
      <w:r>
        <w:rPr>
          <w:rFonts w:hint="eastAsia" w:ascii="宋体" w:hAnsi="宋体" w:eastAsia="宋体" w:cs="宋体"/>
          <w:color w:val="auto"/>
          <w:kern w:val="2"/>
          <w:sz w:val="24"/>
          <w:szCs w:val="24"/>
          <w:highlight w:val="none"/>
          <w:lang w:val="zh-CN" w:eastAsia="zh-CN" w:bidi="zh-CN"/>
        </w:rPr>
        <w:t>工程项目竣工（完工）清场的工作范围和内容在技术标准和要求（合同技术条款）中约定。</w:t>
      </w:r>
    </w:p>
    <w:p w14:paraId="3A991C15">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18.10.2</w:t>
      </w:r>
      <w:r>
        <w:rPr>
          <w:rFonts w:hint="eastAsia" w:ascii="宋体" w:hAnsi="宋体" w:eastAsia="宋体" w:cs="宋体"/>
          <w:color w:val="auto"/>
          <w:kern w:val="2"/>
          <w:sz w:val="24"/>
          <w:szCs w:val="24"/>
          <w:highlight w:val="none"/>
          <w:lang w:val="zh-CN" w:eastAsia="zh-CN" w:bidi="zh-CN"/>
        </w:rPr>
        <w:t>承包未按监理人的要求恢复临时占地，或者场地清理未达到合同约定的，发包人有权委托其它人恢复或清理，所发生的金额从拟支付给承包人的款项中扣除。</w:t>
      </w:r>
    </w:p>
    <w:p w14:paraId="654D9FCA">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18.11施工队伍的撤离</w:t>
      </w:r>
    </w:p>
    <w:p w14:paraId="404ABE8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合同工程完工证书颁发后的56天内，除了经监理人同意需在缺陷责任期（工程质量保修期）内继续工作和使用的人员、施工设备和临时工程外，其余的人员、施工设备和临时工程均应撤离施工场地或拆除。除合同另有约定外，缺陷责任期（工程质量保修期）满时, 承包人的人员和施工设备应全部撤离施工场地。</w:t>
      </w:r>
    </w:p>
    <w:p w14:paraId="568B96DB">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27" w:name="_Toc10782"/>
      <w:r>
        <w:rPr>
          <w:rFonts w:hint="eastAsia" w:ascii="宋体" w:hAnsi="宋体" w:eastAsia="宋体" w:cs="宋体"/>
          <w:color w:val="auto"/>
          <w:kern w:val="2"/>
          <w:sz w:val="24"/>
          <w:szCs w:val="24"/>
          <w:highlight w:val="none"/>
          <w:lang w:val="en-US" w:eastAsia="zh-CN" w:bidi="ar-SA"/>
        </w:rPr>
        <w:t>19.缺陷责任与保修责任</w:t>
      </w:r>
      <w:bookmarkEnd w:id="227"/>
    </w:p>
    <w:p w14:paraId="303DA60D">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19.1缺陷责任期（工程质量保修期）的起算时间</w:t>
      </w:r>
    </w:p>
    <w:p w14:paraId="353931D0">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除专用合同条款另有约定外，缺陷责任期（工程质量保修期）从工程通过合同工程完工验收后开始计算。在合同工程完工验收前，已经发包人提前验收的单位工程或部分工程, 若未投入使用，其缺陷责任期（工程质量保修期）亦从工程通过合同工程完工验收后开始计算；若已投入使用，其缺陷责任期（工程质量保修期）从通过单位工程或部分工程投入使用验收后开始计算。缺陷责任期（工程质量保修期）的期限在专用合同条款中约定。</w:t>
      </w:r>
    </w:p>
    <w:p w14:paraId="75ADFA85">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19.2缺陷责任</w:t>
      </w:r>
    </w:p>
    <w:p w14:paraId="52424C61">
      <w:pPr>
        <w:pageBreakBefore w:val="0"/>
        <w:widowControl w:val="0"/>
        <w:tabs>
          <w:tab w:val="left" w:pos="85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 xml:space="preserve">19.2. </w:t>
      </w:r>
      <w:r>
        <w:rPr>
          <w:rFonts w:hint="eastAsia" w:ascii="宋体" w:hAnsi="宋体" w:eastAsia="宋体" w:cs="宋体"/>
          <w:color w:val="auto"/>
          <w:kern w:val="2"/>
          <w:sz w:val="24"/>
          <w:szCs w:val="24"/>
          <w:highlight w:val="none"/>
          <w:lang w:val="zh-CN" w:eastAsia="zh-CN" w:bidi="zh-CN"/>
        </w:rPr>
        <w:t>1承包人应在缺陷责任期内对已交付使用的工程承担缺陷责任。</w:t>
      </w:r>
    </w:p>
    <w:p w14:paraId="443709C6">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19.2.2</w:t>
      </w:r>
      <w:r>
        <w:rPr>
          <w:rFonts w:hint="eastAsia" w:ascii="宋体" w:hAnsi="宋体" w:eastAsia="宋体" w:cs="宋体"/>
          <w:color w:val="auto"/>
          <w:kern w:val="2"/>
          <w:sz w:val="24"/>
          <w:szCs w:val="24"/>
          <w:highlight w:val="none"/>
          <w:lang w:val="zh-CN" w:eastAsia="zh-CN" w:bidi="zh-CN"/>
        </w:rPr>
        <w:t>缺陷责任期内，发包人对已接收使用的工程负责日常维护工作。发包人在使用过程中，发现已接收的工程存在新的缺陷或已修复的缺陷部位或部件又遭损坏的，承包人应负责修复，直至检验合格为止。</w:t>
      </w:r>
    </w:p>
    <w:p w14:paraId="02BE1C7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19.2.3</w:t>
      </w:r>
      <w:r>
        <w:rPr>
          <w:rFonts w:hint="eastAsia" w:ascii="宋体" w:hAnsi="宋体" w:eastAsia="宋体" w:cs="宋体"/>
          <w:color w:val="auto"/>
          <w:kern w:val="2"/>
          <w:sz w:val="24"/>
          <w:szCs w:val="24"/>
          <w:highlight w:val="none"/>
          <w:lang w:val="zh-CN" w:eastAsia="zh-CN" w:bidi="zh-CN"/>
        </w:rPr>
        <w:t>监理人和承包人应共同查清缺陷和（或）损坏的原因。经查明属承包人原因造成的，应由承包人承担修复和查验的费用。经查验属发包人原因造成的，发包人应承担修复和查验的费用，并支付承包人合理利润。</w:t>
      </w:r>
    </w:p>
    <w:p w14:paraId="41C5389B">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19.2.4</w:t>
      </w:r>
      <w:r>
        <w:rPr>
          <w:rFonts w:hint="eastAsia" w:ascii="宋体" w:hAnsi="宋体" w:eastAsia="宋体" w:cs="宋体"/>
          <w:color w:val="auto"/>
          <w:kern w:val="2"/>
          <w:sz w:val="24"/>
          <w:szCs w:val="24"/>
          <w:highlight w:val="none"/>
          <w:lang w:val="zh-CN" w:eastAsia="zh-CN" w:bidi="zh-CN"/>
        </w:rPr>
        <w:t>承包人不能在合理时间内修复缺陷的，发包人可自行修复或委托其他人修复, 所需费用和利润的承担，按第</w:t>
      </w:r>
      <w:r>
        <w:rPr>
          <w:rFonts w:hint="eastAsia" w:ascii="宋体" w:hAnsi="宋体" w:eastAsia="宋体" w:cs="宋体"/>
          <w:color w:val="auto"/>
          <w:kern w:val="2"/>
          <w:sz w:val="24"/>
          <w:szCs w:val="24"/>
          <w:highlight w:val="none"/>
          <w:lang w:val="en-US" w:eastAsia="zh-CN" w:bidi="en-US"/>
        </w:rPr>
        <w:t>19.2.</w:t>
      </w:r>
      <w:r>
        <w:rPr>
          <w:rFonts w:hint="eastAsia" w:ascii="宋体" w:hAnsi="宋体" w:eastAsia="宋体" w:cs="宋体"/>
          <w:color w:val="auto"/>
          <w:kern w:val="2"/>
          <w:sz w:val="24"/>
          <w:szCs w:val="24"/>
          <w:highlight w:val="none"/>
          <w:lang w:val="zh-CN" w:eastAsia="zh-CN" w:bidi="zh-CN"/>
        </w:rPr>
        <w:t>3项约定办理。</w:t>
      </w:r>
    </w:p>
    <w:p w14:paraId="72343298">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19.4进一步试验和试运行</w:t>
      </w:r>
    </w:p>
    <w:p w14:paraId="728863C3">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任何一项缺陷或损坏修复后，经检查证明其影响了工程或工程设备的使用性能，承包人应重新进行合同约定的试验和试运行，试验和试运行的全部费用应由责任方承担。</w:t>
      </w:r>
    </w:p>
    <w:p w14:paraId="667A1682">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19.3缺陷责任期的延长</w:t>
      </w:r>
    </w:p>
    <w:p w14:paraId="1E34DC3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由于承包人原因造成某项缺陷或损坏使某项工程或工程设备不能按原定目标使用而需要再次检查、检验和修复的，发包人有权要求承包人相应延长缺陷责任期，但缺陷责任期最长不超过2年。</w:t>
      </w:r>
    </w:p>
    <w:p w14:paraId="57BE6BAD">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19.5承包人的进入权</w:t>
      </w:r>
    </w:p>
    <w:p w14:paraId="4F955303">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缺陷责任期内承包人为缺陷修复工作需要，有权进入工程现场，但应遵守发包人的保安和保密规定。</w:t>
      </w:r>
    </w:p>
    <w:p w14:paraId="05C95851">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19.6缺陷责任期终止证书（工程质量保修责任终止证书）</w:t>
      </w:r>
    </w:p>
    <w:p w14:paraId="6DAC230C">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合同工程完工验收后，发包人与承包人应办理工程交接手续，承包人应向发包人递交工程质量保修书。</w:t>
      </w:r>
    </w:p>
    <w:p w14:paraId="0AF216C5">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缺陷责任期（工程质量保修期）满后30个工作日内，发包人应向承包人颁发工程质量保修责任终止证书，并退还剩余的质量保证金，但保修责任范围内的质量缺陷未处理完成的应除外。</w:t>
      </w:r>
    </w:p>
    <w:p w14:paraId="74B267DE">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19.7保修责任</w:t>
      </w:r>
    </w:p>
    <w:p w14:paraId="5FD05181">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合同当事人根据有关法律规定，在专用合同条款中约定工程质量保修范围、期限和责任。保修期自实际完工验收日期起计算。在全部工程竣工验收前，已经发包人提前验收的单位工程，其保修期的起算日期相应提前。</w:t>
      </w:r>
    </w:p>
    <w:p w14:paraId="55D7F2B9">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28" w:name="_Toc32698"/>
      <w:r>
        <w:rPr>
          <w:rFonts w:hint="eastAsia" w:ascii="宋体" w:hAnsi="宋体" w:eastAsia="宋体" w:cs="宋体"/>
          <w:color w:val="auto"/>
          <w:kern w:val="2"/>
          <w:sz w:val="24"/>
          <w:szCs w:val="24"/>
          <w:highlight w:val="none"/>
          <w:lang w:val="en-US" w:eastAsia="zh-CN" w:bidi="ar-SA"/>
        </w:rPr>
        <w:t>20.保险</w:t>
      </w:r>
      <w:bookmarkEnd w:id="228"/>
    </w:p>
    <w:p w14:paraId="233351A9">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20.1工程保险</w:t>
      </w:r>
    </w:p>
    <w:p w14:paraId="3BAB26D7">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除专用合同条款另有约定外，承包人应以发包人和承包人的共同名义向双方同意的保险人投保建筑工程一切险、安装工程一切险。其具体的投保内容、保险金额、保险费率、 保险期限等有关内容在专用合同条款中约定。</w:t>
      </w:r>
    </w:p>
    <w:p w14:paraId="3ED483F9">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20.2人员工伤事故的保险</w:t>
      </w:r>
    </w:p>
    <w:p w14:paraId="3074E68D">
      <w:pPr>
        <w:pageBreakBefore w:val="0"/>
        <w:widowControl w:val="0"/>
        <w:tabs>
          <w:tab w:val="left" w:pos="878"/>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20.2.</w:t>
      </w:r>
      <w:r>
        <w:rPr>
          <w:rFonts w:hint="eastAsia" w:ascii="宋体" w:hAnsi="宋体" w:eastAsia="宋体" w:cs="宋体"/>
          <w:color w:val="auto"/>
          <w:kern w:val="2"/>
          <w:sz w:val="24"/>
          <w:szCs w:val="24"/>
          <w:highlight w:val="none"/>
          <w:lang w:val="zh-CN" w:eastAsia="zh-CN" w:bidi="zh-CN"/>
        </w:rPr>
        <w:t>1承包人员工伤事故的保险</w:t>
      </w:r>
    </w:p>
    <w:p w14:paraId="18CE982C">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承包人应依照有关法律规定参加工伤保险，为其履行合同所雇佣的全部人员，缴纳工 伤保险费，并要求其分包人也进行此项保险。</w:t>
      </w:r>
    </w:p>
    <w:p w14:paraId="3C842AF7">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20.2.</w:t>
      </w:r>
      <w:r>
        <w:rPr>
          <w:rFonts w:hint="eastAsia" w:ascii="宋体" w:hAnsi="宋体" w:eastAsia="宋体" w:cs="宋体"/>
          <w:color w:val="auto"/>
          <w:kern w:val="2"/>
          <w:sz w:val="24"/>
          <w:szCs w:val="24"/>
          <w:highlight w:val="none"/>
          <w:lang w:val="zh-CN" w:eastAsia="zh-CN" w:bidi="zh-CN"/>
        </w:rPr>
        <w:t>2发包人员工伤事故的保险</w:t>
      </w:r>
    </w:p>
    <w:p w14:paraId="0108A5E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发包人应依照有关法律规定参加工伤保险，为其现场机构雇佣的全部人员，缴纳工伤保险费，并要求其监理人也进行此项保险。</w:t>
      </w:r>
    </w:p>
    <w:p w14:paraId="6A4E7309">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20.3人身意外伤害险</w:t>
      </w:r>
    </w:p>
    <w:p w14:paraId="364B68A5">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20.3.1</w:t>
      </w:r>
      <w:r>
        <w:rPr>
          <w:rFonts w:hint="eastAsia" w:ascii="宋体" w:hAnsi="宋体" w:eastAsia="宋体" w:cs="宋体"/>
          <w:color w:val="auto"/>
          <w:kern w:val="2"/>
          <w:sz w:val="24"/>
          <w:szCs w:val="24"/>
          <w:highlight w:val="none"/>
          <w:lang w:val="zh-CN" w:eastAsia="zh-CN" w:bidi="zh-CN"/>
        </w:rPr>
        <w:t>发包人应在整个施工期间为其现场机构雇用的全部人员，投保人身意外伤害险，缴纳保险费，并要求其监理人也进行此项保险。</w:t>
      </w:r>
    </w:p>
    <w:p w14:paraId="5FD29E08">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20.3.2</w:t>
      </w:r>
      <w:r>
        <w:rPr>
          <w:rFonts w:hint="eastAsia" w:ascii="宋体" w:hAnsi="宋体" w:eastAsia="宋体" w:cs="宋体"/>
          <w:color w:val="auto"/>
          <w:kern w:val="2"/>
          <w:sz w:val="24"/>
          <w:szCs w:val="24"/>
          <w:highlight w:val="none"/>
          <w:lang w:val="zh-CN" w:eastAsia="zh-CN" w:bidi="zh-CN"/>
        </w:rPr>
        <w:t>承包人应在整个施工期间为其现场机构雇用的全部人员，投保人身意外伤害险，缴纳保险费，并要求其分包人也进行此项保险。</w:t>
      </w:r>
    </w:p>
    <w:p w14:paraId="73A0EC78">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20.4第三者责任险</w:t>
      </w:r>
    </w:p>
    <w:p w14:paraId="6549F20E">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20.4.1</w:t>
      </w:r>
      <w:r>
        <w:rPr>
          <w:rFonts w:hint="eastAsia" w:ascii="宋体" w:hAnsi="宋体" w:eastAsia="宋体" w:cs="宋体"/>
          <w:color w:val="auto"/>
          <w:kern w:val="2"/>
          <w:sz w:val="24"/>
          <w:szCs w:val="24"/>
          <w:highlight w:val="none"/>
          <w:lang w:val="zh-CN" w:eastAsia="zh-CN" w:bidi="zh-CN"/>
        </w:rPr>
        <w:t>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14:paraId="7945A971">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20.4.2</w:t>
      </w:r>
      <w:r>
        <w:rPr>
          <w:rFonts w:hint="eastAsia" w:ascii="宋体" w:hAnsi="宋体" w:eastAsia="宋体" w:cs="宋体"/>
          <w:color w:val="auto"/>
          <w:kern w:val="2"/>
          <w:sz w:val="24"/>
          <w:szCs w:val="24"/>
          <w:highlight w:val="none"/>
          <w:lang w:val="zh-CN" w:eastAsia="zh-CN" w:bidi="zh-CN"/>
        </w:rPr>
        <w:t>在缺陷责任期终止证书颁发前，承包人应以承包人和发包人的共同名义，投保第</w:t>
      </w:r>
      <w:r>
        <w:rPr>
          <w:rFonts w:hint="eastAsia" w:ascii="宋体" w:hAnsi="宋体" w:eastAsia="宋体" w:cs="宋体"/>
          <w:color w:val="auto"/>
          <w:kern w:val="2"/>
          <w:sz w:val="24"/>
          <w:szCs w:val="24"/>
          <w:highlight w:val="none"/>
          <w:lang w:val="en-US" w:eastAsia="zh-CN" w:bidi="en-US"/>
        </w:rPr>
        <w:t>20. 4.1</w:t>
      </w:r>
      <w:r>
        <w:rPr>
          <w:rFonts w:hint="eastAsia" w:ascii="宋体" w:hAnsi="宋体" w:eastAsia="宋体" w:cs="宋体"/>
          <w:color w:val="auto"/>
          <w:kern w:val="2"/>
          <w:sz w:val="24"/>
          <w:szCs w:val="24"/>
          <w:highlight w:val="none"/>
          <w:lang w:val="zh-CN" w:eastAsia="zh-CN" w:bidi="zh-CN"/>
        </w:rPr>
        <w:t>项约定的第三者责任险，其保险费率、保险金额等有关内容在专用合同条款中约定。</w:t>
      </w:r>
    </w:p>
    <w:p w14:paraId="405A6265">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20.5其他保险</w:t>
      </w:r>
    </w:p>
    <w:p w14:paraId="36E3DE63">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除专用合同条款另有约定外，承包人应为其施工设备、进场的材料和工程设备等办理保险。</w:t>
      </w:r>
    </w:p>
    <w:p w14:paraId="3F2E766D">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20.6对各项保险的一般要求</w:t>
      </w:r>
    </w:p>
    <w:p w14:paraId="0AFF6538">
      <w:pPr>
        <w:pageBreakBefore w:val="0"/>
        <w:widowControl w:val="0"/>
        <w:kinsoku/>
        <w:wordWrap/>
        <w:overflowPunct/>
        <w:topLinePunct w:val="0"/>
        <w:bidi w:val="0"/>
        <w:spacing w:after="0" w:line="360" w:lineRule="auto"/>
        <w:ind w:left="0" w:leftChars="0"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20.6.</w:t>
      </w:r>
      <w:r>
        <w:rPr>
          <w:rFonts w:hint="eastAsia" w:ascii="宋体" w:hAnsi="宋体" w:eastAsia="宋体" w:cs="宋体"/>
          <w:color w:val="auto"/>
          <w:kern w:val="0"/>
          <w:sz w:val="24"/>
          <w:szCs w:val="24"/>
          <w:highlight w:val="none"/>
          <w:lang w:val="zh-CN" w:eastAsia="zh-CN" w:bidi="zh-CN"/>
        </w:rPr>
        <w:t>1保险凭证</w:t>
      </w:r>
    </w:p>
    <w:p w14:paraId="0B48D8B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承包人应在专用合同条款约定的期限内向发包人提交各项保险生效的证据和保险单副本，保险单必须与专用合同条款约定的条件保持一致。</w:t>
      </w:r>
    </w:p>
    <w:p w14:paraId="141E7531">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20.6.2</w:t>
      </w:r>
      <w:r>
        <w:rPr>
          <w:rFonts w:hint="eastAsia" w:ascii="宋体" w:hAnsi="宋体" w:eastAsia="宋体" w:cs="宋体"/>
          <w:color w:val="auto"/>
          <w:kern w:val="2"/>
          <w:sz w:val="24"/>
          <w:szCs w:val="24"/>
          <w:highlight w:val="none"/>
          <w:lang w:val="zh-CN" w:eastAsia="zh-CN" w:bidi="zh-CN"/>
        </w:rPr>
        <w:t>保险合同条款的变动</w:t>
      </w:r>
    </w:p>
    <w:p w14:paraId="1FD0D9DC">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承包人需要变动保险合同条款时，应事先征得发包人书面同意，并通知监理人。保险人作出变动的，承包人应在收到保险人通知后立即通知发包人和监理人。</w:t>
      </w:r>
    </w:p>
    <w:p w14:paraId="0D564F83">
      <w:pPr>
        <w:pageBreakBefore w:val="0"/>
        <w:widowControl w:val="0"/>
        <w:kinsoku/>
        <w:wordWrap/>
        <w:overflowPunct/>
        <w:topLinePunct w:val="0"/>
        <w:bidi w:val="0"/>
        <w:spacing w:after="0" w:line="360" w:lineRule="auto"/>
        <w:ind w:left="0" w:leftChars="0"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20.6.</w:t>
      </w:r>
      <w:r>
        <w:rPr>
          <w:rFonts w:hint="eastAsia" w:ascii="宋体" w:hAnsi="宋体" w:eastAsia="宋体" w:cs="宋体"/>
          <w:color w:val="auto"/>
          <w:kern w:val="0"/>
          <w:sz w:val="24"/>
          <w:szCs w:val="24"/>
          <w:highlight w:val="none"/>
          <w:lang w:val="zh-CN" w:eastAsia="zh-CN" w:bidi="zh-CN"/>
        </w:rPr>
        <w:t>3持续保险</w:t>
      </w:r>
    </w:p>
    <w:p w14:paraId="63C5E5B5">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承包人应与保险人保持联系，使保险人能够随时了解工程实施中的变动，并确保按保险合同条款要求持续保险。</w:t>
      </w:r>
    </w:p>
    <w:p w14:paraId="1EC8776E">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20.6.4</w:t>
      </w:r>
      <w:r>
        <w:rPr>
          <w:rFonts w:hint="eastAsia" w:ascii="宋体" w:hAnsi="宋体" w:eastAsia="宋体" w:cs="宋体"/>
          <w:color w:val="auto"/>
          <w:kern w:val="2"/>
          <w:sz w:val="24"/>
          <w:szCs w:val="24"/>
          <w:highlight w:val="none"/>
          <w:lang w:val="zh-CN" w:eastAsia="zh-CN" w:bidi="zh-CN"/>
        </w:rPr>
        <w:t>保险金不足的补偿</w:t>
      </w:r>
    </w:p>
    <w:p w14:paraId="1A772323">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保险金不足以补偿损失时，应由承包人和发包人各自负责补偿的范围和金额在专用合 同条款中约定。</w:t>
      </w:r>
    </w:p>
    <w:p w14:paraId="695C0796">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en-US" w:bidi="en-US"/>
        </w:rPr>
        <w:t>20. 6.</w:t>
      </w:r>
      <w:r>
        <w:rPr>
          <w:rFonts w:hint="eastAsia" w:ascii="宋体" w:hAnsi="宋体" w:eastAsia="宋体" w:cs="宋体"/>
          <w:color w:val="auto"/>
          <w:kern w:val="2"/>
          <w:sz w:val="24"/>
          <w:szCs w:val="24"/>
          <w:highlight w:val="none"/>
          <w:lang w:val="zh-CN" w:eastAsia="zh-CN" w:bidi="zh-CN"/>
        </w:rPr>
        <w:t>5未按约定投保的补救</w:t>
      </w:r>
    </w:p>
    <w:p w14:paraId="6377CF40">
      <w:pPr>
        <w:pageBreakBefore w:val="0"/>
        <w:widowControl w:val="0"/>
        <w:numPr>
          <w:ilvl w:val="0"/>
          <w:numId w:val="26"/>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由于负有投保义务的一方当事人未按合同约定办理保险，或未能使保险持续有效的，另一方当事人可代为办理，所需费用由对方当事人承担。</w:t>
      </w:r>
    </w:p>
    <w:p w14:paraId="5D5EF409">
      <w:pPr>
        <w:pageBreakBefore w:val="0"/>
        <w:widowControl w:val="0"/>
        <w:numPr>
          <w:ilvl w:val="0"/>
          <w:numId w:val="26"/>
        </w:numPr>
        <w:tabs>
          <w:tab w:val="left" w:pos="915"/>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由于负有投保义务的一方当事人未按合同约定办理某项保险，导致受益人未能得到保险人的赔偿，原应从该项保险得到的保险金应由负有投保义务的一方当事人支付。</w:t>
      </w:r>
    </w:p>
    <w:p w14:paraId="30B3D51C">
      <w:pPr>
        <w:pageBreakBefore w:val="0"/>
        <w:widowControl w:val="0"/>
        <w:kinsoku/>
        <w:wordWrap/>
        <w:overflowPunct/>
        <w:topLinePunct w:val="0"/>
        <w:bidi w:val="0"/>
        <w:spacing w:after="0" w:line="360" w:lineRule="auto"/>
        <w:ind w:left="0" w:leftChars="0"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20.6.6</w:t>
      </w:r>
      <w:r>
        <w:rPr>
          <w:rFonts w:hint="eastAsia" w:ascii="宋体" w:hAnsi="宋体" w:eastAsia="宋体" w:cs="宋体"/>
          <w:color w:val="auto"/>
          <w:kern w:val="0"/>
          <w:sz w:val="24"/>
          <w:szCs w:val="24"/>
          <w:highlight w:val="none"/>
          <w:lang w:val="zh-CN" w:eastAsia="zh-CN" w:bidi="zh-CN"/>
        </w:rPr>
        <w:t>报告义务</w:t>
      </w:r>
    </w:p>
    <w:p w14:paraId="32F40646">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当保险事故发生时，投保人应按照保险单规定的条件和期限及时向保险人报告。</w:t>
      </w:r>
    </w:p>
    <w:p w14:paraId="47FE339C">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20.7风险责任的转移</w:t>
      </w:r>
    </w:p>
    <w:p w14:paraId="05A36AE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工程通过合同工程完工验收并移交给发包人后，原由承包人应承担的风险责任，以及保险的责任、权利和义务同时转移给发包人，但承包人在缺陷责任期(工程质量保修期) 前造成损失和损坏情形除外</w:t>
      </w:r>
      <w:r>
        <w:rPr>
          <w:rFonts w:hint="eastAsia" w:ascii="宋体" w:hAnsi="宋体" w:eastAsia="宋体" w:cs="宋体"/>
          <w:color w:val="auto"/>
          <w:kern w:val="2"/>
          <w:sz w:val="24"/>
          <w:szCs w:val="24"/>
          <w:highlight w:val="none"/>
          <w:lang w:val="en-US" w:eastAsia="zh-CN" w:bidi="en-US"/>
        </w:rPr>
        <w:t>。</w:t>
      </w:r>
    </w:p>
    <w:p w14:paraId="7531805C">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29" w:name="_Toc19337"/>
      <w:r>
        <w:rPr>
          <w:rFonts w:hint="eastAsia" w:ascii="宋体" w:hAnsi="宋体" w:eastAsia="宋体" w:cs="宋体"/>
          <w:color w:val="auto"/>
          <w:kern w:val="2"/>
          <w:sz w:val="24"/>
          <w:szCs w:val="24"/>
          <w:highlight w:val="none"/>
          <w:lang w:val="en-US" w:eastAsia="zh-CN" w:bidi="ar-SA"/>
        </w:rPr>
        <w:t>21.不可抗力</w:t>
      </w:r>
      <w:bookmarkEnd w:id="229"/>
    </w:p>
    <w:p w14:paraId="1761D0DD">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21.1不可抗力的确认</w:t>
      </w:r>
    </w:p>
    <w:p w14:paraId="16384727">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21.1.1</w:t>
      </w:r>
      <w:r>
        <w:rPr>
          <w:rFonts w:hint="eastAsia" w:ascii="宋体" w:hAnsi="宋体" w:eastAsia="宋体" w:cs="宋体"/>
          <w:color w:val="auto"/>
          <w:kern w:val="2"/>
          <w:sz w:val="24"/>
          <w:szCs w:val="24"/>
          <w:highlight w:val="none"/>
          <w:lang w:val="zh-CN" w:eastAsia="zh-CN" w:bidi="zh-CN"/>
        </w:rPr>
        <w:t>不可抗力是指承包人和发包人在订立合同时不可预见，在工程施工过程中不可避免发生并不能克服的自然灾害和社会性突发事件，如地震、海啸、瘟疫、水灾、骚乱、 暴动、战争和专用合同条款约定的其他情形。</w:t>
      </w:r>
    </w:p>
    <w:p w14:paraId="25AD7262">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21.1.2</w:t>
      </w:r>
      <w:r>
        <w:rPr>
          <w:rFonts w:hint="eastAsia" w:ascii="宋体" w:hAnsi="宋体" w:eastAsia="宋体" w:cs="宋体"/>
          <w:color w:val="auto"/>
          <w:kern w:val="2"/>
          <w:sz w:val="24"/>
          <w:szCs w:val="24"/>
          <w:highlight w:val="none"/>
          <w:lang w:val="zh-CN" w:eastAsia="zh-CN" w:bidi="zh-CN"/>
        </w:rPr>
        <w:t>不可抗力发生后，发包人和承包人应及时认真统计所造成的损失，收集不可抗力造成损失的证据。合同双方对是否属于不可抗力或其损失的意见不一致的，由监理人按第</w:t>
      </w:r>
      <w:r>
        <w:rPr>
          <w:rFonts w:hint="eastAsia" w:ascii="宋体" w:hAnsi="宋体" w:eastAsia="宋体" w:cs="宋体"/>
          <w:color w:val="auto"/>
          <w:kern w:val="2"/>
          <w:sz w:val="24"/>
          <w:szCs w:val="24"/>
          <w:highlight w:val="none"/>
          <w:lang w:val="en-US" w:eastAsia="zh-CN" w:bidi="en-US"/>
        </w:rPr>
        <w:t xml:space="preserve">3. </w:t>
      </w:r>
      <w:r>
        <w:rPr>
          <w:rFonts w:hint="eastAsia" w:ascii="宋体" w:hAnsi="宋体" w:eastAsia="宋体" w:cs="宋体"/>
          <w:color w:val="auto"/>
          <w:kern w:val="2"/>
          <w:sz w:val="24"/>
          <w:szCs w:val="24"/>
          <w:highlight w:val="none"/>
          <w:lang w:val="zh-CN" w:eastAsia="zh-CN" w:bidi="zh-CN"/>
        </w:rPr>
        <w:t>5款商定或确定。发生争议时，按第24条的约定办理。</w:t>
      </w:r>
    </w:p>
    <w:p w14:paraId="79338AB2">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21.2不可抗力的通知</w:t>
      </w:r>
    </w:p>
    <w:p w14:paraId="0AA4348D">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21.2.1</w:t>
      </w:r>
      <w:r>
        <w:rPr>
          <w:rFonts w:hint="eastAsia" w:ascii="宋体" w:hAnsi="宋体" w:eastAsia="宋体" w:cs="宋体"/>
          <w:color w:val="auto"/>
          <w:kern w:val="2"/>
          <w:sz w:val="24"/>
          <w:szCs w:val="24"/>
          <w:highlight w:val="none"/>
          <w:lang w:val="zh-CN" w:eastAsia="zh-CN" w:bidi="zh-CN"/>
        </w:rPr>
        <w:t>合同一方当事人遇到不可抗力事件，使其履行合同义务受到阻碍时，应立即通知合同另一方当事人和监理人，书面说明不可抗力和受阻碍的详细情况，并提供必要的证明。</w:t>
      </w:r>
    </w:p>
    <w:p w14:paraId="4D313D45">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21.2.2</w:t>
      </w:r>
      <w:r>
        <w:rPr>
          <w:rFonts w:hint="eastAsia" w:ascii="宋体" w:hAnsi="宋体" w:eastAsia="宋体" w:cs="宋体"/>
          <w:color w:val="auto"/>
          <w:kern w:val="2"/>
          <w:sz w:val="24"/>
          <w:szCs w:val="24"/>
          <w:highlight w:val="none"/>
          <w:lang w:val="zh-CN" w:eastAsia="zh-CN" w:bidi="zh-CN"/>
        </w:rPr>
        <w:t>如不可抗力持续发生，合同一方当事人应及时向合同另一方当事人和监理人提交中间报告，说明不可抗力和履行合同受阻的情况，并于不可抗力事件结束后28天内提交最终报告及有关资料。</w:t>
      </w:r>
    </w:p>
    <w:p w14:paraId="21338A95">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21.3不可抗力后果及其处理</w:t>
      </w:r>
    </w:p>
    <w:p w14:paraId="620AC0F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21.3.1</w:t>
      </w:r>
      <w:r>
        <w:rPr>
          <w:rFonts w:hint="eastAsia" w:ascii="宋体" w:hAnsi="宋体" w:eastAsia="宋体" w:cs="宋体"/>
          <w:color w:val="auto"/>
          <w:kern w:val="2"/>
          <w:sz w:val="24"/>
          <w:szCs w:val="24"/>
          <w:highlight w:val="none"/>
          <w:lang w:val="zh-CN" w:eastAsia="zh-CN" w:bidi="zh-CN"/>
        </w:rPr>
        <w:t>不可抗力造成损害的责任</w:t>
      </w:r>
    </w:p>
    <w:p w14:paraId="05A8964F">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除专用合同条款另有约定外，不可抗力导致的人员伤亡、财产损失、费用增加和(或) 工期延误等后果，由合同双方按以下原则承担：</w:t>
      </w:r>
    </w:p>
    <w:p w14:paraId="1477336D">
      <w:pPr>
        <w:pageBreakBefore w:val="0"/>
        <w:widowControl w:val="0"/>
        <w:numPr>
          <w:ilvl w:val="0"/>
          <w:numId w:val="27"/>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永久工程，包括已运至施工场地的材料和工程设备的损害，以及因工程损害造成的第三者人员伤亡和财产损失由发包人承担；</w:t>
      </w:r>
    </w:p>
    <w:p w14:paraId="292E078C">
      <w:pPr>
        <w:pageBreakBefore w:val="0"/>
        <w:widowControl w:val="0"/>
        <w:numPr>
          <w:ilvl w:val="0"/>
          <w:numId w:val="27"/>
        </w:numPr>
        <w:tabs>
          <w:tab w:val="left" w:pos="92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承包人设备的损坏由承包人承担；</w:t>
      </w:r>
    </w:p>
    <w:p w14:paraId="4BD6F98C">
      <w:pPr>
        <w:pageBreakBefore w:val="0"/>
        <w:widowControl w:val="0"/>
        <w:numPr>
          <w:ilvl w:val="0"/>
          <w:numId w:val="27"/>
        </w:numPr>
        <w:tabs>
          <w:tab w:val="left" w:pos="92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发包人和承包人各自承担其人员伤亡和其他财产损失及其相关费用；</w:t>
      </w:r>
    </w:p>
    <w:p w14:paraId="7904E911">
      <w:pPr>
        <w:pageBreakBefore w:val="0"/>
        <w:widowControl w:val="0"/>
        <w:numPr>
          <w:ilvl w:val="0"/>
          <w:numId w:val="27"/>
        </w:numPr>
        <w:tabs>
          <w:tab w:val="left" w:pos="915"/>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承包人的停工损失由承包人承担，但停工期间应监理人要求照管工程和清理、修复工程的金额由发包人承担；</w:t>
      </w:r>
    </w:p>
    <w:p w14:paraId="19D08F8A">
      <w:pPr>
        <w:pageBreakBefore w:val="0"/>
        <w:widowControl w:val="0"/>
        <w:numPr>
          <w:ilvl w:val="0"/>
          <w:numId w:val="27"/>
        </w:numPr>
        <w:tabs>
          <w:tab w:val="left" w:pos="92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不能按期竣工的，应合理延长工期，承包人不需支付逾期竣工违约金。发包人要求赶工的，承包人应采取赶工措施，赶工费用由发包人承担。</w:t>
      </w:r>
    </w:p>
    <w:p w14:paraId="2264B34E">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21.3.2</w:t>
      </w:r>
      <w:r>
        <w:rPr>
          <w:rFonts w:hint="eastAsia" w:ascii="宋体" w:hAnsi="宋体" w:eastAsia="宋体" w:cs="宋体"/>
          <w:color w:val="auto"/>
          <w:kern w:val="2"/>
          <w:sz w:val="24"/>
          <w:szCs w:val="24"/>
          <w:highlight w:val="none"/>
          <w:lang w:val="zh-CN" w:eastAsia="zh-CN" w:bidi="zh-CN"/>
        </w:rPr>
        <w:t>延迟履行期间发生的不可抗力</w:t>
      </w:r>
    </w:p>
    <w:p w14:paraId="00BB6AA2">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合同一方当事人延迟履行，在延迟履行期间发生不可抗力的，不免除其责任。</w:t>
      </w:r>
    </w:p>
    <w:p w14:paraId="68154335">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zh-CN"/>
        </w:rPr>
        <w:t>21.3.3</w:t>
      </w:r>
      <w:r>
        <w:rPr>
          <w:rFonts w:hint="eastAsia" w:ascii="宋体" w:hAnsi="宋体" w:eastAsia="宋体" w:cs="宋体"/>
          <w:color w:val="auto"/>
          <w:kern w:val="2"/>
          <w:sz w:val="24"/>
          <w:szCs w:val="24"/>
          <w:highlight w:val="none"/>
          <w:lang w:val="zh-CN" w:eastAsia="zh-CN" w:bidi="zh-CN"/>
        </w:rPr>
        <w:t>避免和减少不可抗力损失</w:t>
      </w:r>
    </w:p>
    <w:p w14:paraId="5F5B1067">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不可抗力发生后，发包人和承包人均应采取措施尽量避免和减少损失的扩大，任何一 方没有采取有效措施导致损失扩大的，应对扩大的损失承担责任。</w:t>
      </w:r>
    </w:p>
    <w:p w14:paraId="130CCAD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zh-CN"/>
        </w:rPr>
      </w:pPr>
      <w:r>
        <w:rPr>
          <w:rFonts w:hint="eastAsia" w:ascii="宋体" w:hAnsi="宋体" w:eastAsia="宋体" w:cs="宋体"/>
          <w:color w:val="auto"/>
          <w:kern w:val="2"/>
          <w:sz w:val="24"/>
          <w:szCs w:val="24"/>
          <w:highlight w:val="none"/>
          <w:lang w:val="en-US" w:eastAsia="zh-CN" w:bidi="zh-CN"/>
        </w:rPr>
        <w:t>21.3.4因不可抗力解除合同</w:t>
      </w:r>
    </w:p>
    <w:p w14:paraId="6134BA33">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合同一方当事人因不可抗力不能履行合同的，应当及时通知对方解除合同。合同解除后，承包人应按照第</w:t>
      </w:r>
      <w:r>
        <w:rPr>
          <w:rFonts w:hint="eastAsia" w:ascii="宋体" w:hAnsi="宋体" w:eastAsia="宋体" w:cs="宋体"/>
          <w:color w:val="auto"/>
          <w:kern w:val="2"/>
          <w:sz w:val="24"/>
          <w:szCs w:val="24"/>
          <w:highlight w:val="none"/>
          <w:lang w:val="en-US" w:eastAsia="zh-CN" w:bidi="en-US"/>
        </w:rPr>
        <w:t>22.2.5</w:t>
      </w:r>
      <w:r>
        <w:rPr>
          <w:rFonts w:hint="eastAsia" w:ascii="宋体" w:hAnsi="宋体" w:eastAsia="宋体" w:cs="宋体"/>
          <w:color w:val="auto"/>
          <w:kern w:val="2"/>
          <w:sz w:val="24"/>
          <w:szCs w:val="24"/>
          <w:highlight w:val="none"/>
          <w:lang w:val="zh-CN" w:eastAsia="zh-CN" w:bidi="zh-CN"/>
        </w:rPr>
        <w:t>项约定撤离施工场地。已经订货的材料、设备由订货方负责退货或解除订货合同，不能退还的货款和因退货、解除订货合同发生的费用，由发包人承担, 因未及时退货造成的损失由责任方承担。合同解除后的付款，参照第</w:t>
      </w:r>
      <w:r>
        <w:rPr>
          <w:rFonts w:hint="eastAsia" w:ascii="宋体" w:hAnsi="宋体" w:eastAsia="宋体" w:cs="宋体"/>
          <w:color w:val="auto"/>
          <w:kern w:val="2"/>
          <w:sz w:val="24"/>
          <w:szCs w:val="24"/>
          <w:highlight w:val="none"/>
          <w:lang w:val="en-US" w:eastAsia="zh-CN" w:bidi="en-US"/>
        </w:rPr>
        <w:t>22. 2.4</w:t>
      </w:r>
      <w:r>
        <w:rPr>
          <w:rFonts w:hint="eastAsia" w:ascii="宋体" w:hAnsi="宋体" w:eastAsia="宋体" w:cs="宋体"/>
          <w:color w:val="auto"/>
          <w:kern w:val="2"/>
          <w:sz w:val="24"/>
          <w:szCs w:val="24"/>
          <w:highlight w:val="none"/>
          <w:lang w:val="zh-CN" w:eastAsia="zh-CN" w:bidi="zh-CN"/>
        </w:rPr>
        <w:t>项约定，由监理人按第</w:t>
      </w:r>
      <w:r>
        <w:rPr>
          <w:rFonts w:hint="eastAsia" w:ascii="宋体" w:hAnsi="宋体" w:eastAsia="宋体" w:cs="宋体"/>
          <w:color w:val="auto"/>
          <w:kern w:val="2"/>
          <w:sz w:val="24"/>
          <w:szCs w:val="24"/>
          <w:highlight w:val="none"/>
          <w:lang w:val="en-US" w:eastAsia="zh-CN" w:bidi="en-US"/>
        </w:rPr>
        <w:t xml:space="preserve">3. </w:t>
      </w:r>
      <w:r>
        <w:rPr>
          <w:rFonts w:hint="eastAsia" w:ascii="宋体" w:hAnsi="宋体" w:eastAsia="宋体" w:cs="宋体"/>
          <w:color w:val="auto"/>
          <w:kern w:val="2"/>
          <w:sz w:val="24"/>
          <w:szCs w:val="24"/>
          <w:highlight w:val="none"/>
          <w:lang w:val="zh-CN" w:eastAsia="zh-CN" w:bidi="zh-CN"/>
        </w:rPr>
        <w:t>5款商定或确定。</w:t>
      </w:r>
    </w:p>
    <w:p w14:paraId="47AFA36C">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30" w:name="_Toc5287"/>
      <w:r>
        <w:rPr>
          <w:rFonts w:hint="eastAsia" w:ascii="宋体" w:hAnsi="宋体" w:eastAsia="宋体" w:cs="宋体"/>
          <w:color w:val="auto"/>
          <w:kern w:val="2"/>
          <w:sz w:val="24"/>
          <w:szCs w:val="24"/>
          <w:highlight w:val="none"/>
          <w:lang w:val="en-US" w:eastAsia="zh-CN" w:bidi="ar-SA"/>
        </w:rPr>
        <w:t>22.违约</w:t>
      </w:r>
      <w:bookmarkEnd w:id="230"/>
    </w:p>
    <w:p w14:paraId="560E4329">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22.1承包人违约</w:t>
      </w:r>
    </w:p>
    <w:p w14:paraId="151CC026">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22.1.1</w:t>
      </w:r>
      <w:r>
        <w:rPr>
          <w:rFonts w:hint="eastAsia" w:ascii="宋体" w:hAnsi="宋体" w:eastAsia="宋体" w:cs="宋体"/>
          <w:color w:val="auto"/>
          <w:kern w:val="2"/>
          <w:sz w:val="24"/>
          <w:szCs w:val="24"/>
          <w:highlight w:val="none"/>
          <w:lang w:val="zh-CN" w:eastAsia="zh-CN" w:bidi="zh-CN"/>
        </w:rPr>
        <w:t>承包人违约的情形</w:t>
      </w:r>
    </w:p>
    <w:p w14:paraId="3E21AEEF">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在履行合同过程中发生的下列情况属承包人违约：</w:t>
      </w:r>
    </w:p>
    <w:p w14:paraId="636F7982">
      <w:pPr>
        <w:pageBreakBefore w:val="0"/>
        <w:widowControl w:val="0"/>
        <w:numPr>
          <w:ilvl w:val="0"/>
          <w:numId w:val="28"/>
        </w:numPr>
        <w:tabs>
          <w:tab w:val="left" w:pos="92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承包人违反第</w:t>
      </w:r>
      <w:r>
        <w:rPr>
          <w:rFonts w:hint="eastAsia" w:ascii="宋体" w:hAnsi="宋体" w:eastAsia="宋体" w:cs="宋体"/>
          <w:color w:val="auto"/>
          <w:kern w:val="2"/>
          <w:sz w:val="24"/>
          <w:szCs w:val="24"/>
          <w:highlight w:val="none"/>
          <w:lang w:val="en-US" w:eastAsia="zh-CN" w:bidi="en-US"/>
        </w:rPr>
        <w:t>1.8</w:t>
      </w:r>
      <w:r>
        <w:rPr>
          <w:rFonts w:hint="eastAsia" w:ascii="宋体" w:hAnsi="宋体" w:eastAsia="宋体" w:cs="宋体"/>
          <w:color w:val="auto"/>
          <w:kern w:val="2"/>
          <w:sz w:val="24"/>
          <w:szCs w:val="24"/>
          <w:highlight w:val="none"/>
          <w:lang w:val="zh-CN" w:eastAsia="zh-CN" w:bidi="zh-CN"/>
        </w:rPr>
        <w:t>款或第</w:t>
      </w:r>
      <w:r>
        <w:rPr>
          <w:rFonts w:hint="eastAsia" w:ascii="宋体" w:hAnsi="宋体" w:eastAsia="宋体" w:cs="宋体"/>
          <w:color w:val="auto"/>
          <w:kern w:val="2"/>
          <w:sz w:val="24"/>
          <w:szCs w:val="24"/>
          <w:highlight w:val="none"/>
          <w:lang w:val="en-US" w:eastAsia="zh-CN" w:bidi="en-US"/>
        </w:rPr>
        <w:t xml:space="preserve">4. </w:t>
      </w:r>
      <w:r>
        <w:rPr>
          <w:rFonts w:hint="eastAsia" w:ascii="宋体" w:hAnsi="宋体" w:eastAsia="宋体" w:cs="宋体"/>
          <w:color w:val="auto"/>
          <w:kern w:val="2"/>
          <w:sz w:val="24"/>
          <w:szCs w:val="24"/>
          <w:highlight w:val="none"/>
          <w:lang w:val="zh-CN" w:eastAsia="zh-CN" w:bidi="zh-CN"/>
        </w:rPr>
        <w:t>3款的约定，私自将合同的全部或部分权利转让给其他人，或私自将合同的全部或部分义务转移给其他人；</w:t>
      </w:r>
    </w:p>
    <w:p w14:paraId="633E1C80">
      <w:pPr>
        <w:pageBreakBefore w:val="0"/>
        <w:widowControl w:val="0"/>
        <w:numPr>
          <w:ilvl w:val="0"/>
          <w:numId w:val="28"/>
        </w:numPr>
        <w:tabs>
          <w:tab w:val="left" w:pos="92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承包人违反第</w:t>
      </w:r>
      <w:r>
        <w:rPr>
          <w:rFonts w:hint="eastAsia" w:ascii="宋体" w:hAnsi="宋体" w:eastAsia="宋体" w:cs="宋体"/>
          <w:color w:val="auto"/>
          <w:kern w:val="2"/>
          <w:sz w:val="24"/>
          <w:szCs w:val="24"/>
          <w:highlight w:val="none"/>
          <w:lang w:val="en-US" w:eastAsia="zh-CN" w:bidi="en-US"/>
        </w:rPr>
        <w:t xml:space="preserve">5. </w:t>
      </w:r>
      <w:r>
        <w:rPr>
          <w:rFonts w:hint="eastAsia" w:ascii="宋体" w:hAnsi="宋体" w:eastAsia="宋体" w:cs="宋体"/>
          <w:color w:val="auto"/>
          <w:kern w:val="2"/>
          <w:sz w:val="24"/>
          <w:szCs w:val="24"/>
          <w:highlight w:val="none"/>
          <w:lang w:val="zh-CN" w:eastAsia="zh-CN" w:bidi="zh-CN"/>
        </w:rPr>
        <w:t>3款或第</w:t>
      </w:r>
      <w:r>
        <w:rPr>
          <w:rFonts w:hint="eastAsia" w:ascii="宋体" w:hAnsi="宋体" w:eastAsia="宋体" w:cs="宋体"/>
          <w:color w:val="auto"/>
          <w:kern w:val="2"/>
          <w:sz w:val="24"/>
          <w:szCs w:val="24"/>
          <w:highlight w:val="none"/>
          <w:lang w:val="en-US" w:eastAsia="zh-CN" w:bidi="en-US"/>
        </w:rPr>
        <w:t xml:space="preserve">6. </w:t>
      </w:r>
      <w:r>
        <w:rPr>
          <w:rFonts w:hint="eastAsia" w:ascii="宋体" w:hAnsi="宋体" w:eastAsia="宋体" w:cs="宋体"/>
          <w:color w:val="auto"/>
          <w:kern w:val="2"/>
          <w:sz w:val="24"/>
          <w:szCs w:val="24"/>
          <w:highlight w:val="none"/>
          <w:lang w:val="zh-CN" w:eastAsia="zh-CN" w:bidi="zh-CN"/>
        </w:rPr>
        <w:t>4款的约定，未经监理人批准，私自将已按合同约定进入施工场地的施工设备、临时设施或材料撤离施工场地；</w:t>
      </w:r>
    </w:p>
    <w:p w14:paraId="6AE4D868">
      <w:pPr>
        <w:pageBreakBefore w:val="0"/>
        <w:widowControl w:val="0"/>
        <w:numPr>
          <w:ilvl w:val="0"/>
          <w:numId w:val="28"/>
        </w:numPr>
        <w:tabs>
          <w:tab w:val="left" w:pos="922"/>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承包人违反第</w:t>
      </w:r>
      <w:r>
        <w:rPr>
          <w:rFonts w:hint="eastAsia" w:ascii="宋体" w:hAnsi="宋体" w:eastAsia="宋体" w:cs="宋体"/>
          <w:color w:val="auto"/>
          <w:kern w:val="2"/>
          <w:sz w:val="24"/>
          <w:szCs w:val="24"/>
          <w:highlight w:val="none"/>
          <w:lang w:val="en-US" w:eastAsia="zh-CN" w:bidi="en-US"/>
        </w:rPr>
        <w:t xml:space="preserve">5. </w:t>
      </w:r>
      <w:r>
        <w:rPr>
          <w:rFonts w:hint="eastAsia" w:ascii="宋体" w:hAnsi="宋体" w:eastAsia="宋体" w:cs="宋体"/>
          <w:color w:val="auto"/>
          <w:kern w:val="2"/>
          <w:sz w:val="24"/>
          <w:szCs w:val="24"/>
          <w:highlight w:val="none"/>
          <w:lang w:val="zh-CN" w:eastAsia="zh-CN" w:bidi="zh-CN"/>
        </w:rPr>
        <w:t>4款的约定使用了不合格材料或工程设备，工程质量达不到标准要求，又拒绝清除不合格工程；</w:t>
      </w:r>
    </w:p>
    <w:p w14:paraId="19233152">
      <w:pPr>
        <w:pageBreakBefore w:val="0"/>
        <w:widowControl w:val="0"/>
        <w:numPr>
          <w:ilvl w:val="0"/>
          <w:numId w:val="28"/>
        </w:numPr>
        <w:tabs>
          <w:tab w:val="left" w:pos="922"/>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承包人未能按合同进度计划及时完成合同约定的工作，已造成或预期造成工期延误；</w:t>
      </w:r>
    </w:p>
    <w:p w14:paraId="04BA57E3">
      <w:pPr>
        <w:pageBreakBefore w:val="0"/>
        <w:widowControl w:val="0"/>
        <w:numPr>
          <w:ilvl w:val="0"/>
          <w:numId w:val="28"/>
        </w:numPr>
        <w:tabs>
          <w:tab w:val="left" w:pos="922"/>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承包人在缺陷责任期(工程质量保修期)内，未能对合同工程完工验收鉴定书中所列的缺陷清单的内容或缺陷责任期(工程质量保修期)内发生的缺陷进行修复，而又拒绝按监理人指示再进行修补；</w:t>
      </w:r>
    </w:p>
    <w:p w14:paraId="447A7F61">
      <w:pPr>
        <w:pageBreakBefore w:val="0"/>
        <w:widowControl w:val="0"/>
        <w:numPr>
          <w:ilvl w:val="0"/>
          <w:numId w:val="28"/>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承包人无法继续履行或明确表示不履行或实质上已停止履行合同；</w:t>
      </w:r>
    </w:p>
    <w:p w14:paraId="6C5E9B81">
      <w:pPr>
        <w:pageBreakBefore w:val="0"/>
        <w:widowControl w:val="0"/>
        <w:numPr>
          <w:ilvl w:val="0"/>
          <w:numId w:val="28"/>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承包人不按合同约定履行义务的其他情况。</w:t>
      </w:r>
    </w:p>
    <w:p w14:paraId="6C0CFD6C">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en-US" w:bidi="en-US"/>
        </w:rPr>
        <w:t>22.1.2</w:t>
      </w:r>
      <w:r>
        <w:rPr>
          <w:rFonts w:hint="eastAsia" w:ascii="宋体" w:hAnsi="宋体" w:eastAsia="宋体" w:cs="宋体"/>
          <w:color w:val="auto"/>
          <w:kern w:val="2"/>
          <w:sz w:val="24"/>
          <w:szCs w:val="24"/>
          <w:highlight w:val="none"/>
          <w:lang w:val="zh-CN" w:eastAsia="zh-CN" w:bidi="zh-CN"/>
        </w:rPr>
        <w:t>对承包人违约的处理</w:t>
      </w:r>
    </w:p>
    <w:p w14:paraId="3A4DB0B7">
      <w:pPr>
        <w:pageBreakBefore w:val="0"/>
        <w:widowControl w:val="0"/>
        <w:numPr>
          <w:ilvl w:val="0"/>
          <w:numId w:val="29"/>
        </w:numPr>
        <w:tabs>
          <w:tab w:val="left" w:pos="922"/>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承包人发生第</w:t>
      </w:r>
      <w:r>
        <w:rPr>
          <w:rFonts w:hint="eastAsia" w:ascii="宋体" w:hAnsi="宋体" w:eastAsia="宋体" w:cs="宋体"/>
          <w:color w:val="auto"/>
          <w:kern w:val="2"/>
          <w:sz w:val="24"/>
          <w:szCs w:val="24"/>
          <w:highlight w:val="none"/>
          <w:lang w:val="en-US" w:eastAsia="zh-CN" w:bidi="en-US"/>
        </w:rPr>
        <w:t>22.1.1</w:t>
      </w:r>
      <w:r>
        <w:rPr>
          <w:rFonts w:hint="eastAsia" w:ascii="宋体" w:hAnsi="宋体" w:eastAsia="宋体" w:cs="宋体"/>
          <w:color w:val="auto"/>
          <w:kern w:val="2"/>
          <w:sz w:val="24"/>
          <w:szCs w:val="24"/>
          <w:highlight w:val="none"/>
          <w:lang w:val="zh-CN" w:eastAsia="zh-CN" w:bidi="zh-CN"/>
        </w:rPr>
        <w:t>(6)目约定的违约情况时，发包人可通知承包人立即解除合同，并按有关法律处理。</w:t>
      </w:r>
    </w:p>
    <w:p w14:paraId="3F5B8437">
      <w:pPr>
        <w:pageBreakBefore w:val="0"/>
        <w:widowControl w:val="0"/>
        <w:numPr>
          <w:ilvl w:val="0"/>
          <w:numId w:val="29"/>
        </w:numPr>
        <w:tabs>
          <w:tab w:val="left" w:pos="92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承包人发生除第</w:t>
      </w:r>
      <w:r>
        <w:rPr>
          <w:rFonts w:hint="eastAsia" w:ascii="宋体" w:hAnsi="宋体" w:eastAsia="宋体" w:cs="宋体"/>
          <w:color w:val="auto"/>
          <w:kern w:val="2"/>
          <w:sz w:val="24"/>
          <w:szCs w:val="24"/>
          <w:highlight w:val="none"/>
          <w:lang w:val="en-US" w:eastAsia="zh-CN" w:bidi="en-US"/>
        </w:rPr>
        <w:t>22.1.</w:t>
      </w:r>
      <w:r>
        <w:rPr>
          <w:rFonts w:hint="eastAsia" w:ascii="宋体" w:hAnsi="宋体" w:eastAsia="宋体" w:cs="宋体"/>
          <w:color w:val="auto"/>
          <w:kern w:val="2"/>
          <w:sz w:val="24"/>
          <w:szCs w:val="24"/>
          <w:highlight w:val="none"/>
          <w:lang w:val="zh-CN" w:eastAsia="zh-CN" w:bidi="zh-CN"/>
        </w:rPr>
        <w:t>1(6)目约定以外的其他违约情况时，监理人可向承包人发出整改通知，要求其在指定的期限内改正。承包人应承担其违约所引起的费用增加和 (或)工期延误。</w:t>
      </w:r>
    </w:p>
    <w:p w14:paraId="077637AD">
      <w:pPr>
        <w:pageBreakBefore w:val="0"/>
        <w:widowControl w:val="0"/>
        <w:numPr>
          <w:ilvl w:val="0"/>
          <w:numId w:val="29"/>
        </w:numPr>
        <w:tabs>
          <w:tab w:val="left" w:pos="922"/>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经检查证明承包人已采取了有效措施纠正违约行为，具备复工条件的，可由监理人签发复工通知复工。</w:t>
      </w:r>
    </w:p>
    <w:p w14:paraId="044E0A6F">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22.1.3</w:t>
      </w:r>
      <w:r>
        <w:rPr>
          <w:rFonts w:hint="eastAsia" w:ascii="宋体" w:hAnsi="宋体" w:eastAsia="宋体" w:cs="宋体"/>
          <w:color w:val="auto"/>
          <w:kern w:val="2"/>
          <w:sz w:val="24"/>
          <w:szCs w:val="24"/>
          <w:highlight w:val="none"/>
          <w:lang w:val="zh-CN" w:eastAsia="zh-CN" w:bidi="zh-CN"/>
        </w:rPr>
        <w:t>承包人违约解除合同</w:t>
      </w:r>
    </w:p>
    <w:p w14:paraId="0908BF0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监理人发出整改通知28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 定享有的索赔权利。</w:t>
      </w:r>
    </w:p>
    <w:p w14:paraId="296D9B8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zh-CN"/>
        </w:rPr>
        <w:t>22.1.4</w:t>
      </w:r>
      <w:r>
        <w:rPr>
          <w:rFonts w:hint="eastAsia" w:ascii="宋体" w:hAnsi="宋体" w:eastAsia="宋体" w:cs="宋体"/>
          <w:color w:val="auto"/>
          <w:kern w:val="2"/>
          <w:sz w:val="24"/>
          <w:szCs w:val="24"/>
          <w:highlight w:val="none"/>
          <w:lang w:val="zh-CN" w:eastAsia="zh-CN" w:bidi="zh-CN"/>
        </w:rPr>
        <w:t>合同解除后的估价、付款和结清</w:t>
      </w:r>
    </w:p>
    <w:p w14:paraId="4654A7B2">
      <w:pPr>
        <w:pageBreakBefore w:val="0"/>
        <w:widowControl w:val="0"/>
        <w:numPr>
          <w:ilvl w:val="0"/>
          <w:numId w:val="30"/>
        </w:numPr>
        <w:tabs>
          <w:tab w:val="left" w:pos="92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合同解除后，监理人按第</w:t>
      </w:r>
      <w:r>
        <w:rPr>
          <w:rFonts w:hint="eastAsia" w:ascii="宋体" w:hAnsi="宋体" w:eastAsia="宋体" w:cs="宋体"/>
          <w:color w:val="auto"/>
          <w:kern w:val="2"/>
          <w:sz w:val="24"/>
          <w:szCs w:val="24"/>
          <w:highlight w:val="none"/>
          <w:lang w:val="en-US" w:eastAsia="zh-CN" w:bidi="en-US"/>
        </w:rPr>
        <w:t>3.</w:t>
      </w:r>
      <w:r>
        <w:rPr>
          <w:rFonts w:hint="eastAsia" w:ascii="宋体" w:hAnsi="宋体" w:eastAsia="宋体" w:cs="宋体"/>
          <w:color w:val="auto"/>
          <w:kern w:val="2"/>
          <w:sz w:val="24"/>
          <w:szCs w:val="24"/>
          <w:highlight w:val="none"/>
          <w:lang w:val="zh-CN" w:eastAsia="zh-CN" w:bidi="zh-CN"/>
        </w:rPr>
        <w:t>5款商定或确定承包人实际完成工作的价值，以及承包人已提供的材料、施工设备、工程设备和临时工程等的价值。</w:t>
      </w:r>
    </w:p>
    <w:p w14:paraId="4A9B0E8A">
      <w:pPr>
        <w:pageBreakBefore w:val="0"/>
        <w:widowControl w:val="0"/>
        <w:numPr>
          <w:ilvl w:val="0"/>
          <w:numId w:val="30"/>
        </w:numPr>
        <w:tabs>
          <w:tab w:val="left" w:pos="922"/>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合同解除后，发包人应暂停对承包人的一切付款，查清各项付款和已扣款金额, 包括承包人应支付的违约金。</w:t>
      </w:r>
    </w:p>
    <w:p w14:paraId="0FDE74FA">
      <w:pPr>
        <w:pageBreakBefore w:val="0"/>
        <w:widowControl w:val="0"/>
        <w:numPr>
          <w:ilvl w:val="0"/>
          <w:numId w:val="30"/>
        </w:numPr>
        <w:tabs>
          <w:tab w:val="left" w:pos="92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合同解除后，发包人应按第</w:t>
      </w:r>
      <w:r>
        <w:rPr>
          <w:rFonts w:hint="eastAsia" w:ascii="宋体" w:hAnsi="宋体" w:eastAsia="宋体" w:cs="宋体"/>
          <w:color w:val="auto"/>
          <w:kern w:val="2"/>
          <w:sz w:val="24"/>
          <w:szCs w:val="24"/>
          <w:highlight w:val="none"/>
          <w:lang w:val="en-US" w:eastAsia="zh-CN" w:bidi="en-US"/>
        </w:rPr>
        <w:t xml:space="preserve">23. </w:t>
      </w:r>
      <w:r>
        <w:rPr>
          <w:rFonts w:hint="eastAsia" w:ascii="宋体" w:hAnsi="宋体" w:eastAsia="宋体" w:cs="宋体"/>
          <w:color w:val="auto"/>
          <w:kern w:val="2"/>
          <w:sz w:val="24"/>
          <w:szCs w:val="24"/>
          <w:highlight w:val="none"/>
          <w:lang w:val="zh-CN" w:eastAsia="zh-CN" w:bidi="zh-CN"/>
        </w:rPr>
        <w:t>4款的约定向承包人索赔由于解除合同给发包人造成的损失。</w:t>
      </w:r>
    </w:p>
    <w:p w14:paraId="71E8087A">
      <w:pPr>
        <w:pageBreakBefore w:val="0"/>
        <w:widowControl w:val="0"/>
        <w:numPr>
          <w:ilvl w:val="0"/>
          <w:numId w:val="30"/>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合同双方确认上述往来款项后，出具最终结清付款证书，结清全部合同款项。</w:t>
      </w:r>
    </w:p>
    <w:p w14:paraId="33CAABBD">
      <w:pPr>
        <w:pageBreakBefore w:val="0"/>
        <w:widowControl w:val="0"/>
        <w:numPr>
          <w:ilvl w:val="0"/>
          <w:numId w:val="30"/>
        </w:numPr>
        <w:tabs>
          <w:tab w:val="left" w:pos="922"/>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发包人和承包人未能就解除合同后的结清达成一致而形成争议的，按第24条的约定办理。</w:t>
      </w:r>
    </w:p>
    <w:p w14:paraId="6B253F7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22.1.5</w:t>
      </w:r>
      <w:r>
        <w:rPr>
          <w:rFonts w:hint="eastAsia" w:ascii="宋体" w:hAnsi="宋体" w:eastAsia="宋体" w:cs="宋体"/>
          <w:color w:val="auto"/>
          <w:kern w:val="2"/>
          <w:sz w:val="24"/>
          <w:szCs w:val="24"/>
          <w:highlight w:val="none"/>
          <w:lang w:val="zh-CN" w:eastAsia="zh-CN" w:bidi="zh-CN"/>
        </w:rPr>
        <w:t>协议利益的转让</w:t>
      </w:r>
    </w:p>
    <w:p w14:paraId="0FCFD255">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因承包人违约解除合同的，发包人有权要求承包人将其为实施合同而签订的材料和设备的订货协议或任何服务协议利益转让给发包人，并在解除合同后的14天内，依法办理转让手续。</w:t>
      </w:r>
    </w:p>
    <w:p w14:paraId="4F46EA0F">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zh-CN"/>
        </w:rPr>
      </w:pPr>
      <w:r>
        <w:rPr>
          <w:rFonts w:hint="eastAsia" w:ascii="宋体" w:hAnsi="宋体" w:eastAsia="宋体" w:cs="宋体"/>
          <w:color w:val="auto"/>
          <w:kern w:val="2"/>
          <w:sz w:val="24"/>
          <w:szCs w:val="24"/>
          <w:highlight w:val="none"/>
          <w:lang w:val="en-US" w:eastAsia="zh-CN" w:bidi="zh-CN"/>
        </w:rPr>
        <w:t>22.1.6紧急情况下无能力或不愿进行抢救</w:t>
      </w:r>
    </w:p>
    <w:p w14:paraId="6E4EA18C">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14:paraId="3E2B94E3">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22.2发包人违约</w:t>
      </w:r>
    </w:p>
    <w:p w14:paraId="1703861B">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22.2.1</w:t>
      </w:r>
      <w:r>
        <w:rPr>
          <w:rFonts w:hint="eastAsia" w:ascii="宋体" w:hAnsi="宋体" w:eastAsia="宋体" w:cs="宋体"/>
          <w:color w:val="auto"/>
          <w:kern w:val="2"/>
          <w:sz w:val="24"/>
          <w:szCs w:val="24"/>
          <w:highlight w:val="none"/>
          <w:lang w:val="zh-CN" w:eastAsia="zh-CN" w:bidi="zh-CN"/>
        </w:rPr>
        <w:t>发包人违约的情形</w:t>
      </w:r>
    </w:p>
    <w:p w14:paraId="0B70408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在履行合同过程中发生的下列情形，属发包人违约：</w:t>
      </w:r>
    </w:p>
    <w:p w14:paraId="3F53A5EC">
      <w:pPr>
        <w:pageBreakBefore w:val="0"/>
        <w:widowControl w:val="0"/>
        <w:numPr>
          <w:ilvl w:val="0"/>
          <w:numId w:val="31"/>
        </w:numPr>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发包人未能按合同约定支付预付款或合同价款，或拖延、拒绝批准付款申请和支付凭证，导致付款延误的；</w:t>
      </w:r>
    </w:p>
    <w:p w14:paraId="21105DEB">
      <w:pPr>
        <w:pageBreakBefore w:val="0"/>
        <w:widowControl w:val="0"/>
        <w:numPr>
          <w:ilvl w:val="0"/>
          <w:numId w:val="31"/>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发包人原因造成停工的；</w:t>
      </w:r>
    </w:p>
    <w:p w14:paraId="5D00EECF">
      <w:pPr>
        <w:pageBreakBefore w:val="0"/>
        <w:widowControl w:val="0"/>
        <w:numPr>
          <w:ilvl w:val="0"/>
          <w:numId w:val="31"/>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监理人无正当理由没有在约定期限内发出复工指示，导致承包人无法复工的；</w:t>
      </w:r>
    </w:p>
    <w:p w14:paraId="4008E460">
      <w:pPr>
        <w:pageBreakBefore w:val="0"/>
        <w:widowControl w:val="0"/>
        <w:numPr>
          <w:ilvl w:val="0"/>
          <w:numId w:val="31"/>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发包人无法继续履行或明确表示不履行或实质上已停止履行合同的；</w:t>
      </w:r>
    </w:p>
    <w:p w14:paraId="46B297D6">
      <w:pPr>
        <w:pageBreakBefore w:val="0"/>
        <w:widowControl w:val="0"/>
        <w:numPr>
          <w:ilvl w:val="0"/>
          <w:numId w:val="31"/>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发包人不履行合同约定其他义务的。</w:t>
      </w:r>
    </w:p>
    <w:p w14:paraId="56D5E393">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22.2.2</w:t>
      </w:r>
      <w:r>
        <w:rPr>
          <w:rFonts w:hint="eastAsia" w:ascii="宋体" w:hAnsi="宋体" w:eastAsia="宋体" w:cs="宋体"/>
          <w:color w:val="auto"/>
          <w:kern w:val="2"/>
          <w:sz w:val="24"/>
          <w:szCs w:val="24"/>
          <w:highlight w:val="none"/>
          <w:lang w:val="zh-CN" w:eastAsia="zh-CN" w:bidi="zh-CN"/>
        </w:rPr>
        <w:t>承包人有权暂停施工</w:t>
      </w:r>
    </w:p>
    <w:p w14:paraId="3C0241AE">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发包人发生除第</w:t>
      </w:r>
      <w:r>
        <w:rPr>
          <w:rFonts w:hint="eastAsia" w:ascii="宋体" w:hAnsi="宋体" w:eastAsia="宋体" w:cs="宋体"/>
          <w:color w:val="auto"/>
          <w:kern w:val="2"/>
          <w:sz w:val="24"/>
          <w:szCs w:val="24"/>
          <w:highlight w:val="none"/>
          <w:lang w:val="en-US" w:eastAsia="zh-CN" w:bidi="en-US"/>
        </w:rPr>
        <w:t xml:space="preserve">22.2.1 </w:t>
      </w:r>
      <w:r>
        <w:rPr>
          <w:rFonts w:hint="eastAsia" w:ascii="宋体" w:hAnsi="宋体" w:eastAsia="宋体" w:cs="宋体"/>
          <w:color w:val="auto"/>
          <w:kern w:val="2"/>
          <w:sz w:val="24"/>
          <w:szCs w:val="24"/>
          <w:highlight w:val="none"/>
          <w:lang w:val="zh-CN" w:eastAsia="zh-CN" w:bidi="zh-CN"/>
        </w:rPr>
        <w:t>(4)目以外的违约情况时，承包人可向发包人发出通知，要求发包人采取有效措施纠正违约行为。发包人收到承包人通知后的28天内仍不履行合同义务，承包人有权暂停施工，并通知监理人，发包人应承担由此增加的费用和(或)工期延误，并支付承包人合理利润。</w:t>
      </w:r>
    </w:p>
    <w:p w14:paraId="0F372F08">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en-US" w:bidi="zh-CN"/>
        </w:rPr>
        <w:t>22.2.3</w:t>
      </w:r>
      <w:r>
        <w:rPr>
          <w:rFonts w:hint="eastAsia" w:ascii="宋体" w:hAnsi="宋体" w:eastAsia="宋体" w:cs="宋体"/>
          <w:color w:val="auto"/>
          <w:kern w:val="2"/>
          <w:sz w:val="24"/>
          <w:szCs w:val="24"/>
          <w:highlight w:val="none"/>
          <w:lang w:val="zh-CN" w:eastAsia="zh-CN" w:bidi="zh-CN"/>
        </w:rPr>
        <w:t>发包人违约解除合同</w:t>
      </w:r>
    </w:p>
    <w:p w14:paraId="74BDA42E">
      <w:pPr>
        <w:pageBreakBefore w:val="0"/>
        <w:widowControl w:val="0"/>
        <w:numPr>
          <w:ilvl w:val="0"/>
          <w:numId w:val="32"/>
        </w:numPr>
        <w:tabs>
          <w:tab w:val="left" w:pos="92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发生第</w:t>
      </w:r>
      <w:r>
        <w:rPr>
          <w:rFonts w:hint="eastAsia" w:ascii="宋体" w:hAnsi="宋体" w:eastAsia="宋体" w:cs="宋体"/>
          <w:color w:val="auto"/>
          <w:kern w:val="2"/>
          <w:sz w:val="24"/>
          <w:szCs w:val="24"/>
          <w:highlight w:val="none"/>
          <w:lang w:val="en-US" w:eastAsia="zh-CN" w:bidi="en-US"/>
        </w:rPr>
        <w:t xml:space="preserve">22.2.1 </w:t>
      </w:r>
      <w:r>
        <w:rPr>
          <w:rFonts w:hint="eastAsia" w:ascii="宋体" w:hAnsi="宋体" w:eastAsia="宋体" w:cs="宋体"/>
          <w:color w:val="auto"/>
          <w:kern w:val="2"/>
          <w:sz w:val="24"/>
          <w:szCs w:val="24"/>
          <w:highlight w:val="none"/>
          <w:lang w:val="zh-CN" w:eastAsia="zh-CN" w:bidi="zh-CN"/>
        </w:rPr>
        <w:t>(4)目的违约情况时，承包人可书面通知发包人解除合同。</w:t>
      </w:r>
    </w:p>
    <w:p w14:paraId="00319E2E">
      <w:pPr>
        <w:pageBreakBefore w:val="0"/>
        <w:widowControl w:val="0"/>
        <w:numPr>
          <w:ilvl w:val="0"/>
          <w:numId w:val="32"/>
        </w:numPr>
        <w:tabs>
          <w:tab w:val="left" w:pos="92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承包人按</w:t>
      </w:r>
      <w:r>
        <w:rPr>
          <w:rFonts w:hint="eastAsia" w:ascii="宋体" w:hAnsi="宋体" w:eastAsia="宋体" w:cs="宋体"/>
          <w:color w:val="auto"/>
          <w:kern w:val="2"/>
          <w:sz w:val="24"/>
          <w:szCs w:val="24"/>
          <w:highlight w:val="none"/>
          <w:lang w:val="en-US" w:eastAsia="zh-CN" w:bidi="en-US"/>
        </w:rPr>
        <w:t xml:space="preserve">22. 2. </w:t>
      </w:r>
      <w:r>
        <w:rPr>
          <w:rFonts w:hint="eastAsia" w:ascii="宋体" w:hAnsi="宋体" w:eastAsia="宋体" w:cs="宋体"/>
          <w:color w:val="auto"/>
          <w:kern w:val="2"/>
          <w:sz w:val="24"/>
          <w:szCs w:val="24"/>
          <w:highlight w:val="none"/>
          <w:lang w:val="zh-CN" w:eastAsia="zh-CN" w:bidi="zh-CN"/>
        </w:rPr>
        <w:t>2项暂停施工28天后，发包人仍不纠正违约行为的，承包人可向发包人发出解除合同通知。但承包人的这一行动不免除发包人承担的违约责任，也不影响承包人根据合同约定享有的索赔权利。</w:t>
      </w:r>
    </w:p>
    <w:p w14:paraId="5DD4B7C3">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22.2.4</w:t>
      </w:r>
      <w:r>
        <w:rPr>
          <w:rFonts w:hint="eastAsia" w:ascii="宋体" w:hAnsi="宋体" w:eastAsia="宋体" w:cs="宋体"/>
          <w:color w:val="auto"/>
          <w:kern w:val="2"/>
          <w:sz w:val="24"/>
          <w:szCs w:val="24"/>
          <w:highlight w:val="none"/>
          <w:lang w:val="zh-CN" w:eastAsia="zh-CN" w:bidi="zh-CN"/>
        </w:rPr>
        <w:t>解除合同后的付款</w:t>
      </w:r>
    </w:p>
    <w:p w14:paraId="718CE668">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因发包人违约解除合同的，发包人应在解除合同后28天内向承包人支付下列金额，承包人应在此期限内及时向发包人提交要求支付下列金额的有关资料和凭证：</w:t>
      </w:r>
    </w:p>
    <w:p w14:paraId="57EE5935">
      <w:pPr>
        <w:pageBreakBefore w:val="0"/>
        <w:widowControl w:val="0"/>
        <w:numPr>
          <w:ilvl w:val="0"/>
          <w:numId w:val="33"/>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合同解除日以前所完成工作的价款；</w:t>
      </w:r>
    </w:p>
    <w:p w14:paraId="0FD94E67">
      <w:pPr>
        <w:pageBreakBefore w:val="0"/>
        <w:widowControl w:val="0"/>
        <w:numPr>
          <w:ilvl w:val="0"/>
          <w:numId w:val="33"/>
        </w:numPr>
        <w:tabs>
          <w:tab w:val="left" w:pos="92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承包人为该工程施工订购并已付款的材料、工程设备和其他物品的金额。发包人付还后，该材料、工程设备和其他物品归发包人所有；</w:t>
      </w:r>
    </w:p>
    <w:p w14:paraId="1E00E1E7">
      <w:pPr>
        <w:pageBreakBefore w:val="0"/>
        <w:widowControl w:val="0"/>
        <w:numPr>
          <w:ilvl w:val="0"/>
          <w:numId w:val="33"/>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承包人为完成工程所发生的，而发包人未支付的金额；</w:t>
      </w:r>
    </w:p>
    <w:p w14:paraId="167F278E">
      <w:pPr>
        <w:pageBreakBefore w:val="0"/>
        <w:widowControl w:val="0"/>
        <w:numPr>
          <w:ilvl w:val="0"/>
          <w:numId w:val="33"/>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承包人撤离施工场地以及遣散承包人人员的金额；</w:t>
      </w:r>
    </w:p>
    <w:p w14:paraId="6493292C">
      <w:pPr>
        <w:pageBreakBefore w:val="0"/>
        <w:widowControl w:val="0"/>
        <w:numPr>
          <w:ilvl w:val="0"/>
          <w:numId w:val="33"/>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由于解除合同应赔偿的承包人损失；</w:t>
      </w:r>
    </w:p>
    <w:p w14:paraId="5D9D11C8">
      <w:pPr>
        <w:pageBreakBefore w:val="0"/>
        <w:widowControl w:val="0"/>
        <w:numPr>
          <w:ilvl w:val="0"/>
          <w:numId w:val="33"/>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按合同约定在合同解除日前应支付给承包人的其他金额。</w:t>
      </w:r>
    </w:p>
    <w:p w14:paraId="52AF825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发包人应按本项约定支付上述金额并退还质量保证金和履约担保，但有权要求承包人支付应偿还给发包人的各项金额。</w:t>
      </w:r>
    </w:p>
    <w:p w14:paraId="4C332761">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zh-CN"/>
        </w:rPr>
      </w:pPr>
      <w:r>
        <w:rPr>
          <w:rFonts w:hint="eastAsia" w:ascii="宋体" w:hAnsi="宋体" w:eastAsia="宋体" w:cs="宋体"/>
          <w:color w:val="auto"/>
          <w:kern w:val="2"/>
          <w:sz w:val="24"/>
          <w:szCs w:val="24"/>
          <w:highlight w:val="none"/>
          <w:lang w:val="en-US" w:eastAsia="zh-CN" w:bidi="zh-CN"/>
        </w:rPr>
        <w:t>22.2.5解除合同后的承包人撤离</w:t>
      </w:r>
    </w:p>
    <w:p w14:paraId="7BDFAB53">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因发包人违约而解除合同后，承包人应妥善做好已竣工工程和已购材料、设备的保护和移交工作，按发包人要求将承包人设备和人员撤出施工场地。承包人撤出施工场地应遵 守第</w:t>
      </w:r>
      <w:r>
        <w:rPr>
          <w:rFonts w:hint="eastAsia" w:ascii="宋体" w:hAnsi="宋体" w:eastAsia="宋体" w:cs="宋体"/>
          <w:color w:val="auto"/>
          <w:kern w:val="2"/>
          <w:sz w:val="24"/>
          <w:szCs w:val="24"/>
          <w:highlight w:val="none"/>
          <w:lang w:val="en-US" w:eastAsia="zh-CN" w:bidi="en-US"/>
        </w:rPr>
        <w:t xml:space="preserve">18. 7. </w:t>
      </w:r>
      <w:r>
        <w:rPr>
          <w:rFonts w:hint="eastAsia" w:ascii="宋体" w:hAnsi="宋体" w:eastAsia="宋体" w:cs="宋体"/>
          <w:color w:val="auto"/>
          <w:kern w:val="2"/>
          <w:sz w:val="24"/>
          <w:szCs w:val="24"/>
          <w:highlight w:val="none"/>
          <w:lang w:val="zh-CN" w:eastAsia="zh-CN" w:bidi="zh-CN"/>
        </w:rPr>
        <w:t>1项的约定，发包人应为承包人撤出提供必要条件。</w:t>
      </w:r>
    </w:p>
    <w:p w14:paraId="3FF2E44F">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22.3第三人造成的违约</w:t>
      </w:r>
    </w:p>
    <w:p w14:paraId="04BAF25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在履行合同过程中，一方当事人因第三人的原因造成违约的，应当向对方当事人承担违约责任。一方当事人和第三人之间的纠纷，依照法律规定或者按照约定解决。</w:t>
      </w:r>
    </w:p>
    <w:p w14:paraId="25D8EF72">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31" w:name="_Toc15454"/>
      <w:r>
        <w:rPr>
          <w:rFonts w:hint="eastAsia" w:ascii="宋体" w:hAnsi="宋体" w:eastAsia="宋体" w:cs="宋体"/>
          <w:color w:val="auto"/>
          <w:kern w:val="2"/>
          <w:sz w:val="24"/>
          <w:szCs w:val="24"/>
          <w:highlight w:val="none"/>
          <w:lang w:val="en-US" w:eastAsia="zh-CN" w:bidi="ar-SA"/>
        </w:rPr>
        <w:t>23.索赔</w:t>
      </w:r>
      <w:bookmarkEnd w:id="231"/>
    </w:p>
    <w:p w14:paraId="13567555">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23.1承包人索赔的提出</w:t>
      </w:r>
    </w:p>
    <w:p w14:paraId="7674C6B9">
      <w:pPr>
        <w:pageBreakBefore w:val="0"/>
        <w:widowControl w:val="0"/>
        <w:kinsoku/>
        <w:wordWrap/>
        <w:overflowPunct/>
        <w:topLinePunct w:val="0"/>
        <w:bidi w:val="0"/>
        <w:spacing w:line="360" w:lineRule="auto"/>
        <w:ind w:left="0" w:leftChars="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根据合同约定，承包人认为有权得到追加付款和(或)延长工期的，应按以下程序向发包人提出索赔：</w:t>
      </w:r>
    </w:p>
    <w:p w14:paraId="525224A0">
      <w:pPr>
        <w:pageBreakBefore w:val="0"/>
        <w:widowControl w:val="0"/>
        <w:numPr>
          <w:ilvl w:val="0"/>
          <w:numId w:val="34"/>
        </w:numPr>
        <w:tabs>
          <w:tab w:val="left" w:pos="918"/>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承包人应在知道或应当知道索赔事件发生后28天内，向监理人递交索赔意向通知书，并说明发生索赔事件的事由。承包人未在前述28天内发出索赔意向通知书的，丧失要求追加付款和(或)延长工期的权利；</w:t>
      </w:r>
    </w:p>
    <w:p w14:paraId="02698CD1">
      <w:pPr>
        <w:pageBreakBefore w:val="0"/>
        <w:widowControl w:val="0"/>
        <w:numPr>
          <w:ilvl w:val="0"/>
          <w:numId w:val="34"/>
        </w:numPr>
        <w:tabs>
          <w:tab w:val="left" w:pos="918"/>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承包人应在发出索赔意向通知书后28天内，向监理人正式递交索赔通知书。索赔通知书应详细说明索赔理由以及要求追加的付款金额和(或)延长的工期，并附必要的记 录和证明材料；</w:t>
      </w:r>
    </w:p>
    <w:p w14:paraId="39309D44">
      <w:pPr>
        <w:pageBreakBefore w:val="0"/>
        <w:widowControl w:val="0"/>
        <w:numPr>
          <w:ilvl w:val="0"/>
          <w:numId w:val="34"/>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索赔事件具有连续影响的，承包人应按合理时间间隔继续递交延续索赔通知，说明连续影响的实际情况和记录，列出累计的追加付款金额和(或)工期延长天数；</w:t>
      </w:r>
    </w:p>
    <w:p w14:paraId="00EAF10C">
      <w:pPr>
        <w:pageBreakBefore w:val="0"/>
        <w:widowControl w:val="0"/>
        <w:numPr>
          <w:ilvl w:val="0"/>
          <w:numId w:val="34"/>
        </w:numPr>
        <w:tabs>
          <w:tab w:val="left" w:pos="92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在索赔事件影响结束后的28天内，承包人应向监理人递交最终索赔通知书，说明最终要求索赔的追加付款金额和延长的工期，并附必要的记录和证明材料。</w:t>
      </w:r>
    </w:p>
    <w:p w14:paraId="25609F0E">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23.2承包人索赔处理程序</w:t>
      </w:r>
    </w:p>
    <w:p w14:paraId="43A57DF2">
      <w:pPr>
        <w:pageBreakBefore w:val="0"/>
        <w:widowControl w:val="0"/>
        <w:numPr>
          <w:ilvl w:val="0"/>
          <w:numId w:val="35"/>
        </w:numPr>
        <w:tabs>
          <w:tab w:val="left" w:pos="922"/>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监理人收到承包人提交的索赔通知书后，应及时审查索赔通知书的内容、查验承包人的记录和证明材料，必要时监理人可要求承包人提交全部原始记录副本。</w:t>
      </w:r>
    </w:p>
    <w:p w14:paraId="33CF9504">
      <w:pPr>
        <w:pageBreakBefore w:val="0"/>
        <w:widowControl w:val="0"/>
        <w:numPr>
          <w:ilvl w:val="0"/>
          <w:numId w:val="35"/>
        </w:numPr>
        <w:tabs>
          <w:tab w:val="left" w:pos="918"/>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监理人应按第</w:t>
      </w:r>
      <w:r>
        <w:rPr>
          <w:rFonts w:hint="eastAsia" w:ascii="宋体" w:hAnsi="宋体" w:eastAsia="宋体" w:cs="宋体"/>
          <w:color w:val="auto"/>
          <w:kern w:val="2"/>
          <w:sz w:val="24"/>
          <w:szCs w:val="24"/>
          <w:highlight w:val="none"/>
          <w:lang w:val="en-US" w:eastAsia="zh-CN" w:bidi="en-US"/>
        </w:rPr>
        <w:t xml:space="preserve">3. </w:t>
      </w:r>
      <w:r>
        <w:rPr>
          <w:rFonts w:hint="eastAsia" w:ascii="宋体" w:hAnsi="宋体" w:eastAsia="宋体" w:cs="宋体"/>
          <w:color w:val="auto"/>
          <w:kern w:val="2"/>
          <w:sz w:val="24"/>
          <w:szCs w:val="24"/>
          <w:highlight w:val="none"/>
          <w:lang w:val="zh-CN" w:eastAsia="zh-CN" w:bidi="zh-CN"/>
        </w:rPr>
        <w:t>5款商定或确定追加的付款和(或)延长的工期，并在收到上述索赔通知书或有关索赔的进一步证明材料后的42天内，将索赔处理结果答复承包人。</w:t>
      </w:r>
    </w:p>
    <w:p w14:paraId="66BA4D21">
      <w:pPr>
        <w:pageBreakBefore w:val="0"/>
        <w:widowControl w:val="0"/>
        <w:numPr>
          <w:ilvl w:val="0"/>
          <w:numId w:val="35"/>
        </w:numPr>
        <w:tabs>
          <w:tab w:val="left" w:pos="92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承包人接受索赔处理结果的，发包人应在作出索赔处理结果答复后28天内完成赔付。承包人不接受索赔处理结果的，按第24条的约定办理。</w:t>
      </w:r>
    </w:p>
    <w:p w14:paraId="29B5B0C5">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23.3承包人提出索赔的期限</w:t>
      </w:r>
    </w:p>
    <w:p w14:paraId="1C6061A8">
      <w:pPr>
        <w:pageBreakBefore w:val="0"/>
        <w:widowControl w:val="0"/>
        <w:numPr>
          <w:ilvl w:val="0"/>
          <w:numId w:val="36"/>
        </w:numPr>
        <w:tabs>
          <w:tab w:val="left" w:pos="855"/>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 xml:space="preserve">3. </w:t>
      </w:r>
      <w:r>
        <w:rPr>
          <w:rFonts w:hint="eastAsia" w:ascii="宋体" w:hAnsi="宋体" w:eastAsia="宋体" w:cs="宋体"/>
          <w:color w:val="auto"/>
          <w:kern w:val="2"/>
          <w:sz w:val="24"/>
          <w:szCs w:val="24"/>
          <w:highlight w:val="none"/>
          <w:lang w:val="zh-CN" w:eastAsia="zh-CN" w:bidi="zh-CN"/>
        </w:rPr>
        <w:t>1承包人按第</w:t>
      </w:r>
      <w:r>
        <w:rPr>
          <w:rFonts w:hint="eastAsia" w:ascii="宋体" w:hAnsi="宋体" w:eastAsia="宋体" w:cs="宋体"/>
          <w:color w:val="auto"/>
          <w:kern w:val="2"/>
          <w:sz w:val="24"/>
          <w:szCs w:val="24"/>
          <w:highlight w:val="none"/>
          <w:lang w:val="en-US" w:eastAsia="zh-CN" w:bidi="en-US"/>
        </w:rPr>
        <w:t xml:space="preserve">17. </w:t>
      </w:r>
      <w:r>
        <w:rPr>
          <w:rFonts w:hint="eastAsia" w:ascii="宋体" w:hAnsi="宋体" w:eastAsia="宋体" w:cs="宋体"/>
          <w:color w:val="auto"/>
          <w:kern w:val="2"/>
          <w:sz w:val="24"/>
          <w:szCs w:val="24"/>
          <w:highlight w:val="none"/>
          <w:lang w:val="zh-CN" w:eastAsia="zh-CN" w:bidi="zh-CN"/>
        </w:rPr>
        <w:t>5款的约定接受了完工付款证书后，应被认为已无权再提出在合同工程完工证书颁发前所发生的任何索赔。</w:t>
      </w:r>
    </w:p>
    <w:p w14:paraId="5C876450">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23.3.2</w:t>
      </w:r>
      <w:r>
        <w:rPr>
          <w:rFonts w:hint="eastAsia" w:ascii="宋体" w:hAnsi="宋体" w:eastAsia="宋体" w:cs="宋体"/>
          <w:color w:val="auto"/>
          <w:kern w:val="2"/>
          <w:sz w:val="24"/>
          <w:szCs w:val="24"/>
          <w:highlight w:val="none"/>
          <w:lang w:val="zh-CN" w:eastAsia="zh-CN" w:bidi="zh-CN"/>
        </w:rPr>
        <w:t>承包人按第</w:t>
      </w:r>
      <w:r>
        <w:rPr>
          <w:rFonts w:hint="eastAsia" w:ascii="宋体" w:hAnsi="宋体" w:eastAsia="宋体" w:cs="宋体"/>
          <w:color w:val="auto"/>
          <w:kern w:val="2"/>
          <w:sz w:val="24"/>
          <w:szCs w:val="24"/>
          <w:highlight w:val="none"/>
          <w:lang w:val="en-US" w:eastAsia="zh-CN" w:bidi="en-US"/>
        </w:rPr>
        <w:t xml:space="preserve">17. </w:t>
      </w:r>
      <w:r>
        <w:rPr>
          <w:rFonts w:hint="eastAsia" w:ascii="宋体" w:hAnsi="宋体" w:eastAsia="宋体" w:cs="宋体"/>
          <w:color w:val="auto"/>
          <w:kern w:val="2"/>
          <w:sz w:val="24"/>
          <w:szCs w:val="24"/>
          <w:highlight w:val="none"/>
          <w:lang w:val="zh-CN" w:eastAsia="zh-CN" w:bidi="zh-CN"/>
        </w:rPr>
        <w:t>6款的约定提交的最终结清申请单中，只限于提出合同工程完工证书颁发后发生的索赔。提出索赔的期限自接受最终结清证书时终止。</w:t>
      </w:r>
    </w:p>
    <w:p w14:paraId="54BB9C9C">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23.4发包人的索赔</w:t>
      </w:r>
    </w:p>
    <w:p w14:paraId="07282B95">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23.4.1</w:t>
      </w:r>
      <w:r>
        <w:rPr>
          <w:rFonts w:hint="eastAsia" w:ascii="宋体" w:hAnsi="宋体" w:eastAsia="宋体" w:cs="宋体"/>
          <w:color w:val="auto"/>
          <w:kern w:val="2"/>
          <w:sz w:val="24"/>
          <w:szCs w:val="24"/>
          <w:highlight w:val="none"/>
          <w:lang w:val="zh-CN" w:eastAsia="zh-CN" w:bidi="zh-CN"/>
        </w:rPr>
        <w:t>发生索赔事件后，监理人应及时书面通知承包人，详细说明发包人有权得到的索赔金额和(或)延长缺陷责任期的细节和依据。发包人提出索赔的期限和要求与第</w:t>
      </w:r>
      <w:r>
        <w:rPr>
          <w:rFonts w:hint="eastAsia" w:ascii="宋体" w:hAnsi="宋体" w:eastAsia="宋体" w:cs="宋体"/>
          <w:color w:val="auto"/>
          <w:kern w:val="2"/>
          <w:sz w:val="24"/>
          <w:szCs w:val="24"/>
          <w:highlight w:val="none"/>
          <w:lang w:val="en-US" w:eastAsia="zh-CN" w:bidi="zh-CN"/>
        </w:rPr>
        <w:t>23.</w:t>
      </w:r>
      <w:r>
        <w:rPr>
          <w:rFonts w:hint="eastAsia" w:ascii="宋体" w:hAnsi="宋体" w:eastAsia="宋体" w:cs="宋体"/>
          <w:color w:val="auto"/>
          <w:kern w:val="2"/>
          <w:sz w:val="24"/>
          <w:szCs w:val="24"/>
          <w:highlight w:val="none"/>
          <w:lang w:val="zh-CN" w:eastAsia="zh-CN" w:bidi="zh-CN"/>
        </w:rPr>
        <w:t>3款的约定相同，延长缺陷责任期的通知应在缺陷责任期届满前发出。</w:t>
      </w:r>
    </w:p>
    <w:p w14:paraId="3AC0147C">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23.4.2</w:t>
      </w:r>
      <w:r>
        <w:rPr>
          <w:rFonts w:hint="eastAsia" w:ascii="宋体" w:hAnsi="宋体" w:eastAsia="宋体" w:cs="宋体"/>
          <w:color w:val="auto"/>
          <w:kern w:val="2"/>
          <w:sz w:val="24"/>
          <w:szCs w:val="24"/>
          <w:highlight w:val="none"/>
          <w:lang w:val="zh-CN" w:eastAsia="zh-CN" w:bidi="zh-CN"/>
        </w:rPr>
        <w:t>监理人按第</w:t>
      </w:r>
      <w:r>
        <w:rPr>
          <w:rFonts w:hint="eastAsia" w:ascii="宋体" w:hAnsi="宋体" w:eastAsia="宋体" w:cs="宋体"/>
          <w:color w:val="auto"/>
          <w:kern w:val="2"/>
          <w:sz w:val="24"/>
          <w:szCs w:val="24"/>
          <w:highlight w:val="none"/>
          <w:lang w:val="en-US" w:eastAsia="zh-CN" w:bidi="en-US"/>
        </w:rPr>
        <w:t xml:space="preserve">3. </w:t>
      </w:r>
      <w:r>
        <w:rPr>
          <w:rFonts w:hint="eastAsia" w:ascii="宋体" w:hAnsi="宋体" w:eastAsia="宋体" w:cs="宋体"/>
          <w:color w:val="auto"/>
          <w:kern w:val="2"/>
          <w:sz w:val="24"/>
          <w:szCs w:val="24"/>
          <w:highlight w:val="none"/>
          <w:lang w:val="zh-CN" w:eastAsia="zh-CN" w:bidi="zh-CN"/>
        </w:rPr>
        <w:t>5款商定或确定发包人从承包人处得到赔付的金额和(或)缺陷责任期的延长期。承包人应付给发包人的金额可从拟支付给承包人的合同价款中扣除, 或由承包人以其他方式支付给发包人。</w:t>
      </w:r>
    </w:p>
    <w:p w14:paraId="313D3BFD">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 xml:space="preserve">23. 4. </w:t>
      </w:r>
      <w:r>
        <w:rPr>
          <w:rFonts w:hint="eastAsia" w:ascii="宋体" w:hAnsi="宋体" w:eastAsia="宋体" w:cs="宋体"/>
          <w:color w:val="auto"/>
          <w:kern w:val="2"/>
          <w:sz w:val="24"/>
          <w:szCs w:val="24"/>
          <w:highlight w:val="none"/>
          <w:lang w:val="zh-CN" w:eastAsia="zh-CN" w:bidi="zh-CN"/>
        </w:rPr>
        <w:t>3承包人对监理人按第</w:t>
      </w:r>
      <w:r>
        <w:rPr>
          <w:rFonts w:hint="eastAsia" w:ascii="宋体" w:hAnsi="宋体" w:eastAsia="宋体" w:cs="宋体"/>
          <w:color w:val="auto"/>
          <w:kern w:val="2"/>
          <w:sz w:val="24"/>
          <w:szCs w:val="24"/>
          <w:highlight w:val="none"/>
          <w:lang w:val="en-US" w:eastAsia="zh-CN" w:bidi="en-US"/>
        </w:rPr>
        <w:t xml:space="preserve">23.4. </w:t>
      </w:r>
      <w:r>
        <w:rPr>
          <w:rFonts w:hint="eastAsia" w:ascii="宋体" w:hAnsi="宋体" w:eastAsia="宋体" w:cs="宋体"/>
          <w:color w:val="auto"/>
          <w:kern w:val="2"/>
          <w:sz w:val="24"/>
          <w:szCs w:val="24"/>
          <w:highlight w:val="none"/>
          <w:lang w:val="zh-CN" w:eastAsia="zh-CN" w:bidi="zh-CN"/>
        </w:rPr>
        <w:t>1项发出的索赔书面通知内容持异议时，应在收到书面通知后的14天内，将持有异议的书面报告及其证明材料提交监理人。监理人应在收到 承包人书面报告后的14天内，将异议的处理意见通知承包人，并按第</w:t>
      </w:r>
      <w:r>
        <w:rPr>
          <w:rFonts w:hint="eastAsia" w:ascii="宋体" w:hAnsi="宋体" w:eastAsia="宋体" w:cs="宋体"/>
          <w:color w:val="auto"/>
          <w:kern w:val="2"/>
          <w:sz w:val="24"/>
          <w:szCs w:val="24"/>
          <w:highlight w:val="none"/>
          <w:lang w:val="en-US" w:eastAsia="zh-CN" w:bidi="en-US"/>
        </w:rPr>
        <w:t>23.4.2</w:t>
      </w:r>
      <w:r>
        <w:rPr>
          <w:rFonts w:hint="eastAsia" w:ascii="宋体" w:hAnsi="宋体" w:eastAsia="宋体" w:cs="宋体"/>
          <w:color w:val="auto"/>
          <w:kern w:val="2"/>
          <w:sz w:val="24"/>
          <w:szCs w:val="24"/>
          <w:highlight w:val="none"/>
          <w:lang w:val="zh-CN" w:eastAsia="zh-CN" w:bidi="zh-CN"/>
        </w:rPr>
        <w:t>项的约定执 行赔付。若承包人不接受监理人的索赔处理意见，可按本合同第24条的规定办理。</w:t>
      </w:r>
    </w:p>
    <w:p w14:paraId="31D344F6">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32" w:name="_Toc25077"/>
      <w:r>
        <w:rPr>
          <w:rFonts w:hint="eastAsia" w:ascii="宋体" w:hAnsi="宋体" w:eastAsia="宋体" w:cs="宋体"/>
          <w:color w:val="auto"/>
          <w:kern w:val="2"/>
          <w:sz w:val="24"/>
          <w:szCs w:val="24"/>
          <w:highlight w:val="none"/>
          <w:lang w:val="en-US" w:eastAsia="zh-CN" w:bidi="ar-SA"/>
        </w:rPr>
        <w:t>24.争议的解决</w:t>
      </w:r>
      <w:bookmarkEnd w:id="232"/>
    </w:p>
    <w:p w14:paraId="7B7AA059">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24.1争议的解决方式</w:t>
      </w:r>
    </w:p>
    <w:p w14:paraId="75F6DEEF">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14:paraId="2DCD74F0">
      <w:pPr>
        <w:pageBreakBefore w:val="0"/>
        <w:widowControl w:val="0"/>
        <w:numPr>
          <w:ilvl w:val="0"/>
          <w:numId w:val="37"/>
        </w:numPr>
        <w:tabs>
          <w:tab w:val="left" w:pos="901"/>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向约定的仲裁委员会申请仲裁；</w:t>
      </w:r>
    </w:p>
    <w:p w14:paraId="5F801FD0">
      <w:pPr>
        <w:pageBreakBefore w:val="0"/>
        <w:widowControl w:val="0"/>
        <w:numPr>
          <w:ilvl w:val="0"/>
          <w:numId w:val="37"/>
        </w:numPr>
        <w:tabs>
          <w:tab w:val="left" w:pos="901"/>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向有管辖权的人民法院提起诉讼。</w:t>
      </w:r>
    </w:p>
    <w:p w14:paraId="3F29D801">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24.2友好解决</w:t>
      </w:r>
    </w:p>
    <w:p w14:paraId="228BC90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在提请争议评审、仲裁或者诉讼前，以及在争议评审、仲裁或诉讼过程中，发包人和承包人均可共同努力友好协商解决争议。</w:t>
      </w:r>
    </w:p>
    <w:p w14:paraId="619088F9">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24.3争议评审</w:t>
      </w:r>
    </w:p>
    <w:p w14:paraId="11D6B71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24.3.1</w:t>
      </w:r>
      <w:r>
        <w:rPr>
          <w:rFonts w:hint="eastAsia" w:ascii="宋体" w:hAnsi="宋体" w:eastAsia="宋体" w:cs="宋体"/>
          <w:color w:val="auto"/>
          <w:kern w:val="2"/>
          <w:sz w:val="24"/>
          <w:szCs w:val="24"/>
          <w:highlight w:val="none"/>
          <w:lang w:val="zh-CN" w:eastAsia="zh-CN" w:bidi="zh-CN"/>
        </w:rPr>
        <w:t>采用争议评审的，发包人和承包人应在开工日后的28天内或在争议发生后, 协商成立争议评审组。争议评审组由有合同管理和工程实践经验的专家组成。</w:t>
      </w:r>
    </w:p>
    <w:p w14:paraId="0E0C235D">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24.3.2</w:t>
      </w:r>
      <w:r>
        <w:rPr>
          <w:rFonts w:hint="eastAsia" w:ascii="宋体" w:hAnsi="宋体" w:eastAsia="宋体" w:cs="宋体"/>
          <w:color w:val="auto"/>
          <w:kern w:val="2"/>
          <w:sz w:val="24"/>
          <w:szCs w:val="24"/>
          <w:highlight w:val="none"/>
          <w:lang w:val="zh-CN" w:eastAsia="zh-CN" w:bidi="zh-CN"/>
        </w:rPr>
        <w:t>合同双方的争议，应首先由申请人向争议评审组提交一份详细的评审申请报告，并附必要的文件、图纸和证明材料，申请人还应将上述报告的副本同时提交给被申请人和监理人。</w:t>
      </w:r>
    </w:p>
    <w:p w14:paraId="3D83C660">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24.3.3</w:t>
      </w:r>
      <w:r>
        <w:rPr>
          <w:rFonts w:hint="eastAsia" w:ascii="宋体" w:hAnsi="宋体" w:eastAsia="宋体" w:cs="宋体"/>
          <w:color w:val="auto"/>
          <w:kern w:val="2"/>
          <w:sz w:val="24"/>
          <w:szCs w:val="24"/>
          <w:highlight w:val="none"/>
          <w:lang w:val="zh-CN" w:eastAsia="zh-CN" w:bidi="zh-CN"/>
        </w:rPr>
        <w:t>被申请人在收到申请人评审申请报告副本后的28天内，向争议评审组提交一份答辩报告，并附证明材料。被申请人应将答辩报告的副本同时提交给申请人和监理人。</w:t>
      </w:r>
    </w:p>
    <w:p w14:paraId="345FD44F">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24.3.4</w:t>
      </w:r>
      <w:r>
        <w:rPr>
          <w:rFonts w:hint="eastAsia" w:ascii="宋体" w:hAnsi="宋体" w:eastAsia="宋体" w:cs="宋体"/>
          <w:color w:val="auto"/>
          <w:kern w:val="2"/>
          <w:sz w:val="24"/>
          <w:szCs w:val="24"/>
          <w:highlight w:val="none"/>
          <w:lang w:val="zh-CN" w:eastAsia="zh-CN" w:bidi="zh-CN"/>
        </w:rPr>
        <w:t>除专用合同条款另有约定外，争议评审组在收到合同双方报告后的14天内， 邀请双方代表和有关人员举行调查会，向双方调查争议细节；必要时争议评审组可要求双方进一步提供补充材料。</w:t>
      </w:r>
    </w:p>
    <w:p w14:paraId="23BA28A8">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24.3.5除专用合同条款另有约定外，在调查会结束后的14天内，争议评审组应在不受任何干扰的情况下进行独立、公正的评审，作出书面评审意见，并说明理由。在争议评审期间，争议双方暂按总监理工程师的确定执行。</w:t>
      </w:r>
    </w:p>
    <w:p w14:paraId="369A20D1">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24.3.6</w:t>
      </w:r>
      <w:r>
        <w:rPr>
          <w:rFonts w:hint="eastAsia" w:ascii="宋体" w:hAnsi="宋体" w:eastAsia="宋体" w:cs="宋体"/>
          <w:color w:val="auto"/>
          <w:kern w:val="2"/>
          <w:sz w:val="24"/>
          <w:szCs w:val="24"/>
          <w:highlight w:val="none"/>
          <w:lang w:val="zh-CN" w:eastAsia="zh-CN" w:bidi="zh-CN"/>
        </w:rPr>
        <w:t>发包人和承包人接受评审意见的，由监理人根据评审意见拟定执行协议，经争议双方签字后作为合同的补充文件，并遵照执行。</w:t>
      </w:r>
    </w:p>
    <w:p w14:paraId="6CD9E7B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24.3.7</w:t>
      </w:r>
      <w:r>
        <w:rPr>
          <w:rFonts w:hint="eastAsia" w:ascii="宋体" w:hAnsi="宋体" w:eastAsia="宋体" w:cs="宋体"/>
          <w:color w:val="auto"/>
          <w:kern w:val="2"/>
          <w:sz w:val="24"/>
          <w:szCs w:val="24"/>
          <w:highlight w:val="none"/>
          <w:lang w:val="zh-CN" w:eastAsia="zh-CN" w:bidi="zh-CN"/>
        </w:rPr>
        <w:t>发包人或承包人不接受评审意见，并要求提交仲裁或提起诉讼的，应在收到评审意见后的14天内将仲裁或起诉意向书面通知另一方，并抄送监理人，但在仲裁或诉讼结束前应暂按总监理工程师的确定执行。</w:t>
      </w:r>
    </w:p>
    <w:p w14:paraId="470FF3FB">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24.4仲裁</w:t>
      </w:r>
    </w:p>
    <w:p w14:paraId="1736455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24.4.1</w:t>
      </w:r>
      <w:r>
        <w:rPr>
          <w:rFonts w:hint="eastAsia" w:ascii="宋体" w:hAnsi="宋体" w:eastAsia="宋体" w:cs="宋体"/>
          <w:color w:val="auto"/>
          <w:kern w:val="2"/>
          <w:sz w:val="24"/>
          <w:szCs w:val="24"/>
          <w:highlight w:val="none"/>
          <w:lang w:val="zh-CN" w:eastAsia="zh-CN" w:bidi="zh-CN"/>
        </w:rPr>
        <w:t>若合同双方商定直接向仲裁机构申请仲裁，应签订仲裁协议并约定仲裁机构。</w:t>
      </w:r>
    </w:p>
    <w:p w14:paraId="7AD8682B">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24.4.2</w:t>
      </w:r>
      <w:r>
        <w:rPr>
          <w:rFonts w:hint="eastAsia" w:ascii="宋体" w:hAnsi="宋体" w:eastAsia="宋体" w:cs="宋体"/>
          <w:color w:val="auto"/>
          <w:kern w:val="2"/>
          <w:sz w:val="24"/>
          <w:szCs w:val="24"/>
          <w:highlight w:val="none"/>
          <w:lang w:val="zh-CN" w:eastAsia="zh-CN" w:bidi="zh-CN"/>
        </w:rPr>
        <w:t>若合同双方未能达成仲裁协议，则本合同的仲裁条款无效，任一方均有权向人民法院提起诉讼。</w:t>
      </w:r>
    </w:p>
    <w:p w14:paraId="5F2A6D40">
      <w:pPr>
        <w:keepNext/>
        <w:keepLines/>
        <w:pageBreakBefore w:val="0"/>
        <w:widowControl w:val="0"/>
        <w:kinsoku/>
        <w:wordWrap/>
        <w:overflowPunct/>
        <w:topLinePunct w:val="0"/>
        <w:autoSpaceDE/>
        <w:autoSpaceDN/>
        <w:bidi w:val="0"/>
        <w:adjustRightInd/>
        <w:snapToGrid/>
        <w:spacing w:before="340" w:after="330" w:line="360" w:lineRule="auto"/>
        <w:jc w:val="center"/>
        <w:textAlignment w:val="auto"/>
        <w:outlineLvl w:val="1"/>
        <w:rPr>
          <w:rFonts w:hint="eastAsia" w:ascii="宋体" w:hAnsi="宋体" w:eastAsia="宋体" w:cs="宋体"/>
          <w:b/>
          <w:bCs/>
          <w:color w:val="auto"/>
          <w:kern w:val="44"/>
          <w:sz w:val="44"/>
          <w:szCs w:val="44"/>
          <w:highlight w:val="none"/>
          <w:lang w:val="en-US" w:eastAsia="zh-CN" w:bidi="ar-SA"/>
        </w:rPr>
      </w:pPr>
      <w:bookmarkStart w:id="233" w:name="bookmark1581"/>
      <w:bookmarkEnd w:id="233"/>
      <w:bookmarkStart w:id="234" w:name="bookmark1576"/>
      <w:bookmarkStart w:id="235" w:name="_Toc1972"/>
      <w:bookmarkStart w:id="236" w:name="_Toc27368"/>
      <w:bookmarkStart w:id="237" w:name="bookmark1577"/>
      <w:bookmarkStart w:id="238" w:name="bookmark1578"/>
      <w:bookmarkStart w:id="239" w:name="_Toc21852"/>
      <w:bookmarkStart w:id="240" w:name="_Toc30818"/>
      <w:bookmarkStart w:id="241" w:name="bookmark1579"/>
      <w:bookmarkStart w:id="242" w:name="bookmark1582"/>
      <w:bookmarkStart w:id="243" w:name="bookmark1580"/>
      <w:r>
        <w:rPr>
          <w:rFonts w:hint="eastAsia" w:ascii="宋体" w:hAnsi="宋体" w:eastAsia="宋体" w:cs="宋体"/>
          <w:b/>
          <w:bCs/>
          <w:color w:val="auto"/>
          <w:kern w:val="44"/>
          <w:sz w:val="24"/>
          <w:szCs w:val="24"/>
          <w:highlight w:val="none"/>
          <w:lang w:val="en-US" w:eastAsia="zh-CN" w:bidi="ar-SA"/>
        </w:rPr>
        <w:br w:type="page"/>
      </w:r>
      <w:bookmarkStart w:id="244" w:name="_Toc26919"/>
      <w:r>
        <w:rPr>
          <w:rFonts w:hint="eastAsia" w:ascii="宋体" w:hAnsi="宋体" w:eastAsia="宋体" w:cs="宋体"/>
          <w:b/>
          <w:bCs/>
          <w:color w:val="auto"/>
          <w:kern w:val="44"/>
          <w:sz w:val="44"/>
          <w:szCs w:val="44"/>
          <w:highlight w:val="none"/>
          <w:lang w:val="en-US" w:eastAsia="zh-CN" w:bidi="ar-SA"/>
        </w:rPr>
        <w:t>第四节 专用合同条款</w:t>
      </w:r>
      <w:bookmarkEnd w:id="234"/>
      <w:bookmarkEnd w:id="235"/>
      <w:bookmarkEnd w:id="236"/>
      <w:bookmarkEnd w:id="237"/>
      <w:bookmarkEnd w:id="238"/>
      <w:bookmarkEnd w:id="244"/>
    </w:p>
    <w:p w14:paraId="5A6F0956">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45" w:name="_Toc16670"/>
      <w:r>
        <w:rPr>
          <w:rFonts w:hint="eastAsia" w:ascii="宋体" w:hAnsi="宋体" w:eastAsia="宋体" w:cs="宋体"/>
          <w:color w:val="auto"/>
          <w:kern w:val="2"/>
          <w:sz w:val="24"/>
          <w:szCs w:val="24"/>
          <w:highlight w:val="none"/>
          <w:lang w:val="en-US" w:eastAsia="zh-CN" w:bidi="ar-SA"/>
        </w:rPr>
        <w:t>1. 一般约定</w:t>
      </w:r>
      <w:bookmarkEnd w:id="239"/>
      <w:bookmarkEnd w:id="240"/>
      <w:bookmarkEnd w:id="241"/>
      <w:bookmarkEnd w:id="242"/>
      <w:bookmarkEnd w:id="243"/>
      <w:bookmarkEnd w:id="245"/>
    </w:p>
    <w:p w14:paraId="660C9DE3">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1.1词语定义</w:t>
      </w:r>
    </w:p>
    <w:p w14:paraId="7CCB1173">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1.1.2</w:t>
      </w:r>
      <w:r>
        <w:rPr>
          <w:rFonts w:hint="eastAsia" w:ascii="宋体" w:hAnsi="宋体" w:eastAsia="宋体" w:cs="宋体"/>
          <w:color w:val="auto"/>
          <w:kern w:val="2"/>
          <w:sz w:val="24"/>
          <w:szCs w:val="24"/>
          <w:highlight w:val="none"/>
          <w:lang w:val="zh-CN" w:eastAsia="zh-CN" w:bidi="zh-CN"/>
        </w:rPr>
        <w:t>合同当事人和人员</w:t>
      </w:r>
    </w:p>
    <w:p w14:paraId="4BCA3191">
      <w:pPr>
        <w:pageBreakBefore w:val="0"/>
        <w:widowControl w:val="0"/>
        <w:tabs>
          <w:tab w:val="left" w:pos="4064"/>
        </w:tabs>
        <w:kinsoku/>
        <w:wordWrap/>
        <w:overflowPunct/>
        <w:topLinePunct w:val="0"/>
        <w:bidi w:val="0"/>
        <w:spacing w:after="0" w:line="360" w:lineRule="auto"/>
        <w:ind w:left="0" w:leftChars="0"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1.1.2.</w:t>
      </w:r>
      <w:r>
        <w:rPr>
          <w:rFonts w:hint="eastAsia" w:ascii="宋体" w:hAnsi="宋体" w:eastAsia="宋体" w:cs="宋体"/>
          <w:color w:val="auto"/>
          <w:kern w:val="0"/>
          <w:sz w:val="24"/>
          <w:szCs w:val="24"/>
          <w:highlight w:val="none"/>
          <w:lang w:val="zh-CN" w:eastAsia="zh-CN" w:bidi="zh-CN"/>
        </w:rPr>
        <w:t>2发包人：</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w:t>
      </w:r>
    </w:p>
    <w:p w14:paraId="467B9BCE">
      <w:pPr>
        <w:pageBreakBefore w:val="0"/>
        <w:widowControl w:val="0"/>
        <w:tabs>
          <w:tab w:val="left" w:pos="4066"/>
        </w:tabs>
        <w:kinsoku/>
        <w:wordWrap/>
        <w:overflowPunct/>
        <w:topLinePunct w:val="0"/>
        <w:bidi w:val="0"/>
        <w:spacing w:after="0" w:line="360" w:lineRule="auto"/>
        <w:ind w:left="0" w:leftChars="0"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1.1.2.</w:t>
      </w:r>
      <w:r>
        <w:rPr>
          <w:rFonts w:hint="eastAsia" w:ascii="宋体" w:hAnsi="宋体" w:eastAsia="宋体" w:cs="宋体"/>
          <w:color w:val="auto"/>
          <w:kern w:val="0"/>
          <w:sz w:val="24"/>
          <w:szCs w:val="24"/>
          <w:highlight w:val="none"/>
          <w:lang w:val="zh-CN" w:eastAsia="zh-CN" w:bidi="zh-CN"/>
        </w:rPr>
        <w:t>3承包人：</w:t>
      </w:r>
      <w:r>
        <w:rPr>
          <w:rFonts w:hint="eastAsia" w:ascii="宋体" w:hAnsi="宋体" w:eastAsia="宋体" w:cs="宋体"/>
          <w:color w:val="auto"/>
          <w:kern w:val="0"/>
          <w:sz w:val="24"/>
          <w:szCs w:val="24"/>
          <w:highlight w:val="none"/>
          <w:u w:val="single"/>
          <w:lang w:val="en-US" w:eastAsia="zh-CN" w:bidi="zh-CN"/>
        </w:rPr>
        <w:t xml:space="preserve">                        </w:t>
      </w:r>
      <w:r>
        <w:rPr>
          <w:rFonts w:hint="eastAsia" w:ascii="宋体" w:hAnsi="宋体" w:eastAsia="宋体" w:cs="宋体"/>
          <w:color w:val="auto"/>
          <w:kern w:val="0"/>
          <w:sz w:val="24"/>
          <w:szCs w:val="24"/>
          <w:highlight w:val="none"/>
          <w:u w:val="single"/>
          <w:lang w:val="en-US" w:eastAsia="zh-CN" w:bidi="ar-SA"/>
        </w:rPr>
        <w:tab/>
      </w:r>
      <w:r>
        <w:rPr>
          <w:rFonts w:hint="eastAsia" w:ascii="宋体" w:hAnsi="宋体" w:eastAsia="宋体" w:cs="宋体"/>
          <w:color w:val="auto"/>
          <w:kern w:val="0"/>
          <w:sz w:val="24"/>
          <w:szCs w:val="24"/>
          <w:highlight w:val="none"/>
          <w:lang w:val="en-US" w:eastAsia="zh-CN" w:bidi="ar-SA"/>
        </w:rPr>
        <w:t>。</w:t>
      </w:r>
    </w:p>
    <w:p w14:paraId="4271A997">
      <w:pPr>
        <w:pageBreakBefore w:val="0"/>
        <w:widowControl w:val="0"/>
        <w:tabs>
          <w:tab w:val="left" w:pos="4066"/>
        </w:tabs>
        <w:kinsoku/>
        <w:wordWrap/>
        <w:overflowPunct/>
        <w:topLinePunct w:val="0"/>
        <w:bidi w:val="0"/>
        <w:spacing w:after="0" w:line="360" w:lineRule="auto"/>
        <w:ind w:left="0" w:leftChars="0" w:firstLine="480" w:firstLineChars="200"/>
        <w:jc w:val="both"/>
        <w:rPr>
          <w:rFonts w:hint="eastAsia" w:ascii="宋体" w:hAnsi="宋体" w:eastAsia="宋体" w:cs="宋体"/>
          <w:color w:val="auto"/>
          <w:kern w:val="0"/>
          <w:sz w:val="24"/>
          <w:szCs w:val="24"/>
          <w:highlight w:val="none"/>
          <w:lang w:val="zh-CN" w:eastAsia="zh-CN" w:bidi="zh-CN"/>
        </w:rPr>
      </w:pPr>
      <w:r>
        <w:rPr>
          <w:rFonts w:hint="eastAsia" w:ascii="宋体" w:hAnsi="宋体" w:eastAsia="宋体" w:cs="宋体"/>
          <w:color w:val="auto"/>
          <w:kern w:val="0"/>
          <w:sz w:val="24"/>
          <w:szCs w:val="24"/>
          <w:highlight w:val="none"/>
          <w:lang w:val="en-US" w:eastAsia="zh-CN" w:bidi="ar-SA"/>
        </w:rPr>
        <w:t>1.1.2.</w:t>
      </w:r>
      <w:r>
        <w:rPr>
          <w:rFonts w:hint="eastAsia" w:ascii="宋体" w:hAnsi="宋体" w:eastAsia="宋体" w:cs="宋体"/>
          <w:color w:val="auto"/>
          <w:kern w:val="0"/>
          <w:sz w:val="24"/>
          <w:szCs w:val="24"/>
          <w:highlight w:val="none"/>
          <w:lang w:val="en-US" w:eastAsia="zh-CN" w:bidi="zh-CN"/>
        </w:rPr>
        <w:t>4承包人项目负责人、技术负责人和专职安全员</w:t>
      </w:r>
      <w:r>
        <w:rPr>
          <w:rFonts w:hint="eastAsia" w:ascii="宋体" w:hAnsi="宋体" w:eastAsia="宋体" w:cs="宋体"/>
          <w:color w:val="auto"/>
          <w:kern w:val="0"/>
          <w:sz w:val="24"/>
          <w:szCs w:val="24"/>
          <w:highlight w:val="none"/>
          <w:lang w:val="zh-CN" w:eastAsia="zh-CN" w:bidi="zh-CN"/>
        </w:rPr>
        <w:t>：</w:t>
      </w:r>
    </w:p>
    <w:p w14:paraId="6C2C9AD4">
      <w:pPr>
        <w:pageBreakBefore w:val="0"/>
        <w:widowControl w:val="0"/>
        <w:tabs>
          <w:tab w:val="left" w:pos="4064"/>
        </w:tabs>
        <w:kinsoku/>
        <w:wordWrap/>
        <w:overflowPunct/>
        <w:topLinePunct w:val="0"/>
        <w:bidi w:val="0"/>
        <w:spacing w:after="0" w:line="360" w:lineRule="auto"/>
        <w:ind w:left="0" w:leftChars="0"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项目负责人姓名：</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 xml:space="preserve"> </w:t>
      </w:r>
    </w:p>
    <w:p w14:paraId="04001F6A">
      <w:pPr>
        <w:pageBreakBefore w:val="0"/>
        <w:widowControl w:val="0"/>
        <w:tabs>
          <w:tab w:val="left" w:pos="4064"/>
        </w:tabs>
        <w:kinsoku/>
        <w:wordWrap/>
        <w:overflowPunct/>
        <w:topLinePunct w:val="0"/>
        <w:bidi w:val="0"/>
        <w:spacing w:after="0" w:line="360" w:lineRule="auto"/>
        <w:ind w:left="0" w:leftChars="0" w:firstLine="480" w:firstLineChars="200"/>
        <w:jc w:val="both"/>
        <w:rPr>
          <w:rFonts w:hint="default" w:ascii="宋体" w:hAnsi="宋体" w:eastAsia="宋体" w:cs="宋体"/>
          <w:color w:val="auto"/>
          <w:kern w:val="0"/>
          <w:sz w:val="24"/>
          <w:szCs w:val="24"/>
          <w:highlight w:val="none"/>
          <w:u w:val="single"/>
          <w:lang w:val="en-US" w:eastAsia="zh-CN" w:bidi="ar-SA"/>
        </w:rPr>
      </w:pPr>
      <w:r>
        <w:rPr>
          <w:rFonts w:hint="eastAsia" w:ascii="宋体" w:hAnsi="宋体" w:eastAsia="宋体" w:cs="宋体"/>
          <w:color w:val="auto"/>
          <w:kern w:val="0"/>
          <w:sz w:val="24"/>
          <w:szCs w:val="24"/>
          <w:highlight w:val="none"/>
          <w:lang w:val="en-US" w:eastAsia="zh-CN" w:bidi="ar-SA"/>
        </w:rPr>
        <w:t>项目负责人身份证号号码：</w:t>
      </w:r>
      <w:r>
        <w:rPr>
          <w:rFonts w:hint="eastAsia" w:ascii="宋体" w:hAnsi="宋体" w:eastAsia="宋体" w:cs="宋体"/>
          <w:color w:val="auto"/>
          <w:kern w:val="0"/>
          <w:sz w:val="24"/>
          <w:szCs w:val="24"/>
          <w:highlight w:val="none"/>
          <w:u w:val="single"/>
          <w:lang w:val="en-US" w:eastAsia="zh-CN" w:bidi="ar-SA"/>
        </w:rPr>
        <w:t xml:space="preserve">    </w:t>
      </w:r>
    </w:p>
    <w:p w14:paraId="56EDF785">
      <w:pPr>
        <w:pageBreakBefore w:val="0"/>
        <w:widowControl w:val="0"/>
        <w:tabs>
          <w:tab w:val="left" w:pos="4064"/>
        </w:tabs>
        <w:kinsoku/>
        <w:wordWrap/>
        <w:overflowPunct/>
        <w:topLinePunct w:val="0"/>
        <w:bidi w:val="0"/>
        <w:spacing w:after="0" w:line="360" w:lineRule="auto"/>
        <w:ind w:left="0" w:leftChars="0" w:firstLine="480" w:firstLineChars="200"/>
        <w:jc w:val="both"/>
        <w:rPr>
          <w:rFonts w:hint="default" w:ascii="宋体" w:hAnsi="宋体" w:eastAsia="宋体" w:cs="宋体"/>
          <w:color w:val="auto"/>
          <w:kern w:val="0"/>
          <w:sz w:val="24"/>
          <w:szCs w:val="24"/>
          <w:highlight w:val="none"/>
          <w:u w:val="single"/>
          <w:lang w:val="en-US" w:eastAsia="zh-CN" w:bidi="ar-SA"/>
        </w:rPr>
      </w:pPr>
      <w:r>
        <w:rPr>
          <w:rFonts w:hint="eastAsia" w:ascii="宋体" w:hAnsi="宋体" w:eastAsia="宋体" w:cs="宋体"/>
          <w:color w:val="auto"/>
          <w:kern w:val="0"/>
          <w:sz w:val="24"/>
          <w:szCs w:val="24"/>
          <w:highlight w:val="none"/>
          <w:lang w:val="en-US" w:eastAsia="zh-CN" w:bidi="ar-SA"/>
        </w:rPr>
        <w:t>项目负责人执业证书号码：</w:t>
      </w:r>
      <w:r>
        <w:rPr>
          <w:rFonts w:hint="eastAsia" w:ascii="宋体" w:hAnsi="宋体" w:eastAsia="宋体" w:cs="宋体"/>
          <w:color w:val="auto"/>
          <w:kern w:val="0"/>
          <w:sz w:val="24"/>
          <w:szCs w:val="24"/>
          <w:highlight w:val="none"/>
          <w:u w:val="single"/>
          <w:lang w:val="en-US" w:eastAsia="zh-CN" w:bidi="ar-SA"/>
        </w:rPr>
        <w:t xml:space="preserve">    </w:t>
      </w:r>
    </w:p>
    <w:p w14:paraId="5418D40D">
      <w:pPr>
        <w:pageBreakBefore w:val="0"/>
        <w:widowControl w:val="0"/>
        <w:tabs>
          <w:tab w:val="left" w:pos="4064"/>
        </w:tabs>
        <w:kinsoku/>
        <w:wordWrap/>
        <w:overflowPunct/>
        <w:topLinePunct w:val="0"/>
        <w:bidi w:val="0"/>
        <w:spacing w:after="0" w:line="360" w:lineRule="auto"/>
        <w:ind w:left="0" w:leftChars="0" w:firstLine="480" w:firstLineChars="200"/>
        <w:jc w:val="both"/>
        <w:rPr>
          <w:rFonts w:hint="eastAsia" w:ascii="宋体" w:hAnsi="宋体" w:eastAsia="宋体" w:cs="宋体"/>
          <w:color w:val="auto"/>
          <w:kern w:val="0"/>
          <w:sz w:val="24"/>
          <w:szCs w:val="24"/>
          <w:highlight w:val="none"/>
          <w:u w:val="single"/>
          <w:lang w:val="en-US" w:eastAsia="zh-CN" w:bidi="ar-SA"/>
        </w:rPr>
      </w:pPr>
      <w:r>
        <w:rPr>
          <w:rFonts w:hint="eastAsia" w:ascii="宋体" w:hAnsi="宋体" w:eastAsia="宋体" w:cs="宋体"/>
          <w:color w:val="auto"/>
          <w:kern w:val="0"/>
          <w:sz w:val="24"/>
          <w:szCs w:val="24"/>
          <w:highlight w:val="none"/>
          <w:lang w:val="en-US" w:eastAsia="zh-CN" w:bidi="ar-SA"/>
        </w:rPr>
        <w:t>项目负责人水行政主管部门颁发的安全生产考核合格证书号码：</w:t>
      </w:r>
      <w:r>
        <w:rPr>
          <w:rFonts w:hint="eastAsia" w:ascii="宋体" w:hAnsi="宋体" w:eastAsia="宋体" w:cs="宋体"/>
          <w:color w:val="auto"/>
          <w:kern w:val="0"/>
          <w:sz w:val="24"/>
          <w:szCs w:val="24"/>
          <w:highlight w:val="none"/>
          <w:u w:val="single"/>
          <w:lang w:val="en-US" w:eastAsia="zh-CN" w:bidi="ar-SA"/>
        </w:rPr>
        <w:t xml:space="preserve">    </w:t>
      </w:r>
    </w:p>
    <w:p w14:paraId="51280070">
      <w:pPr>
        <w:pageBreakBefore w:val="0"/>
        <w:widowControl w:val="0"/>
        <w:tabs>
          <w:tab w:val="left" w:pos="4064"/>
        </w:tabs>
        <w:kinsoku/>
        <w:wordWrap/>
        <w:overflowPunct/>
        <w:topLinePunct w:val="0"/>
        <w:bidi w:val="0"/>
        <w:spacing w:after="0" w:line="360" w:lineRule="auto"/>
        <w:ind w:left="0" w:leftChars="0" w:firstLine="480" w:firstLineChars="200"/>
        <w:jc w:val="both"/>
        <w:rPr>
          <w:rFonts w:hint="default" w:ascii="宋体" w:hAnsi="宋体" w:eastAsia="宋体" w:cs="宋体"/>
          <w:color w:val="auto"/>
          <w:kern w:val="0"/>
          <w:sz w:val="24"/>
          <w:szCs w:val="24"/>
          <w:highlight w:val="none"/>
          <w:u w:val="single"/>
          <w:lang w:val="en-US" w:eastAsia="zh-CN" w:bidi="ar-SA"/>
        </w:rPr>
      </w:pPr>
      <w:r>
        <w:rPr>
          <w:rFonts w:hint="eastAsia" w:ascii="宋体" w:hAnsi="宋体" w:eastAsia="宋体" w:cs="宋体"/>
          <w:color w:val="auto"/>
          <w:kern w:val="0"/>
          <w:sz w:val="24"/>
          <w:szCs w:val="24"/>
          <w:highlight w:val="none"/>
          <w:lang w:val="en-US" w:eastAsia="zh-CN" w:bidi="ar-SA"/>
        </w:rPr>
        <w:t>技术负责人姓名：</w:t>
      </w:r>
      <w:r>
        <w:rPr>
          <w:rFonts w:hint="eastAsia" w:ascii="宋体" w:hAnsi="宋体" w:eastAsia="宋体" w:cs="宋体"/>
          <w:color w:val="auto"/>
          <w:kern w:val="0"/>
          <w:sz w:val="24"/>
          <w:szCs w:val="24"/>
          <w:highlight w:val="none"/>
          <w:u w:val="single"/>
          <w:lang w:val="en-US" w:eastAsia="zh-CN" w:bidi="ar-SA"/>
        </w:rPr>
        <w:t xml:space="preserve">     </w:t>
      </w:r>
    </w:p>
    <w:p w14:paraId="631D9D78">
      <w:pPr>
        <w:pageBreakBefore w:val="0"/>
        <w:widowControl w:val="0"/>
        <w:tabs>
          <w:tab w:val="left" w:pos="4064"/>
        </w:tabs>
        <w:kinsoku/>
        <w:wordWrap/>
        <w:overflowPunct/>
        <w:topLinePunct w:val="0"/>
        <w:bidi w:val="0"/>
        <w:spacing w:after="0" w:line="360" w:lineRule="auto"/>
        <w:ind w:left="0" w:leftChars="0" w:firstLine="480" w:firstLineChars="200"/>
        <w:jc w:val="both"/>
        <w:rPr>
          <w:rFonts w:hint="eastAsia" w:ascii="宋体" w:hAnsi="宋体" w:eastAsia="宋体" w:cs="宋体"/>
          <w:color w:val="auto"/>
          <w:kern w:val="0"/>
          <w:sz w:val="24"/>
          <w:szCs w:val="24"/>
          <w:highlight w:val="none"/>
          <w:u w:val="single"/>
          <w:lang w:val="en-US" w:eastAsia="zh-CN" w:bidi="ar-SA"/>
        </w:rPr>
      </w:pPr>
      <w:r>
        <w:rPr>
          <w:rFonts w:hint="eastAsia" w:ascii="宋体" w:hAnsi="宋体" w:eastAsia="宋体" w:cs="宋体"/>
          <w:color w:val="auto"/>
          <w:kern w:val="0"/>
          <w:sz w:val="24"/>
          <w:szCs w:val="24"/>
          <w:highlight w:val="none"/>
          <w:lang w:val="en-US" w:eastAsia="zh-CN" w:bidi="ar-SA"/>
        </w:rPr>
        <w:t>技术负责人身份证号码：</w:t>
      </w:r>
      <w:r>
        <w:rPr>
          <w:rFonts w:hint="eastAsia" w:ascii="宋体" w:hAnsi="宋体" w:eastAsia="宋体" w:cs="宋体"/>
          <w:color w:val="auto"/>
          <w:kern w:val="0"/>
          <w:sz w:val="24"/>
          <w:szCs w:val="24"/>
          <w:highlight w:val="none"/>
          <w:u w:val="single"/>
          <w:lang w:val="en-US" w:eastAsia="zh-CN" w:bidi="ar-SA"/>
        </w:rPr>
        <w:t xml:space="preserve">    </w:t>
      </w:r>
    </w:p>
    <w:p w14:paraId="74DE2FEE">
      <w:pPr>
        <w:pageBreakBefore w:val="0"/>
        <w:widowControl w:val="0"/>
        <w:tabs>
          <w:tab w:val="left" w:pos="4064"/>
        </w:tabs>
        <w:kinsoku/>
        <w:wordWrap/>
        <w:overflowPunct/>
        <w:topLinePunct w:val="0"/>
        <w:bidi w:val="0"/>
        <w:spacing w:after="0" w:line="360" w:lineRule="auto"/>
        <w:ind w:left="0" w:leftChars="0" w:firstLine="480" w:firstLineChars="200"/>
        <w:jc w:val="both"/>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专职安全员姓名：</w:t>
      </w:r>
      <w:r>
        <w:rPr>
          <w:rFonts w:hint="eastAsia" w:ascii="宋体" w:hAnsi="宋体" w:eastAsia="宋体" w:cs="宋体"/>
          <w:color w:val="auto"/>
          <w:kern w:val="0"/>
          <w:sz w:val="24"/>
          <w:szCs w:val="24"/>
          <w:highlight w:val="none"/>
          <w:u w:val="single"/>
          <w:lang w:val="en-US" w:eastAsia="zh-CN" w:bidi="ar-SA"/>
        </w:rPr>
        <w:t xml:space="preserve">     </w:t>
      </w:r>
    </w:p>
    <w:p w14:paraId="2A28F2D8">
      <w:pPr>
        <w:pageBreakBefore w:val="0"/>
        <w:widowControl w:val="0"/>
        <w:tabs>
          <w:tab w:val="left" w:pos="4064"/>
        </w:tabs>
        <w:kinsoku/>
        <w:wordWrap/>
        <w:overflowPunct/>
        <w:topLinePunct w:val="0"/>
        <w:bidi w:val="0"/>
        <w:spacing w:after="0" w:line="360" w:lineRule="auto"/>
        <w:ind w:left="0" w:leftChars="0" w:firstLine="480" w:firstLineChars="200"/>
        <w:jc w:val="both"/>
        <w:rPr>
          <w:rFonts w:hint="default" w:ascii="宋体" w:hAnsi="宋体" w:eastAsia="宋体" w:cs="宋体"/>
          <w:color w:val="auto"/>
          <w:kern w:val="0"/>
          <w:sz w:val="24"/>
          <w:szCs w:val="24"/>
          <w:highlight w:val="none"/>
          <w:u w:val="single"/>
          <w:lang w:val="en-US" w:eastAsia="zh-CN" w:bidi="ar-SA"/>
        </w:rPr>
      </w:pPr>
      <w:r>
        <w:rPr>
          <w:rFonts w:hint="eastAsia" w:ascii="宋体" w:hAnsi="宋体" w:eastAsia="宋体" w:cs="宋体"/>
          <w:color w:val="auto"/>
          <w:kern w:val="0"/>
          <w:sz w:val="24"/>
          <w:szCs w:val="24"/>
          <w:highlight w:val="none"/>
          <w:lang w:val="en-US" w:eastAsia="zh-CN" w:bidi="ar-SA"/>
        </w:rPr>
        <w:t>专职安全员身份证号号码：</w:t>
      </w:r>
      <w:r>
        <w:rPr>
          <w:rFonts w:hint="eastAsia" w:ascii="宋体" w:hAnsi="宋体" w:eastAsia="宋体" w:cs="宋体"/>
          <w:color w:val="auto"/>
          <w:kern w:val="0"/>
          <w:sz w:val="24"/>
          <w:szCs w:val="24"/>
          <w:highlight w:val="none"/>
          <w:u w:val="single"/>
          <w:lang w:val="en-US" w:eastAsia="zh-CN" w:bidi="ar-SA"/>
        </w:rPr>
        <w:t xml:space="preserve">     </w:t>
      </w:r>
    </w:p>
    <w:p w14:paraId="146A42E9">
      <w:pPr>
        <w:pageBreakBefore w:val="0"/>
        <w:widowControl w:val="0"/>
        <w:tabs>
          <w:tab w:val="left" w:pos="4064"/>
        </w:tabs>
        <w:kinsoku/>
        <w:wordWrap/>
        <w:overflowPunct/>
        <w:topLinePunct w:val="0"/>
        <w:bidi w:val="0"/>
        <w:spacing w:after="0" w:line="360" w:lineRule="auto"/>
        <w:ind w:left="0" w:leftChars="0" w:firstLine="480" w:firstLineChars="200"/>
        <w:jc w:val="both"/>
        <w:rPr>
          <w:rFonts w:hint="default" w:ascii="宋体" w:hAnsi="宋体" w:eastAsia="宋体" w:cs="宋体"/>
          <w:color w:val="auto"/>
          <w:kern w:val="0"/>
          <w:sz w:val="24"/>
          <w:szCs w:val="24"/>
          <w:highlight w:val="none"/>
          <w:u w:val="single"/>
          <w:lang w:val="en-US" w:eastAsia="zh-CN" w:bidi="ar-SA"/>
        </w:rPr>
      </w:pPr>
      <w:r>
        <w:rPr>
          <w:rFonts w:hint="eastAsia" w:ascii="宋体" w:hAnsi="宋体" w:eastAsia="宋体" w:cs="宋体"/>
          <w:color w:val="auto"/>
          <w:kern w:val="0"/>
          <w:sz w:val="24"/>
          <w:szCs w:val="24"/>
          <w:highlight w:val="none"/>
          <w:lang w:val="en-US" w:eastAsia="zh-CN" w:bidi="ar-SA"/>
        </w:rPr>
        <w:t>专职安全员水行政主管部门颁发的安全生产考核合格证书号码：</w:t>
      </w:r>
      <w:r>
        <w:rPr>
          <w:rFonts w:hint="eastAsia" w:ascii="宋体" w:hAnsi="宋体" w:eastAsia="宋体" w:cs="宋体"/>
          <w:color w:val="auto"/>
          <w:kern w:val="0"/>
          <w:sz w:val="24"/>
          <w:szCs w:val="24"/>
          <w:highlight w:val="none"/>
          <w:u w:val="single"/>
          <w:lang w:val="en-US" w:eastAsia="zh-CN" w:bidi="ar-SA"/>
        </w:rPr>
        <w:t xml:space="preserve">       </w:t>
      </w:r>
    </w:p>
    <w:p w14:paraId="1CE13ADF">
      <w:pPr>
        <w:pageBreakBefore w:val="0"/>
        <w:widowControl w:val="0"/>
        <w:tabs>
          <w:tab w:val="left" w:pos="4064"/>
        </w:tabs>
        <w:kinsoku/>
        <w:wordWrap/>
        <w:overflowPunct/>
        <w:topLinePunct w:val="0"/>
        <w:bidi w:val="0"/>
        <w:spacing w:after="0" w:line="360" w:lineRule="auto"/>
        <w:ind w:left="0" w:leftChars="0" w:firstLine="0" w:firstLineChars="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（项目负责人、技术负责人和专职安全员的姓名、身份证号号码，项目负责人执业证书号码以及项目负责人和专职安全员水行政主管部门颁发的安全生产考核合格证书号码）。</w:t>
      </w:r>
    </w:p>
    <w:p w14:paraId="03D441EC">
      <w:pPr>
        <w:pageBreakBefore w:val="0"/>
        <w:widowControl w:val="0"/>
        <w:tabs>
          <w:tab w:val="left" w:pos="4064"/>
        </w:tabs>
        <w:kinsoku/>
        <w:wordWrap/>
        <w:overflowPunct/>
        <w:topLinePunct w:val="0"/>
        <w:bidi w:val="0"/>
        <w:spacing w:after="0" w:line="360" w:lineRule="auto"/>
        <w:ind w:left="0" w:leftChars="0"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1.1.2.</w:t>
      </w:r>
      <w:r>
        <w:rPr>
          <w:rFonts w:hint="eastAsia" w:ascii="宋体" w:hAnsi="宋体" w:eastAsia="宋体" w:cs="宋体"/>
          <w:color w:val="auto"/>
          <w:kern w:val="0"/>
          <w:sz w:val="24"/>
          <w:szCs w:val="24"/>
          <w:highlight w:val="none"/>
          <w:lang w:val="zh-CN" w:eastAsia="zh-CN" w:bidi="zh-CN"/>
        </w:rPr>
        <w:t>5分包人:</w:t>
      </w:r>
      <w:r>
        <w:rPr>
          <w:rFonts w:hint="eastAsia" w:ascii="宋体" w:hAnsi="宋体" w:eastAsia="宋体" w:cs="宋体"/>
          <w:color w:val="auto"/>
          <w:kern w:val="0"/>
          <w:sz w:val="24"/>
          <w:szCs w:val="24"/>
          <w:highlight w:val="none"/>
          <w:u w:val="single"/>
          <w:lang w:val="en-US" w:eastAsia="zh-CN" w:bidi="ar-SA"/>
        </w:rPr>
        <w:tab/>
      </w:r>
      <w:r>
        <w:rPr>
          <w:rFonts w:hint="eastAsia" w:ascii="宋体" w:hAnsi="宋体" w:eastAsia="宋体" w:cs="宋体"/>
          <w:color w:val="auto"/>
          <w:kern w:val="0"/>
          <w:sz w:val="24"/>
          <w:szCs w:val="24"/>
          <w:highlight w:val="none"/>
          <w:u w:val="single"/>
          <w:lang w:val="en-US" w:eastAsia="zh-CN" w:bidi="ar-SA"/>
        </w:rPr>
        <w:t xml:space="preserve"> 无        </w:t>
      </w:r>
      <w:r>
        <w:rPr>
          <w:rFonts w:hint="eastAsia" w:ascii="宋体" w:hAnsi="宋体" w:eastAsia="宋体" w:cs="宋体"/>
          <w:color w:val="auto"/>
          <w:kern w:val="0"/>
          <w:sz w:val="24"/>
          <w:szCs w:val="24"/>
          <w:highlight w:val="none"/>
          <w:lang w:val="en-US" w:eastAsia="zh-CN" w:bidi="ar-SA"/>
        </w:rPr>
        <w:t>。</w:t>
      </w:r>
    </w:p>
    <w:p w14:paraId="190ACCE5">
      <w:pPr>
        <w:pageBreakBefore w:val="0"/>
        <w:widowControl w:val="0"/>
        <w:tabs>
          <w:tab w:val="left" w:pos="4064"/>
        </w:tabs>
        <w:kinsoku/>
        <w:wordWrap/>
        <w:overflowPunct/>
        <w:topLinePunct w:val="0"/>
        <w:bidi w:val="0"/>
        <w:spacing w:after="0" w:line="360" w:lineRule="auto"/>
        <w:ind w:left="0" w:leftChars="0"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1.1.2.6</w:t>
      </w:r>
      <w:r>
        <w:rPr>
          <w:rFonts w:hint="eastAsia" w:ascii="宋体" w:hAnsi="宋体" w:eastAsia="宋体" w:cs="宋体"/>
          <w:color w:val="auto"/>
          <w:kern w:val="0"/>
          <w:sz w:val="24"/>
          <w:szCs w:val="24"/>
          <w:highlight w:val="none"/>
          <w:lang w:val="zh-CN" w:eastAsia="zh-CN" w:bidi="zh-CN"/>
        </w:rPr>
        <w:t>监理人：</w:t>
      </w:r>
      <w:r>
        <w:rPr>
          <w:rFonts w:hint="eastAsia" w:ascii="宋体" w:hAnsi="宋体" w:eastAsia="宋体" w:cs="宋体"/>
          <w:color w:val="auto"/>
          <w:kern w:val="0"/>
          <w:sz w:val="24"/>
          <w:szCs w:val="24"/>
          <w:highlight w:val="none"/>
          <w:u w:val="single"/>
          <w:lang w:val="en-US" w:eastAsia="zh-CN" w:bidi="zh-CN"/>
        </w:rPr>
        <w:t xml:space="preserve">                          </w:t>
      </w:r>
      <w:r>
        <w:rPr>
          <w:rFonts w:hint="eastAsia" w:ascii="宋体" w:hAnsi="宋体" w:eastAsia="宋体" w:cs="宋体"/>
          <w:color w:val="auto"/>
          <w:kern w:val="0"/>
          <w:sz w:val="24"/>
          <w:szCs w:val="24"/>
          <w:highlight w:val="none"/>
          <w:lang w:val="en-US" w:eastAsia="zh-CN" w:bidi="ar-SA"/>
        </w:rPr>
        <w:t>。</w:t>
      </w:r>
    </w:p>
    <w:p w14:paraId="7DD25F5C">
      <w:pPr>
        <w:pageBreakBefore w:val="0"/>
        <w:widowControl w:val="0"/>
        <w:tabs>
          <w:tab w:val="left" w:pos="3649"/>
        </w:tabs>
        <w:kinsoku/>
        <w:wordWrap/>
        <w:overflowPunct/>
        <w:topLinePunct w:val="0"/>
        <w:bidi w:val="0"/>
        <w:spacing w:after="0" w:line="360" w:lineRule="auto"/>
        <w:ind w:left="0" w:leftChars="0"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1.1.4</w:t>
      </w:r>
      <w:r>
        <w:rPr>
          <w:rFonts w:hint="eastAsia" w:ascii="宋体" w:hAnsi="宋体" w:eastAsia="宋体" w:cs="宋体"/>
          <w:color w:val="auto"/>
          <w:kern w:val="0"/>
          <w:sz w:val="24"/>
          <w:szCs w:val="24"/>
          <w:highlight w:val="none"/>
          <w:lang w:val="zh-CN" w:eastAsia="zh-CN" w:bidi="zh-CN"/>
        </w:rPr>
        <w:t>日期：</w:t>
      </w:r>
      <w:r>
        <w:rPr>
          <w:rFonts w:hint="eastAsia" w:ascii="宋体" w:hAnsi="宋体" w:eastAsia="宋体" w:cs="宋体"/>
          <w:color w:val="auto"/>
          <w:kern w:val="0"/>
          <w:sz w:val="24"/>
          <w:szCs w:val="24"/>
          <w:highlight w:val="none"/>
          <w:u w:val="single"/>
          <w:lang w:val="zh-CN" w:eastAsia="zh-CN" w:bidi="zh-CN"/>
        </w:rPr>
        <w:t>实际开工日期以监理单位发出的开工令载明的日期为准</w:t>
      </w:r>
      <w:r>
        <w:rPr>
          <w:rFonts w:hint="eastAsia" w:ascii="宋体" w:hAnsi="宋体" w:eastAsia="宋体" w:cs="宋体"/>
          <w:color w:val="auto"/>
          <w:kern w:val="0"/>
          <w:sz w:val="24"/>
          <w:szCs w:val="24"/>
          <w:highlight w:val="none"/>
          <w:lang w:val="zh-CN" w:eastAsia="zh-CN" w:bidi="zh-CN"/>
        </w:rPr>
        <w:t>。</w:t>
      </w:r>
    </w:p>
    <w:p w14:paraId="2BE57F6E">
      <w:pPr>
        <w:pageBreakBefore w:val="0"/>
        <w:widowControl w:val="0"/>
        <w:tabs>
          <w:tab w:val="left" w:pos="63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1.1.4.</w:t>
      </w:r>
      <w:r>
        <w:rPr>
          <w:rFonts w:hint="eastAsia" w:ascii="宋体" w:hAnsi="宋体" w:eastAsia="宋体" w:cs="宋体"/>
          <w:color w:val="auto"/>
          <w:kern w:val="2"/>
          <w:sz w:val="24"/>
          <w:szCs w:val="24"/>
          <w:highlight w:val="none"/>
          <w:lang w:val="zh-CN" w:eastAsia="zh-CN" w:bidi="zh-CN"/>
        </w:rPr>
        <w:t>5缺陷责任期(工程质量保修期)</w:t>
      </w:r>
      <w:r>
        <w:rPr>
          <w:rFonts w:hint="eastAsia" w:ascii="宋体" w:hAnsi="宋体" w:cs="宋体"/>
          <w:color w:val="auto"/>
          <w:kern w:val="2"/>
          <w:sz w:val="24"/>
          <w:szCs w:val="24"/>
          <w:highlight w:val="none"/>
          <w:lang w:val="zh-CN" w:eastAsia="zh-CN" w:bidi="zh-CN"/>
        </w:rPr>
        <w:t>：</w:t>
      </w:r>
      <w:r>
        <w:rPr>
          <w:rFonts w:hint="eastAsia" w:ascii="宋体" w:hAnsi="宋体" w:eastAsia="宋体" w:cs="宋体"/>
          <w:color w:val="auto"/>
          <w:kern w:val="2"/>
          <w:sz w:val="24"/>
          <w:szCs w:val="24"/>
          <w:highlight w:val="none"/>
          <w:u w:val="single"/>
          <w:lang w:val="zh-CN" w:eastAsia="zh-CN" w:bidi="zh-CN"/>
        </w:rPr>
        <w:t>竣工验收合格后1年</w:t>
      </w:r>
      <w:r>
        <w:rPr>
          <w:rFonts w:hint="eastAsia" w:ascii="宋体" w:hAnsi="宋体" w:eastAsia="宋体" w:cs="宋体"/>
          <w:color w:val="auto"/>
          <w:kern w:val="2"/>
          <w:sz w:val="24"/>
          <w:szCs w:val="24"/>
          <w:highlight w:val="none"/>
          <w:lang w:val="en-US" w:eastAsia="zh-CN" w:bidi="en-US"/>
        </w:rPr>
        <w:t>。</w:t>
      </w:r>
    </w:p>
    <w:p w14:paraId="6862ECF7">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1.4合同文件的优先顺序</w:t>
      </w:r>
    </w:p>
    <w:p w14:paraId="4256CD0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进入合同的各项文件及其优先顺序如下：</w:t>
      </w:r>
    </w:p>
    <w:p w14:paraId="614484AB">
      <w:pPr>
        <w:pageBreakBefore w:val="0"/>
        <w:widowControl w:val="0"/>
        <w:numPr>
          <w:ilvl w:val="0"/>
          <w:numId w:val="38"/>
        </w:numPr>
        <w:tabs>
          <w:tab w:val="left" w:pos="92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合同协议书(包括补充协议、合同谈判备忘录)；</w:t>
      </w:r>
    </w:p>
    <w:p w14:paraId="256B14BF">
      <w:pPr>
        <w:pageBreakBefore w:val="0"/>
        <w:widowControl w:val="0"/>
        <w:numPr>
          <w:ilvl w:val="0"/>
          <w:numId w:val="38"/>
        </w:numPr>
        <w:tabs>
          <w:tab w:val="left" w:pos="92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中标通知书；</w:t>
      </w:r>
    </w:p>
    <w:p w14:paraId="4859E2DC">
      <w:pPr>
        <w:pageBreakBefore w:val="0"/>
        <w:widowControl w:val="0"/>
        <w:numPr>
          <w:ilvl w:val="0"/>
          <w:numId w:val="38"/>
        </w:numPr>
        <w:tabs>
          <w:tab w:val="left" w:pos="92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投标函及投标函附录；</w:t>
      </w:r>
    </w:p>
    <w:p w14:paraId="30A9954A">
      <w:pPr>
        <w:pageBreakBefore w:val="0"/>
        <w:widowControl w:val="0"/>
        <w:numPr>
          <w:ilvl w:val="0"/>
          <w:numId w:val="38"/>
        </w:numPr>
        <w:tabs>
          <w:tab w:val="left" w:pos="92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专用合同条款(含附加条款)；</w:t>
      </w:r>
    </w:p>
    <w:p w14:paraId="653EF447">
      <w:pPr>
        <w:pageBreakBefore w:val="0"/>
        <w:widowControl w:val="0"/>
        <w:numPr>
          <w:ilvl w:val="0"/>
          <w:numId w:val="38"/>
        </w:numPr>
        <w:tabs>
          <w:tab w:val="left" w:pos="92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通用合同条款；</w:t>
      </w:r>
    </w:p>
    <w:p w14:paraId="289D8A3A">
      <w:pPr>
        <w:pageBreakBefore w:val="0"/>
        <w:widowControl w:val="0"/>
        <w:numPr>
          <w:ilvl w:val="0"/>
          <w:numId w:val="38"/>
        </w:numPr>
        <w:tabs>
          <w:tab w:val="left" w:pos="92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技术标准和要求(合同技术条款)；</w:t>
      </w:r>
    </w:p>
    <w:p w14:paraId="08422D62">
      <w:pPr>
        <w:pageBreakBefore w:val="0"/>
        <w:widowControl w:val="0"/>
        <w:numPr>
          <w:ilvl w:val="0"/>
          <w:numId w:val="38"/>
        </w:numPr>
        <w:tabs>
          <w:tab w:val="left" w:pos="92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图纸；</w:t>
      </w:r>
    </w:p>
    <w:p w14:paraId="5D061E62">
      <w:pPr>
        <w:pageBreakBefore w:val="0"/>
        <w:widowControl w:val="0"/>
        <w:numPr>
          <w:ilvl w:val="0"/>
          <w:numId w:val="38"/>
        </w:numPr>
        <w:tabs>
          <w:tab w:val="left" w:pos="92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已标价工程量清单；</w:t>
      </w:r>
    </w:p>
    <w:p w14:paraId="240D97E7">
      <w:pPr>
        <w:pageBreakBefore w:val="0"/>
        <w:widowControl w:val="0"/>
        <w:numPr>
          <w:ilvl w:val="0"/>
          <w:numId w:val="38"/>
        </w:numPr>
        <w:tabs>
          <w:tab w:val="left" w:pos="92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投标文件其他内容；</w:t>
      </w:r>
    </w:p>
    <w:p w14:paraId="18489150">
      <w:pPr>
        <w:pageBreakBefore w:val="0"/>
        <w:widowControl w:val="0"/>
        <w:numPr>
          <w:ilvl w:val="0"/>
          <w:numId w:val="38"/>
        </w:numPr>
        <w:tabs>
          <w:tab w:val="left" w:pos="1026"/>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其他合同文件。</w:t>
      </w:r>
    </w:p>
    <w:p w14:paraId="7192A6E9">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1.7联络</w:t>
      </w:r>
    </w:p>
    <w:p w14:paraId="3C98830F">
      <w:pPr>
        <w:pageBreakBefore w:val="0"/>
        <w:widowControl w:val="0"/>
        <w:tabs>
          <w:tab w:val="left" w:pos="2074"/>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1.7.2</w:t>
      </w:r>
      <w:r>
        <w:rPr>
          <w:rFonts w:hint="eastAsia" w:ascii="宋体" w:hAnsi="宋体" w:eastAsia="宋体" w:cs="宋体"/>
          <w:color w:val="auto"/>
          <w:kern w:val="2"/>
          <w:sz w:val="24"/>
          <w:szCs w:val="24"/>
          <w:highlight w:val="none"/>
          <w:lang w:val="zh-CN" w:eastAsia="zh-CN" w:bidi="zh-CN"/>
        </w:rPr>
        <w:t>来往函件均应按技术标准和要求(合同技术条款)约定的期限送</w:t>
      </w:r>
      <w:r>
        <w:rPr>
          <w:rFonts w:hint="eastAsia" w:ascii="宋体" w:hAnsi="宋体" w:eastAsia="宋体" w:cs="宋体"/>
          <w:color w:val="auto"/>
          <w:kern w:val="2"/>
          <w:sz w:val="24"/>
          <w:szCs w:val="24"/>
          <w:highlight w:val="none"/>
          <w:u w:val="single"/>
          <w:lang w:val="en-US" w:eastAsia="zh-CN" w:bidi="zh-CN"/>
        </w:rPr>
        <w:t xml:space="preserve">       </w:t>
      </w:r>
      <w:r>
        <w:rPr>
          <w:rFonts w:hint="eastAsia" w:ascii="宋体" w:hAnsi="宋体" w:eastAsia="宋体" w:cs="宋体"/>
          <w:color w:val="auto"/>
          <w:kern w:val="2"/>
          <w:sz w:val="24"/>
          <w:szCs w:val="24"/>
          <w:highlight w:val="none"/>
          <w:u w:val="single"/>
          <w:lang w:val="en-US" w:eastAsia="zh-CN" w:bidi="en-US"/>
        </w:rPr>
        <w:t>。</w:t>
      </w:r>
    </w:p>
    <w:p w14:paraId="58548EDD">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46" w:name="_Toc12357"/>
      <w:r>
        <w:rPr>
          <w:rFonts w:hint="eastAsia" w:ascii="宋体" w:hAnsi="宋体" w:eastAsia="宋体" w:cs="宋体"/>
          <w:color w:val="auto"/>
          <w:kern w:val="2"/>
          <w:sz w:val="24"/>
          <w:szCs w:val="24"/>
          <w:highlight w:val="none"/>
          <w:lang w:val="en-US" w:eastAsia="zh-CN" w:bidi="ar-SA"/>
        </w:rPr>
        <w:t>2. 发包人义务</w:t>
      </w:r>
      <w:bookmarkEnd w:id="246"/>
    </w:p>
    <w:p w14:paraId="1D93C21B">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2.3提供施工场地</w:t>
      </w:r>
    </w:p>
    <w:p w14:paraId="73EC03D1">
      <w:pPr>
        <w:pageBreakBefore w:val="0"/>
        <w:widowControl w:val="0"/>
        <w:tabs>
          <w:tab w:val="left" w:pos="8227"/>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en-US"/>
        </w:rPr>
      </w:pPr>
      <w:r>
        <w:rPr>
          <w:rFonts w:hint="eastAsia" w:ascii="宋体" w:hAnsi="宋体" w:eastAsia="宋体" w:cs="宋体"/>
          <w:color w:val="auto"/>
          <w:kern w:val="2"/>
          <w:sz w:val="24"/>
          <w:szCs w:val="24"/>
          <w:highlight w:val="none"/>
          <w:lang w:val="en-US" w:eastAsia="zh-CN" w:bidi="en-US"/>
        </w:rPr>
        <w:t>2.3.2发包人提供的施工场地范围为： 发包人负责办理工地范围内的征地、拆迁和移民等有关手续，并提供施工场地周围管线（含地上及地下）和邻近建筑物、构筑物(含文物保护建筑)、古树名木等相关资料，向承包人提供施工用地。</w:t>
      </w:r>
    </w:p>
    <w:p w14:paraId="1C1AA8AB">
      <w:pPr>
        <w:pageBreakBefore w:val="0"/>
        <w:widowControl w:val="0"/>
        <w:tabs>
          <w:tab w:val="left" w:pos="8227"/>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en-US"/>
        </w:rPr>
      </w:pPr>
      <w:r>
        <w:rPr>
          <w:rFonts w:hint="eastAsia" w:ascii="宋体" w:hAnsi="宋体" w:eastAsia="宋体" w:cs="宋体"/>
          <w:color w:val="auto"/>
          <w:kern w:val="2"/>
          <w:sz w:val="24"/>
          <w:szCs w:val="24"/>
          <w:highlight w:val="none"/>
          <w:lang w:val="en-US" w:eastAsia="zh-CN" w:bidi="en-US"/>
        </w:rPr>
        <w:t>2.3.3发包人应在开工前14天内，向承包人提供与施工现场相关的工程地质和地下管线资料，对资料的真实准确性负责。但发包人对承包人在使用上述资料时所作的分析、判断和推论不承担责任。发包人负责协调处理施工场地周围地下管线和邻近建筑物、构筑物的保护工作，并协助解决对承包人施工有干扰的外部条件。</w:t>
      </w:r>
    </w:p>
    <w:p w14:paraId="64D6AA3E">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47" w:name="_Toc32414"/>
      <w:r>
        <w:rPr>
          <w:rFonts w:hint="eastAsia" w:ascii="宋体" w:hAnsi="宋体" w:eastAsia="宋体" w:cs="宋体"/>
          <w:color w:val="auto"/>
          <w:kern w:val="2"/>
          <w:sz w:val="24"/>
          <w:szCs w:val="24"/>
          <w:highlight w:val="none"/>
          <w:lang w:val="en-US" w:eastAsia="zh-CN" w:bidi="ar-SA"/>
        </w:rPr>
        <w:t>3. 监理人</w:t>
      </w:r>
      <w:bookmarkEnd w:id="247"/>
    </w:p>
    <w:p w14:paraId="4D417A21">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3.1监理人的职责和权力</w:t>
      </w:r>
    </w:p>
    <w:p w14:paraId="4C86732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3.1.1</w:t>
      </w:r>
      <w:r>
        <w:rPr>
          <w:rFonts w:hint="eastAsia" w:ascii="宋体" w:hAnsi="宋体" w:eastAsia="宋体" w:cs="宋体"/>
          <w:color w:val="auto"/>
          <w:kern w:val="2"/>
          <w:sz w:val="24"/>
          <w:szCs w:val="24"/>
          <w:highlight w:val="none"/>
          <w:lang w:val="zh-CN" w:eastAsia="zh-CN" w:bidi="zh-CN"/>
        </w:rPr>
        <w:t>监理人须根据发包人事先批准的权力范围行使权力，发包人批准的权力范围： 按本工程委托监理合同。</w:t>
      </w:r>
    </w:p>
    <w:p w14:paraId="659E08CF">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48" w:name="_Toc32089"/>
      <w:r>
        <w:rPr>
          <w:rFonts w:hint="eastAsia" w:ascii="宋体" w:hAnsi="宋体" w:eastAsia="宋体" w:cs="宋体"/>
          <w:color w:val="auto"/>
          <w:kern w:val="2"/>
          <w:sz w:val="24"/>
          <w:szCs w:val="24"/>
          <w:highlight w:val="none"/>
          <w:lang w:val="en-US" w:eastAsia="zh-CN" w:bidi="ar-SA"/>
        </w:rPr>
        <w:t>4. 承包人</w:t>
      </w:r>
      <w:bookmarkEnd w:id="248"/>
    </w:p>
    <w:p w14:paraId="40FD4C4A">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4.1承包人的一般义务</w:t>
      </w:r>
    </w:p>
    <w:p w14:paraId="619DB71E">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4.1.10其他义务</w:t>
      </w:r>
    </w:p>
    <w:p w14:paraId="1F5011A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（一）办理有关保险。</w:t>
      </w:r>
    </w:p>
    <w:p w14:paraId="068D8940">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按照《中华人民共和国建筑法》规定，必须在工程开工前，为参加本合同工程现场施工的所有作业人员及管理人员，包括参加工程建设的管理人员、施工人员(含民工)办理工伤保险，并缴纳工伤保险费。保险期限自投保之日(工程开工之日)起至工程竣工验收时止, 时间上涵盖施工全过程的任一时段。</w:t>
      </w:r>
    </w:p>
    <w:p w14:paraId="2BD139E2">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按照《中华人民共和国建筑法》规定，鼓励为从事危险作业的职工办理意外伤害保险。</w:t>
      </w:r>
    </w:p>
    <w:p w14:paraId="2DAADB9E">
      <w:pPr>
        <w:pageBreakBefore w:val="0"/>
        <w:widowControl w:val="0"/>
        <w:tabs>
          <w:tab w:val="left" w:pos="1028"/>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二）依法与招用的农民工签订并履行劳动合同，建立职工名册，及时办理劳动用工备案。根据《广西壮族自治区人力资源和社会保障厅等8部门关于印发广西壮族自治区工程建设领域农民工工资专用账广管理暂行办法实施顺的通知》（桂人社规〔2022〕5号）</w:t>
      </w:r>
      <w:r>
        <w:rPr>
          <w:rFonts w:hint="eastAsia" w:ascii="宋体" w:hAnsi="宋体" w:cs="宋体"/>
          <w:color w:val="auto"/>
          <w:kern w:val="2"/>
          <w:sz w:val="24"/>
          <w:szCs w:val="24"/>
          <w:highlight w:val="none"/>
          <w:lang w:val="zh-CN" w:eastAsia="zh-CN" w:bidi="zh-CN"/>
        </w:rPr>
        <w:t>的</w:t>
      </w:r>
      <w:r>
        <w:rPr>
          <w:rFonts w:hint="eastAsia" w:ascii="宋体" w:hAnsi="宋体" w:eastAsia="宋体" w:cs="宋体"/>
          <w:color w:val="auto"/>
          <w:kern w:val="2"/>
          <w:sz w:val="24"/>
          <w:szCs w:val="24"/>
          <w:highlight w:val="none"/>
          <w:lang w:val="zh-CN" w:eastAsia="zh-CN" w:bidi="zh-CN"/>
        </w:rPr>
        <w:t>有关</w:t>
      </w:r>
      <w:r>
        <w:rPr>
          <w:rFonts w:hint="eastAsia" w:ascii="宋体" w:hAnsi="宋体" w:cs="宋体"/>
          <w:color w:val="auto"/>
          <w:kern w:val="2"/>
          <w:sz w:val="24"/>
          <w:szCs w:val="24"/>
          <w:highlight w:val="none"/>
          <w:lang w:val="en-US" w:eastAsia="zh-CN" w:bidi="zh-CN"/>
        </w:rPr>
        <w:t>规定</w:t>
      </w:r>
      <w:r>
        <w:rPr>
          <w:rFonts w:hint="eastAsia" w:ascii="宋体" w:hAnsi="宋体" w:cs="宋体"/>
          <w:color w:val="auto"/>
          <w:kern w:val="2"/>
          <w:sz w:val="24"/>
          <w:szCs w:val="24"/>
          <w:highlight w:val="none"/>
          <w:lang w:val="zh-CN" w:eastAsia="zh-CN" w:bidi="zh-CN"/>
        </w:rPr>
        <w:t>，</w:t>
      </w:r>
      <w:r>
        <w:rPr>
          <w:rFonts w:hint="eastAsia" w:ascii="宋体" w:hAnsi="宋体" w:cs="宋体"/>
          <w:color w:val="auto"/>
          <w:kern w:val="2"/>
          <w:sz w:val="24"/>
          <w:szCs w:val="24"/>
          <w:highlight w:val="none"/>
          <w:lang w:val="en-US" w:eastAsia="zh-CN" w:bidi="zh-CN"/>
        </w:rPr>
        <w:t>本项目</w:t>
      </w:r>
      <w:r>
        <w:rPr>
          <w:rFonts w:hint="eastAsia" w:ascii="宋体" w:hAnsi="宋体" w:cs="宋体"/>
          <w:color w:val="auto"/>
          <w:kern w:val="2"/>
          <w:sz w:val="24"/>
          <w:szCs w:val="24"/>
          <w:highlight w:val="none"/>
          <w:lang w:val="zh-CN" w:eastAsia="zh-CN" w:bidi="zh-CN"/>
        </w:rPr>
        <w:t>由</w:t>
      </w:r>
      <w:r>
        <w:rPr>
          <w:rFonts w:hint="eastAsia" w:ascii="宋体" w:hAnsi="宋体" w:cs="宋体"/>
          <w:color w:val="auto"/>
          <w:kern w:val="2"/>
          <w:sz w:val="24"/>
          <w:szCs w:val="24"/>
          <w:highlight w:val="none"/>
          <w:lang w:val="en-US" w:eastAsia="zh-CN" w:bidi="zh-CN"/>
        </w:rPr>
        <w:t>承包人</w:t>
      </w:r>
      <w:r>
        <w:rPr>
          <w:rFonts w:hint="eastAsia" w:ascii="宋体" w:hAnsi="宋体" w:cs="宋体"/>
          <w:color w:val="auto"/>
          <w:kern w:val="2"/>
          <w:sz w:val="24"/>
          <w:szCs w:val="24"/>
          <w:highlight w:val="none"/>
          <w:lang w:val="zh-CN" w:eastAsia="zh-CN" w:bidi="zh-CN"/>
        </w:rPr>
        <w:t>将农民工工资直接支付到农民工本人的银行账户</w:t>
      </w:r>
      <w:r>
        <w:rPr>
          <w:rFonts w:hint="eastAsia" w:ascii="宋体" w:hAnsi="宋体" w:eastAsia="宋体" w:cs="宋体"/>
          <w:color w:val="auto"/>
          <w:kern w:val="2"/>
          <w:sz w:val="24"/>
          <w:szCs w:val="24"/>
          <w:highlight w:val="none"/>
          <w:lang w:val="zh-CN" w:eastAsia="zh-CN" w:bidi="zh-CN"/>
        </w:rPr>
        <w:t>。</w:t>
      </w:r>
    </w:p>
    <w:p w14:paraId="494398D0">
      <w:pPr>
        <w:pageBreakBefore w:val="0"/>
        <w:widowControl w:val="0"/>
        <w:tabs>
          <w:tab w:val="left" w:pos="1031"/>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（三）工程施工的义务和责任</w:t>
      </w:r>
    </w:p>
    <w:p w14:paraId="1DE49290">
      <w:pPr>
        <w:pageBreakBefore w:val="0"/>
        <w:widowControl w:val="0"/>
        <w:numPr>
          <w:ilvl w:val="0"/>
          <w:numId w:val="39"/>
        </w:numPr>
        <w:tabs>
          <w:tab w:val="left" w:pos="92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应负责施工场地内部的水、电等施工管、线路的铺、架设及其费用，并按供电部门规定向供电部门(或发包人)交纳水、电费。发包人提供的接电点在签订合同时明确。另外，施工通讯及设施由承包人负责并承担费用。</w:t>
      </w:r>
    </w:p>
    <w:p w14:paraId="545A3710">
      <w:pPr>
        <w:pageBreakBefore w:val="0"/>
        <w:widowControl w:val="0"/>
        <w:numPr>
          <w:ilvl w:val="0"/>
          <w:numId w:val="39"/>
        </w:numPr>
        <w:tabs>
          <w:tab w:val="left" w:pos="918"/>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除民房外，承包人应按监理人的指示负责拆除、清理已征用土地上的杂物、灌木、 树木、树根、杂草等。</w:t>
      </w:r>
    </w:p>
    <w:p w14:paraId="17629F04">
      <w:pPr>
        <w:pageBreakBefore w:val="0"/>
        <w:widowControl w:val="0"/>
        <w:numPr>
          <w:ilvl w:val="0"/>
          <w:numId w:val="39"/>
        </w:numPr>
        <w:tabs>
          <w:tab w:val="left" w:pos="92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承包人应充分理解有一些设施(如施工道路、桥梁)可能会有其它人和单位使用通行，在使用过程中发生干扰时，应立即通知监理人并服从监理人的决定。</w:t>
      </w:r>
    </w:p>
    <w:p w14:paraId="55914DB0">
      <w:pPr>
        <w:pageBreakBefore w:val="0"/>
        <w:widowControl w:val="0"/>
        <w:numPr>
          <w:ilvl w:val="0"/>
          <w:numId w:val="39"/>
        </w:numPr>
        <w:tabs>
          <w:tab w:val="left" w:pos="922"/>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承包人应为监理人、发包人现场代表对施工现场的检查监督提供必要的配合，并对这种配合对施工的影响应有充分的考虑。</w:t>
      </w:r>
    </w:p>
    <w:p w14:paraId="50AC9844">
      <w:pPr>
        <w:pageBreakBefore w:val="0"/>
        <w:widowControl w:val="0"/>
        <w:numPr>
          <w:ilvl w:val="0"/>
          <w:numId w:val="39"/>
        </w:numPr>
        <w:tabs>
          <w:tab w:val="left" w:pos="915"/>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工程竣工后，承包人应按监理人的指示清理施工现场直至监理人、发包人满意 为止。</w:t>
      </w:r>
    </w:p>
    <w:p w14:paraId="0048F073">
      <w:pPr>
        <w:pageBreakBefore w:val="0"/>
        <w:widowControl w:val="0"/>
        <w:numPr>
          <w:ilvl w:val="0"/>
          <w:numId w:val="39"/>
        </w:numPr>
        <w:tabs>
          <w:tab w:val="left" w:pos="92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对上述(1) ~ (5)项工作，费用已包括在有关单价和总价中，发包人不再另行支付由此所发生的一切费用。</w:t>
      </w:r>
    </w:p>
    <w:p w14:paraId="5A357F6C">
      <w:pPr>
        <w:pageBreakBefore w:val="0"/>
        <w:widowControl w:val="0"/>
        <w:numPr>
          <w:ilvl w:val="0"/>
          <w:numId w:val="39"/>
        </w:numPr>
        <w:tabs>
          <w:tab w:val="left" w:pos="922"/>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经过公路、城市道路的施工车辆，必须按交警、城管、环保、环卫等部门规定执行。施工车辆的营运手续办理、清洗等一切费用由承包人承担。由于车辆超载、带泥或洒漏造成的道路损坏、环境污染等，其责任和费用均由承包人承担。</w:t>
      </w:r>
    </w:p>
    <w:p w14:paraId="4525E729">
      <w:pPr>
        <w:pageBreakBefore w:val="0"/>
        <w:widowControl w:val="0"/>
        <w:numPr>
          <w:ilvl w:val="0"/>
          <w:numId w:val="39"/>
        </w:numPr>
        <w:tabs>
          <w:tab w:val="left" w:pos="924"/>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承包人必须文明、安全施工，在施工期间发生的一切人员伤亡和财产损失等责任事故和所发生的一切费用概由承包人承担。</w:t>
      </w:r>
    </w:p>
    <w:p w14:paraId="3B3C9528">
      <w:pPr>
        <w:pageBreakBefore w:val="0"/>
        <w:widowControl w:val="0"/>
        <w:numPr>
          <w:ilvl w:val="0"/>
          <w:numId w:val="39"/>
        </w:numPr>
        <w:tabs>
          <w:tab w:val="left" w:pos="924"/>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按照发包人的要求做好安全文明宣传、监督检查宣传等工作，相关费用由承包人承担。</w:t>
      </w:r>
    </w:p>
    <w:p w14:paraId="3620FC78">
      <w:pPr>
        <w:pageBreakBefore w:val="0"/>
        <w:widowControl w:val="0"/>
        <w:numPr>
          <w:ilvl w:val="0"/>
          <w:numId w:val="39"/>
        </w:numPr>
        <w:tabs>
          <w:tab w:val="left" w:pos="924"/>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承包人应按约定时间和要求，完成以下工作：</w:t>
      </w:r>
    </w:p>
    <w:p w14:paraId="2F845AF4">
      <w:pPr>
        <w:pageBreakBefore w:val="0"/>
        <w:widowControl w:val="0"/>
        <w:numPr>
          <w:ilvl w:val="0"/>
          <w:numId w:val="40"/>
        </w:numPr>
        <w:tabs>
          <w:tab w:val="left" w:pos="839"/>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按时提交施工组织设计、单位工程的施工方案。</w:t>
      </w:r>
    </w:p>
    <w:p w14:paraId="3E12955E">
      <w:pPr>
        <w:pageBreakBefore w:val="0"/>
        <w:widowControl w:val="0"/>
        <w:numPr>
          <w:ilvl w:val="0"/>
          <w:numId w:val="40"/>
        </w:numPr>
        <w:tabs>
          <w:tab w:val="left" w:pos="839"/>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每月25日向监理人提交当月工程进度报表及下月进度计划。</w:t>
      </w:r>
    </w:p>
    <w:p w14:paraId="140BCFB9">
      <w:pPr>
        <w:pageBreakBefore w:val="0"/>
        <w:widowControl w:val="0"/>
        <w:numPr>
          <w:ilvl w:val="0"/>
          <w:numId w:val="40"/>
        </w:numPr>
        <w:tabs>
          <w:tab w:val="left" w:pos="839"/>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承包人自行负责施工安全保卫工作及夜间施工照明。</w:t>
      </w:r>
    </w:p>
    <w:p w14:paraId="0D2B2B7A">
      <w:pPr>
        <w:pageBreakBefore w:val="0"/>
        <w:widowControl w:val="0"/>
        <w:numPr>
          <w:ilvl w:val="0"/>
          <w:numId w:val="40"/>
        </w:numPr>
        <w:tabs>
          <w:tab w:val="left" w:pos="798"/>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需承包人办理的有关施工场地交通、环卫和施工噪音降尘管理等手续：遵守有关部门对施工现场交通、环卫和施工噪音降尘管理规定，如有发生，费用由承包人承担。</w:t>
      </w:r>
    </w:p>
    <w:p w14:paraId="20EA4E0F">
      <w:pPr>
        <w:pageBreakBefore w:val="0"/>
        <w:widowControl w:val="0"/>
        <w:numPr>
          <w:ilvl w:val="0"/>
          <w:numId w:val="40"/>
        </w:numPr>
        <w:tabs>
          <w:tab w:val="left" w:pos="819"/>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已完工程成品保护的特殊要求及费用承担：已完工工程未交付发包人之前，承包人按协议条款约定负责已完成工程的成品保护工作，保护期间发生损坏，承包人自费予以修复。</w:t>
      </w:r>
    </w:p>
    <w:p w14:paraId="21019C2F">
      <w:pPr>
        <w:pageBreakBefore w:val="0"/>
        <w:widowControl w:val="0"/>
        <w:numPr>
          <w:ilvl w:val="0"/>
          <w:numId w:val="40"/>
        </w:numPr>
        <w:tabs>
          <w:tab w:val="left" w:pos="814"/>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承包人有义务对施工场地周围管线(含地上及地下)和邻近建筑物、构筑物(含文物保护建筑)、古树名木等进行探明并负责保护。</w:t>
      </w:r>
    </w:p>
    <w:p w14:paraId="1E072EDA">
      <w:pPr>
        <w:pageBreakBefore w:val="0"/>
        <w:widowControl w:val="0"/>
        <w:numPr>
          <w:ilvl w:val="0"/>
          <w:numId w:val="40"/>
        </w:numPr>
        <w:tabs>
          <w:tab w:val="left" w:pos="819"/>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施工场地清洁卫生的要求：按城建卫生有关规定执行，由承包人负责，费用由承包人承担。</w:t>
      </w:r>
    </w:p>
    <w:p w14:paraId="7B69A06E">
      <w:pPr>
        <w:pageBreakBefore w:val="0"/>
        <w:widowControl w:val="0"/>
        <w:numPr>
          <w:ilvl w:val="0"/>
          <w:numId w:val="40"/>
        </w:numPr>
        <w:tabs>
          <w:tab w:val="left" w:pos="839"/>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承包人承担施工场地、水电及运输通道的修建和维护、清场等费用。</w:t>
      </w:r>
    </w:p>
    <w:p w14:paraId="56618500">
      <w:pPr>
        <w:pageBreakBefore w:val="0"/>
        <w:widowControl w:val="0"/>
        <w:numPr>
          <w:ilvl w:val="0"/>
          <w:numId w:val="39"/>
        </w:numPr>
        <w:tabs>
          <w:tab w:val="left" w:pos="1026"/>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双方约定承包人应做的其他工作：</w:t>
      </w:r>
    </w:p>
    <w:p w14:paraId="1D6A27DC">
      <w:pPr>
        <w:pageBreakBefore w:val="0"/>
        <w:widowControl w:val="0"/>
        <w:numPr>
          <w:ilvl w:val="0"/>
          <w:numId w:val="41"/>
        </w:numPr>
        <w:tabs>
          <w:tab w:val="left" w:pos="819"/>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凡属于需要承包人交付给其他承包人的工作面以及与其他承包人交叉作业的工作面, 承包人必须服从监理人的决定，按规定的完工日期完成并将清理好的工作面移交给发包人, 并取得监理人的同意。</w:t>
      </w:r>
    </w:p>
    <w:p w14:paraId="68E0F2AF">
      <w:pPr>
        <w:pageBreakBefore w:val="0"/>
        <w:widowControl w:val="0"/>
        <w:numPr>
          <w:ilvl w:val="0"/>
          <w:numId w:val="41"/>
        </w:numPr>
        <w:tabs>
          <w:tab w:val="left" w:pos="817"/>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工程完工后，承包人应按监理人的指示清理施工现场。并在工程完工后6个月内完成并提交工程竣工资料和工程结算资料。承包人逾期提交，发包人将对承包人的拖延行为视为违约，并按100元/天计算违约金，违约金从承包人应得的工程款中扣除，但其最终的累计总金额与各项逾期完工违约金合计不超过合同价格的5%。</w:t>
      </w:r>
    </w:p>
    <w:p w14:paraId="58D2375D">
      <w:pPr>
        <w:pageBreakBefore w:val="0"/>
        <w:widowControl w:val="0"/>
        <w:numPr>
          <w:ilvl w:val="0"/>
          <w:numId w:val="39"/>
        </w:numPr>
        <w:tabs>
          <w:tab w:val="left" w:pos="1026"/>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其他未尽事宜待签订施工合同时双方再协商。</w:t>
      </w:r>
    </w:p>
    <w:p w14:paraId="327A1B1D">
      <w:pPr>
        <w:pageBreakBefore w:val="0"/>
        <w:widowControl w:val="0"/>
        <w:tabs>
          <w:tab w:val="left" w:pos="1031"/>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（四）鼓励承包人根据工程建设实际，吸纳建档立卡贫困劳动力参加工程建设。</w:t>
      </w:r>
    </w:p>
    <w:p w14:paraId="6DEB7E53">
      <w:pPr>
        <w:pageBreakBefore w:val="0"/>
        <w:widowControl w:val="0"/>
        <w:tabs>
          <w:tab w:val="left" w:pos="103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（五）执行自治区关于松材线虫病防控工作的有关规定，工程建设采用的模板、支撑及脚手架以钢模板、钢支撑为主，不使用松木及其包装材料。木质模板及仿材尽量就地采购，避免长途转运。</w:t>
      </w:r>
    </w:p>
    <w:p w14:paraId="4DC108B3">
      <w:pPr>
        <w:pageBreakBefore w:val="0"/>
        <w:widowControl w:val="0"/>
        <w:tabs>
          <w:tab w:val="left" w:pos="103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4.2履约担保</w:t>
      </w:r>
    </w:p>
    <w:p w14:paraId="249B8BF2">
      <w:pPr>
        <w:pageBreakBefore w:val="0"/>
        <w:widowControl w:val="0"/>
        <w:tabs>
          <w:tab w:val="left" w:pos="103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4.2.1本工程履约担保可采取银行担保、银行转账、工程担保或保证保险等形式（严禁要求中标人以现金方式提交保证金的行为），不计利息，按中标合同金额的</w:t>
      </w:r>
      <w:r>
        <w:rPr>
          <w:rFonts w:hint="eastAsia" w:ascii="宋体" w:hAnsi="宋体" w:eastAsia="宋体" w:cs="宋体"/>
          <w:color w:val="auto"/>
          <w:kern w:val="2"/>
          <w:sz w:val="24"/>
          <w:szCs w:val="24"/>
          <w:highlight w:val="none"/>
          <w:lang w:val="en-US" w:eastAsia="zh-CN" w:bidi="zh-CN"/>
        </w:rPr>
        <w:t>2</w:t>
      </w:r>
      <w:r>
        <w:rPr>
          <w:rFonts w:hint="eastAsia" w:ascii="宋体" w:hAnsi="宋体" w:eastAsia="宋体" w:cs="宋体"/>
          <w:color w:val="auto"/>
          <w:kern w:val="2"/>
          <w:sz w:val="24"/>
          <w:szCs w:val="24"/>
          <w:highlight w:val="none"/>
          <w:lang w:val="zh-CN" w:eastAsia="zh-CN" w:bidi="zh-CN"/>
        </w:rPr>
        <w:t>%交纳。</w:t>
      </w:r>
    </w:p>
    <w:p w14:paraId="07FE5C81">
      <w:pPr>
        <w:pageBreakBefore w:val="0"/>
        <w:widowControl w:val="0"/>
        <w:tabs>
          <w:tab w:val="left" w:pos="103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4.2.2履约保证金金额：合同金额的</w:t>
      </w:r>
      <w:r>
        <w:rPr>
          <w:rFonts w:hint="eastAsia" w:ascii="宋体" w:hAnsi="宋体" w:eastAsia="宋体" w:cs="宋体"/>
          <w:color w:val="auto"/>
          <w:kern w:val="2"/>
          <w:sz w:val="24"/>
          <w:szCs w:val="24"/>
          <w:highlight w:val="none"/>
          <w:lang w:val="en-US" w:eastAsia="zh-CN" w:bidi="zh-CN"/>
        </w:rPr>
        <w:t>2</w:t>
      </w:r>
      <w:r>
        <w:rPr>
          <w:rFonts w:hint="eastAsia" w:ascii="宋体" w:hAnsi="宋体" w:eastAsia="宋体" w:cs="宋体"/>
          <w:color w:val="auto"/>
          <w:kern w:val="2"/>
          <w:sz w:val="24"/>
          <w:szCs w:val="24"/>
          <w:highlight w:val="none"/>
          <w:lang w:val="zh-CN" w:eastAsia="zh-CN" w:bidi="zh-CN"/>
        </w:rPr>
        <w:t>%。</w:t>
      </w:r>
    </w:p>
    <w:p w14:paraId="69B8D26E">
      <w:pPr>
        <w:pageBreakBefore w:val="0"/>
        <w:widowControl w:val="0"/>
        <w:tabs>
          <w:tab w:val="left" w:pos="103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4.2.3履约保证金递交方式：转帐、网上银行支付等非现金形式。</w:t>
      </w:r>
    </w:p>
    <w:p w14:paraId="51A13992">
      <w:pPr>
        <w:pageBreakBefore w:val="0"/>
        <w:widowControl w:val="0"/>
        <w:tabs>
          <w:tab w:val="left" w:pos="103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zh-CN"/>
        </w:rPr>
      </w:pPr>
      <w:r>
        <w:rPr>
          <w:rFonts w:hint="eastAsia" w:ascii="宋体" w:hAnsi="宋体" w:eastAsia="宋体" w:cs="宋体"/>
          <w:color w:val="auto"/>
          <w:kern w:val="2"/>
          <w:sz w:val="24"/>
          <w:szCs w:val="24"/>
          <w:highlight w:val="none"/>
          <w:lang w:val="zh-CN" w:eastAsia="zh-CN" w:bidi="zh-CN"/>
        </w:rPr>
        <w:t>4.4.4</w:t>
      </w:r>
      <w:r>
        <w:rPr>
          <w:rFonts w:hint="eastAsia" w:ascii="宋体" w:hAnsi="宋体" w:eastAsia="宋体" w:cs="宋体"/>
          <w:color w:val="auto"/>
          <w:kern w:val="2"/>
          <w:sz w:val="24"/>
          <w:szCs w:val="24"/>
          <w:highlight w:val="none"/>
          <w:lang w:val="en-US" w:eastAsia="zh-CN" w:bidi="zh-CN"/>
        </w:rPr>
        <w:t>履约保证金返还：履约保证金必须在招标人书面确认项目完成并同意后才能退还，并无息退还到中标人的基本帐户，返还时中标人须提供以下资料：</w:t>
      </w:r>
    </w:p>
    <w:p w14:paraId="7074C483">
      <w:pPr>
        <w:pageBreakBefore w:val="0"/>
        <w:widowControl w:val="0"/>
        <w:tabs>
          <w:tab w:val="left" w:pos="103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（1）《履约保证金返还审批表》一式四份；</w:t>
      </w:r>
    </w:p>
    <w:p w14:paraId="65622B4E">
      <w:pPr>
        <w:pageBreakBefore w:val="0"/>
        <w:widowControl w:val="0"/>
        <w:tabs>
          <w:tab w:val="left" w:pos="103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（2）《合同工程完工证书》；</w:t>
      </w:r>
    </w:p>
    <w:p w14:paraId="1E12C78D">
      <w:pPr>
        <w:pageBreakBefore w:val="0"/>
        <w:widowControl w:val="0"/>
        <w:tabs>
          <w:tab w:val="left" w:pos="103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（3）《合同》复印件；</w:t>
      </w:r>
    </w:p>
    <w:p w14:paraId="0150BDCD">
      <w:pPr>
        <w:pageBreakBefore w:val="0"/>
        <w:widowControl w:val="0"/>
        <w:tabs>
          <w:tab w:val="left" w:pos="103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（4）银行开户许可证或银行转账底单复印件（加盖公章）。</w:t>
      </w:r>
    </w:p>
    <w:p w14:paraId="0B21FA6D">
      <w:pPr>
        <w:pageBreakBefore w:val="0"/>
        <w:widowControl w:val="0"/>
        <w:tabs>
          <w:tab w:val="left" w:pos="103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备注：（1）履约保证金不足额缴纳的，或金融机构、担保机构出具的保函额度不足的或者保函有效期低于合同履行期限（即签订合同之日起至履行完合同约定的权利及义务之日止）的，不予签订合同。（2）采用金融机构、担保机构出具的保函的，必须为无条件保函，否则不予签订合同。</w:t>
      </w:r>
    </w:p>
    <w:p w14:paraId="5160D6D8">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4.3分包</w:t>
      </w:r>
    </w:p>
    <w:p w14:paraId="0A721E5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4.3.1</w:t>
      </w:r>
      <w:r>
        <w:rPr>
          <w:rFonts w:hint="eastAsia" w:ascii="宋体" w:hAnsi="宋体" w:eastAsia="宋体" w:cs="宋体"/>
          <w:color w:val="auto"/>
          <w:kern w:val="2"/>
          <w:sz w:val="24"/>
          <w:szCs w:val="24"/>
          <w:highlight w:val="none"/>
          <w:lang w:val="zh-CN" w:eastAsia="zh-CN" w:bidi="zh-CN"/>
        </w:rPr>
        <w:t>承包人不得将其承包的全部工程转包给第三人，或将其承包的全部工程肢解后以分包的名义转包给第三人。</w:t>
      </w:r>
    </w:p>
    <w:p w14:paraId="7B257FEB">
      <w:pPr>
        <w:pageBreakBefore w:val="0"/>
        <w:widowControl w:val="0"/>
        <w:tabs>
          <w:tab w:val="left" w:pos="5849"/>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zh-CN"/>
        </w:rPr>
        <w:t>4.3.</w:t>
      </w:r>
      <w:r>
        <w:rPr>
          <w:rFonts w:hint="eastAsia" w:ascii="宋体" w:hAnsi="宋体" w:eastAsia="宋体" w:cs="宋体"/>
          <w:color w:val="auto"/>
          <w:kern w:val="2"/>
          <w:sz w:val="24"/>
          <w:szCs w:val="24"/>
          <w:highlight w:val="none"/>
          <w:lang w:val="zh-CN" w:eastAsia="zh-CN" w:bidi="zh-CN"/>
        </w:rPr>
        <w:t>2允许承包人分包的工程项目、工作内容与分包金额限额为：无。</w:t>
      </w:r>
    </w:p>
    <w:p w14:paraId="56E525B5">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4.5承包人项目负责人</w:t>
      </w:r>
    </w:p>
    <w:p w14:paraId="3C04A854">
      <w:pPr>
        <w:pageBreakBefore w:val="0"/>
        <w:widowControl w:val="0"/>
        <w:tabs>
          <w:tab w:val="left" w:pos="5849"/>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en-US"/>
        </w:rPr>
      </w:pPr>
      <w:r>
        <w:rPr>
          <w:rFonts w:hint="eastAsia" w:ascii="宋体" w:hAnsi="宋体" w:eastAsia="宋体" w:cs="宋体"/>
          <w:color w:val="auto"/>
          <w:kern w:val="2"/>
          <w:sz w:val="24"/>
          <w:szCs w:val="24"/>
          <w:highlight w:val="none"/>
          <w:lang w:val="en-US" w:eastAsia="zh-CN" w:bidi="en-US"/>
        </w:rPr>
        <w:t>4.5.5（1）同一施工项目负责人不能同时在两个及以上的工程项目上担任施工项目负责人</w:t>
      </w:r>
    </w:p>
    <w:p w14:paraId="7CAF0B74">
      <w:pPr>
        <w:pageBreakBefore w:val="0"/>
        <w:widowControl w:val="0"/>
        <w:tabs>
          <w:tab w:val="left" w:pos="5849"/>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en-US"/>
        </w:rPr>
      </w:pPr>
      <w:r>
        <w:rPr>
          <w:rFonts w:hint="eastAsia" w:ascii="宋体" w:hAnsi="宋体" w:eastAsia="宋体" w:cs="宋体"/>
          <w:color w:val="auto"/>
          <w:kern w:val="2"/>
          <w:sz w:val="24"/>
          <w:szCs w:val="24"/>
          <w:highlight w:val="none"/>
          <w:lang w:val="en-US" w:eastAsia="zh-CN" w:bidi="en-US"/>
        </w:rPr>
        <w:t>（2）承包人应保证项目负责人每月在工地现场的时间不少于</w:t>
      </w:r>
      <w:r>
        <w:rPr>
          <w:rFonts w:hint="eastAsia" w:ascii="宋体" w:hAnsi="宋体" w:eastAsia="宋体" w:cs="宋体"/>
          <w:color w:val="auto"/>
          <w:kern w:val="2"/>
          <w:sz w:val="24"/>
          <w:szCs w:val="24"/>
          <w:highlight w:val="none"/>
          <w:u w:val="single"/>
          <w:lang w:val="en-US" w:eastAsia="zh-CN" w:bidi="en-US"/>
        </w:rPr>
        <w:t xml:space="preserve">  22 </w:t>
      </w:r>
      <w:r>
        <w:rPr>
          <w:rFonts w:hint="eastAsia" w:ascii="宋体" w:hAnsi="宋体" w:eastAsia="宋体" w:cs="宋体"/>
          <w:color w:val="auto"/>
          <w:kern w:val="2"/>
          <w:sz w:val="24"/>
          <w:szCs w:val="24"/>
          <w:highlight w:val="none"/>
          <w:lang w:val="en-US" w:eastAsia="zh-CN" w:bidi="en-US"/>
        </w:rPr>
        <w:t xml:space="preserve">  日，否则将按每人每天人民币 </w:t>
      </w:r>
      <w:r>
        <w:rPr>
          <w:rFonts w:hint="eastAsia" w:ascii="宋体" w:hAnsi="宋体" w:eastAsia="宋体" w:cs="宋体"/>
          <w:color w:val="auto"/>
          <w:kern w:val="2"/>
          <w:sz w:val="24"/>
          <w:szCs w:val="24"/>
          <w:highlight w:val="none"/>
          <w:u w:val="single"/>
          <w:lang w:val="en-US" w:eastAsia="zh-CN" w:bidi="en-US"/>
        </w:rPr>
        <w:t xml:space="preserve">  500 </w:t>
      </w:r>
      <w:r>
        <w:rPr>
          <w:rFonts w:hint="eastAsia" w:ascii="宋体" w:hAnsi="宋体" w:eastAsia="宋体" w:cs="宋体"/>
          <w:color w:val="auto"/>
          <w:kern w:val="2"/>
          <w:sz w:val="24"/>
          <w:szCs w:val="24"/>
          <w:highlight w:val="none"/>
          <w:lang w:val="en-US" w:eastAsia="zh-CN" w:bidi="en-US"/>
        </w:rPr>
        <w:t xml:space="preserve"> 元的标准计算违约金，由有关行政监督部门处理后报请有关行政监督部门将结果记入市场主体信用档案，公布不良行为记录。上述人员因其他事务需短期离开工地，应向发包人请假，经批准后方可离开，离开期间应委托项目相关负责人负责其外出时的日常工作。 </w:t>
      </w:r>
    </w:p>
    <w:p w14:paraId="0900DEFA">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4.6承包人人员的管理</w:t>
      </w:r>
    </w:p>
    <w:p w14:paraId="7347408F">
      <w:pPr>
        <w:pageBreakBefore w:val="0"/>
        <w:widowControl w:val="0"/>
        <w:tabs>
          <w:tab w:val="left" w:pos="5849"/>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en-US"/>
        </w:rPr>
      </w:pPr>
      <w:r>
        <w:rPr>
          <w:rFonts w:hint="eastAsia" w:ascii="宋体" w:hAnsi="宋体" w:eastAsia="宋体" w:cs="宋体"/>
          <w:color w:val="auto"/>
          <w:kern w:val="2"/>
          <w:sz w:val="24"/>
          <w:szCs w:val="24"/>
          <w:highlight w:val="none"/>
          <w:lang w:val="en-US" w:eastAsia="zh-CN" w:bidi="en-US"/>
        </w:rPr>
        <w:t>4.6.5包人应保证项目经理、技术负责人、质量管理人员、专职安全员每月在工地现场的时间不少于</w:t>
      </w:r>
      <w:r>
        <w:rPr>
          <w:rFonts w:hint="eastAsia" w:ascii="宋体" w:hAnsi="宋体" w:eastAsia="宋体" w:cs="宋体"/>
          <w:color w:val="auto"/>
          <w:kern w:val="2"/>
          <w:sz w:val="24"/>
          <w:szCs w:val="24"/>
          <w:highlight w:val="none"/>
          <w:u w:val="single"/>
          <w:lang w:val="en-US" w:eastAsia="zh-CN" w:bidi="en-US"/>
        </w:rPr>
        <w:t xml:space="preserve"> 22  </w:t>
      </w:r>
      <w:r>
        <w:rPr>
          <w:rFonts w:hint="eastAsia" w:ascii="宋体" w:hAnsi="宋体" w:eastAsia="宋体" w:cs="宋体"/>
          <w:color w:val="auto"/>
          <w:kern w:val="2"/>
          <w:sz w:val="24"/>
          <w:szCs w:val="24"/>
          <w:highlight w:val="none"/>
          <w:lang w:val="en-US" w:eastAsia="zh-CN" w:bidi="en-US"/>
        </w:rPr>
        <w:t xml:space="preserve"> 日，否则项目经理、技术负责人将按每人每天人民币</w:t>
      </w:r>
      <w:r>
        <w:rPr>
          <w:rFonts w:hint="eastAsia" w:ascii="宋体" w:hAnsi="宋体" w:eastAsia="宋体" w:cs="宋体"/>
          <w:color w:val="auto"/>
          <w:kern w:val="2"/>
          <w:sz w:val="24"/>
          <w:szCs w:val="24"/>
          <w:highlight w:val="none"/>
          <w:u w:val="single"/>
          <w:lang w:val="en-US" w:eastAsia="zh-CN" w:bidi="en-US"/>
        </w:rPr>
        <w:t xml:space="preserve">500 </w:t>
      </w:r>
      <w:r>
        <w:rPr>
          <w:rFonts w:hint="eastAsia" w:ascii="宋体" w:hAnsi="宋体" w:eastAsia="宋体" w:cs="宋体"/>
          <w:color w:val="auto"/>
          <w:kern w:val="2"/>
          <w:sz w:val="24"/>
          <w:szCs w:val="24"/>
          <w:highlight w:val="none"/>
          <w:lang w:val="en-US" w:eastAsia="zh-CN" w:bidi="en-US"/>
        </w:rPr>
        <w:t>元的标准计算违约金，质量管理人员、专职安全员将按每人每天人民币</w:t>
      </w:r>
      <w:r>
        <w:rPr>
          <w:rFonts w:hint="eastAsia" w:ascii="宋体" w:hAnsi="宋体" w:eastAsia="宋体" w:cs="宋体"/>
          <w:color w:val="auto"/>
          <w:kern w:val="2"/>
          <w:sz w:val="24"/>
          <w:szCs w:val="24"/>
          <w:highlight w:val="none"/>
          <w:u w:val="single"/>
          <w:lang w:val="en-US" w:eastAsia="zh-CN" w:bidi="en-US"/>
        </w:rPr>
        <w:t xml:space="preserve">  300 </w:t>
      </w:r>
      <w:r>
        <w:rPr>
          <w:rFonts w:hint="eastAsia" w:ascii="宋体" w:hAnsi="宋体" w:eastAsia="宋体" w:cs="宋体"/>
          <w:color w:val="auto"/>
          <w:kern w:val="2"/>
          <w:sz w:val="24"/>
          <w:szCs w:val="24"/>
          <w:highlight w:val="none"/>
          <w:lang w:val="en-US" w:eastAsia="zh-CN" w:bidi="en-US"/>
        </w:rPr>
        <w:t>元的标准计算违约金，违约金在工程款中扣除。</w:t>
      </w:r>
    </w:p>
    <w:p w14:paraId="53CCBD8E">
      <w:pPr>
        <w:pageBreakBefore w:val="0"/>
        <w:widowControl w:val="0"/>
        <w:tabs>
          <w:tab w:val="left" w:pos="5849"/>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en-US"/>
        </w:rPr>
      </w:pPr>
      <w:r>
        <w:rPr>
          <w:rFonts w:hint="eastAsia" w:ascii="宋体" w:hAnsi="宋体" w:eastAsia="宋体" w:cs="宋体"/>
          <w:color w:val="auto"/>
          <w:kern w:val="2"/>
          <w:sz w:val="24"/>
          <w:szCs w:val="24"/>
          <w:highlight w:val="none"/>
          <w:lang w:val="en-US" w:eastAsia="zh-CN" w:bidi="en-US"/>
        </w:rPr>
        <w:t>上述人员因其他事务需短期离开工地，应向发包人请假，经批准后方可离开，离开期间应委托项目相关负责人负责其外出时的日常工作。对未按规定到位和在岗的，发包人将报告县、市、自治区水行政主管部门，纳入市场主体信用管理体系。</w:t>
      </w:r>
    </w:p>
    <w:p w14:paraId="79C5383F">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4.7撤换承包人项目经理和其他人员</w:t>
      </w:r>
    </w:p>
    <w:p w14:paraId="5FA6E95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sym w:font="Wingdings 2" w:char="00A3"/>
      </w:r>
      <w:r>
        <w:rPr>
          <w:rFonts w:hint="eastAsia" w:ascii="宋体" w:hAnsi="宋体" w:eastAsia="宋体" w:cs="宋体"/>
          <w:color w:val="auto"/>
          <w:kern w:val="2"/>
          <w:sz w:val="24"/>
          <w:szCs w:val="24"/>
          <w:highlight w:val="none"/>
          <w:lang w:val="en-US" w:eastAsia="zh-CN" w:bidi="en-US"/>
        </w:rPr>
        <w:t>4.7.</w:t>
      </w:r>
      <w:r>
        <w:rPr>
          <w:rFonts w:hint="eastAsia" w:ascii="宋体" w:hAnsi="宋体" w:eastAsia="宋体" w:cs="宋体"/>
          <w:color w:val="auto"/>
          <w:kern w:val="2"/>
          <w:sz w:val="24"/>
          <w:szCs w:val="24"/>
          <w:highlight w:val="none"/>
          <w:lang w:val="zh-CN" w:eastAsia="zh-CN" w:bidi="zh-CN"/>
        </w:rPr>
        <w:t>1中标人根据投标文件的承诺，投入本项目的项目经理、技术负责人、质量管理员、安全管理员等主要管理人员中标后不得更换(除因故去世、调离本单位、因病无法进行履行工作职责外)。</w:t>
      </w:r>
    </w:p>
    <w:p w14:paraId="338DC37B">
      <w:pPr>
        <w:pageBreakBefore w:val="0"/>
        <w:widowControl w:val="0"/>
        <w:tabs>
          <w:tab w:val="left" w:pos="5849"/>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en-US"/>
        </w:rPr>
      </w:pPr>
      <w:r>
        <w:rPr>
          <w:rFonts w:hint="eastAsia" w:ascii="宋体" w:hAnsi="宋体" w:eastAsia="宋体" w:cs="宋体"/>
          <w:color w:val="auto"/>
          <w:kern w:val="2"/>
          <w:sz w:val="24"/>
          <w:szCs w:val="24"/>
          <w:highlight w:val="none"/>
          <w:lang w:val="en-US" w:eastAsia="zh-CN" w:bidi="en-US"/>
        </w:rPr>
        <w:sym w:font="Wingdings 2" w:char="0052"/>
      </w:r>
      <w:r>
        <w:rPr>
          <w:rFonts w:hint="eastAsia" w:ascii="宋体" w:hAnsi="宋体" w:eastAsia="宋体" w:cs="宋体"/>
          <w:color w:val="auto"/>
          <w:kern w:val="2"/>
          <w:sz w:val="24"/>
          <w:szCs w:val="24"/>
          <w:highlight w:val="none"/>
          <w:lang w:val="en-US" w:eastAsia="zh-CN" w:bidi="en-US"/>
        </w:rPr>
        <w:t>4.7.1投入本项目的项目经理、技术负责人、质量管理员、专职管理员等主要管理人员中标后，经中标人申请、监理机构审核允许、招标人同意后方可变更为不低于同等条件的人员。</w:t>
      </w:r>
    </w:p>
    <w:p w14:paraId="35A5EFE5">
      <w:pPr>
        <w:pageBreakBefore w:val="0"/>
        <w:widowControl w:val="0"/>
        <w:tabs>
          <w:tab w:val="left" w:pos="5849"/>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en-US"/>
        </w:rPr>
      </w:pPr>
      <w:r>
        <w:rPr>
          <w:rFonts w:hint="eastAsia" w:ascii="宋体" w:hAnsi="宋体" w:eastAsia="宋体" w:cs="宋体"/>
          <w:color w:val="auto"/>
          <w:kern w:val="2"/>
          <w:sz w:val="24"/>
          <w:szCs w:val="24"/>
          <w:highlight w:val="none"/>
          <w:lang w:val="en-US" w:eastAsia="zh-CN" w:bidi="en-US"/>
        </w:rPr>
        <w:t>4.7.2除非发包人要求或者批准，承包人擅自更换项目经理、项目副经理、技术负责人、专职安全员的，将按每人每天人民币</w:t>
      </w:r>
      <w:r>
        <w:rPr>
          <w:rFonts w:hint="eastAsia" w:ascii="宋体" w:hAnsi="宋体" w:eastAsia="宋体" w:cs="宋体"/>
          <w:color w:val="auto"/>
          <w:kern w:val="2"/>
          <w:sz w:val="24"/>
          <w:szCs w:val="24"/>
          <w:highlight w:val="none"/>
          <w:u w:val="single"/>
          <w:lang w:val="en-US" w:eastAsia="zh-CN" w:bidi="en-US"/>
        </w:rPr>
        <w:t xml:space="preserve">  500   </w:t>
      </w:r>
      <w:r>
        <w:rPr>
          <w:rFonts w:hint="eastAsia" w:ascii="宋体" w:hAnsi="宋体" w:eastAsia="宋体" w:cs="宋体"/>
          <w:color w:val="auto"/>
          <w:kern w:val="2"/>
          <w:sz w:val="24"/>
          <w:szCs w:val="24"/>
          <w:highlight w:val="none"/>
          <w:lang w:val="en-US" w:eastAsia="zh-CN" w:bidi="en-US"/>
        </w:rPr>
        <w:t>元的标准计算违约金，由有关行政监督部门处理后报请有关行政监督部门将结果记入市场主体信用档案，公布不良行为记录。</w:t>
      </w:r>
    </w:p>
    <w:p w14:paraId="62BD3817">
      <w:pPr>
        <w:pageBreakBefore w:val="0"/>
        <w:widowControl w:val="0"/>
        <w:tabs>
          <w:tab w:val="left" w:pos="5849"/>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en-US"/>
        </w:rPr>
      </w:pPr>
      <w:r>
        <w:rPr>
          <w:rFonts w:hint="eastAsia" w:ascii="宋体" w:hAnsi="宋体" w:eastAsia="宋体" w:cs="宋体"/>
          <w:color w:val="auto"/>
          <w:kern w:val="2"/>
          <w:sz w:val="24"/>
          <w:szCs w:val="24"/>
          <w:highlight w:val="none"/>
          <w:lang w:val="en-US" w:eastAsia="zh-CN" w:bidi="en-US"/>
        </w:rPr>
        <w:t>4.7.3尽管承包人已按第4.6.2款的规定派遣了各类人员，但仍然不能满足合同工程的进度计划或质量要求时，发包人有权要求承包人继续增派（/或更换）人员。承包人在接到通知14天内，增派（和/或更换）的人员要到岗，否则，承包人应按每人每天人民币</w:t>
      </w:r>
      <w:r>
        <w:rPr>
          <w:rFonts w:hint="eastAsia" w:ascii="宋体" w:hAnsi="宋体" w:eastAsia="宋体" w:cs="宋体"/>
          <w:color w:val="auto"/>
          <w:kern w:val="2"/>
          <w:sz w:val="24"/>
          <w:szCs w:val="24"/>
          <w:highlight w:val="none"/>
          <w:u w:val="single"/>
          <w:lang w:val="en-US" w:eastAsia="zh-CN" w:bidi="en-US"/>
        </w:rPr>
        <w:t xml:space="preserve">   500  </w:t>
      </w:r>
      <w:r>
        <w:rPr>
          <w:rFonts w:hint="eastAsia" w:ascii="宋体" w:hAnsi="宋体" w:eastAsia="宋体" w:cs="宋体"/>
          <w:color w:val="auto"/>
          <w:kern w:val="2"/>
          <w:sz w:val="24"/>
          <w:szCs w:val="24"/>
          <w:highlight w:val="none"/>
          <w:lang w:val="en-US" w:eastAsia="zh-CN" w:bidi="en-US"/>
        </w:rPr>
        <w:t xml:space="preserve"> 元的标准计算违约金，直至按照发包人的要求增派（和/或更换）的人员到岗为此。</w:t>
      </w:r>
    </w:p>
    <w:p w14:paraId="63C99182">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4.11不利物质条件</w:t>
      </w:r>
    </w:p>
    <w:p w14:paraId="141C4806">
      <w:pPr>
        <w:pageBreakBefore w:val="0"/>
        <w:widowControl w:val="0"/>
        <w:tabs>
          <w:tab w:val="left" w:pos="823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4.11.1</w:t>
      </w:r>
      <w:r>
        <w:rPr>
          <w:rFonts w:hint="eastAsia" w:ascii="宋体" w:hAnsi="宋体" w:eastAsia="宋体" w:cs="宋体"/>
          <w:color w:val="auto"/>
          <w:kern w:val="2"/>
          <w:sz w:val="24"/>
          <w:szCs w:val="24"/>
          <w:highlight w:val="none"/>
          <w:lang w:val="zh-CN" w:eastAsia="zh-CN" w:bidi="zh-CN"/>
        </w:rPr>
        <w:t>不利物质条件的范围：</w:t>
      </w:r>
      <w:r>
        <w:rPr>
          <w:rFonts w:hint="eastAsia" w:ascii="宋体" w:hAnsi="宋体" w:eastAsia="宋体" w:cs="宋体"/>
          <w:color w:val="auto"/>
          <w:kern w:val="2"/>
          <w:sz w:val="24"/>
          <w:szCs w:val="24"/>
          <w:highlight w:val="none"/>
          <w:u w:val="single"/>
          <w:lang w:val="zh-CN" w:eastAsia="zh-CN" w:bidi="zh-CN"/>
        </w:rPr>
        <w:t xml:space="preserve"> 不可预见的自然物质条件、非自然的物质障碍和污染物，包括地下和水文条件，但不包括气候条件，由发包人、监理人和承包人现场确定</w:t>
      </w:r>
      <w:r>
        <w:rPr>
          <w:rFonts w:hint="eastAsia" w:ascii="宋体" w:hAnsi="宋体" w:eastAsia="宋体" w:cs="宋体"/>
          <w:color w:val="auto"/>
          <w:kern w:val="2"/>
          <w:sz w:val="24"/>
          <w:szCs w:val="24"/>
          <w:highlight w:val="none"/>
          <w:lang w:val="en-US" w:eastAsia="zh-CN" w:bidi="en-US"/>
        </w:rPr>
        <w:t>。</w:t>
      </w:r>
    </w:p>
    <w:p w14:paraId="373AEC92">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49" w:name="_Toc19524"/>
      <w:r>
        <w:rPr>
          <w:rFonts w:hint="eastAsia" w:ascii="宋体" w:hAnsi="宋体" w:eastAsia="宋体" w:cs="宋体"/>
          <w:color w:val="auto"/>
          <w:kern w:val="2"/>
          <w:sz w:val="24"/>
          <w:szCs w:val="24"/>
          <w:highlight w:val="none"/>
          <w:lang w:val="en-US" w:eastAsia="zh-CN" w:bidi="ar-SA"/>
        </w:rPr>
        <w:t>5. 材料和工程设备</w:t>
      </w:r>
      <w:bookmarkEnd w:id="249"/>
    </w:p>
    <w:p w14:paraId="7818AB33">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5.2发包人提供的材料和工程设备</w:t>
      </w:r>
    </w:p>
    <w:p w14:paraId="50FE10C2">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b w:val="0"/>
          <w:color w:val="auto"/>
          <w:kern w:val="2"/>
          <w:sz w:val="24"/>
          <w:szCs w:val="24"/>
          <w:highlight w:val="none"/>
          <w:u w:val="none"/>
          <w:lang w:val="zh-CN" w:eastAsia="zh-CN" w:bidi="zh-CN"/>
        </w:rPr>
      </w:pPr>
      <w:bookmarkStart w:id="250" w:name="_Toc9445"/>
      <w:r>
        <w:rPr>
          <w:rFonts w:hint="eastAsia" w:ascii="宋体" w:hAnsi="宋体" w:eastAsia="宋体" w:cs="宋体"/>
          <w:b w:val="0"/>
          <w:color w:val="auto"/>
          <w:kern w:val="2"/>
          <w:sz w:val="24"/>
          <w:szCs w:val="24"/>
          <w:highlight w:val="none"/>
          <w:u w:val="none"/>
          <w:lang w:val="zh-CN" w:eastAsia="zh-CN" w:bidi="zh-CN"/>
        </w:rPr>
        <w:t>5.2.1发包人提供的材料和工程设备：无。</w:t>
      </w:r>
      <w:bookmarkEnd w:id="250"/>
    </w:p>
    <w:p w14:paraId="7665B63C">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51" w:name="_Toc5835"/>
      <w:r>
        <w:rPr>
          <w:rFonts w:hint="eastAsia" w:ascii="宋体" w:hAnsi="宋体" w:eastAsia="宋体" w:cs="宋体"/>
          <w:color w:val="auto"/>
          <w:kern w:val="2"/>
          <w:sz w:val="24"/>
          <w:szCs w:val="24"/>
          <w:highlight w:val="none"/>
          <w:lang w:val="en-US" w:eastAsia="zh-CN" w:bidi="ar-SA"/>
        </w:rPr>
        <w:t>6. 施工设备和临时设施</w:t>
      </w:r>
      <w:bookmarkEnd w:id="251"/>
    </w:p>
    <w:p w14:paraId="14C8AD47">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6.1承包人提供的施工设备和临时设施</w:t>
      </w:r>
    </w:p>
    <w:p w14:paraId="2F6189E2">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6.1.2</w:t>
      </w:r>
      <w:r>
        <w:rPr>
          <w:rFonts w:hint="eastAsia" w:ascii="宋体" w:hAnsi="宋体" w:eastAsia="宋体" w:cs="宋体"/>
          <w:color w:val="auto"/>
          <w:kern w:val="2"/>
          <w:sz w:val="24"/>
          <w:szCs w:val="24"/>
          <w:highlight w:val="none"/>
          <w:lang w:val="zh-CN" w:eastAsia="zh-CN" w:bidi="zh-CN"/>
        </w:rPr>
        <w:t>承包人自行承担修建临时设施的费用，需要临时占地的，由承包人办理相关申请手续，发包人予以协助，发生的相关费用由承包人承担。</w:t>
      </w:r>
    </w:p>
    <w:p w14:paraId="49BFAAB5">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6.2发包人提供的施工设备和临时设施</w:t>
      </w:r>
    </w:p>
    <w:p w14:paraId="5939003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en-US"/>
        </w:rPr>
      </w:pPr>
      <w:r>
        <w:rPr>
          <w:rFonts w:hint="eastAsia" w:ascii="宋体" w:hAnsi="宋体" w:eastAsia="宋体" w:cs="宋体"/>
          <w:color w:val="auto"/>
          <w:kern w:val="2"/>
          <w:sz w:val="24"/>
          <w:szCs w:val="24"/>
          <w:highlight w:val="none"/>
          <w:lang w:val="en-US" w:eastAsia="zh-CN" w:bidi="en-US"/>
        </w:rPr>
        <w:t>（1）发包人提供的的施工设备：</w:t>
      </w:r>
      <w:r>
        <w:rPr>
          <w:rFonts w:hint="eastAsia" w:ascii="宋体" w:hAnsi="宋体" w:eastAsia="宋体" w:cs="宋体"/>
          <w:color w:val="auto"/>
          <w:kern w:val="2"/>
          <w:sz w:val="24"/>
          <w:szCs w:val="24"/>
          <w:highlight w:val="none"/>
          <w:u w:val="single"/>
          <w:lang w:val="en-US" w:eastAsia="zh-CN" w:bidi="en-US"/>
        </w:rPr>
        <w:t>无</w:t>
      </w:r>
      <w:r>
        <w:rPr>
          <w:rFonts w:hint="eastAsia" w:ascii="宋体" w:hAnsi="宋体" w:eastAsia="宋体" w:cs="宋体"/>
          <w:color w:val="auto"/>
          <w:kern w:val="2"/>
          <w:sz w:val="24"/>
          <w:szCs w:val="24"/>
          <w:highlight w:val="none"/>
          <w:lang w:val="en-US" w:eastAsia="zh-CN" w:bidi="en-US"/>
        </w:rPr>
        <w:t>。</w:t>
      </w:r>
    </w:p>
    <w:p w14:paraId="4187281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en-US"/>
        </w:rPr>
      </w:pPr>
      <w:r>
        <w:rPr>
          <w:rFonts w:hint="eastAsia" w:ascii="宋体" w:hAnsi="宋体" w:eastAsia="宋体" w:cs="宋体"/>
          <w:color w:val="auto"/>
          <w:kern w:val="2"/>
          <w:sz w:val="24"/>
          <w:szCs w:val="24"/>
          <w:highlight w:val="none"/>
          <w:lang w:val="en-US" w:eastAsia="zh-CN" w:bidi="en-US"/>
        </w:rPr>
        <w:t>（2）发包人提供的临时设施：</w:t>
      </w:r>
      <w:r>
        <w:rPr>
          <w:rFonts w:hint="eastAsia" w:ascii="宋体" w:hAnsi="宋体" w:eastAsia="宋体" w:cs="宋体"/>
          <w:color w:val="auto"/>
          <w:kern w:val="2"/>
          <w:sz w:val="24"/>
          <w:szCs w:val="24"/>
          <w:highlight w:val="none"/>
          <w:u w:val="single"/>
          <w:lang w:val="en-US" w:eastAsia="zh-CN" w:bidi="en-US"/>
        </w:rPr>
        <w:t>无</w:t>
      </w:r>
      <w:r>
        <w:rPr>
          <w:rFonts w:hint="eastAsia" w:ascii="宋体" w:hAnsi="宋体" w:eastAsia="宋体" w:cs="宋体"/>
          <w:color w:val="auto"/>
          <w:kern w:val="2"/>
          <w:sz w:val="24"/>
          <w:szCs w:val="24"/>
          <w:highlight w:val="none"/>
          <w:lang w:val="en-US" w:eastAsia="zh-CN" w:bidi="en-US"/>
        </w:rPr>
        <w:t>。</w:t>
      </w:r>
    </w:p>
    <w:p w14:paraId="77A47DA0">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52" w:name="_Toc10732"/>
      <w:r>
        <w:rPr>
          <w:rFonts w:hint="eastAsia" w:ascii="宋体" w:hAnsi="宋体" w:eastAsia="宋体" w:cs="宋体"/>
          <w:color w:val="auto"/>
          <w:kern w:val="2"/>
          <w:sz w:val="24"/>
          <w:szCs w:val="24"/>
          <w:highlight w:val="none"/>
          <w:lang w:val="en-US" w:eastAsia="zh-CN" w:bidi="ar-SA"/>
        </w:rPr>
        <w:t>7. 交通运输</w:t>
      </w:r>
      <w:bookmarkEnd w:id="252"/>
    </w:p>
    <w:p w14:paraId="2F39911F">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7.1道路通行权和场外设施</w:t>
      </w:r>
    </w:p>
    <w:p w14:paraId="0BD57AA3">
      <w:pPr>
        <w:keepNext w:val="0"/>
        <w:keepLines w:val="0"/>
        <w:pageBreakBefore w:val="0"/>
        <w:widowControl w:val="0"/>
        <w:tabs>
          <w:tab w:val="left" w:pos="8218"/>
        </w:tabs>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kern w:val="2"/>
          <w:sz w:val="24"/>
          <w:szCs w:val="24"/>
          <w:highlight w:val="none"/>
          <w:lang w:val="en-US" w:eastAsia="zh-CN" w:bidi="en-US"/>
        </w:rPr>
      </w:pPr>
      <w:r>
        <w:rPr>
          <w:rFonts w:hint="eastAsia" w:ascii="宋体" w:hAnsi="宋体" w:eastAsia="宋体" w:cs="宋体"/>
          <w:color w:val="auto"/>
          <w:kern w:val="2"/>
          <w:sz w:val="24"/>
          <w:szCs w:val="24"/>
          <w:highlight w:val="none"/>
          <w:lang w:val="zh-CN" w:eastAsia="zh-CN" w:bidi="zh-CN"/>
        </w:rPr>
        <w:t>道路通行权和场外设施的约定：</w:t>
      </w:r>
      <w:r>
        <w:rPr>
          <w:rFonts w:hint="eastAsia" w:ascii="宋体" w:hAnsi="宋体" w:eastAsia="宋体" w:cs="宋体"/>
          <w:color w:val="auto"/>
          <w:kern w:val="2"/>
          <w:sz w:val="24"/>
          <w:szCs w:val="24"/>
          <w:highlight w:val="none"/>
          <w:u w:val="single"/>
          <w:lang w:val="zh-CN" w:eastAsia="zh-CN" w:bidi="zh-CN"/>
        </w:rPr>
        <w:t xml:space="preserve"> 承包人应根据合同工程的施工需要，负责办理取得出入施工场地的专用和临时道路的通行权，以及取得为工程建设所需修建场外设施的权利 </w:t>
      </w:r>
      <w:r>
        <w:rPr>
          <w:rFonts w:hint="eastAsia" w:ascii="宋体" w:hAnsi="宋体" w:eastAsia="宋体" w:cs="宋体"/>
          <w:color w:val="auto"/>
          <w:kern w:val="2"/>
          <w:sz w:val="24"/>
          <w:szCs w:val="24"/>
          <w:highlight w:val="none"/>
          <w:lang w:val="en-US" w:eastAsia="zh-CN" w:bidi="en-US"/>
        </w:rPr>
        <w:t>。</w:t>
      </w:r>
    </w:p>
    <w:p w14:paraId="468E9A28">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53" w:name="_Toc24958"/>
      <w:r>
        <w:rPr>
          <w:rFonts w:hint="eastAsia" w:ascii="宋体" w:hAnsi="宋体" w:eastAsia="宋体" w:cs="宋体"/>
          <w:color w:val="auto"/>
          <w:kern w:val="2"/>
          <w:sz w:val="24"/>
          <w:szCs w:val="24"/>
          <w:highlight w:val="none"/>
          <w:lang w:val="en-US" w:eastAsia="zh-CN" w:bidi="ar-SA"/>
        </w:rPr>
        <w:t>8. 测量放线</w:t>
      </w:r>
      <w:bookmarkEnd w:id="253"/>
    </w:p>
    <w:p w14:paraId="78561450">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8.1施工控制网</w:t>
      </w:r>
    </w:p>
    <w:p w14:paraId="688FCD0D">
      <w:pPr>
        <w:pageBreakBefore w:val="0"/>
        <w:widowControl w:val="0"/>
        <w:tabs>
          <w:tab w:val="left" w:pos="750"/>
          <w:tab w:val="left" w:pos="4898"/>
        </w:tabs>
        <w:kinsoku/>
        <w:wordWrap/>
        <w:overflowPunct/>
        <w:topLinePunct w:val="0"/>
        <w:bidi w:val="0"/>
        <w:spacing w:after="0" w:line="360" w:lineRule="auto"/>
        <w:ind w:left="0" w:leftChars="0"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zh-CN"/>
        </w:rPr>
        <w:t>8.1.</w:t>
      </w:r>
      <w:r>
        <w:rPr>
          <w:rFonts w:hint="eastAsia" w:ascii="宋体" w:hAnsi="宋体" w:eastAsia="宋体" w:cs="宋体"/>
          <w:color w:val="auto"/>
          <w:kern w:val="0"/>
          <w:sz w:val="24"/>
          <w:szCs w:val="24"/>
          <w:highlight w:val="none"/>
          <w:lang w:val="zh-CN" w:eastAsia="zh-CN" w:bidi="zh-CN"/>
        </w:rPr>
        <w:t>1 施工控制网的约定：由</w:t>
      </w:r>
      <w:r>
        <w:rPr>
          <w:rFonts w:hint="eastAsia" w:ascii="宋体" w:hAnsi="宋体" w:eastAsia="宋体" w:cs="宋体"/>
          <w:color w:val="auto"/>
          <w:kern w:val="0"/>
          <w:sz w:val="24"/>
          <w:szCs w:val="24"/>
          <w:highlight w:val="none"/>
          <w:u w:val="single"/>
          <w:lang w:val="zh-CN" w:eastAsia="zh-CN" w:bidi="zh-CN"/>
        </w:rPr>
        <w:t>承包人负责测设，并报监理人审批，相关费用由承包人承担</w:t>
      </w:r>
      <w:r>
        <w:rPr>
          <w:rFonts w:hint="eastAsia" w:ascii="宋体" w:hAnsi="宋体" w:eastAsia="宋体" w:cs="宋体"/>
          <w:color w:val="auto"/>
          <w:kern w:val="0"/>
          <w:sz w:val="24"/>
          <w:szCs w:val="24"/>
          <w:highlight w:val="none"/>
          <w:lang w:val="en-US" w:eastAsia="zh-CN" w:bidi="ar-SA"/>
        </w:rPr>
        <w:t>。</w:t>
      </w:r>
    </w:p>
    <w:p w14:paraId="00362670">
      <w:pPr>
        <w:pageBreakBefore w:val="0"/>
        <w:widowControl w:val="0"/>
        <w:tabs>
          <w:tab w:val="left" w:pos="750"/>
          <w:tab w:val="left" w:pos="4898"/>
        </w:tabs>
        <w:kinsoku/>
        <w:wordWrap/>
        <w:overflowPunct/>
        <w:topLinePunct w:val="0"/>
        <w:bidi w:val="0"/>
        <w:spacing w:after="0" w:line="360" w:lineRule="auto"/>
        <w:ind w:left="0" w:leftChars="0"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增加以下条款：</w:t>
      </w:r>
    </w:p>
    <w:p w14:paraId="362333EF">
      <w:pPr>
        <w:keepNext w:val="0"/>
        <w:keepLines w:val="0"/>
        <w:pageBreakBefore w:val="0"/>
        <w:widowControl w:val="0"/>
        <w:tabs>
          <w:tab w:val="left" w:pos="750"/>
          <w:tab w:val="left" w:pos="4898"/>
        </w:tabs>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8.1.3对基准坐标资料的内容的确认与维护</w:t>
      </w:r>
    </w:p>
    <w:p w14:paraId="4FA5842D">
      <w:pPr>
        <w:keepNext w:val="0"/>
        <w:keepLines w:val="0"/>
        <w:pageBreakBefore w:val="0"/>
        <w:widowControl w:val="0"/>
        <w:tabs>
          <w:tab w:val="left" w:pos="750"/>
          <w:tab w:val="left" w:pos="4898"/>
        </w:tabs>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承包人应根据发包人书面移交的控制网数据，负责对原始控制网数据的复测，根据工程施工放样的需要对控制网进行加密。承包人有义务提出并纠正发包人提供的基本坐标资料中的差错，并对所有放线的准确性负责。</w:t>
      </w:r>
    </w:p>
    <w:p w14:paraId="39AD8867">
      <w:pPr>
        <w:keepNext w:val="0"/>
        <w:keepLines w:val="0"/>
        <w:pageBreakBefore w:val="0"/>
        <w:widowControl w:val="0"/>
        <w:tabs>
          <w:tab w:val="left" w:pos="750"/>
          <w:tab w:val="left" w:pos="4898"/>
        </w:tabs>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（2）对因自身原因造成原始控制点的破坏，不得因此向发包人索取可能延长的工期和可能增加的费用；</w:t>
      </w:r>
    </w:p>
    <w:p w14:paraId="25C96ACF">
      <w:pPr>
        <w:keepNext w:val="0"/>
        <w:keepLines w:val="0"/>
        <w:pageBreakBefore w:val="0"/>
        <w:widowControl w:val="0"/>
        <w:tabs>
          <w:tab w:val="left" w:pos="750"/>
          <w:tab w:val="left" w:pos="4898"/>
        </w:tabs>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（3）施工控制网允许发包人、监理人以及其它承包人使用。</w:t>
      </w:r>
    </w:p>
    <w:p w14:paraId="63D79692">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54" w:name="_Toc9628"/>
      <w:r>
        <w:rPr>
          <w:rFonts w:hint="eastAsia" w:ascii="宋体" w:hAnsi="宋体" w:eastAsia="宋体" w:cs="宋体"/>
          <w:color w:val="auto"/>
          <w:kern w:val="2"/>
          <w:sz w:val="24"/>
          <w:szCs w:val="24"/>
          <w:highlight w:val="none"/>
          <w:lang w:val="en-US" w:eastAsia="zh-CN" w:bidi="ar-SA"/>
        </w:rPr>
        <w:t>9. 施工安全、治安保卫和环境保护</w:t>
      </w:r>
      <w:bookmarkEnd w:id="254"/>
    </w:p>
    <w:p w14:paraId="31E03E70">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9.2承包人的施工安全责任</w:t>
      </w:r>
    </w:p>
    <w:p w14:paraId="6B66F551">
      <w:pPr>
        <w:pageBreakBefore w:val="0"/>
        <w:widowControl w:val="0"/>
        <w:tabs>
          <w:tab w:val="left" w:pos="4162"/>
          <w:tab w:val="left" w:pos="6139"/>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 xml:space="preserve">9. 2. </w:t>
      </w:r>
      <w:r>
        <w:rPr>
          <w:rFonts w:hint="eastAsia" w:ascii="宋体" w:hAnsi="宋体" w:eastAsia="宋体" w:cs="宋体"/>
          <w:color w:val="auto"/>
          <w:kern w:val="2"/>
          <w:sz w:val="24"/>
          <w:szCs w:val="24"/>
          <w:highlight w:val="none"/>
          <w:lang w:val="zh-CN" w:eastAsia="zh-CN" w:bidi="zh-CN"/>
        </w:rPr>
        <w:t>1下列工程应编制专项施工方案：</w:t>
      </w:r>
      <w:r>
        <w:rPr>
          <w:rFonts w:hint="eastAsia" w:ascii="宋体" w:hAnsi="宋体" w:eastAsia="宋体" w:cs="宋体"/>
          <w:color w:val="auto"/>
          <w:kern w:val="2"/>
          <w:sz w:val="24"/>
          <w:szCs w:val="24"/>
          <w:highlight w:val="none"/>
          <w:u w:val="single"/>
          <w:lang w:val="zh-CN" w:eastAsia="zh-CN" w:bidi="zh-CN"/>
        </w:rPr>
        <w:t>（1）土方和石方开挖工程，包括拆除、爆破，料场开挖及运输等；（2）基础处理，包括基础灌浆等；（3）金属结构安装；（4）其它危险性较大的工程。专项施工方案评审发生的费用由承包人负责</w:t>
      </w:r>
      <w:r>
        <w:rPr>
          <w:rFonts w:hint="eastAsia" w:ascii="宋体" w:hAnsi="宋体" w:eastAsia="宋体" w:cs="宋体"/>
          <w:color w:val="auto"/>
          <w:kern w:val="2"/>
          <w:sz w:val="24"/>
          <w:szCs w:val="24"/>
          <w:highlight w:val="none"/>
          <w:u w:val="single"/>
          <w:lang w:val="en-US" w:eastAsia="zh-CN" w:bidi="zh-CN"/>
        </w:rPr>
        <w:t xml:space="preserve"> </w:t>
      </w:r>
      <w:r>
        <w:rPr>
          <w:rFonts w:hint="eastAsia" w:ascii="宋体" w:hAnsi="宋体" w:eastAsia="宋体" w:cs="宋体"/>
          <w:color w:val="auto"/>
          <w:kern w:val="2"/>
          <w:sz w:val="24"/>
          <w:szCs w:val="24"/>
          <w:highlight w:val="none"/>
          <w:lang w:val="en-US" w:eastAsia="zh-CN" w:bidi="en-US"/>
        </w:rPr>
        <w:t>。</w:t>
      </w:r>
      <w:r>
        <w:rPr>
          <w:rFonts w:hint="eastAsia" w:ascii="宋体" w:hAnsi="宋体" w:eastAsia="宋体" w:cs="宋体"/>
          <w:color w:val="auto"/>
          <w:kern w:val="2"/>
          <w:sz w:val="24"/>
          <w:szCs w:val="24"/>
          <w:highlight w:val="none"/>
          <w:lang w:val="zh-CN" w:eastAsia="zh-CN" w:bidi="zh-CN"/>
        </w:rPr>
        <w:t>其中应组织专家论证和审查的专项施工方案：</w:t>
      </w:r>
      <w:r>
        <w:rPr>
          <w:rFonts w:hint="eastAsia" w:ascii="宋体" w:hAnsi="宋体" w:eastAsia="宋体" w:cs="宋体"/>
          <w:color w:val="auto"/>
          <w:kern w:val="2"/>
          <w:sz w:val="24"/>
          <w:szCs w:val="24"/>
          <w:highlight w:val="none"/>
          <w:u w:val="single"/>
          <w:lang w:val="zh-CN" w:eastAsia="zh-CN" w:bidi="zh-CN"/>
        </w:rPr>
        <w:t>高边坡、深基坑、地下暗挖工程、高大模板工程的专项施工方案</w:t>
      </w:r>
      <w:r>
        <w:rPr>
          <w:rFonts w:hint="eastAsia" w:ascii="宋体" w:hAnsi="宋体" w:eastAsia="宋体" w:cs="宋体"/>
          <w:color w:val="auto"/>
          <w:kern w:val="2"/>
          <w:sz w:val="24"/>
          <w:szCs w:val="24"/>
          <w:highlight w:val="none"/>
          <w:lang w:val="en-US" w:eastAsia="zh-CN" w:bidi="en-US"/>
        </w:rPr>
        <w:t>。</w:t>
      </w:r>
    </w:p>
    <w:p w14:paraId="600B539A">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9.7文明工地</w:t>
      </w:r>
    </w:p>
    <w:p w14:paraId="63060A0E">
      <w:pPr>
        <w:pageBreakBefore w:val="0"/>
        <w:widowControl w:val="0"/>
        <w:tabs>
          <w:tab w:val="left" w:pos="532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zh-CN"/>
        </w:rPr>
      </w:pPr>
      <w:r>
        <w:rPr>
          <w:rFonts w:hint="eastAsia" w:ascii="宋体" w:hAnsi="宋体" w:eastAsia="宋体" w:cs="宋体"/>
          <w:color w:val="auto"/>
          <w:kern w:val="2"/>
          <w:sz w:val="24"/>
          <w:szCs w:val="24"/>
          <w:highlight w:val="none"/>
          <w:lang w:val="en-US" w:eastAsia="zh-CN" w:bidi="en-US"/>
        </w:rPr>
        <w:t xml:space="preserve">9.7. </w:t>
      </w:r>
      <w:r>
        <w:rPr>
          <w:rFonts w:hint="eastAsia" w:ascii="宋体" w:hAnsi="宋体" w:eastAsia="宋体" w:cs="宋体"/>
          <w:color w:val="auto"/>
          <w:kern w:val="2"/>
          <w:sz w:val="24"/>
          <w:szCs w:val="24"/>
          <w:highlight w:val="none"/>
          <w:lang w:val="zh-CN" w:eastAsia="zh-CN" w:bidi="zh-CN"/>
        </w:rPr>
        <w:t>1本合同文明工地的约定：</w:t>
      </w:r>
      <w:r>
        <w:rPr>
          <w:rFonts w:hint="eastAsia" w:ascii="宋体" w:hAnsi="宋体" w:eastAsia="宋体" w:cs="宋体"/>
          <w:color w:val="auto"/>
          <w:kern w:val="2"/>
          <w:sz w:val="24"/>
          <w:szCs w:val="24"/>
          <w:highlight w:val="none"/>
          <w:u w:val="single"/>
          <w:lang w:val="zh-CN" w:eastAsia="zh-CN" w:bidi="zh-CN"/>
        </w:rPr>
        <w:t>积极创建文明工地</w:t>
      </w:r>
      <w:r>
        <w:rPr>
          <w:rFonts w:hint="eastAsia" w:ascii="宋体" w:hAnsi="宋体" w:eastAsia="宋体" w:cs="宋体"/>
          <w:color w:val="auto"/>
          <w:kern w:val="2"/>
          <w:sz w:val="24"/>
          <w:szCs w:val="24"/>
          <w:highlight w:val="none"/>
          <w:lang w:val="en-US" w:eastAsia="zh-CN" w:bidi="zh-CN"/>
        </w:rPr>
        <w:t>。</w:t>
      </w:r>
    </w:p>
    <w:p w14:paraId="42FF92C7">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55" w:name="_Toc8115"/>
      <w:r>
        <w:rPr>
          <w:rFonts w:hint="eastAsia" w:ascii="宋体" w:hAnsi="宋体" w:eastAsia="宋体" w:cs="宋体"/>
          <w:color w:val="auto"/>
          <w:kern w:val="2"/>
          <w:sz w:val="24"/>
          <w:szCs w:val="24"/>
          <w:highlight w:val="none"/>
          <w:lang w:val="en-US" w:eastAsia="zh-CN" w:bidi="ar-SA"/>
        </w:rPr>
        <w:t>11. 开工和竣工（完工）</w:t>
      </w:r>
      <w:bookmarkEnd w:id="255"/>
    </w:p>
    <w:p w14:paraId="66037259">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w:t>
      </w:r>
      <w:r>
        <w:rPr>
          <w:rFonts w:hint="eastAsia" w:ascii="宋体" w:hAnsi="宋体" w:cs="宋体"/>
          <w:color w:val="auto"/>
          <w:kern w:val="0"/>
          <w:sz w:val="24"/>
          <w:szCs w:val="24"/>
          <w:highlight w:val="none"/>
          <w:lang w:val="en-US" w:eastAsia="zh-CN" w:bidi="ar-SA"/>
        </w:rPr>
        <w:t>1</w:t>
      </w:r>
      <w:r>
        <w:rPr>
          <w:rFonts w:hint="eastAsia" w:ascii="宋体" w:hAnsi="宋体" w:eastAsia="宋体" w:cs="宋体"/>
          <w:color w:val="auto"/>
          <w:kern w:val="0"/>
          <w:sz w:val="24"/>
          <w:szCs w:val="24"/>
          <w:highlight w:val="none"/>
          <w:lang w:val="en-US" w:eastAsia="zh-CN" w:bidi="ar-SA"/>
        </w:rPr>
        <w:t>本工程主体工程完工时间为：</w:t>
      </w:r>
      <w:r>
        <w:rPr>
          <w:rFonts w:hint="eastAsia" w:ascii="宋体" w:hAnsi="宋体" w:eastAsia="宋体" w:cs="宋体"/>
          <w:color w:val="auto"/>
          <w:kern w:val="0"/>
          <w:sz w:val="24"/>
          <w:szCs w:val="24"/>
          <w:highlight w:val="none"/>
          <w:u w:val="none"/>
          <w:lang w:val="en-US" w:eastAsia="zh-CN" w:bidi="ar-SA"/>
        </w:rPr>
        <w:t xml:space="preserve">    年     月      日</w:t>
      </w:r>
      <w:r>
        <w:rPr>
          <w:rFonts w:hint="eastAsia" w:ascii="宋体" w:hAnsi="宋体" w:eastAsia="宋体" w:cs="宋体"/>
          <w:color w:val="auto"/>
          <w:kern w:val="0"/>
          <w:sz w:val="24"/>
          <w:szCs w:val="24"/>
          <w:highlight w:val="none"/>
          <w:lang w:val="en-US" w:eastAsia="zh-CN" w:bidi="ar-SA"/>
        </w:rPr>
        <w:t>。</w:t>
      </w:r>
    </w:p>
    <w:p w14:paraId="7A194DDD">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w:t>
      </w: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发包人的工期延误</w:t>
      </w:r>
    </w:p>
    <w:p w14:paraId="57C3F71E">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w:t>
      </w:r>
      <w:r>
        <w:rPr>
          <w:rFonts w:hint="eastAsia" w:ascii="宋体" w:hAnsi="宋体" w:cs="宋体"/>
          <w:color w:val="auto"/>
          <w:kern w:val="0"/>
          <w:sz w:val="24"/>
          <w:szCs w:val="24"/>
          <w:highlight w:val="none"/>
          <w:lang w:val="en-US" w:eastAsia="zh-CN" w:bidi="ar-SA"/>
        </w:rPr>
        <w:t>3</w:t>
      </w:r>
      <w:r>
        <w:rPr>
          <w:rFonts w:hint="eastAsia" w:ascii="宋体" w:hAnsi="宋体" w:eastAsia="宋体" w:cs="宋体"/>
          <w:color w:val="auto"/>
          <w:kern w:val="0"/>
          <w:sz w:val="24"/>
          <w:szCs w:val="24"/>
          <w:highlight w:val="none"/>
          <w:lang w:val="en-US" w:eastAsia="zh-CN" w:bidi="ar-SA"/>
        </w:rPr>
        <w:t>异常恶劣的气候条件</w:t>
      </w:r>
    </w:p>
    <w:p w14:paraId="243F84E5">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w:t>
      </w:r>
      <w:r>
        <w:rPr>
          <w:rFonts w:hint="eastAsia" w:ascii="宋体" w:hAnsi="宋体" w:cs="宋体"/>
          <w:color w:val="auto"/>
          <w:kern w:val="2"/>
          <w:sz w:val="24"/>
          <w:szCs w:val="24"/>
          <w:highlight w:val="none"/>
          <w:lang w:val="en-US" w:eastAsia="zh-CN" w:bidi="en-US"/>
        </w:rPr>
        <w:t>3</w:t>
      </w:r>
      <w:r>
        <w:rPr>
          <w:rFonts w:hint="eastAsia" w:ascii="宋体" w:hAnsi="宋体" w:eastAsia="宋体" w:cs="宋体"/>
          <w:color w:val="auto"/>
          <w:kern w:val="2"/>
          <w:sz w:val="24"/>
          <w:szCs w:val="24"/>
          <w:highlight w:val="none"/>
          <w:lang w:val="en-US" w:eastAsia="zh-CN" w:bidi="en-US"/>
        </w:rPr>
        <w:t>.3</w:t>
      </w:r>
      <w:r>
        <w:rPr>
          <w:rFonts w:hint="eastAsia" w:ascii="宋体" w:hAnsi="宋体" w:eastAsia="宋体" w:cs="宋体"/>
          <w:color w:val="auto"/>
          <w:kern w:val="2"/>
          <w:sz w:val="24"/>
          <w:szCs w:val="24"/>
          <w:highlight w:val="none"/>
          <w:lang w:val="zh-CN" w:eastAsia="zh-CN" w:bidi="zh-CN"/>
        </w:rPr>
        <w:t>本合同工程界定异常恶劣气候条件的范围为：</w:t>
      </w:r>
    </w:p>
    <w:p w14:paraId="0AAE3730">
      <w:pPr>
        <w:pageBreakBefore w:val="0"/>
        <w:widowControl w:val="0"/>
        <w:numPr>
          <w:ilvl w:val="0"/>
          <w:numId w:val="42"/>
        </w:numPr>
        <w:tabs>
          <w:tab w:val="left" w:pos="903"/>
          <w:tab w:val="left" w:pos="2959"/>
          <w:tab w:val="left" w:pos="5261"/>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日降雨量大于</w:t>
      </w:r>
      <w:r>
        <w:rPr>
          <w:rFonts w:hint="eastAsia" w:ascii="宋体" w:hAnsi="宋体" w:eastAsia="宋体" w:cs="宋体"/>
          <w:color w:val="auto"/>
          <w:kern w:val="2"/>
          <w:sz w:val="24"/>
          <w:szCs w:val="24"/>
          <w:highlight w:val="none"/>
          <w:u w:val="single"/>
          <w:lang w:val="en-US" w:eastAsia="zh-CN" w:bidi="zh-CN"/>
        </w:rPr>
        <w:t>50</w:t>
      </w:r>
      <w:r>
        <w:rPr>
          <w:rFonts w:hint="eastAsia" w:ascii="宋体" w:hAnsi="宋体" w:eastAsia="宋体" w:cs="宋体"/>
          <w:color w:val="auto"/>
          <w:kern w:val="2"/>
          <w:sz w:val="24"/>
          <w:szCs w:val="24"/>
          <w:highlight w:val="none"/>
          <w:lang w:val="en-US" w:eastAsia="zh-CN" w:bidi="en-US"/>
        </w:rPr>
        <w:t>mm</w:t>
      </w:r>
      <w:r>
        <w:rPr>
          <w:rFonts w:hint="eastAsia" w:ascii="宋体" w:hAnsi="宋体" w:eastAsia="宋体" w:cs="宋体"/>
          <w:color w:val="auto"/>
          <w:kern w:val="2"/>
          <w:sz w:val="24"/>
          <w:szCs w:val="24"/>
          <w:highlight w:val="none"/>
          <w:lang w:val="zh-CN" w:eastAsia="zh-CN" w:bidi="zh-CN"/>
        </w:rPr>
        <w:t>的雨日超过</w:t>
      </w:r>
      <w:r>
        <w:rPr>
          <w:rFonts w:hint="eastAsia" w:ascii="宋体" w:hAnsi="宋体" w:eastAsia="宋体" w:cs="宋体"/>
          <w:color w:val="auto"/>
          <w:kern w:val="2"/>
          <w:sz w:val="24"/>
          <w:szCs w:val="24"/>
          <w:highlight w:val="none"/>
          <w:u w:val="single"/>
          <w:lang w:val="en-US" w:eastAsia="zh-CN" w:bidi="zh-CN"/>
        </w:rPr>
        <w:t xml:space="preserve"> 1</w:t>
      </w:r>
      <w:r>
        <w:rPr>
          <w:rFonts w:hint="eastAsia" w:ascii="宋体" w:hAnsi="宋体" w:eastAsia="宋体" w:cs="宋体"/>
          <w:color w:val="auto"/>
          <w:kern w:val="2"/>
          <w:sz w:val="24"/>
          <w:szCs w:val="24"/>
          <w:highlight w:val="none"/>
          <w:lang w:val="zh-CN" w:eastAsia="zh-CN" w:bidi="zh-CN"/>
        </w:rPr>
        <w:t>天；</w:t>
      </w:r>
    </w:p>
    <w:p w14:paraId="057BA187">
      <w:pPr>
        <w:pageBreakBefore w:val="0"/>
        <w:widowControl w:val="0"/>
        <w:numPr>
          <w:ilvl w:val="0"/>
          <w:numId w:val="42"/>
        </w:numPr>
        <w:tabs>
          <w:tab w:val="left" w:pos="903"/>
          <w:tab w:val="left" w:pos="2539"/>
          <w:tab w:val="left" w:pos="4044"/>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风速大于</w:t>
      </w:r>
      <w:r>
        <w:rPr>
          <w:rFonts w:hint="eastAsia" w:ascii="宋体" w:hAnsi="宋体" w:eastAsia="宋体" w:cs="宋体"/>
          <w:color w:val="auto"/>
          <w:kern w:val="2"/>
          <w:sz w:val="24"/>
          <w:szCs w:val="24"/>
          <w:highlight w:val="none"/>
          <w:u w:val="single"/>
          <w:lang w:val="en-US" w:eastAsia="zh-CN" w:bidi="zh-CN"/>
        </w:rPr>
        <w:t xml:space="preserve"> 20 </w:t>
      </w:r>
      <w:r>
        <w:rPr>
          <w:rFonts w:hint="eastAsia" w:ascii="宋体" w:hAnsi="宋体" w:eastAsia="宋体" w:cs="宋体"/>
          <w:color w:val="auto"/>
          <w:kern w:val="2"/>
          <w:sz w:val="24"/>
          <w:szCs w:val="24"/>
          <w:highlight w:val="none"/>
          <w:lang w:val="en-US" w:eastAsia="zh-CN" w:bidi="en-US"/>
        </w:rPr>
        <w:t>m/s</w:t>
      </w:r>
      <w:r>
        <w:rPr>
          <w:rFonts w:hint="eastAsia" w:ascii="宋体" w:hAnsi="宋体" w:eastAsia="宋体" w:cs="宋体"/>
          <w:color w:val="auto"/>
          <w:kern w:val="2"/>
          <w:sz w:val="24"/>
          <w:szCs w:val="24"/>
          <w:highlight w:val="none"/>
          <w:lang w:val="zh-CN" w:eastAsia="zh-CN" w:bidi="zh-CN"/>
        </w:rPr>
        <w:t>的</w:t>
      </w:r>
      <w:r>
        <w:rPr>
          <w:rFonts w:hint="eastAsia" w:ascii="宋体" w:hAnsi="宋体" w:eastAsia="宋体" w:cs="宋体"/>
          <w:color w:val="auto"/>
          <w:kern w:val="2"/>
          <w:sz w:val="24"/>
          <w:szCs w:val="24"/>
          <w:highlight w:val="none"/>
          <w:u w:val="single"/>
          <w:lang w:val="en-US" w:eastAsia="zh-CN" w:bidi="zh-CN"/>
        </w:rPr>
        <w:t xml:space="preserve"> 8</w:t>
      </w:r>
      <w:r>
        <w:rPr>
          <w:rFonts w:hint="eastAsia" w:ascii="宋体" w:hAnsi="宋体" w:eastAsia="宋体" w:cs="宋体"/>
          <w:color w:val="auto"/>
          <w:kern w:val="2"/>
          <w:sz w:val="24"/>
          <w:szCs w:val="24"/>
          <w:highlight w:val="none"/>
          <w:lang w:val="zh-CN" w:eastAsia="zh-CN" w:bidi="zh-CN"/>
        </w:rPr>
        <w:t>级以上台风灾害；</w:t>
      </w:r>
    </w:p>
    <w:p w14:paraId="4CBD6FC0">
      <w:pPr>
        <w:pageBreakBefore w:val="0"/>
        <w:widowControl w:val="0"/>
        <w:numPr>
          <w:ilvl w:val="0"/>
          <w:numId w:val="42"/>
        </w:numPr>
        <w:tabs>
          <w:tab w:val="left" w:pos="903"/>
          <w:tab w:val="left" w:pos="2750"/>
          <w:tab w:val="left" w:pos="4855"/>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日气温超过</w:t>
      </w:r>
      <w:r>
        <w:rPr>
          <w:rFonts w:hint="eastAsia" w:ascii="宋体" w:hAnsi="宋体" w:eastAsia="宋体" w:cs="宋体"/>
          <w:color w:val="auto"/>
          <w:kern w:val="2"/>
          <w:sz w:val="24"/>
          <w:szCs w:val="24"/>
          <w:highlight w:val="none"/>
          <w:u w:val="single"/>
          <w:lang w:val="en-US" w:eastAsia="zh-CN" w:bidi="zh-CN"/>
        </w:rPr>
        <w:t xml:space="preserve"> 40 </w:t>
      </w:r>
      <w:r>
        <w:rPr>
          <w:rFonts w:hint="eastAsia" w:ascii="宋体" w:hAnsi="宋体" w:eastAsia="宋体" w:cs="宋体"/>
          <w:color w:val="auto"/>
          <w:kern w:val="2"/>
          <w:sz w:val="24"/>
          <w:szCs w:val="24"/>
          <w:highlight w:val="none"/>
          <w:lang w:val="en-US" w:eastAsia="zh-CN" w:bidi="en-US"/>
        </w:rPr>
        <w:t>℃</w:t>
      </w:r>
      <w:r>
        <w:rPr>
          <w:rFonts w:hint="eastAsia" w:ascii="宋体" w:hAnsi="宋体" w:eastAsia="宋体" w:cs="宋体"/>
          <w:color w:val="auto"/>
          <w:kern w:val="2"/>
          <w:sz w:val="24"/>
          <w:szCs w:val="24"/>
          <w:highlight w:val="none"/>
          <w:lang w:val="zh-CN" w:eastAsia="zh-CN" w:bidi="zh-CN"/>
        </w:rPr>
        <w:t>的高温大于</w:t>
      </w:r>
      <w:r>
        <w:rPr>
          <w:rFonts w:hint="eastAsia" w:ascii="宋体" w:hAnsi="宋体" w:eastAsia="宋体" w:cs="宋体"/>
          <w:color w:val="auto"/>
          <w:kern w:val="2"/>
          <w:sz w:val="24"/>
          <w:szCs w:val="24"/>
          <w:highlight w:val="none"/>
          <w:u w:val="single"/>
          <w:lang w:val="en-US" w:eastAsia="zh-CN" w:bidi="zh-CN"/>
        </w:rPr>
        <w:t xml:space="preserve"> 2 </w:t>
      </w:r>
      <w:r>
        <w:rPr>
          <w:rFonts w:hint="eastAsia" w:ascii="宋体" w:hAnsi="宋体" w:eastAsia="宋体" w:cs="宋体"/>
          <w:color w:val="auto"/>
          <w:kern w:val="2"/>
          <w:sz w:val="24"/>
          <w:szCs w:val="24"/>
          <w:highlight w:val="none"/>
          <w:lang w:val="zh-CN" w:eastAsia="zh-CN" w:bidi="zh-CN"/>
        </w:rPr>
        <w:t>天；</w:t>
      </w:r>
    </w:p>
    <w:p w14:paraId="0FD0B082">
      <w:pPr>
        <w:pageBreakBefore w:val="0"/>
        <w:widowControl w:val="0"/>
        <w:numPr>
          <w:ilvl w:val="0"/>
          <w:numId w:val="42"/>
        </w:numPr>
        <w:tabs>
          <w:tab w:val="left" w:pos="903"/>
          <w:tab w:val="left" w:pos="2750"/>
          <w:tab w:val="left" w:pos="4855"/>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日气温低于</w:t>
      </w:r>
      <w:r>
        <w:rPr>
          <w:rFonts w:hint="eastAsia" w:ascii="宋体" w:hAnsi="宋体" w:eastAsia="宋体" w:cs="宋体"/>
          <w:color w:val="auto"/>
          <w:kern w:val="2"/>
          <w:sz w:val="24"/>
          <w:szCs w:val="24"/>
          <w:highlight w:val="none"/>
          <w:u w:val="single"/>
          <w:lang w:val="en-US" w:eastAsia="zh-CN" w:bidi="zh-CN"/>
        </w:rPr>
        <w:t xml:space="preserve">-10 </w:t>
      </w:r>
      <w:r>
        <w:rPr>
          <w:rFonts w:hint="eastAsia" w:ascii="宋体" w:hAnsi="宋体" w:eastAsia="宋体" w:cs="宋体"/>
          <w:color w:val="auto"/>
          <w:kern w:val="2"/>
          <w:sz w:val="24"/>
          <w:szCs w:val="24"/>
          <w:highlight w:val="none"/>
          <w:lang w:val="en-US" w:eastAsia="zh-CN" w:bidi="en-US"/>
        </w:rPr>
        <w:t>℃</w:t>
      </w:r>
      <w:r>
        <w:rPr>
          <w:rFonts w:hint="eastAsia" w:ascii="宋体" w:hAnsi="宋体" w:eastAsia="宋体" w:cs="宋体"/>
          <w:color w:val="auto"/>
          <w:kern w:val="2"/>
          <w:sz w:val="24"/>
          <w:szCs w:val="24"/>
          <w:highlight w:val="none"/>
          <w:lang w:val="zh-CN" w:eastAsia="zh-CN" w:bidi="zh-CN"/>
        </w:rPr>
        <w:t>的严寒大于</w:t>
      </w:r>
      <w:r>
        <w:rPr>
          <w:rFonts w:hint="eastAsia" w:ascii="宋体" w:hAnsi="宋体" w:eastAsia="宋体" w:cs="宋体"/>
          <w:color w:val="auto"/>
          <w:kern w:val="2"/>
          <w:sz w:val="24"/>
          <w:szCs w:val="24"/>
          <w:highlight w:val="none"/>
          <w:u w:val="single"/>
          <w:lang w:val="en-US" w:eastAsia="zh-CN" w:bidi="zh-CN"/>
        </w:rPr>
        <w:t xml:space="preserve"> 2</w:t>
      </w:r>
      <w:r>
        <w:rPr>
          <w:rFonts w:hint="eastAsia" w:ascii="宋体" w:hAnsi="宋体" w:eastAsia="宋体" w:cs="宋体"/>
          <w:color w:val="auto"/>
          <w:kern w:val="2"/>
          <w:sz w:val="24"/>
          <w:szCs w:val="24"/>
          <w:highlight w:val="none"/>
          <w:lang w:val="zh-CN" w:eastAsia="zh-CN" w:bidi="zh-CN"/>
        </w:rPr>
        <w:t>天。</w:t>
      </w:r>
    </w:p>
    <w:p w14:paraId="0D60615B">
      <w:pPr>
        <w:pageBreakBefore w:val="0"/>
        <w:widowControl w:val="0"/>
        <w:numPr>
          <w:ilvl w:val="0"/>
          <w:numId w:val="42"/>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造成工程损坏的冰雹和大雪灾害；</w:t>
      </w:r>
    </w:p>
    <w:p w14:paraId="20F3CDBE">
      <w:pPr>
        <w:pageBreakBefore w:val="0"/>
        <w:widowControl w:val="0"/>
        <w:numPr>
          <w:ilvl w:val="0"/>
          <w:numId w:val="42"/>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u w:val="single"/>
          <w:lang w:val="en-US" w:eastAsia="zh-CN" w:bidi="zh-CN"/>
        </w:rPr>
        <w:t xml:space="preserve"> 3 </w:t>
      </w:r>
      <w:r>
        <w:rPr>
          <w:rFonts w:hint="eastAsia" w:ascii="宋体" w:hAnsi="宋体" w:eastAsia="宋体" w:cs="宋体"/>
          <w:color w:val="auto"/>
          <w:kern w:val="2"/>
          <w:sz w:val="24"/>
          <w:szCs w:val="24"/>
          <w:highlight w:val="none"/>
          <w:lang w:val="zh-CN" w:eastAsia="zh-CN" w:bidi="zh-CN"/>
        </w:rPr>
        <w:t>级以上的地震；</w:t>
      </w:r>
    </w:p>
    <w:p w14:paraId="29B03BD7">
      <w:pPr>
        <w:pageBreakBefore w:val="0"/>
        <w:widowControl w:val="0"/>
        <w:numPr>
          <w:ilvl w:val="0"/>
          <w:numId w:val="42"/>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u w:val="single"/>
          <w:lang w:val="en-US" w:eastAsia="zh-CN" w:bidi="zh-CN"/>
        </w:rPr>
        <w:t xml:space="preserve"> 50 </w:t>
      </w:r>
      <w:r>
        <w:rPr>
          <w:rFonts w:hint="eastAsia" w:ascii="宋体" w:hAnsi="宋体" w:eastAsia="宋体" w:cs="宋体"/>
          <w:color w:val="auto"/>
          <w:kern w:val="2"/>
          <w:sz w:val="24"/>
          <w:szCs w:val="24"/>
          <w:highlight w:val="none"/>
          <w:lang w:val="zh-CN" w:eastAsia="zh-CN" w:bidi="zh-CN"/>
        </w:rPr>
        <w:t>年一遇及以上的洪水；</w:t>
      </w:r>
    </w:p>
    <w:p w14:paraId="06D83890">
      <w:pPr>
        <w:pageBreakBefore w:val="0"/>
        <w:widowControl w:val="0"/>
        <w:numPr>
          <w:ilvl w:val="0"/>
          <w:numId w:val="42"/>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其他异常恶劣气候灾害。</w:t>
      </w:r>
    </w:p>
    <w:p w14:paraId="0773299C">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11.5承包人工期延误</w:t>
      </w:r>
    </w:p>
    <w:p w14:paraId="7019A6DE">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(1)逾期完工违约金表(参考格式)</w:t>
      </w:r>
    </w:p>
    <w:tbl>
      <w:tblPr>
        <w:tblStyle w:val="27"/>
        <w:tblW w:w="8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576"/>
        <w:gridCol w:w="3255"/>
        <w:gridCol w:w="2980"/>
        <w:gridCol w:w="1541"/>
      </w:tblGrid>
      <w:tr w14:paraId="6E0CC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61" w:hRule="exact"/>
          <w:jc w:val="center"/>
        </w:trPr>
        <w:tc>
          <w:tcPr>
            <w:tcW w:w="576" w:type="dxa"/>
            <w:shd w:val="clear" w:color="auto" w:fill="FFFFFF"/>
            <w:noWrap w:val="0"/>
            <w:vAlign w:val="center"/>
          </w:tcPr>
          <w:p w14:paraId="17219993">
            <w:pPr>
              <w:pStyle w:val="5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255" w:type="dxa"/>
            <w:shd w:val="clear" w:color="auto" w:fill="FFFFFF"/>
            <w:noWrap w:val="0"/>
            <w:vAlign w:val="center"/>
          </w:tcPr>
          <w:p w14:paraId="77DEF230">
            <w:pPr>
              <w:pStyle w:val="5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项目及其说明</w:t>
            </w:r>
          </w:p>
        </w:tc>
        <w:tc>
          <w:tcPr>
            <w:tcW w:w="2980" w:type="dxa"/>
            <w:shd w:val="clear" w:color="auto" w:fill="FFFFFF"/>
            <w:noWrap w:val="0"/>
            <w:vAlign w:val="center"/>
          </w:tcPr>
          <w:p w14:paraId="10AB5FA3">
            <w:pPr>
              <w:pStyle w:val="5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要求完工日期</w:t>
            </w:r>
          </w:p>
        </w:tc>
        <w:tc>
          <w:tcPr>
            <w:tcW w:w="1541" w:type="dxa"/>
            <w:shd w:val="clear" w:color="auto" w:fill="FFFFFF"/>
            <w:noWrap w:val="0"/>
            <w:vAlign w:val="center"/>
          </w:tcPr>
          <w:p w14:paraId="4C497C61">
            <w:pPr>
              <w:pStyle w:val="5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违约金(元/天)</w:t>
            </w:r>
          </w:p>
        </w:tc>
      </w:tr>
      <w:tr w14:paraId="102FD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89" w:hRule="exact"/>
          <w:jc w:val="center"/>
        </w:trPr>
        <w:tc>
          <w:tcPr>
            <w:tcW w:w="576" w:type="dxa"/>
            <w:shd w:val="clear" w:color="auto" w:fill="FFFFFF"/>
            <w:noWrap w:val="0"/>
            <w:vAlign w:val="center"/>
          </w:tcPr>
          <w:p w14:paraId="1F33F9F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3255" w:type="dxa"/>
            <w:shd w:val="clear" w:color="auto" w:fill="FFFFFF"/>
            <w:noWrap w:val="0"/>
            <w:vAlign w:val="center"/>
          </w:tcPr>
          <w:p w14:paraId="0ED47F3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eastAsia="zh-CN"/>
              </w:rPr>
              <w:t>工程完工</w:t>
            </w:r>
          </w:p>
        </w:tc>
        <w:tc>
          <w:tcPr>
            <w:tcW w:w="2980" w:type="dxa"/>
            <w:shd w:val="clear" w:color="auto" w:fill="FFFFFF"/>
            <w:noWrap w:val="0"/>
            <w:vAlign w:val="center"/>
          </w:tcPr>
          <w:p w14:paraId="7065DF23">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eastAsia="zh-CN"/>
              </w:rPr>
              <w:t>工期</w:t>
            </w:r>
            <w:r>
              <w:rPr>
                <w:rFonts w:hint="eastAsia" w:ascii="宋体" w:hAnsi="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lang w:val="en-US" w:eastAsia="zh-CN"/>
              </w:rPr>
              <w:t>日历天，开工日期以监理人签发的开工令为准</w:t>
            </w:r>
          </w:p>
        </w:tc>
        <w:tc>
          <w:tcPr>
            <w:tcW w:w="1541" w:type="dxa"/>
            <w:shd w:val="clear" w:color="auto" w:fill="FFFFFF"/>
            <w:noWrap w:val="0"/>
            <w:vAlign w:val="center"/>
          </w:tcPr>
          <w:p w14:paraId="045AC9C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1000</w:t>
            </w:r>
          </w:p>
        </w:tc>
      </w:tr>
    </w:tbl>
    <w:p w14:paraId="3E4FD0B8">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sz w:val="24"/>
          <w:szCs w:val="24"/>
          <w:highlight w:val="none"/>
        </w:rPr>
      </w:pPr>
    </w:p>
    <w:p w14:paraId="1CC4245C">
      <w:pPr>
        <w:pageBreakBefore w:val="0"/>
        <w:widowControl w:val="0"/>
        <w:tabs>
          <w:tab w:val="left" w:pos="7999"/>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承包人如未能按上表各节点要求的完工日期前完工，逾期完工违约金按</w:t>
      </w:r>
      <w:r>
        <w:rPr>
          <w:rFonts w:hint="eastAsia" w:ascii="宋体" w:hAnsi="宋体" w:eastAsia="宋体" w:cs="宋体"/>
          <w:color w:val="auto"/>
          <w:kern w:val="2"/>
          <w:sz w:val="24"/>
          <w:szCs w:val="24"/>
          <w:highlight w:val="none"/>
          <w:u w:val="single"/>
          <w:lang w:val="en-US" w:eastAsia="zh-CN" w:bidi="zh-CN"/>
        </w:rPr>
        <w:t xml:space="preserve">   1000  </w:t>
      </w:r>
      <w:r>
        <w:rPr>
          <w:rFonts w:hint="eastAsia" w:ascii="宋体" w:hAnsi="宋体" w:eastAsia="宋体" w:cs="宋体"/>
          <w:color w:val="auto"/>
          <w:kern w:val="2"/>
          <w:sz w:val="24"/>
          <w:szCs w:val="24"/>
          <w:highlight w:val="none"/>
          <w:lang w:val="zh-CN" w:eastAsia="zh-CN" w:bidi="zh-CN"/>
        </w:rPr>
        <w:t>元/ 天</w:t>
      </w:r>
      <w:r>
        <w:rPr>
          <w:rFonts w:hint="eastAsia" w:ascii="宋体" w:hAnsi="宋体" w:eastAsia="宋体" w:cs="宋体"/>
          <w:i/>
          <w:iCs/>
          <w:color w:val="auto"/>
          <w:kern w:val="2"/>
          <w:sz w:val="24"/>
          <w:szCs w:val="24"/>
          <w:highlight w:val="none"/>
          <w:lang w:val="zh-CN" w:eastAsia="zh-CN" w:bidi="zh-CN"/>
        </w:rPr>
        <w:t>”</w:t>
      </w:r>
      <w:r>
        <w:rPr>
          <w:rFonts w:hint="eastAsia" w:ascii="宋体" w:hAnsi="宋体" w:eastAsia="宋体" w:cs="宋体"/>
          <w:color w:val="auto"/>
          <w:kern w:val="2"/>
          <w:sz w:val="24"/>
          <w:szCs w:val="24"/>
          <w:highlight w:val="none"/>
          <w:lang w:val="zh-CN" w:eastAsia="zh-CN" w:bidi="zh-CN"/>
        </w:rPr>
        <w:t>计算。</w:t>
      </w:r>
    </w:p>
    <w:p w14:paraId="2055E180">
      <w:pPr>
        <w:pageBreakBefore w:val="0"/>
        <w:widowControl w:val="0"/>
        <w:numPr>
          <w:ilvl w:val="0"/>
          <w:numId w:val="43"/>
        </w:numPr>
        <w:tabs>
          <w:tab w:val="left" w:pos="922"/>
          <w:tab w:val="left" w:pos="619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全部逾期完工违约金的总限额不超过合同总价的</w:t>
      </w:r>
      <w:r>
        <w:rPr>
          <w:rFonts w:hint="eastAsia" w:ascii="宋体" w:hAnsi="宋体" w:eastAsia="宋体" w:cs="宋体"/>
          <w:color w:val="auto"/>
          <w:kern w:val="2"/>
          <w:sz w:val="24"/>
          <w:szCs w:val="24"/>
          <w:highlight w:val="none"/>
          <w:u w:val="single"/>
          <w:lang w:val="en-US" w:eastAsia="zh-CN" w:bidi="zh-CN"/>
        </w:rPr>
        <w:t xml:space="preserve">  5 </w:t>
      </w:r>
      <w:r>
        <w:rPr>
          <w:rFonts w:hint="eastAsia" w:ascii="宋体" w:hAnsi="宋体" w:eastAsia="宋体" w:cs="宋体"/>
          <w:color w:val="auto"/>
          <w:kern w:val="2"/>
          <w:sz w:val="24"/>
          <w:szCs w:val="24"/>
          <w:highlight w:val="none"/>
          <w:lang w:val="zh-CN" w:eastAsia="zh-CN" w:bidi="zh-CN"/>
        </w:rPr>
        <w:t>%,发包人可从应向承包人支付的任何金额中扣除此项违约金或以其他方式收回此款，此违约金的支付并不能免除承包人应完成工程的责任或合同规定的其他责任。</w:t>
      </w:r>
    </w:p>
    <w:p w14:paraId="17A21000">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11.6工期提前</w:t>
      </w:r>
    </w:p>
    <w:p w14:paraId="25F14147">
      <w:pPr>
        <w:pageBreakBefore w:val="0"/>
        <w:widowControl w:val="0"/>
        <w:tabs>
          <w:tab w:val="left" w:pos="8218"/>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工期提前的资金约定：</w:t>
      </w:r>
      <w:r>
        <w:rPr>
          <w:rFonts w:hint="eastAsia" w:ascii="宋体" w:hAnsi="宋体" w:eastAsia="宋体" w:cs="宋体"/>
          <w:color w:val="auto"/>
          <w:kern w:val="2"/>
          <w:sz w:val="24"/>
          <w:szCs w:val="24"/>
          <w:highlight w:val="none"/>
          <w:u w:val="single"/>
          <w:lang w:val="zh-CN" w:eastAsia="zh-CN" w:bidi="zh-CN"/>
        </w:rPr>
        <w:t xml:space="preserve">在保证工程质量的前提下，发包人鼓励承包人提前完工，但本合同工程无提前工期奖金 </w:t>
      </w:r>
      <w:r>
        <w:rPr>
          <w:rFonts w:hint="eastAsia" w:ascii="宋体" w:hAnsi="宋体" w:eastAsia="宋体" w:cs="宋体"/>
          <w:color w:val="auto"/>
          <w:kern w:val="2"/>
          <w:sz w:val="24"/>
          <w:szCs w:val="24"/>
          <w:highlight w:val="none"/>
          <w:lang w:val="en-US" w:eastAsia="zh-CN" w:bidi="en-US"/>
        </w:rPr>
        <w:t>。</w:t>
      </w:r>
    </w:p>
    <w:p w14:paraId="3F0336AB">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56" w:name="_Toc2378"/>
      <w:r>
        <w:rPr>
          <w:rFonts w:hint="eastAsia" w:ascii="宋体" w:hAnsi="宋体" w:eastAsia="宋体" w:cs="宋体"/>
          <w:color w:val="auto"/>
          <w:kern w:val="2"/>
          <w:sz w:val="24"/>
          <w:szCs w:val="24"/>
          <w:highlight w:val="none"/>
          <w:lang w:val="en-US" w:eastAsia="zh-CN" w:bidi="ar-SA"/>
        </w:rPr>
        <w:t>12. 暂停施工</w:t>
      </w:r>
      <w:bookmarkEnd w:id="256"/>
    </w:p>
    <w:p w14:paraId="2EC0905A">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12.1承包人暂停施工的责任</w:t>
      </w:r>
    </w:p>
    <w:p w14:paraId="5AE21EE0">
      <w:pPr>
        <w:keepNext w:val="0"/>
        <w:keepLines w:val="0"/>
        <w:pageBreakBefore w:val="0"/>
        <w:widowControl w:val="0"/>
        <w:tabs>
          <w:tab w:val="left" w:pos="8220"/>
        </w:tabs>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kern w:val="2"/>
          <w:sz w:val="24"/>
          <w:szCs w:val="24"/>
          <w:highlight w:val="none"/>
          <w:lang w:val="en-US" w:eastAsia="zh-CN" w:bidi="en-US"/>
        </w:rPr>
      </w:pPr>
      <w:r>
        <w:rPr>
          <w:rFonts w:hint="eastAsia" w:ascii="宋体" w:hAnsi="宋体" w:eastAsia="宋体" w:cs="宋体"/>
          <w:color w:val="auto"/>
          <w:kern w:val="2"/>
          <w:sz w:val="24"/>
          <w:szCs w:val="24"/>
          <w:highlight w:val="none"/>
          <w:lang w:val="zh-CN" w:eastAsia="zh-CN" w:bidi="zh-CN"/>
        </w:rPr>
        <w:t>包人承担暂停施工责任的其它情形：</w:t>
      </w:r>
      <w:r>
        <w:rPr>
          <w:rFonts w:hint="eastAsia" w:ascii="宋体" w:hAnsi="宋体" w:eastAsia="宋体" w:cs="宋体"/>
          <w:color w:val="auto"/>
          <w:kern w:val="2"/>
          <w:sz w:val="24"/>
          <w:szCs w:val="24"/>
          <w:highlight w:val="none"/>
          <w:u w:val="single"/>
          <w:lang w:val="zh-CN" w:eastAsia="zh-CN" w:bidi="zh-CN"/>
        </w:rPr>
        <w:t xml:space="preserve"> </w:t>
      </w:r>
      <w:r>
        <w:rPr>
          <w:rFonts w:hint="eastAsia" w:ascii="宋体" w:hAnsi="宋体" w:eastAsia="宋体" w:cs="宋体"/>
          <w:color w:val="auto"/>
          <w:kern w:val="2"/>
          <w:sz w:val="24"/>
          <w:szCs w:val="24"/>
          <w:highlight w:val="none"/>
          <w:u w:val="single"/>
          <w:lang w:val="en-US" w:eastAsia="zh-CN" w:bidi="zh-CN"/>
        </w:rPr>
        <w:t>承包人承担暂停施工责任的其它情形： 由于承包人资金、人员、材料、设备不能按时到位的由承包人承担停工责任，或由于承包人原因造成的质量事故及安全事故或</w:t>
      </w:r>
      <w:r>
        <w:rPr>
          <w:rFonts w:hint="eastAsia" w:ascii="宋体" w:hAnsi="宋体" w:eastAsia="宋体" w:cs="宋体"/>
          <w:b/>
          <w:bCs/>
          <w:color w:val="auto"/>
          <w:kern w:val="2"/>
          <w:sz w:val="24"/>
          <w:szCs w:val="24"/>
          <w:highlight w:val="none"/>
          <w:u w:val="single"/>
          <w:lang w:val="en-US" w:eastAsia="zh-CN" w:bidi="zh-CN"/>
        </w:rPr>
        <w:t>由于承包人原因造成的其他不利影响</w:t>
      </w:r>
      <w:r>
        <w:rPr>
          <w:rFonts w:hint="eastAsia" w:ascii="宋体" w:hAnsi="宋体" w:eastAsia="宋体" w:cs="宋体"/>
          <w:color w:val="auto"/>
          <w:kern w:val="2"/>
          <w:sz w:val="24"/>
          <w:szCs w:val="24"/>
          <w:highlight w:val="none"/>
          <w:u w:val="single"/>
          <w:lang w:val="en-US" w:eastAsia="zh-CN" w:bidi="zh-CN"/>
        </w:rPr>
        <w:t>引起的暂停施工，发包人不再补偿停工所造成的工程费用增加和工期延误。</w:t>
      </w:r>
    </w:p>
    <w:p w14:paraId="3B6A9068">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12.2发包人暂停施工的责任</w:t>
      </w:r>
    </w:p>
    <w:p w14:paraId="3609B26D">
      <w:pPr>
        <w:pageBreakBefore w:val="0"/>
        <w:widowControl w:val="0"/>
        <w:numPr>
          <w:ilvl w:val="0"/>
          <w:numId w:val="43"/>
        </w:numPr>
        <w:tabs>
          <w:tab w:val="left" w:pos="923"/>
          <w:tab w:val="left" w:pos="8218"/>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发包人承担暂停施工责任的其它情形：</w:t>
      </w:r>
      <w:r>
        <w:rPr>
          <w:rFonts w:hint="eastAsia" w:ascii="宋体" w:hAnsi="宋体" w:eastAsia="宋体" w:cs="宋体"/>
          <w:color w:val="auto"/>
          <w:kern w:val="2"/>
          <w:sz w:val="24"/>
          <w:szCs w:val="24"/>
          <w:highlight w:val="none"/>
          <w:u w:val="single"/>
          <w:lang w:val="zh-CN" w:eastAsia="zh-CN" w:bidi="zh-CN"/>
        </w:rPr>
        <w:t xml:space="preserve"> 如因发包人原因导致的停工，工期应顺延</w:t>
      </w:r>
      <w:r>
        <w:rPr>
          <w:rFonts w:hint="eastAsia" w:ascii="宋体" w:hAnsi="宋体" w:eastAsia="宋体" w:cs="宋体"/>
          <w:color w:val="auto"/>
          <w:kern w:val="2"/>
          <w:sz w:val="24"/>
          <w:szCs w:val="24"/>
          <w:highlight w:val="none"/>
          <w:lang w:val="en-US" w:eastAsia="zh-CN" w:bidi="en-US"/>
        </w:rPr>
        <w:t>。</w:t>
      </w:r>
    </w:p>
    <w:p w14:paraId="5F51BF1C">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57" w:name="_Toc862"/>
      <w:r>
        <w:rPr>
          <w:rFonts w:hint="eastAsia" w:ascii="宋体" w:hAnsi="宋体" w:eastAsia="宋体" w:cs="宋体"/>
          <w:color w:val="auto"/>
          <w:kern w:val="2"/>
          <w:sz w:val="24"/>
          <w:szCs w:val="24"/>
          <w:highlight w:val="none"/>
          <w:lang w:val="en-US" w:eastAsia="zh-CN" w:bidi="ar-SA"/>
        </w:rPr>
        <w:t>13. 工程质量</w:t>
      </w:r>
      <w:bookmarkEnd w:id="257"/>
    </w:p>
    <w:p w14:paraId="378EE339">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13.7质量评定</w:t>
      </w:r>
    </w:p>
    <w:p w14:paraId="7BAA8964">
      <w:pPr>
        <w:pageBreakBefore w:val="0"/>
        <w:widowControl w:val="0"/>
        <w:tabs>
          <w:tab w:val="left" w:pos="8228"/>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13.7.4</w:t>
      </w:r>
      <w:r>
        <w:rPr>
          <w:rFonts w:hint="eastAsia" w:ascii="宋体" w:hAnsi="宋体" w:eastAsia="宋体" w:cs="宋体"/>
          <w:color w:val="auto"/>
          <w:kern w:val="2"/>
          <w:sz w:val="24"/>
          <w:szCs w:val="24"/>
          <w:highlight w:val="none"/>
          <w:lang w:val="zh-CN" w:eastAsia="zh-CN" w:bidi="zh-CN"/>
        </w:rPr>
        <w:t>重要隐蔽单元工程和关键部位单元工程质量评定的约定：</w:t>
      </w:r>
      <w:r>
        <w:rPr>
          <w:rFonts w:hint="eastAsia" w:ascii="宋体" w:hAnsi="宋体" w:eastAsia="宋体" w:cs="宋体"/>
          <w:color w:val="auto"/>
          <w:kern w:val="2"/>
          <w:sz w:val="24"/>
          <w:szCs w:val="24"/>
          <w:highlight w:val="none"/>
          <w:u w:val="single"/>
          <w:lang w:val="zh-CN" w:eastAsia="zh-CN" w:bidi="zh-CN"/>
        </w:rPr>
        <w:t xml:space="preserve"> 经建设单位、施工单位、 监理单位、设计单位联检合格后才能进行下一道工序的施工 </w:t>
      </w:r>
      <w:r>
        <w:rPr>
          <w:rFonts w:hint="eastAsia" w:ascii="宋体" w:hAnsi="宋体" w:eastAsia="宋体" w:cs="宋体"/>
          <w:color w:val="auto"/>
          <w:kern w:val="2"/>
          <w:sz w:val="24"/>
          <w:szCs w:val="24"/>
          <w:highlight w:val="none"/>
          <w:lang w:val="en-US" w:eastAsia="zh-CN" w:bidi="en-US"/>
        </w:rPr>
        <w:t>。</w:t>
      </w:r>
    </w:p>
    <w:p w14:paraId="50F3515D">
      <w:pPr>
        <w:pageBreakBefore w:val="0"/>
        <w:widowControl w:val="0"/>
        <w:tabs>
          <w:tab w:val="left" w:pos="3751"/>
          <w:tab w:val="left" w:pos="4834"/>
          <w:tab w:val="left" w:pos="8225"/>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 xml:space="preserve">13.7.7 </w:t>
      </w:r>
      <w:r>
        <w:rPr>
          <w:rFonts w:hint="eastAsia" w:ascii="宋体" w:hAnsi="宋体" w:eastAsia="宋体" w:cs="宋体"/>
          <w:color w:val="auto"/>
          <w:kern w:val="2"/>
          <w:sz w:val="24"/>
          <w:szCs w:val="24"/>
          <w:highlight w:val="none"/>
          <w:lang w:val="zh-CN" w:eastAsia="zh-CN" w:bidi="zh-CN"/>
        </w:rPr>
        <w:t>工程合格标准为：</w:t>
      </w:r>
      <w:r>
        <w:rPr>
          <w:rFonts w:hint="eastAsia" w:ascii="宋体" w:hAnsi="宋体" w:eastAsia="宋体" w:cs="宋体"/>
          <w:color w:val="auto"/>
          <w:kern w:val="2"/>
          <w:sz w:val="24"/>
          <w:szCs w:val="24"/>
          <w:highlight w:val="none"/>
          <w:u w:val="single"/>
          <w:lang w:val="zh-CN" w:eastAsia="zh-CN" w:bidi="zh-CN"/>
        </w:rPr>
        <w:t xml:space="preserve"> 按《水利水电建设工程验收规程》（SL/T223—2025)进行质量检验评定，施工质量达到合格等级 </w:t>
      </w:r>
      <w:r>
        <w:rPr>
          <w:rFonts w:hint="eastAsia" w:ascii="宋体" w:hAnsi="宋体" w:eastAsia="宋体" w:cs="宋体"/>
          <w:color w:val="auto"/>
          <w:kern w:val="2"/>
          <w:sz w:val="24"/>
          <w:szCs w:val="24"/>
          <w:highlight w:val="none"/>
          <w:lang w:val="zh-CN" w:eastAsia="zh-CN" w:bidi="zh-CN"/>
        </w:rPr>
        <w:t>；优良标准为：</w:t>
      </w:r>
      <w:r>
        <w:rPr>
          <w:rFonts w:hint="eastAsia" w:ascii="宋体" w:hAnsi="宋体" w:eastAsia="宋体" w:cs="宋体"/>
          <w:color w:val="auto"/>
          <w:kern w:val="2"/>
          <w:sz w:val="24"/>
          <w:szCs w:val="24"/>
          <w:highlight w:val="none"/>
          <w:u w:val="single"/>
          <w:lang w:val="zh-CN" w:eastAsia="zh-CN" w:bidi="zh-CN"/>
        </w:rPr>
        <w:t xml:space="preserve"> 按《水利水电建设工程验收规程》（SL/T223—2025)进行质量检验评定，施工质量达到优良等级</w:t>
      </w:r>
      <w:r>
        <w:rPr>
          <w:rFonts w:hint="eastAsia" w:ascii="宋体" w:hAnsi="宋体" w:eastAsia="宋体" w:cs="宋体"/>
          <w:color w:val="auto"/>
          <w:kern w:val="2"/>
          <w:sz w:val="24"/>
          <w:szCs w:val="24"/>
          <w:highlight w:val="none"/>
          <w:lang w:val="en-US" w:eastAsia="zh-CN" w:bidi="en-US"/>
        </w:rPr>
        <w:t>。</w:t>
      </w:r>
      <w:r>
        <w:rPr>
          <w:rFonts w:hint="eastAsia" w:ascii="宋体" w:hAnsi="宋体" w:eastAsia="宋体" w:cs="宋体"/>
          <w:color w:val="auto"/>
          <w:kern w:val="2"/>
          <w:sz w:val="24"/>
          <w:szCs w:val="24"/>
          <w:highlight w:val="none"/>
          <w:lang w:val="zh-CN" w:eastAsia="zh-CN" w:bidi="zh-CN"/>
        </w:rPr>
        <w:t>达到优良的奖金为：</w:t>
      </w:r>
      <w:r>
        <w:rPr>
          <w:rFonts w:hint="eastAsia" w:ascii="宋体" w:hAnsi="宋体" w:eastAsia="宋体" w:cs="宋体"/>
          <w:color w:val="auto"/>
          <w:kern w:val="2"/>
          <w:sz w:val="24"/>
          <w:szCs w:val="24"/>
          <w:highlight w:val="none"/>
          <w:u w:val="single"/>
          <w:lang w:val="zh-CN" w:eastAsia="zh-CN" w:bidi="zh-CN"/>
        </w:rPr>
        <w:t xml:space="preserve"> 无  </w:t>
      </w:r>
      <w:r>
        <w:rPr>
          <w:rFonts w:hint="eastAsia" w:ascii="宋体" w:hAnsi="宋体" w:eastAsia="宋体" w:cs="宋体"/>
          <w:color w:val="auto"/>
          <w:kern w:val="2"/>
          <w:sz w:val="24"/>
          <w:szCs w:val="24"/>
          <w:highlight w:val="none"/>
          <w:lang w:val="en-US" w:eastAsia="zh-CN" w:bidi="en-US"/>
        </w:rPr>
        <w:t>。</w:t>
      </w:r>
    </w:p>
    <w:p w14:paraId="0D9D5C84">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13.8质量事故处理</w:t>
      </w:r>
    </w:p>
    <w:p w14:paraId="1A7F8BD8">
      <w:pPr>
        <w:pageBreakBefore w:val="0"/>
        <w:widowControl w:val="0"/>
        <w:tabs>
          <w:tab w:val="left" w:pos="4814"/>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13.8.4</w:t>
      </w:r>
      <w:r>
        <w:rPr>
          <w:rFonts w:hint="eastAsia" w:ascii="宋体" w:hAnsi="宋体" w:eastAsia="宋体" w:cs="宋体"/>
          <w:color w:val="auto"/>
          <w:kern w:val="2"/>
          <w:sz w:val="24"/>
          <w:szCs w:val="24"/>
          <w:highlight w:val="none"/>
          <w:lang w:val="zh-CN" w:eastAsia="zh-CN" w:bidi="zh-CN"/>
        </w:rPr>
        <w:t>工程竣工验收时，</w:t>
      </w:r>
      <w:r>
        <w:rPr>
          <w:rFonts w:hint="eastAsia" w:ascii="宋体" w:hAnsi="宋体" w:eastAsia="宋体" w:cs="宋体"/>
          <w:color w:val="auto"/>
          <w:kern w:val="2"/>
          <w:sz w:val="24"/>
          <w:szCs w:val="24"/>
          <w:highlight w:val="none"/>
          <w:u w:val="single"/>
          <w:lang w:val="en-US" w:eastAsia="zh-CN" w:bidi="zh-CN"/>
        </w:rPr>
        <w:t xml:space="preserve">  项目法人    </w:t>
      </w:r>
      <w:r>
        <w:rPr>
          <w:rFonts w:hint="eastAsia" w:ascii="宋体" w:hAnsi="宋体" w:eastAsia="宋体" w:cs="宋体"/>
          <w:color w:val="auto"/>
          <w:kern w:val="2"/>
          <w:sz w:val="24"/>
          <w:szCs w:val="24"/>
          <w:highlight w:val="none"/>
          <w:lang w:val="zh-CN" w:eastAsia="zh-CN" w:bidi="zh-CN"/>
        </w:rPr>
        <w:t>向竣工验收委员会汇报并提交历次质量缺陷处理的备案资料。</w:t>
      </w:r>
    </w:p>
    <w:p w14:paraId="7D84FA59">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58" w:name="_Toc6407"/>
      <w:bookmarkStart w:id="259" w:name="_Toc30022"/>
      <w:r>
        <w:rPr>
          <w:rFonts w:hint="eastAsia" w:ascii="宋体" w:hAnsi="宋体" w:eastAsia="宋体" w:cs="宋体"/>
          <w:color w:val="auto"/>
          <w:kern w:val="2"/>
          <w:sz w:val="24"/>
          <w:szCs w:val="24"/>
          <w:highlight w:val="none"/>
          <w:lang w:val="en-US" w:eastAsia="zh-CN" w:bidi="ar-SA"/>
        </w:rPr>
        <w:t>14 . 试验和检验</w:t>
      </w:r>
      <w:bookmarkEnd w:id="258"/>
      <w:bookmarkEnd w:id="259"/>
    </w:p>
    <w:p w14:paraId="4341C246">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14.1材料、工程设备和工程的试验和检验</w:t>
      </w:r>
    </w:p>
    <w:p w14:paraId="6A9EB1C3">
      <w:pPr>
        <w:pageBreakBefore w:val="0"/>
        <w:widowControl w:val="0"/>
        <w:tabs>
          <w:tab w:val="left" w:pos="2071"/>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14.1.5</w:t>
      </w:r>
      <w:r>
        <w:rPr>
          <w:rFonts w:hint="eastAsia" w:ascii="宋体" w:hAnsi="宋体" w:eastAsia="宋体" w:cs="宋体"/>
          <w:color w:val="auto"/>
          <w:kern w:val="2"/>
          <w:sz w:val="24"/>
          <w:szCs w:val="24"/>
          <w:highlight w:val="none"/>
          <w:lang w:val="zh-CN" w:eastAsia="zh-CN" w:bidi="zh-CN"/>
        </w:rPr>
        <w:t>水工金属结构、启闭机及机电产品进场后的交货检查和验收中，承包人负责</w:t>
      </w:r>
      <w:r>
        <w:rPr>
          <w:rFonts w:hint="eastAsia" w:ascii="宋体" w:hAnsi="宋体" w:eastAsia="宋体" w:cs="宋体"/>
          <w:color w:val="auto"/>
          <w:kern w:val="2"/>
          <w:sz w:val="24"/>
          <w:szCs w:val="24"/>
          <w:highlight w:val="none"/>
          <w:u w:val="single"/>
          <w:lang w:val="zh-CN" w:eastAsia="zh-CN" w:bidi="zh-CN"/>
        </w:rPr>
        <w:t>提供相关材料</w:t>
      </w:r>
      <w:r>
        <w:rPr>
          <w:rFonts w:hint="eastAsia" w:ascii="宋体" w:hAnsi="宋体" w:eastAsia="宋体" w:cs="宋体"/>
          <w:color w:val="auto"/>
          <w:kern w:val="2"/>
          <w:sz w:val="24"/>
          <w:szCs w:val="24"/>
          <w:highlight w:val="none"/>
          <w:u w:val="single"/>
          <w:lang w:val="zh-CN" w:eastAsia="zh-CN" w:bidi="zh-CN"/>
        </w:rPr>
        <w:tab/>
      </w:r>
      <w:r>
        <w:rPr>
          <w:rFonts w:hint="eastAsia" w:ascii="宋体" w:hAnsi="宋体" w:eastAsia="宋体" w:cs="宋体"/>
          <w:color w:val="auto"/>
          <w:kern w:val="2"/>
          <w:sz w:val="24"/>
          <w:szCs w:val="24"/>
          <w:highlight w:val="none"/>
          <w:lang w:val="en-US" w:eastAsia="zh-CN" w:bidi="en-US"/>
        </w:rPr>
        <w:t>。</w:t>
      </w:r>
    </w:p>
    <w:p w14:paraId="18F9B3E9">
      <w:pPr>
        <w:pageBreakBefore w:val="0"/>
        <w:widowControl w:val="0"/>
        <w:tabs>
          <w:tab w:val="left" w:pos="7525"/>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14.1.6</w:t>
      </w:r>
      <w:r>
        <w:rPr>
          <w:rFonts w:hint="eastAsia" w:ascii="宋体" w:hAnsi="宋体" w:eastAsia="宋体" w:cs="宋体"/>
          <w:color w:val="auto"/>
          <w:kern w:val="2"/>
          <w:sz w:val="24"/>
          <w:szCs w:val="24"/>
          <w:highlight w:val="none"/>
          <w:lang w:val="zh-CN" w:eastAsia="zh-CN" w:bidi="zh-CN"/>
        </w:rPr>
        <w:t>本工程实行见证取样的试块、试件及有关材料：</w:t>
      </w:r>
      <w:r>
        <w:rPr>
          <w:rFonts w:hint="eastAsia" w:ascii="宋体" w:hAnsi="宋体" w:eastAsia="宋体" w:cs="宋体"/>
          <w:color w:val="auto"/>
          <w:kern w:val="2"/>
          <w:sz w:val="24"/>
          <w:szCs w:val="24"/>
          <w:highlight w:val="none"/>
          <w:u w:val="single"/>
          <w:lang w:val="zh-CN" w:eastAsia="zh-CN" w:bidi="zh-CN"/>
        </w:rPr>
        <w:t>按通用条款执行</w:t>
      </w:r>
      <w:r>
        <w:rPr>
          <w:rFonts w:hint="eastAsia" w:ascii="宋体" w:hAnsi="宋体" w:eastAsia="宋体" w:cs="宋体"/>
          <w:color w:val="auto"/>
          <w:kern w:val="2"/>
          <w:sz w:val="24"/>
          <w:szCs w:val="24"/>
          <w:highlight w:val="none"/>
          <w:lang w:val="en-US" w:eastAsia="zh-CN" w:bidi="en-US"/>
        </w:rPr>
        <w:t>。</w:t>
      </w:r>
    </w:p>
    <w:p w14:paraId="0A1386C8">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60" w:name="_Toc12563"/>
      <w:r>
        <w:rPr>
          <w:rFonts w:hint="eastAsia" w:ascii="宋体" w:hAnsi="宋体" w:eastAsia="宋体" w:cs="宋体"/>
          <w:color w:val="auto"/>
          <w:kern w:val="2"/>
          <w:sz w:val="24"/>
          <w:szCs w:val="24"/>
          <w:highlight w:val="none"/>
          <w:lang w:val="en-US" w:eastAsia="zh-CN" w:bidi="ar-SA"/>
        </w:rPr>
        <w:t>15. 变更</w:t>
      </w:r>
      <w:bookmarkEnd w:id="260"/>
    </w:p>
    <w:p w14:paraId="7CA984A7">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15.1变更的范围和内容</w:t>
      </w:r>
    </w:p>
    <w:p w14:paraId="0DDF7C40">
      <w:pPr>
        <w:pageBreakBefore w:val="0"/>
        <w:widowControl w:val="0"/>
        <w:tabs>
          <w:tab w:val="left" w:pos="2244"/>
          <w:tab w:val="left" w:pos="5791"/>
          <w:tab w:val="left" w:pos="7224"/>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en-US"/>
        </w:rPr>
      </w:pPr>
      <w:r>
        <w:rPr>
          <w:rFonts w:hint="eastAsia" w:ascii="宋体" w:hAnsi="宋体" w:eastAsia="宋体" w:cs="宋体"/>
          <w:color w:val="auto"/>
          <w:kern w:val="2"/>
          <w:sz w:val="24"/>
          <w:szCs w:val="24"/>
          <w:highlight w:val="none"/>
          <w:lang w:val="en-US" w:eastAsia="zh-CN" w:bidi="en-US"/>
        </w:rPr>
        <w:t>□</w:t>
      </w:r>
      <w:r>
        <w:rPr>
          <w:rFonts w:hint="eastAsia" w:ascii="宋体" w:hAnsi="宋体" w:eastAsia="宋体" w:cs="宋体"/>
          <w:color w:val="auto"/>
          <w:kern w:val="2"/>
          <w:sz w:val="24"/>
          <w:szCs w:val="24"/>
          <w:highlight w:val="none"/>
          <w:lang w:val="zh-CN" w:eastAsia="zh-CN" w:bidi="zh-CN"/>
        </w:rPr>
        <w:t>（</w:t>
      </w:r>
      <w:r>
        <w:rPr>
          <w:rFonts w:hint="eastAsia" w:ascii="宋体" w:hAnsi="宋体" w:eastAsia="宋体" w:cs="宋体"/>
          <w:color w:val="auto"/>
          <w:kern w:val="2"/>
          <w:sz w:val="24"/>
          <w:szCs w:val="24"/>
          <w:highlight w:val="none"/>
          <w:lang w:val="en-US" w:eastAsia="zh-CN" w:bidi="zh-CN"/>
        </w:rPr>
        <w:t>6</w:t>
      </w:r>
      <w:r>
        <w:rPr>
          <w:rFonts w:hint="eastAsia" w:ascii="宋体" w:hAnsi="宋体" w:eastAsia="宋体" w:cs="宋体"/>
          <w:color w:val="auto"/>
          <w:kern w:val="2"/>
          <w:sz w:val="24"/>
          <w:szCs w:val="24"/>
          <w:highlight w:val="none"/>
          <w:lang w:val="zh-CN" w:eastAsia="zh-CN" w:bidi="zh-CN"/>
        </w:rPr>
        <w:t>）增加或减少合同中关键项目的工程量超过其项目工程总量的</w:t>
      </w:r>
      <w:r>
        <w:rPr>
          <w:rFonts w:hint="eastAsia" w:ascii="宋体" w:hAnsi="宋体" w:eastAsia="宋体" w:cs="宋体"/>
          <w:color w:val="auto"/>
          <w:kern w:val="2"/>
          <w:sz w:val="24"/>
          <w:szCs w:val="24"/>
          <w:highlight w:val="none"/>
          <w:u w:val="single"/>
          <w:lang w:val="en-US" w:eastAsia="zh-CN" w:bidi="zh-CN"/>
        </w:rPr>
        <w:t xml:space="preserve">  10  </w:t>
      </w:r>
      <w:r>
        <w:rPr>
          <w:rFonts w:hint="eastAsia" w:ascii="宋体" w:hAnsi="宋体" w:eastAsia="宋体" w:cs="宋体"/>
          <w:color w:val="auto"/>
          <w:kern w:val="2"/>
          <w:sz w:val="24"/>
          <w:szCs w:val="24"/>
          <w:highlight w:val="none"/>
          <w:lang w:val="zh-CN" w:eastAsia="zh-CN" w:bidi="zh-CN"/>
        </w:rPr>
        <w:t>%,关键项目：</w:t>
      </w:r>
      <w:r>
        <w:rPr>
          <w:rFonts w:hint="eastAsia" w:ascii="宋体" w:hAnsi="宋体" w:eastAsia="宋体" w:cs="宋体"/>
          <w:color w:val="auto"/>
          <w:kern w:val="2"/>
          <w:sz w:val="24"/>
          <w:szCs w:val="24"/>
          <w:highlight w:val="none"/>
          <w:u w:val="single"/>
          <w:lang w:val="zh-CN" w:eastAsia="zh-CN" w:bidi="zh-CN"/>
        </w:rPr>
        <w:t>土石方工程、混凝土工程、输水管道安装</w:t>
      </w:r>
      <w:r>
        <w:rPr>
          <w:rFonts w:hint="eastAsia" w:ascii="宋体" w:hAnsi="宋体" w:eastAsia="宋体" w:cs="宋体"/>
          <w:color w:val="auto"/>
          <w:kern w:val="2"/>
          <w:sz w:val="24"/>
          <w:szCs w:val="24"/>
          <w:highlight w:val="none"/>
          <w:u w:val="single"/>
          <w:lang w:val="en-US" w:eastAsia="zh-CN" w:bidi="zh-CN"/>
        </w:rPr>
        <w:t xml:space="preserve"> </w:t>
      </w:r>
      <w:r>
        <w:rPr>
          <w:rFonts w:hint="eastAsia" w:ascii="宋体" w:hAnsi="宋体" w:eastAsia="宋体" w:cs="宋体"/>
          <w:color w:val="auto"/>
          <w:kern w:val="2"/>
          <w:sz w:val="24"/>
          <w:szCs w:val="24"/>
          <w:highlight w:val="none"/>
          <w:lang w:val="zh-CN" w:eastAsia="zh-CN" w:bidi="zh-CN"/>
        </w:rPr>
        <w:t>,单价调整方式：</w:t>
      </w:r>
      <w:r>
        <w:rPr>
          <w:rFonts w:hint="eastAsia" w:ascii="宋体" w:hAnsi="宋体" w:eastAsia="宋体" w:cs="宋体"/>
          <w:color w:val="auto"/>
          <w:kern w:val="2"/>
          <w:sz w:val="24"/>
          <w:szCs w:val="24"/>
          <w:highlight w:val="none"/>
          <w:u w:val="single"/>
          <w:lang w:val="zh-CN" w:eastAsia="zh-CN" w:bidi="zh-CN"/>
        </w:rPr>
        <w:t>按有关规定</w:t>
      </w:r>
      <w:r>
        <w:rPr>
          <w:rFonts w:hint="eastAsia" w:ascii="宋体" w:hAnsi="宋体" w:eastAsia="宋体" w:cs="宋体"/>
          <w:color w:val="auto"/>
          <w:kern w:val="2"/>
          <w:sz w:val="24"/>
          <w:szCs w:val="24"/>
          <w:highlight w:val="none"/>
          <w:lang w:val="en-US" w:eastAsia="zh-CN" w:bidi="en-US"/>
        </w:rPr>
        <w:t>。</w:t>
      </w:r>
    </w:p>
    <w:p w14:paraId="1DA1BE19">
      <w:pPr>
        <w:pageBreakBefore w:val="0"/>
        <w:widowControl w:val="0"/>
        <w:tabs>
          <w:tab w:val="left" w:pos="2244"/>
          <w:tab w:val="left" w:pos="5791"/>
          <w:tab w:val="left" w:pos="7224"/>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en-US"/>
        </w:rPr>
      </w:pPr>
      <w:r>
        <w:rPr>
          <w:rFonts w:hint="eastAsia" w:ascii="宋体" w:hAnsi="宋体" w:eastAsia="宋体" w:cs="宋体"/>
          <w:color w:val="auto"/>
          <w:kern w:val="2"/>
          <w:sz w:val="24"/>
          <w:szCs w:val="24"/>
          <w:highlight w:val="none"/>
          <w:lang w:val="en-US" w:eastAsia="zh-CN" w:bidi="en-US"/>
        </w:rPr>
        <w:sym w:font="Wingdings 2" w:char="0052"/>
      </w:r>
      <w:r>
        <w:rPr>
          <w:rFonts w:hint="eastAsia" w:ascii="宋体" w:hAnsi="宋体" w:eastAsia="宋体" w:cs="宋体"/>
          <w:color w:val="auto"/>
          <w:kern w:val="2"/>
          <w:sz w:val="24"/>
          <w:szCs w:val="24"/>
          <w:highlight w:val="none"/>
          <w:lang w:val="en-US" w:eastAsia="zh-CN" w:bidi="en-US"/>
        </w:rPr>
        <w:t>（6）本合同工程不因增加或减少合同工程量而调整合同单价。</w:t>
      </w:r>
    </w:p>
    <w:p w14:paraId="0F67C943">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15.4变更的估价原则</w:t>
      </w:r>
    </w:p>
    <w:p w14:paraId="324FFFA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15.4.3</w:t>
      </w:r>
      <w:r>
        <w:rPr>
          <w:rFonts w:hint="eastAsia" w:ascii="宋体" w:hAnsi="宋体" w:eastAsia="宋体" w:cs="宋体"/>
          <w:color w:val="auto"/>
          <w:kern w:val="2"/>
          <w:sz w:val="24"/>
          <w:szCs w:val="24"/>
          <w:highlight w:val="none"/>
          <w:lang w:val="zh-CN" w:eastAsia="zh-CN" w:bidi="zh-CN"/>
        </w:rPr>
        <w:t>已标价工程量清单中无适用或类似子目的单价，按照以下原则确定：</w:t>
      </w:r>
    </w:p>
    <w:p w14:paraId="38B9173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①有定额可套的，套用编制控制价所选定额计算，并乘以中标价下浮系数(中标价下浮系数为中标价与控制价的比值)，其中材料价格有信息价的按当地同期信息价，无信息的由发包人、承包人、监理人市场询价确定。</w:t>
      </w:r>
    </w:p>
    <w:p w14:paraId="0DB31F95">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②无定额可套的，由发包人、承包人、监理人市场询价确定。</w:t>
      </w:r>
    </w:p>
    <w:p w14:paraId="4EF12930">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15.5承包人的合理化建议</w:t>
      </w:r>
    </w:p>
    <w:p w14:paraId="4DE20B68">
      <w:pPr>
        <w:pageBreakBefore w:val="0"/>
        <w:widowControl w:val="0"/>
        <w:tabs>
          <w:tab w:val="left" w:pos="841"/>
          <w:tab w:val="left" w:pos="6665"/>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 xml:space="preserve">15.5. </w:t>
      </w:r>
      <w:r>
        <w:rPr>
          <w:rFonts w:hint="eastAsia" w:ascii="宋体" w:hAnsi="宋体" w:eastAsia="宋体" w:cs="宋体"/>
          <w:color w:val="auto"/>
          <w:kern w:val="2"/>
          <w:sz w:val="24"/>
          <w:szCs w:val="24"/>
          <w:highlight w:val="none"/>
          <w:lang w:val="zh-CN" w:eastAsia="zh-CN" w:bidi="zh-CN"/>
        </w:rPr>
        <w:t xml:space="preserve">2承包人实现合理化建议的奖励金额为： </w:t>
      </w:r>
      <w:r>
        <w:rPr>
          <w:rFonts w:hint="eastAsia" w:ascii="宋体" w:hAnsi="宋体" w:eastAsia="宋体" w:cs="宋体"/>
          <w:color w:val="auto"/>
          <w:kern w:val="2"/>
          <w:sz w:val="24"/>
          <w:szCs w:val="24"/>
          <w:highlight w:val="none"/>
          <w:u w:val="single"/>
          <w:lang w:val="zh-CN" w:eastAsia="zh-CN" w:bidi="zh-CN"/>
        </w:rPr>
        <w:t>无</w:t>
      </w:r>
      <w:r>
        <w:rPr>
          <w:rFonts w:hint="eastAsia" w:ascii="宋体" w:hAnsi="宋体" w:eastAsia="宋体" w:cs="宋体"/>
          <w:color w:val="auto"/>
          <w:kern w:val="2"/>
          <w:sz w:val="24"/>
          <w:szCs w:val="24"/>
          <w:highlight w:val="none"/>
          <w:lang w:val="en-US" w:eastAsia="zh-CN" w:bidi="en-US"/>
        </w:rPr>
        <w:t>。</w:t>
      </w:r>
    </w:p>
    <w:p w14:paraId="7CFB21B0">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61" w:name="_Toc29519"/>
      <w:r>
        <w:rPr>
          <w:rFonts w:hint="eastAsia" w:ascii="宋体" w:hAnsi="宋体" w:eastAsia="宋体" w:cs="宋体"/>
          <w:color w:val="auto"/>
          <w:kern w:val="2"/>
          <w:sz w:val="24"/>
          <w:szCs w:val="24"/>
          <w:highlight w:val="none"/>
          <w:lang w:val="en-US" w:eastAsia="zh-CN" w:bidi="ar-SA"/>
        </w:rPr>
        <w:t>16 .价格调整</w:t>
      </w:r>
      <w:bookmarkEnd w:id="261"/>
    </w:p>
    <w:p w14:paraId="0E1C90B2">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16.1物价波动引起的价格调整</w:t>
      </w:r>
    </w:p>
    <w:p w14:paraId="6DAA5663">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口本项目不因为物价波动原因引起合同价格变动而调整。</w:t>
      </w:r>
    </w:p>
    <w:p w14:paraId="59A2C246">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sym w:font="Wingdings 2" w:char="0052"/>
      </w:r>
      <w:r>
        <w:rPr>
          <w:rFonts w:hint="eastAsia" w:ascii="宋体" w:hAnsi="宋体" w:eastAsia="宋体" w:cs="宋体"/>
          <w:color w:val="auto"/>
          <w:kern w:val="2"/>
          <w:sz w:val="24"/>
          <w:szCs w:val="24"/>
          <w:highlight w:val="none"/>
          <w:lang w:val="zh-CN" w:eastAsia="zh-CN" w:bidi="zh-CN"/>
        </w:rPr>
        <w:t>本项目由于物价波动原因引起合同价格变动时，对其价格按下列方式进行调整。</w:t>
      </w:r>
    </w:p>
    <w:p w14:paraId="2BFE38F6">
      <w:pPr>
        <w:pageBreakBefore w:val="0"/>
        <w:widowControl w:val="0"/>
        <w:tabs>
          <w:tab w:val="left" w:pos="841"/>
          <w:tab w:val="left" w:pos="6036"/>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 xml:space="preserve">16.1. </w:t>
      </w:r>
      <w:r>
        <w:rPr>
          <w:rFonts w:hint="eastAsia" w:ascii="宋体" w:hAnsi="宋体" w:eastAsia="宋体" w:cs="宋体"/>
          <w:color w:val="auto"/>
          <w:kern w:val="2"/>
          <w:sz w:val="24"/>
          <w:szCs w:val="24"/>
          <w:highlight w:val="none"/>
          <w:lang w:val="zh-CN" w:eastAsia="zh-CN" w:bidi="zh-CN"/>
        </w:rPr>
        <w:t>1物价波动引起的价格调整方式：</w:t>
      </w:r>
      <w:r>
        <w:rPr>
          <w:rFonts w:hint="eastAsia" w:ascii="宋体" w:hAnsi="宋体" w:eastAsia="宋体" w:cs="宋体"/>
          <w:color w:val="auto"/>
          <w:kern w:val="2"/>
          <w:sz w:val="24"/>
          <w:szCs w:val="24"/>
          <w:highlight w:val="none"/>
          <w:u w:val="single"/>
          <w:lang w:val="zh-CN" w:eastAsia="zh-CN" w:bidi="zh-CN"/>
        </w:rPr>
        <w:t>主要材料价格变化幅度超过±5%时，超过±5%的部分调整材料价差，并计列相应的税金</w:t>
      </w:r>
      <w:r>
        <w:rPr>
          <w:rFonts w:hint="eastAsia" w:ascii="宋体" w:hAnsi="宋体" w:eastAsia="宋体" w:cs="宋体"/>
          <w:color w:val="auto"/>
          <w:kern w:val="2"/>
          <w:sz w:val="24"/>
          <w:szCs w:val="24"/>
          <w:highlight w:val="none"/>
          <w:lang w:val="en-US" w:eastAsia="zh-CN" w:bidi="en-US"/>
        </w:rPr>
        <w:t>。</w:t>
      </w:r>
    </w:p>
    <w:p w14:paraId="6AEEF2AF">
      <w:pPr>
        <w:pageBreakBefore w:val="0"/>
        <w:widowControl w:val="0"/>
        <w:tabs>
          <w:tab w:val="left" w:pos="5198"/>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16. 1.2</w:t>
      </w:r>
      <w:r>
        <w:rPr>
          <w:rFonts w:hint="eastAsia" w:ascii="宋体" w:hAnsi="宋体" w:eastAsia="宋体" w:cs="宋体"/>
          <w:color w:val="auto"/>
          <w:kern w:val="2"/>
          <w:sz w:val="24"/>
          <w:szCs w:val="24"/>
          <w:highlight w:val="none"/>
          <w:lang w:val="zh-CN" w:eastAsia="zh-CN" w:bidi="zh-CN"/>
        </w:rPr>
        <w:t>调整价格的主要材料：</w:t>
      </w:r>
      <w:r>
        <w:rPr>
          <w:rFonts w:hint="eastAsia" w:ascii="宋体" w:hAnsi="宋体" w:eastAsia="宋体" w:cs="宋体"/>
          <w:color w:val="auto"/>
          <w:kern w:val="2"/>
          <w:sz w:val="24"/>
          <w:szCs w:val="24"/>
          <w:highlight w:val="none"/>
          <w:u w:val="single"/>
          <w:lang w:val="zh-CN" w:eastAsia="zh-CN" w:bidi="zh-CN"/>
        </w:rPr>
        <w:t>对超过±5%部分的价格调整，仅对市场上购买的水泥、钢筋、砂、石、镀锌管及PE管等管材进行补差，其它材料价格一律不予调整</w:t>
      </w:r>
      <w:r>
        <w:rPr>
          <w:rFonts w:hint="eastAsia" w:ascii="宋体" w:hAnsi="宋体" w:eastAsia="宋体" w:cs="宋体"/>
          <w:color w:val="auto"/>
          <w:kern w:val="2"/>
          <w:sz w:val="24"/>
          <w:szCs w:val="24"/>
          <w:highlight w:val="none"/>
          <w:lang w:val="en-US" w:eastAsia="zh-CN" w:bidi="en-US"/>
        </w:rPr>
        <w:t>。</w:t>
      </w:r>
    </w:p>
    <w:p w14:paraId="666BEC26">
      <w:pPr>
        <w:pageBreakBefore w:val="0"/>
        <w:widowControl w:val="0"/>
        <w:tabs>
          <w:tab w:val="left" w:pos="5618"/>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16.1.3</w:t>
      </w:r>
      <w:r>
        <w:rPr>
          <w:rFonts w:hint="eastAsia" w:ascii="宋体" w:hAnsi="宋体" w:eastAsia="宋体" w:cs="宋体"/>
          <w:color w:val="auto"/>
          <w:kern w:val="2"/>
          <w:sz w:val="24"/>
          <w:szCs w:val="24"/>
          <w:highlight w:val="none"/>
          <w:lang w:val="zh-CN" w:eastAsia="zh-CN" w:bidi="zh-CN"/>
        </w:rPr>
        <w:t xml:space="preserve">主要材料补差的计算方法： </w:t>
      </w:r>
    </w:p>
    <w:p w14:paraId="339DB550">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zh-CN"/>
        </w:rPr>
      </w:pPr>
      <w:r>
        <w:rPr>
          <w:rFonts w:hint="eastAsia" w:ascii="宋体" w:hAnsi="宋体" w:eastAsia="宋体" w:cs="宋体"/>
          <w:color w:val="auto"/>
          <w:kern w:val="2"/>
          <w:position w:val="-34"/>
          <w:sz w:val="24"/>
          <w:szCs w:val="24"/>
          <w:highlight w:val="none"/>
          <w:lang w:val="zh-CN" w:eastAsia="zh-CN" w:bidi="zh-CN"/>
        </w:rPr>
        <w:object>
          <v:shape id="_x0000_i1026" o:spt="75" type="#_x0000_t75" style="height:49.5pt;width:324.05pt;" o:ole="t" filled="f" o:preferrelative="t" stroked="f" coordsize="21600,21600">
            <v:path/>
            <v:fill on="f" focussize="0,0"/>
            <v:stroke on="f"/>
            <v:imagedata r:id="rId27" embosscolor="#FFFFFF" o:title=""/>
            <o:lock v:ext="edit" grouping="f" rotation="f" text="f" aspectratio="t"/>
            <w10:wrap type="none"/>
            <w10:anchorlock/>
          </v:shape>
          <o:OLEObject Type="Embed" ProgID="Equation.3" ShapeID="_x0000_i1026" DrawAspect="Content" ObjectID="_1468075726" r:id="rId28">
            <o:LockedField>false</o:LockedField>
          </o:OLEObject>
        </w:object>
      </w:r>
    </w:p>
    <w:p w14:paraId="35BD8023">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zh-CN"/>
        </w:rPr>
      </w:pPr>
    </w:p>
    <w:p w14:paraId="3067059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zh-CN"/>
        </w:rPr>
      </w:pPr>
      <w:r>
        <w:rPr>
          <w:rFonts w:hint="eastAsia" w:ascii="宋体" w:hAnsi="宋体" w:eastAsia="宋体" w:cs="宋体"/>
          <w:color w:val="auto"/>
          <w:kern w:val="2"/>
          <w:sz w:val="24"/>
          <w:szCs w:val="24"/>
          <w:highlight w:val="none"/>
          <w:lang w:val="en-US" w:eastAsia="zh-CN" w:bidi="zh-CN"/>
        </w:rPr>
        <w:t>式中： △P -- 需调整的价格差额；</w:t>
      </w:r>
    </w:p>
    <w:p w14:paraId="263D0952">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zh-CN"/>
        </w:rPr>
      </w:pPr>
      <w:r>
        <w:rPr>
          <w:rFonts w:hint="eastAsia" w:ascii="宋体" w:hAnsi="宋体" w:eastAsia="宋体" w:cs="宋体"/>
          <w:color w:val="auto"/>
          <w:kern w:val="2"/>
          <w:sz w:val="24"/>
          <w:szCs w:val="24"/>
          <w:highlight w:val="none"/>
          <w:lang w:val="en-US" w:eastAsia="zh-CN" w:bidi="zh-CN"/>
        </w:rPr>
        <w:t>P0 -- 约定的付款证书中承包人应得到的已完成工程量的金额。此项金额应不包括价格调整、不计质量保证金的扣留和支付、预付款的支付和扣回。约定的变更及其他金额已按现行价格计价的，也不计在内；</w:t>
      </w:r>
    </w:p>
    <w:p w14:paraId="182A028F">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zh-CN"/>
        </w:rPr>
      </w:pPr>
      <w:r>
        <w:rPr>
          <w:rFonts w:hint="eastAsia" w:ascii="宋体" w:hAnsi="宋体" w:eastAsia="宋体" w:cs="宋体"/>
          <w:color w:val="auto"/>
          <w:kern w:val="2"/>
          <w:sz w:val="24"/>
          <w:szCs w:val="24"/>
          <w:highlight w:val="none"/>
          <w:lang w:val="en-US" w:eastAsia="zh-CN" w:bidi="zh-CN"/>
        </w:rPr>
        <w:t>A -- 定值权重(即不调部分的权重)；</w:t>
      </w:r>
    </w:p>
    <w:p w14:paraId="5B63A03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zh-CN"/>
        </w:rPr>
      </w:pPr>
      <w:r>
        <w:rPr>
          <w:rFonts w:hint="eastAsia" w:ascii="宋体" w:hAnsi="宋体" w:eastAsia="宋体" w:cs="宋体"/>
          <w:color w:val="auto"/>
          <w:kern w:val="2"/>
          <w:sz w:val="24"/>
          <w:szCs w:val="24"/>
          <w:highlight w:val="none"/>
          <w:lang w:val="en-US" w:eastAsia="zh-CN" w:bidi="zh-CN"/>
        </w:rPr>
        <w:t>B1；B2；B3·····Bn -- 各可调因子的变值权重(即可调部分的权重)为各可调因子在投标函投标总报价中所占的比例；</w:t>
      </w:r>
    </w:p>
    <w:p w14:paraId="15BC629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zh-CN"/>
        </w:rPr>
      </w:pPr>
      <w:r>
        <w:rPr>
          <w:rFonts w:hint="eastAsia" w:ascii="宋体" w:hAnsi="宋体" w:eastAsia="宋体" w:cs="宋体"/>
          <w:color w:val="auto"/>
          <w:kern w:val="2"/>
          <w:sz w:val="24"/>
          <w:szCs w:val="24"/>
          <w:highlight w:val="none"/>
          <w:lang w:val="en-US" w:eastAsia="zh-CN" w:bidi="zh-CN"/>
        </w:rPr>
        <w:t>Ft1；Ft2；Ft3·····Ftn -- 各可调因子的现行价格指数，施工期间《南宁建设工程造价信息》发布的隆安县价格；；</w:t>
      </w:r>
    </w:p>
    <w:p w14:paraId="70247473">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zh-CN"/>
        </w:rPr>
      </w:pPr>
      <w:r>
        <w:rPr>
          <w:rFonts w:hint="eastAsia" w:ascii="宋体" w:hAnsi="宋体" w:eastAsia="宋体" w:cs="宋体"/>
          <w:color w:val="auto"/>
          <w:kern w:val="2"/>
          <w:sz w:val="24"/>
          <w:szCs w:val="24"/>
          <w:highlight w:val="none"/>
          <w:lang w:val="en-US" w:eastAsia="zh-CN" w:bidi="zh-CN"/>
        </w:rPr>
        <w:t>Fo1；Fo2; Fo3·····Fon -- 各可调因子的基本价格指数，指基准日期的各可调因子的价格指数。</w:t>
      </w:r>
    </w:p>
    <w:p w14:paraId="7D998F0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16.1.4</w:t>
      </w:r>
      <w:r>
        <w:rPr>
          <w:rFonts w:hint="eastAsia" w:ascii="宋体" w:hAnsi="宋体" w:eastAsia="宋体" w:cs="宋体"/>
          <w:color w:val="auto"/>
          <w:kern w:val="2"/>
          <w:sz w:val="24"/>
          <w:szCs w:val="24"/>
          <w:highlight w:val="none"/>
          <w:lang w:val="zh-CN" w:eastAsia="zh-CN" w:bidi="zh-CN"/>
        </w:rPr>
        <w:t>采用造价信息调整价格差额：</w:t>
      </w:r>
    </w:p>
    <w:p w14:paraId="5432C22E">
      <w:pPr>
        <w:pageBreakBefore w:val="0"/>
        <w:widowControl w:val="0"/>
        <w:tabs>
          <w:tab w:val="left" w:pos="4591"/>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u w:val="single"/>
          <w:lang w:val="zh-CN" w:eastAsia="zh-CN" w:bidi="zh-CN"/>
        </w:rPr>
      </w:pPr>
      <w:r>
        <w:rPr>
          <w:rFonts w:hint="eastAsia" w:ascii="宋体" w:hAnsi="宋体" w:eastAsia="宋体" w:cs="宋体"/>
          <w:color w:val="auto"/>
          <w:kern w:val="2"/>
          <w:sz w:val="24"/>
          <w:szCs w:val="24"/>
          <w:highlight w:val="none"/>
          <w:lang w:val="zh-CN" w:eastAsia="zh-CN" w:bidi="zh-CN"/>
        </w:rPr>
        <w:t>工程造价信息的来源：</w:t>
      </w:r>
      <w:r>
        <w:rPr>
          <w:rFonts w:hint="eastAsia" w:ascii="宋体" w:hAnsi="宋体" w:eastAsia="宋体" w:cs="宋体"/>
          <w:color w:val="auto"/>
          <w:kern w:val="2"/>
          <w:sz w:val="24"/>
          <w:szCs w:val="24"/>
          <w:highlight w:val="none"/>
          <w:u w:val="single"/>
          <w:lang w:val="zh-CN" w:eastAsia="zh-CN" w:bidi="zh-CN"/>
        </w:rPr>
        <w:t>本项目材料价采用《南宁市建设工程造价信息》2025年第11月下半月中隆安县信息价格计算，信息上没有的参考市场价。</w:t>
      </w:r>
    </w:p>
    <w:p w14:paraId="779D2928">
      <w:pPr>
        <w:pageBreakBefore w:val="0"/>
        <w:widowControl w:val="0"/>
        <w:tabs>
          <w:tab w:val="left" w:pos="4591"/>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价格调整的项目和系数：</w:t>
      </w:r>
      <w:r>
        <w:rPr>
          <w:rFonts w:hint="eastAsia" w:ascii="宋体" w:hAnsi="宋体" w:eastAsia="宋体" w:cs="宋体"/>
          <w:color w:val="auto"/>
          <w:kern w:val="2"/>
          <w:sz w:val="24"/>
          <w:szCs w:val="24"/>
          <w:highlight w:val="none"/>
          <w:u w:val="single"/>
          <w:lang w:val="zh-CN" w:eastAsia="zh-CN" w:bidi="zh-CN"/>
        </w:rPr>
        <w:t>（1）计算当月《南宁建设工程造价信息》（工程所在地）主要补差材料信息价格高于基准期主要补差价格（合同工程量清单主要材料价格）5%的，承包人提出书面报告，由发包人在7个工作日内确认后对超过部分以价格之差予以价差调整。承包人应当在以上情况发生后14天内，将调整原因，金额以书面形式通知监理工程师，监理工程师确认调整金额后作为追加合同价款，经审计，财政部门评审认可后与工程款同期支付。（2）计算月的《南宁建设工程造价信息》（工程所在地）主要补差材料信息价格低于基准期主要补差材料价格5%的，发包人在当期合同款中对超出部门予以价差调整并扣除相关款项</w:t>
      </w:r>
      <w:r>
        <w:rPr>
          <w:rFonts w:hint="eastAsia" w:ascii="宋体" w:hAnsi="宋体" w:eastAsia="宋体" w:cs="宋体"/>
          <w:color w:val="auto"/>
          <w:kern w:val="2"/>
          <w:sz w:val="24"/>
          <w:szCs w:val="24"/>
          <w:highlight w:val="none"/>
          <w:lang w:val="en-US" w:eastAsia="zh-CN" w:bidi="en-US"/>
        </w:rPr>
        <w:t>。</w:t>
      </w:r>
    </w:p>
    <w:p w14:paraId="15137C76">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62" w:name="_Toc3365"/>
      <w:r>
        <w:rPr>
          <w:rFonts w:hint="eastAsia" w:ascii="宋体" w:hAnsi="宋体" w:eastAsia="宋体" w:cs="宋体"/>
          <w:color w:val="auto"/>
          <w:kern w:val="2"/>
          <w:sz w:val="24"/>
          <w:szCs w:val="24"/>
          <w:highlight w:val="none"/>
          <w:lang w:val="en-US" w:eastAsia="zh-CN" w:bidi="ar-SA"/>
        </w:rPr>
        <w:t>17. 计量与支付</w:t>
      </w:r>
      <w:bookmarkEnd w:id="262"/>
    </w:p>
    <w:p w14:paraId="12F0B0F2">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17.2预付款</w:t>
      </w:r>
    </w:p>
    <w:p w14:paraId="3ABCA137">
      <w:pPr>
        <w:pageBreakBefore w:val="0"/>
        <w:widowControl w:val="0"/>
        <w:kinsoku/>
        <w:wordWrap/>
        <w:overflowPunct/>
        <w:topLinePunct w:val="0"/>
        <w:bidi w:val="0"/>
        <w:spacing w:after="0" w:line="360" w:lineRule="auto"/>
        <w:ind w:left="0" w:leftChars="0"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17.2.1</w:t>
      </w:r>
      <w:r>
        <w:rPr>
          <w:rFonts w:hint="eastAsia" w:ascii="宋体" w:hAnsi="宋体" w:eastAsia="宋体" w:cs="宋体"/>
          <w:color w:val="auto"/>
          <w:kern w:val="0"/>
          <w:sz w:val="24"/>
          <w:szCs w:val="24"/>
          <w:highlight w:val="none"/>
          <w:lang w:val="zh-CN" w:eastAsia="zh-CN" w:bidi="zh-CN"/>
        </w:rPr>
        <w:t>预付款</w:t>
      </w:r>
    </w:p>
    <w:p w14:paraId="41D74545">
      <w:pPr>
        <w:pageBreakBefore w:val="0"/>
        <w:widowControl w:val="0"/>
        <w:numPr>
          <w:ilvl w:val="0"/>
          <w:numId w:val="0"/>
        </w:numPr>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en-US"/>
        </w:rPr>
      </w:pPr>
      <w:bookmarkStart w:id="263" w:name="bookmark1784"/>
      <w:bookmarkEnd w:id="263"/>
      <w:r>
        <w:rPr>
          <w:rFonts w:hint="eastAsia" w:ascii="宋体" w:hAnsi="宋体" w:eastAsia="宋体" w:cs="宋体"/>
          <w:color w:val="auto"/>
          <w:kern w:val="2"/>
          <w:sz w:val="24"/>
          <w:szCs w:val="24"/>
          <w:highlight w:val="none"/>
          <w:lang w:val="en-US" w:eastAsia="zh-CN" w:bidi="en-US"/>
        </w:rPr>
        <w:t>（2）工程预付款总金额为合同价格的</w:t>
      </w:r>
      <w:r>
        <w:rPr>
          <w:rFonts w:hint="eastAsia" w:ascii="宋体" w:hAnsi="宋体" w:eastAsia="宋体" w:cs="宋体"/>
          <w:color w:val="auto"/>
          <w:kern w:val="2"/>
          <w:sz w:val="24"/>
          <w:szCs w:val="24"/>
          <w:highlight w:val="none"/>
          <w:u w:val="single"/>
          <w:lang w:val="en-US" w:eastAsia="zh-CN" w:bidi="en-US"/>
        </w:rPr>
        <w:t xml:space="preserve"> </w:t>
      </w:r>
      <w:r>
        <w:rPr>
          <w:rFonts w:hint="eastAsia" w:ascii="宋体" w:hAnsi="宋体" w:eastAsia="宋体" w:cs="宋体"/>
          <w:b/>
          <w:bCs/>
          <w:color w:val="auto"/>
          <w:kern w:val="2"/>
          <w:sz w:val="24"/>
          <w:szCs w:val="24"/>
          <w:highlight w:val="none"/>
          <w:u w:val="single"/>
          <w:lang w:val="en-US" w:eastAsia="zh-CN" w:bidi="en-US"/>
        </w:rPr>
        <w:t xml:space="preserve">30 </w:t>
      </w:r>
      <w:r>
        <w:rPr>
          <w:rFonts w:hint="eastAsia" w:ascii="宋体" w:hAnsi="宋体" w:eastAsia="宋体" w:cs="宋体"/>
          <w:color w:val="auto"/>
          <w:kern w:val="2"/>
          <w:sz w:val="24"/>
          <w:szCs w:val="24"/>
          <w:highlight w:val="none"/>
          <w:lang w:val="en-US" w:eastAsia="zh-CN" w:bidi="en-US"/>
        </w:rPr>
        <w:t xml:space="preserve"> %，在承包人向发包人提交了经发包人认可的履约保证金后，由承包人提出书面申请，经监理人核实后出具付款证书提交给发包人，发包人收到监理人出具的付款证书后办理支付手续给承包人。</w:t>
      </w:r>
    </w:p>
    <w:p w14:paraId="0CFE685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17.2.3</w:t>
      </w:r>
      <w:r>
        <w:rPr>
          <w:rFonts w:hint="eastAsia" w:ascii="宋体" w:hAnsi="宋体" w:eastAsia="宋体" w:cs="宋体"/>
          <w:color w:val="auto"/>
          <w:kern w:val="2"/>
          <w:sz w:val="24"/>
          <w:szCs w:val="24"/>
          <w:highlight w:val="none"/>
          <w:lang w:val="zh-CN" w:eastAsia="zh-CN" w:bidi="zh-CN"/>
        </w:rPr>
        <w:t>预付款的扣回与还清</w:t>
      </w:r>
    </w:p>
    <w:p w14:paraId="052DC362">
      <w:pPr>
        <w:pageBreakBefore w:val="0"/>
        <w:widowControl w:val="0"/>
        <w:tabs>
          <w:tab w:val="left" w:pos="3967"/>
          <w:tab w:val="left" w:pos="6151"/>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工程预付款在合同累计完成金额达到签约合同价格的</w:t>
      </w:r>
      <w:r>
        <w:rPr>
          <w:rFonts w:hint="eastAsia" w:ascii="宋体" w:hAnsi="宋体" w:eastAsia="宋体" w:cs="宋体"/>
          <w:color w:val="auto"/>
          <w:kern w:val="2"/>
          <w:sz w:val="24"/>
          <w:szCs w:val="24"/>
          <w:highlight w:val="none"/>
          <w:lang w:val="en-US" w:eastAsia="zh-CN" w:bidi="zh-CN"/>
        </w:rPr>
        <w:t xml:space="preserve"> </w:t>
      </w:r>
      <w:r>
        <w:rPr>
          <w:rFonts w:hint="eastAsia" w:ascii="宋体" w:hAnsi="宋体" w:eastAsia="宋体" w:cs="宋体"/>
          <w:color w:val="auto"/>
          <w:kern w:val="2"/>
          <w:sz w:val="24"/>
          <w:szCs w:val="24"/>
          <w:highlight w:val="none"/>
          <w:u w:val="single"/>
          <w:lang w:val="en-US" w:eastAsia="zh-CN" w:bidi="zh-CN"/>
        </w:rPr>
        <w:t xml:space="preserve"> 10 </w:t>
      </w:r>
      <w:r>
        <w:rPr>
          <w:rFonts w:hint="eastAsia" w:ascii="宋体" w:hAnsi="宋体" w:eastAsia="宋体" w:cs="宋体"/>
          <w:color w:val="auto"/>
          <w:kern w:val="2"/>
          <w:sz w:val="24"/>
          <w:szCs w:val="24"/>
          <w:highlight w:val="none"/>
          <w:lang w:val="zh-CN" w:eastAsia="zh-CN" w:bidi="zh-CN"/>
        </w:rPr>
        <w:t>%时开始扣款，直至合 同累计完成金额达到签约合同价的</w:t>
      </w:r>
      <w:r>
        <w:rPr>
          <w:rFonts w:hint="eastAsia" w:ascii="宋体" w:hAnsi="宋体" w:eastAsia="宋体" w:cs="宋体"/>
          <w:color w:val="auto"/>
          <w:kern w:val="2"/>
          <w:sz w:val="24"/>
          <w:szCs w:val="24"/>
          <w:highlight w:val="none"/>
          <w:lang w:val="en-US" w:eastAsia="zh-CN" w:bidi="zh-CN"/>
        </w:rPr>
        <w:t xml:space="preserve"> </w:t>
      </w:r>
      <w:r>
        <w:rPr>
          <w:rFonts w:hint="eastAsia" w:ascii="宋体" w:hAnsi="宋体" w:eastAsia="宋体" w:cs="宋体"/>
          <w:color w:val="auto"/>
          <w:kern w:val="2"/>
          <w:sz w:val="24"/>
          <w:szCs w:val="24"/>
          <w:highlight w:val="none"/>
          <w:u w:val="single"/>
          <w:lang w:val="en-US" w:eastAsia="zh-CN" w:bidi="zh-CN"/>
        </w:rPr>
        <w:t xml:space="preserve"> 30 </w:t>
      </w:r>
      <w:r>
        <w:rPr>
          <w:rFonts w:hint="eastAsia" w:ascii="宋体" w:hAnsi="宋体" w:eastAsia="宋体" w:cs="宋体"/>
          <w:color w:val="auto"/>
          <w:kern w:val="2"/>
          <w:sz w:val="24"/>
          <w:szCs w:val="24"/>
          <w:highlight w:val="none"/>
          <w:lang w:val="zh-CN" w:eastAsia="zh-CN" w:bidi="zh-CN"/>
        </w:rPr>
        <w:t>%时全部扣清。</w:t>
      </w:r>
    </w:p>
    <w:p w14:paraId="5DC4081B">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mn-Mong-CN"/>
        </w:rPr>
      </w:pPr>
      <w:r>
        <w:rPr>
          <w:rFonts w:hint="eastAsia" w:ascii="宋体" w:hAnsi="宋体" w:eastAsia="宋体" w:cs="宋体"/>
          <w:color w:val="auto"/>
          <w:kern w:val="2"/>
          <w:sz w:val="24"/>
          <w:szCs w:val="24"/>
          <w:highlight w:val="none"/>
          <w:lang w:val="zh-CN" w:eastAsia="zh-CN" w:bidi="mn-Mong-CN"/>
        </w:rPr>
        <w:pict>
          <v:shape id="_x0000_s1027" o:spid="_x0000_s1027" o:spt="75" type="#_x0000_t75" style="position:absolute;left:0pt;margin-left:63pt;margin-top:7.95pt;height:31.5pt;width:126.4pt;mso-wrap-distance-bottom:0pt;mso-wrap-distance-left:9pt;mso-wrap-distance-right:9pt;mso-wrap-distance-top:0pt;z-index:251659264;mso-width-relative:page;mso-height-relative:page;" o:ole="t" filled="f" o:preferrelative="t" stroked="f" coordsize="21600,21600">
            <v:path/>
            <v:fill on="f" focussize="0,0"/>
            <v:stroke on="f"/>
            <v:imagedata r:id="rId30" embosscolor="#FFFFFF" o:title=""/>
            <o:lock v:ext="edit" grouping="f" rotation="f" text="f" aspectratio="t"/>
            <w10:wrap type="square"/>
          </v:shape>
          <o:OLEObject Type="Embed" ProgID="" ShapeID="_x0000_s1027" DrawAspect="Content" ObjectID="_1468075727" r:id="rId29">
            <o:LockedField>false</o:LockedField>
          </o:OLEObject>
        </w:pict>
      </w:r>
    </w:p>
    <w:p w14:paraId="690BE7DD">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mn-Mong-CN"/>
        </w:rPr>
      </w:pPr>
      <w:r>
        <w:rPr>
          <w:rFonts w:hint="eastAsia" w:ascii="宋体" w:hAnsi="宋体" w:eastAsia="宋体" w:cs="宋体"/>
          <w:color w:val="auto"/>
          <w:kern w:val="2"/>
          <w:sz w:val="24"/>
          <w:szCs w:val="24"/>
          <w:highlight w:val="none"/>
          <w:lang w:val="zh-CN" w:eastAsia="zh-CN" w:bidi="mn-Mong-CN"/>
        </w:rPr>
        <w:t>式中：R——每次进度付款中累计扣回的金额；</w:t>
      </w:r>
    </w:p>
    <w:p w14:paraId="0C3ACD18">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mn-Mong-CN"/>
        </w:rPr>
      </w:pPr>
      <w:r>
        <w:rPr>
          <w:rFonts w:hint="eastAsia" w:ascii="宋体" w:hAnsi="宋体" w:eastAsia="宋体" w:cs="宋体"/>
          <w:color w:val="auto"/>
          <w:kern w:val="2"/>
          <w:sz w:val="24"/>
          <w:szCs w:val="24"/>
          <w:highlight w:val="none"/>
          <w:lang w:val="zh-CN" w:eastAsia="zh-CN" w:bidi="mn-Mong-CN"/>
        </w:rPr>
        <w:t xml:space="preserve">      </w:t>
      </w:r>
      <w:bookmarkStart w:id="264" w:name="_Toc221951241"/>
      <w:r>
        <w:rPr>
          <w:rFonts w:hint="eastAsia" w:ascii="宋体" w:hAnsi="宋体" w:eastAsia="宋体" w:cs="宋体"/>
          <w:color w:val="auto"/>
          <w:kern w:val="2"/>
          <w:sz w:val="24"/>
          <w:szCs w:val="24"/>
          <w:highlight w:val="none"/>
          <w:lang w:val="zh-CN" w:eastAsia="zh-CN" w:bidi="mn-Mong-CN"/>
        </w:rPr>
        <w:t>A——工程预付款总金额；</w:t>
      </w:r>
      <w:bookmarkEnd w:id="264"/>
    </w:p>
    <w:p w14:paraId="0C5B42AC">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mn-Mong-CN"/>
        </w:rPr>
      </w:pPr>
      <w:r>
        <w:rPr>
          <w:rFonts w:hint="eastAsia" w:ascii="宋体" w:hAnsi="宋体" w:eastAsia="宋体" w:cs="宋体"/>
          <w:color w:val="auto"/>
          <w:kern w:val="2"/>
          <w:sz w:val="24"/>
          <w:szCs w:val="24"/>
          <w:highlight w:val="none"/>
          <w:lang w:val="zh-CN" w:eastAsia="zh-CN" w:bidi="mn-Mong-CN"/>
        </w:rPr>
        <w:t xml:space="preserve">      </w:t>
      </w:r>
      <w:bookmarkStart w:id="265" w:name="_Toc221951242"/>
      <w:r>
        <w:rPr>
          <w:rFonts w:hint="eastAsia" w:ascii="宋体" w:hAnsi="宋体" w:eastAsia="宋体" w:cs="宋体"/>
          <w:color w:val="auto"/>
          <w:kern w:val="2"/>
          <w:sz w:val="24"/>
          <w:szCs w:val="24"/>
          <w:highlight w:val="none"/>
          <w:lang w:val="zh-CN" w:eastAsia="zh-CN" w:bidi="mn-Mong-CN"/>
        </w:rPr>
        <w:t>S——签约合同价格；</w:t>
      </w:r>
      <w:bookmarkEnd w:id="265"/>
    </w:p>
    <w:p w14:paraId="48207E86">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mn-Mong-CN"/>
        </w:rPr>
      </w:pPr>
      <w:r>
        <w:rPr>
          <w:rFonts w:hint="eastAsia" w:ascii="宋体" w:hAnsi="宋体" w:eastAsia="宋体" w:cs="宋体"/>
          <w:color w:val="auto"/>
          <w:kern w:val="2"/>
          <w:sz w:val="24"/>
          <w:szCs w:val="24"/>
          <w:highlight w:val="none"/>
          <w:lang w:val="zh-CN" w:eastAsia="zh-CN" w:bidi="mn-Mong-CN"/>
        </w:rPr>
        <w:t xml:space="preserve">      </w:t>
      </w:r>
      <w:bookmarkStart w:id="266" w:name="_Toc221951243"/>
      <w:r>
        <w:rPr>
          <w:rFonts w:hint="eastAsia" w:ascii="宋体" w:hAnsi="宋体" w:eastAsia="宋体" w:cs="宋体"/>
          <w:color w:val="auto"/>
          <w:kern w:val="2"/>
          <w:sz w:val="24"/>
          <w:szCs w:val="24"/>
          <w:highlight w:val="none"/>
          <w:lang w:val="zh-CN" w:eastAsia="zh-CN" w:bidi="mn-Mong-CN"/>
        </w:rPr>
        <w:t>C——合同累计完成金额；</w:t>
      </w:r>
      <w:bookmarkEnd w:id="266"/>
    </w:p>
    <w:p w14:paraId="2C413731">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mn-Mong-CN"/>
        </w:rPr>
      </w:pPr>
      <w:r>
        <w:rPr>
          <w:rFonts w:hint="eastAsia" w:ascii="宋体" w:hAnsi="宋体" w:eastAsia="宋体" w:cs="宋体"/>
          <w:color w:val="auto"/>
          <w:kern w:val="2"/>
          <w:sz w:val="24"/>
          <w:szCs w:val="24"/>
          <w:highlight w:val="none"/>
          <w:lang w:val="zh-CN" w:eastAsia="zh-CN" w:bidi="mn-Mong-CN"/>
        </w:rPr>
        <w:t xml:space="preserve">      </w:t>
      </w:r>
      <w:bookmarkStart w:id="267" w:name="_Toc221951244"/>
      <w:r>
        <w:rPr>
          <w:rFonts w:hint="eastAsia" w:ascii="宋体" w:hAnsi="宋体" w:eastAsia="宋体" w:cs="宋体"/>
          <w:color w:val="auto"/>
          <w:kern w:val="2"/>
          <w:sz w:val="24"/>
          <w:szCs w:val="24"/>
          <w:highlight w:val="none"/>
          <w:lang w:val="zh-CN" w:eastAsia="zh-CN" w:bidi="mn-Mong-CN"/>
        </w:rPr>
        <w:t>F</w:t>
      </w:r>
      <w:r>
        <w:rPr>
          <w:rFonts w:hint="eastAsia" w:ascii="宋体" w:hAnsi="宋体" w:eastAsia="宋体" w:cs="宋体"/>
          <w:color w:val="auto"/>
          <w:kern w:val="2"/>
          <w:sz w:val="24"/>
          <w:szCs w:val="24"/>
          <w:highlight w:val="none"/>
          <w:vertAlign w:val="subscript"/>
          <w:lang w:val="zh-CN" w:eastAsia="zh-CN" w:bidi="mn-Mong-CN"/>
        </w:rPr>
        <w:t>1</w:t>
      </w:r>
      <w:r>
        <w:rPr>
          <w:rFonts w:hint="eastAsia" w:ascii="宋体" w:hAnsi="宋体" w:eastAsia="宋体" w:cs="宋体"/>
          <w:color w:val="auto"/>
          <w:kern w:val="2"/>
          <w:sz w:val="24"/>
          <w:szCs w:val="24"/>
          <w:highlight w:val="none"/>
          <w:lang w:val="zh-CN" w:eastAsia="zh-CN" w:bidi="mn-Mong-CN"/>
        </w:rPr>
        <w:t>——开始扣款时合同累计完成金额达到签约合同价格的比例；</w:t>
      </w:r>
      <w:bookmarkEnd w:id="267"/>
    </w:p>
    <w:p w14:paraId="1F283F7C">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mn-Mong-CN"/>
        </w:rPr>
      </w:pPr>
      <w:r>
        <w:rPr>
          <w:rFonts w:hint="eastAsia" w:ascii="宋体" w:hAnsi="宋体" w:eastAsia="宋体" w:cs="宋体"/>
          <w:color w:val="auto"/>
          <w:kern w:val="2"/>
          <w:sz w:val="24"/>
          <w:szCs w:val="24"/>
          <w:highlight w:val="none"/>
          <w:lang w:val="en-US" w:eastAsia="zh-CN" w:bidi="mn-Mong-CN"/>
        </w:rPr>
        <w:t xml:space="preserve">      </w:t>
      </w:r>
      <w:bookmarkStart w:id="268" w:name="_Toc221951245"/>
      <w:r>
        <w:rPr>
          <w:rFonts w:hint="eastAsia" w:ascii="宋体" w:hAnsi="宋体" w:eastAsia="宋体" w:cs="宋体"/>
          <w:color w:val="auto"/>
          <w:kern w:val="2"/>
          <w:sz w:val="24"/>
          <w:szCs w:val="24"/>
          <w:highlight w:val="none"/>
          <w:lang w:val="en-US" w:eastAsia="zh-CN" w:bidi="mn-Mong-CN"/>
        </w:rPr>
        <w:t>F</w:t>
      </w:r>
      <w:r>
        <w:rPr>
          <w:rFonts w:hint="eastAsia" w:ascii="宋体" w:hAnsi="宋体" w:eastAsia="宋体" w:cs="宋体"/>
          <w:color w:val="auto"/>
          <w:kern w:val="2"/>
          <w:sz w:val="24"/>
          <w:szCs w:val="24"/>
          <w:highlight w:val="none"/>
          <w:vertAlign w:val="subscript"/>
          <w:lang w:val="en-US" w:eastAsia="zh-CN" w:bidi="mn-Mong-CN"/>
        </w:rPr>
        <w:t>2</w:t>
      </w:r>
      <w:r>
        <w:rPr>
          <w:rFonts w:hint="eastAsia" w:ascii="宋体" w:hAnsi="宋体" w:eastAsia="宋体" w:cs="宋体"/>
          <w:color w:val="auto"/>
          <w:kern w:val="2"/>
          <w:sz w:val="24"/>
          <w:szCs w:val="24"/>
          <w:highlight w:val="none"/>
          <w:lang w:val="en-US" w:eastAsia="zh-CN" w:bidi="mn-Mong-CN"/>
        </w:rPr>
        <w:t>——全部扣清时合同累计完成金额达到签约合同价格的比例。</w:t>
      </w:r>
      <w:bookmarkEnd w:id="268"/>
    </w:p>
    <w:p w14:paraId="7E958E72">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上述合同累计完成金额均指价格调整前未扣质量保证金的金额。</w:t>
      </w:r>
    </w:p>
    <w:p w14:paraId="33BC1290">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17.3工程进度付款</w:t>
      </w:r>
    </w:p>
    <w:p w14:paraId="1450394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17.3.2</w:t>
      </w:r>
      <w:r>
        <w:rPr>
          <w:rFonts w:hint="eastAsia" w:ascii="宋体" w:hAnsi="宋体" w:eastAsia="宋体" w:cs="宋体"/>
          <w:color w:val="auto"/>
          <w:kern w:val="2"/>
          <w:sz w:val="24"/>
          <w:szCs w:val="24"/>
          <w:highlight w:val="none"/>
          <w:lang w:val="zh-CN" w:eastAsia="zh-CN" w:bidi="zh-CN"/>
        </w:rPr>
        <w:t>进度付款申请单</w:t>
      </w:r>
    </w:p>
    <w:p w14:paraId="31B6A916">
      <w:pPr>
        <w:pageBreakBefore w:val="0"/>
        <w:widowControl w:val="0"/>
        <w:tabs>
          <w:tab w:val="left" w:pos="4613"/>
          <w:tab w:val="left" w:pos="7978"/>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en-US"/>
        </w:rPr>
      </w:pPr>
      <w:r>
        <w:rPr>
          <w:rFonts w:hint="eastAsia" w:ascii="宋体" w:hAnsi="宋体" w:eastAsia="宋体" w:cs="宋体"/>
          <w:color w:val="auto"/>
          <w:kern w:val="2"/>
          <w:sz w:val="24"/>
          <w:szCs w:val="24"/>
          <w:highlight w:val="none"/>
          <w:lang w:val="zh-CN" w:eastAsia="zh-CN" w:bidi="zh-CN"/>
        </w:rPr>
        <w:t>承包人提交进度付款申请单的份数：</w:t>
      </w:r>
      <w:r>
        <w:rPr>
          <w:rFonts w:hint="eastAsia" w:ascii="宋体" w:hAnsi="宋体" w:eastAsia="宋体" w:cs="宋体"/>
          <w:color w:val="auto"/>
          <w:kern w:val="2"/>
          <w:sz w:val="24"/>
          <w:szCs w:val="24"/>
          <w:highlight w:val="none"/>
          <w:u w:val="single"/>
          <w:lang w:val="en-US" w:eastAsia="zh-CN" w:bidi="zh-CN"/>
        </w:rPr>
        <w:t xml:space="preserve"> 4份 </w:t>
      </w:r>
      <w:r>
        <w:rPr>
          <w:rFonts w:hint="eastAsia" w:ascii="宋体" w:hAnsi="宋体" w:eastAsia="宋体" w:cs="宋体"/>
          <w:color w:val="auto"/>
          <w:kern w:val="2"/>
          <w:sz w:val="24"/>
          <w:szCs w:val="24"/>
          <w:highlight w:val="none"/>
          <w:lang w:val="en-US" w:eastAsia="zh-CN" w:bidi="en-US"/>
        </w:rPr>
        <w:t>。</w:t>
      </w:r>
    </w:p>
    <w:p w14:paraId="621E01A3">
      <w:pPr>
        <w:pageBreakBefore w:val="0"/>
        <w:widowControl w:val="0"/>
        <w:tabs>
          <w:tab w:val="left" w:pos="4613"/>
          <w:tab w:val="left" w:pos="7978"/>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17.3.3</w:t>
      </w:r>
      <w:r>
        <w:rPr>
          <w:rFonts w:hint="eastAsia" w:ascii="宋体" w:hAnsi="宋体" w:eastAsia="宋体" w:cs="宋体"/>
          <w:color w:val="auto"/>
          <w:kern w:val="2"/>
          <w:sz w:val="24"/>
          <w:szCs w:val="24"/>
          <w:highlight w:val="none"/>
          <w:lang w:val="zh-CN" w:eastAsia="zh-CN" w:bidi="zh-CN"/>
        </w:rPr>
        <w:t>进度付款证书和支付时间</w:t>
      </w:r>
    </w:p>
    <w:p w14:paraId="1DD664C7">
      <w:pPr>
        <w:pageBreakBefore w:val="0"/>
        <w:widowControl w:val="0"/>
        <w:tabs>
          <w:tab w:val="left" w:pos="4428"/>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(2)本款“专用合同条款的约定支付逾期付款违约金”为按中国人民银行规定的同期贷款利率计算的逾期付款金额的利息。</w:t>
      </w:r>
    </w:p>
    <w:p w14:paraId="673ABE3D">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17.3.5</w:t>
      </w:r>
      <w:r>
        <w:rPr>
          <w:rFonts w:hint="eastAsia" w:ascii="宋体" w:hAnsi="宋体" w:eastAsia="宋体" w:cs="宋体"/>
          <w:color w:val="auto"/>
          <w:kern w:val="2"/>
          <w:sz w:val="24"/>
          <w:szCs w:val="24"/>
          <w:highlight w:val="none"/>
          <w:lang w:val="zh-CN" w:eastAsia="zh-CN" w:bidi="zh-CN"/>
        </w:rPr>
        <w:t>工程进度付款的支付比例</w:t>
      </w:r>
    </w:p>
    <w:p w14:paraId="2F4095D2">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每个付款周期按实际完成工程量的</w:t>
      </w:r>
      <w:r>
        <w:rPr>
          <w:rFonts w:hint="eastAsia" w:ascii="宋体" w:hAnsi="宋体" w:cs="宋体"/>
          <w:color w:val="auto"/>
          <w:kern w:val="2"/>
          <w:sz w:val="24"/>
          <w:szCs w:val="24"/>
          <w:highlight w:val="none"/>
          <w:u w:val="single"/>
          <w:lang w:val="en-US" w:eastAsia="zh-CN" w:bidi="zh-CN"/>
        </w:rPr>
        <w:t>9</w:t>
      </w:r>
      <w:r>
        <w:rPr>
          <w:rFonts w:hint="eastAsia" w:ascii="宋体" w:hAnsi="宋体" w:eastAsia="宋体" w:cs="宋体"/>
          <w:color w:val="auto"/>
          <w:kern w:val="2"/>
          <w:sz w:val="24"/>
          <w:szCs w:val="24"/>
          <w:highlight w:val="none"/>
          <w:u w:val="single"/>
          <w:lang w:val="zh-CN" w:eastAsia="zh-CN" w:bidi="zh-CN"/>
        </w:rPr>
        <w:t>0%</w:t>
      </w:r>
      <w:r>
        <w:rPr>
          <w:rFonts w:hint="eastAsia" w:ascii="宋体" w:hAnsi="宋体" w:eastAsia="宋体" w:cs="宋体"/>
          <w:color w:val="auto"/>
          <w:kern w:val="2"/>
          <w:sz w:val="24"/>
          <w:szCs w:val="24"/>
          <w:highlight w:val="none"/>
          <w:lang w:val="zh-CN" w:eastAsia="zh-CN" w:bidi="zh-CN"/>
        </w:rPr>
        <w:t>支付工程进度款，但最高不超过合同总价款的</w:t>
      </w:r>
      <w:r>
        <w:rPr>
          <w:rFonts w:hint="eastAsia" w:ascii="宋体" w:hAnsi="宋体" w:eastAsia="宋体" w:cs="宋体"/>
          <w:color w:val="auto"/>
          <w:kern w:val="2"/>
          <w:sz w:val="24"/>
          <w:szCs w:val="24"/>
          <w:highlight w:val="none"/>
          <w:u w:val="single"/>
          <w:lang w:val="zh-CN" w:eastAsia="zh-CN" w:bidi="zh-CN"/>
        </w:rPr>
        <w:t>80%</w:t>
      </w:r>
      <w:r>
        <w:rPr>
          <w:rFonts w:hint="eastAsia" w:ascii="宋体" w:hAnsi="宋体" w:eastAsia="宋体" w:cs="宋体"/>
          <w:color w:val="auto"/>
          <w:kern w:val="2"/>
          <w:sz w:val="24"/>
          <w:szCs w:val="24"/>
          <w:highlight w:val="none"/>
          <w:lang w:val="zh-CN" w:eastAsia="zh-CN" w:bidi="zh-CN"/>
        </w:rPr>
        <w:t>，在足额支付农民工工资后，合同总价款的</w:t>
      </w:r>
      <w:r>
        <w:rPr>
          <w:rFonts w:hint="eastAsia" w:ascii="宋体" w:hAnsi="宋体" w:eastAsia="宋体" w:cs="宋体"/>
          <w:color w:val="auto"/>
          <w:kern w:val="2"/>
          <w:sz w:val="24"/>
          <w:szCs w:val="24"/>
          <w:highlight w:val="none"/>
          <w:u w:val="single"/>
          <w:lang w:val="zh-CN" w:eastAsia="zh-CN" w:bidi="zh-CN"/>
        </w:rPr>
        <w:t>7%</w:t>
      </w:r>
      <w:r>
        <w:rPr>
          <w:rFonts w:hint="eastAsia" w:ascii="宋体" w:hAnsi="宋体" w:eastAsia="宋体" w:cs="宋体"/>
          <w:color w:val="auto"/>
          <w:kern w:val="2"/>
          <w:sz w:val="24"/>
          <w:szCs w:val="24"/>
          <w:highlight w:val="none"/>
          <w:lang w:val="zh-CN" w:eastAsia="zh-CN" w:bidi="zh-CN"/>
        </w:rPr>
        <w:t>在工程完工结算经财政评审确认后申请支付，合同总价款的</w:t>
      </w:r>
      <w:r>
        <w:rPr>
          <w:rFonts w:hint="eastAsia" w:ascii="宋体" w:hAnsi="宋体" w:eastAsia="宋体" w:cs="宋体"/>
          <w:color w:val="auto"/>
          <w:kern w:val="2"/>
          <w:sz w:val="24"/>
          <w:szCs w:val="24"/>
          <w:highlight w:val="none"/>
          <w:u w:val="single"/>
          <w:lang w:val="zh-CN" w:eastAsia="zh-CN" w:bidi="zh-CN"/>
        </w:rPr>
        <w:t>3%</w:t>
      </w:r>
      <w:r>
        <w:rPr>
          <w:rFonts w:hint="eastAsia" w:ascii="宋体" w:hAnsi="宋体" w:eastAsia="宋体" w:cs="宋体"/>
          <w:color w:val="auto"/>
          <w:kern w:val="2"/>
          <w:sz w:val="24"/>
          <w:szCs w:val="24"/>
          <w:highlight w:val="none"/>
          <w:lang w:val="zh-CN" w:eastAsia="zh-CN" w:bidi="zh-CN"/>
        </w:rPr>
        <w:t>在工程竣工验收合格后申请支付。</w:t>
      </w:r>
    </w:p>
    <w:p w14:paraId="0AC53ECF">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en-US"/>
        </w:rPr>
      </w:pPr>
      <w:r>
        <w:rPr>
          <w:rFonts w:hint="eastAsia" w:ascii="宋体" w:hAnsi="宋体" w:eastAsia="宋体" w:cs="宋体"/>
          <w:color w:val="auto"/>
          <w:kern w:val="2"/>
          <w:sz w:val="24"/>
          <w:szCs w:val="24"/>
          <w:highlight w:val="none"/>
          <w:lang w:val="en-US" w:eastAsia="zh-CN" w:bidi="en-US"/>
        </w:rPr>
        <w:t>17.3.6工程款中应支付农民工工资的比例</w:t>
      </w:r>
    </w:p>
    <w:p w14:paraId="35CD2FA8">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en-US"/>
        </w:rPr>
      </w:pPr>
      <w:r>
        <w:rPr>
          <w:rFonts w:hint="eastAsia" w:ascii="宋体" w:hAnsi="宋体" w:eastAsia="宋体" w:cs="宋体"/>
          <w:color w:val="auto"/>
          <w:kern w:val="2"/>
          <w:sz w:val="24"/>
          <w:szCs w:val="24"/>
          <w:highlight w:val="none"/>
          <w:lang w:val="en-US" w:eastAsia="zh-CN" w:bidi="en-US"/>
        </w:rPr>
        <w:t>工程款中农民工工资比例为</w:t>
      </w:r>
      <w:r>
        <w:rPr>
          <w:rFonts w:hint="eastAsia" w:ascii="宋体" w:hAnsi="宋体" w:cs="宋体"/>
          <w:color w:val="auto"/>
          <w:kern w:val="2"/>
          <w:sz w:val="24"/>
          <w:szCs w:val="24"/>
          <w:highlight w:val="none"/>
          <w:u w:val="single"/>
          <w:lang w:val="en-US" w:eastAsia="zh-CN" w:bidi="en-US"/>
        </w:rPr>
        <w:t xml:space="preserve">  </w:t>
      </w:r>
      <w:r>
        <w:rPr>
          <w:rFonts w:hint="eastAsia" w:ascii="宋体" w:hAnsi="宋体" w:eastAsia="宋体" w:cs="宋体"/>
          <w:color w:val="auto"/>
          <w:kern w:val="2"/>
          <w:sz w:val="24"/>
          <w:szCs w:val="24"/>
          <w:highlight w:val="none"/>
          <w:u w:val="none"/>
          <w:lang w:val="en-US" w:eastAsia="zh-CN" w:bidi="en-US"/>
        </w:rPr>
        <w:t>%</w:t>
      </w:r>
      <w:r>
        <w:rPr>
          <w:rFonts w:hint="eastAsia" w:ascii="宋体" w:hAnsi="宋体" w:eastAsia="宋体" w:cs="宋体"/>
          <w:color w:val="auto"/>
          <w:kern w:val="2"/>
          <w:sz w:val="24"/>
          <w:szCs w:val="24"/>
          <w:highlight w:val="none"/>
          <w:lang w:val="en-US" w:eastAsia="zh-CN" w:bidi="en-US"/>
        </w:rPr>
        <w:t>，乙方按月足额支付农民工工资，不得将农民工工资专用款挪做其它用途。</w:t>
      </w:r>
    </w:p>
    <w:p w14:paraId="4B909B31">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17.4质量保证金</w:t>
      </w:r>
    </w:p>
    <w:p w14:paraId="7E8DC176">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w:t>
      </w:r>
      <w:r>
        <w:rPr>
          <w:rFonts w:hint="eastAsia" w:ascii="宋体" w:hAnsi="宋体" w:eastAsia="宋体" w:cs="宋体"/>
          <w:color w:val="auto"/>
          <w:kern w:val="2"/>
          <w:sz w:val="24"/>
          <w:szCs w:val="24"/>
          <w:highlight w:val="none"/>
          <w:lang w:val="en-US" w:eastAsia="zh-CN" w:bidi="en-US"/>
        </w:rPr>
        <w:t>17.4.1.1</w:t>
      </w:r>
      <w:r>
        <w:rPr>
          <w:rFonts w:hint="eastAsia" w:ascii="宋体" w:hAnsi="宋体" w:eastAsia="宋体" w:cs="宋体"/>
          <w:color w:val="auto"/>
          <w:kern w:val="2"/>
          <w:sz w:val="24"/>
          <w:szCs w:val="24"/>
          <w:highlight w:val="none"/>
          <w:lang w:val="zh-CN" w:eastAsia="zh-CN" w:bidi="zh-CN"/>
        </w:rPr>
        <w:t xml:space="preserve">每个付款周期扣留的质量保证金为工程进度付款的3%，扣留的质量保证金总额为工程价款结算总额的3% </w:t>
      </w:r>
      <w:r>
        <w:rPr>
          <w:rFonts w:hint="eastAsia" w:ascii="宋体" w:hAnsi="宋体" w:eastAsia="宋体" w:cs="宋体"/>
          <w:color w:val="auto"/>
          <w:kern w:val="2"/>
          <w:sz w:val="24"/>
          <w:szCs w:val="24"/>
          <w:highlight w:val="none"/>
          <w:lang w:val="en-US" w:eastAsia="zh-CN" w:bidi="en-US"/>
        </w:rPr>
        <w:t>。</w:t>
      </w:r>
    </w:p>
    <w:p w14:paraId="36B08D9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cs="宋体"/>
          <w:color w:val="auto"/>
          <w:kern w:val="2"/>
          <w:sz w:val="24"/>
          <w:szCs w:val="24"/>
          <w:highlight w:val="none"/>
          <w:lang w:val="zh-CN" w:eastAsia="zh-CN" w:bidi="zh-CN"/>
        </w:rPr>
        <w:t>☑</w:t>
      </w:r>
      <w:r>
        <w:rPr>
          <w:rFonts w:hint="eastAsia" w:ascii="宋体" w:hAnsi="宋体" w:eastAsia="宋体" w:cs="宋体"/>
          <w:color w:val="auto"/>
          <w:kern w:val="2"/>
          <w:sz w:val="24"/>
          <w:szCs w:val="24"/>
          <w:highlight w:val="none"/>
          <w:lang w:val="en-US" w:eastAsia="zh-CN" w:bidi="en-US"/>
        </w:rPr>
        <w:t>17.4.1.2</w:t>
      </w:r>
      <w:r>
        <w:rPr>
          <w:rFonts w:hint="eastAsia" w:ascii="宋体" w:hAnsi="宋体" w:eastAsia="宋体" w:cs="宋体"/>
          <w:color w:val="auto"/>
          <w:kern w:val="2"/>
          <w:sz w:val="24"/>
          <w:szCs w:val="24"/>
          <w:highlight w:val="none"/>
          <w:lang w:val="zh-CN" w:eastAsia="zh-CN" w:bidi="zh-CN"/>
        </w:rPr>
        <w:t>工程完工验收后，一次性扣留的质量保证金总额为工程价款结算总额的3%。</w:t>
      </w:r>
    </w:p>
    <w:p w14:paraId="512F1F8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sym w:font="Wingdings 2" w:char="00A3"/>
      </w:r>
      <w:r>
        <w:rPr>
          <w:rFonts w:hint="eastAsia" w:ascii="宋体" w:hAnsi="宋体" w:eastAsia="宋体" w:cs="宋体"/>
          <w:color w:val="auto"/>
          <w:kern w:val="2"/>
          <w:sz w:val="24"/>
          <w:szCs w:val="24"/>
          <w:highlight w:val="none"/>
          <w:lang w:val="en-US" w:eastAsia="zh-CN" w:bidi="en-US"/>
        </w:rPr>
        <w:t>17.4.1.3</w:t>
      </w:r>
      <w:r>
        <w:rPr>
          <w:rFonts w:hint="eastAsia" w:ascii="宋体" w:hAnsi="宋体" w:eastAsia="宋体" w:cs="宋体"/>
          <w:color w:val="auto"/>
          <w:kern w:val="2"/>
          <w:sz w:val="24"/>
          <w:szCs w:val="24"/>
          <w:highlight w:val="none"/>
          <w:lang w:val="zh-CN" w:eastAsia="zh-CN" w:bidi="zh-CN"/>
        </w:rPr>
        <w:t>在工程项目完工前，已经缴纳履约保证金的，发包人不得同时扣留工程质量保证金。</w:t>
      </w:r>
      <w:r>
        <w:rPr>
          <w:rFonts w:hint="eastAsia" w:ascii="宋体" w:hAnsi="宋体" w:eastAsia="宋体" w:cs="宋体"/>
          <w:color w:val="auto"/>
          <w:kern w:val="2"/>
          <w:sz w:val="24"/>
          <w:szCs w:val="24"/>
          <w:highlight w:val="none"/>
          <w:lang w:val="en-US" w:eastAsia="zh-CN" w:bidi="zh-CN"/>
        </w:rPr>
        <w:t>施工单位提交质量保证金（质量保证金按工程结算价的3%收取）的同时我方将</w:t>
      </w:r>
      <w:r>
        <w:rPr>
          <w:rFonts w:hint="eastAsia" w:ascii="宋体" w:hAnsi="宋体" w:eastAsia="宋体" w:cs="宋体"/>
          <w:b/>
          <w:bCs/>
          <w:color w:val="auto"/>
          <w:kern w:val="2"/>
          <w:sz w:val="24"/>
          <w:szCs w:val="24"/>
          <w:highlight w:val="none"/>
          <w:lang w:val="en-US" w:eastAsia="zh-CN" w:bidi="zh-CN"/>
        </w:rPr>
        <w:t>无息</w:t>
      </w:r>
      <w:r>
        <w:rPr>
          <w:rFonts w:hint="eastAsia" w:ascii="宋体" w:hAnsi="宋体" w:eastAsia="宋体" w:cs="宋体"/>
          <w:color w:val="auto"/>
          <w:kern w:val="2"/>
          <w:sz w:val="24"/>
          <w:szCs w:val="24"/>
          <w:highlight w:val="none"/>
          <w:lang w:val="en-US" w:eastAsia="zh-CN" w:bidi="zh-CN"/>
        </w:rPr>
        <w:t>退回履约保证金，直至质量缺陷期结束后</w:t>
      </w:r>
      <w:r>
        <w:rPr>
          <w:rFonts w:hint="eastAsia" w:ascii="宋体" w:hAnsi="宋体" w:eastAsia="宋体" w:cs="宋体"/>
          <w:b/>
          <w:bCs/>
          <w:color w:val="auto"/>
          <w:kern w:val="2"/>
          <w:sz w:val="24"/>
          <w:szCs w:val="24"/>
          <w:highlight w:val="none"/>
          <w:lang w:val="en-US" w:eastAsia="zh-CN" w:bidi="zh-CN"/>
        </w:rPr>
        <w:t>无息</w:t>
      </w:r>
      <w:r>
        <w:rPr>
          <w:rFonts w:hint="eastAsia" w:ascii="宋体" w:hAnsi="宋体" w:eastAsia="宋体" w:cs="宋体"/>
          <w:color w:val="auto"/>
          <w:kern w:val="2"/>
          <w:sz w:val="24"/>
          <w:szCs w:val="24"/>
          <w:highlight w:val="none"/>
          <w:lang w:val="en-US" w:eastAsia="zh-CN" w:bidi="zh-CN"/>
        </w:rPr>
        <w:t>退还质量保证金。</w:t>
      </w:r>
    </w:p>
    <w:p w14:paraId="359418D5">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17.5竣工（完工）结算</w:t>
      </w:r>
    </w:p>
    <w:p w14:paraId="6F45586B">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17.5.1</w:t>
      </w:r>
      <w:r>
        <w:rPr>
          <w:rFonts w:hint="eastAsia" w:ascii="宋体" w:hAnsi="宋体" w:eastAsia="宋体" w:cs="宋体"/>
          <w:color w:val="auto"/>
          <w:kern w:val="2"/>
          <w:sz w:val="24"/>
          <w:szCs w:val="24"/>
          <w:highlight w:val="none"/>
          <w:lang w:val="zh-CN" w:eastAsia="zh-CN" w:bidi="zh-CN"/>
        </w:rPr>
        <w:t>竣工（完工）付款申请单</w:t>
      </w:r>
    </w:p>
    <w:p w14:paraId="652A9E82">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（1）承包人应提交竣工付款申请单份数：</w:t>
      </w:r>
      <w:r>
        <w:rPr>
          <w:rFonts w:hint="eastAsia" w:ascii="宋体" w:hAnsi="宋体" w:eastAsia="宋体" w:cs="宋体"/>
          <w:color w:val="auto"/>
          <w:kern w:val="2"/>
          <w:sz w:val="24"/>
          <w:szCs w:val="24"/>
          <w:highlight w:val="none"/>
          <w:u w:val="single"/>
          <w:lang w:val="en-US" w:eastAsia="zh-CN" w:bidi="zh-CN"/>
        </w:rPr>
        <w:t>4份</w:t>
      </w:r>
      <w:r>
        <w:rPr>
          <w:rFonts w:hint="eastAsia" w:ascii="宋体" w:hAnsi="宋体" w:eastAsia="宋体" w:cs="宋体"/>
          <w:color w:val="auto"/>
          <w:kern w:val="2"/>
          <w:sz w:val="24"/>
          <w:szCs w:val="24"/>
          <w:highlight w:val="none"/>
          <w:lang w:val="zh-CN" w:eastAsia="zh-CN" w:bidi="zh-CN"/>
        </w:rPr>
        <w:t>。</w:t>
      </w:r>
    </w:p>
    <w:p w14:paraId="301348E0">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17.5.3</w:t>
      </w:r>
      <w:r>
        <w:rPr>
          <w:rFonts w:hint="eastAsia" w:ascii="宋体" w:hAnsi="宋体" w:eastAsia="宋体" w:cs="宋体"/>
          <w:color w:val="auto"/>
          <w:kern w:val="2"/>
          <w:sz w:val="24"/>
          <w:szCs w:val="24"/>
          <w:highlight w:val="none"/>
          <w:lang w:val="zh-CN" w:eastAsia="zh-CN" w:bidi="zh-CN"/>
        </w:rPr>
        <w:t>除按通用合同条款所说的内容外，增加以下内容：最终结算以财政评审结果为准。</w:t>
      </w:r>
    </w:p>
    <w:p w14:paraId="3908BCEC">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17.6最终结清</w:t>
      </w:r>
    </w:p>
    <w:p w14:paraId="4E06256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17.6.1</w:t>
      </w:r>
      <w:r>
        <w:rPr>
          <w:rFonts w:hint="eastAsia" w:ascii="宋体" w:hAnsi="宋体" w:eastAsia="宋体" w:cs="宋体"/>
          <w:color w:val="auto"/>
          <w:kern w:val="2"/>
          <w:sz w:val="24"/>
          <w:szCs w:val="24"/>
          <w:highlight w:val="none"/>
          <w:lang w:val="zh-CN" w:eastAsia="zh-CN" w:bidi="zh-CN"/>
        </w:rPr>
        <w:t>最终结清申请单</w:t>
      </w:r>
    </w:p>
    <w:p w14:paraId="1F2C997D">
      <w:pPr>
        <w:pageBreakBefore w:val="0"/>
        <w:widowControl w:val="0"/>
        <w:tabs>
          <w:tab w:val="left" w:pos="6077"/>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（1）承包人应提交最终结清申请单份数：</w:t>
      </w:r>
      <w:r>
        <w:rPr>
          <w:rFonts w:hint="eastAsia" w:ascii="宋体" w:hAnsi="宋体" w:eastAsia="宋体" w:cs="宋体"/>
          <w:color w:val="auto"/>
          <w:kern w:val="2"/>
          <w:sz w:val="24"/>
          <w:szCs w:val="24"/>
          <w:highlight w:val="none"/>
          <w:u w:val="single"/>
          <w:lang w:val="en-US" w:eastAsia="zh-CN" w:bidi="zh-CN"/>
        </w:rPr>
        <w:t>4份</w:t>
      </w:r>
      <w:r>
        <w:rPr>
          <w:rFonts w:hint="eastAsia" w:ascii="宋体" w:hAnsi="宋体" w:eastAsia="宋体" w:cs="宋体"/>
          <w:color w:val="auto"/>
          <w:kern w:val="2"/>
          <w:sz w:val="24"/>
          <w:szCs w:val="24"/>
          <w:highlight w:val="none"/>
          <w:lang w:val="en-US" w:eastAsia="zh-CN" w:bidi="en-US"/>
        </w:rPr>
        <w:t>。</w:t>
      </w:r>
    </w:p>
    <w:p w14:paraId="4BC57BA5">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17.7竣工财务决算</w:t>
      </w:r>
    </w:p>
    <w:p w14:paraId="2533E027">
      <w:pPr>
        <w:pageBreakBefore w:val="0"/>
        <w:widowControl w:val="0"/>
        <w:tabs>
          <w:tab w:val="left" w:pos="6264"/>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承包人应为竣工财务决算编制提供的资料：</w:t>
      </w:r>
      <w:r>
        <w:rPr>
          <w:rFonts w:hint="eastAsia" w:ascii="宋体" w:hAnsi="宋体" w:eastAsia="宋体" w:cs="宋体"/>
          <w:color w:val="auto"/>
          <w:kern w:val="2"/>
          <w:sz w:val="24"/>
          <w:szCs w:val="24"/>
          <w:highlight w:val="none"/>
          <w:u w:val="single"/>
          <w:lang w:val="zh-CN" w:eastAsia="zh-CN" w:bidi="zh-CN"/>
        </w:rPr>
        <w:t>承包人应为竣工财务决算编制提供的资料：按现行《水利基本建设项目竣工财务决算编制规程》（SL19-2014）及相关法律、法规和规章制度执行。决算费用由发包人另行支付</w:t>
      </w:r>
      <w:r>
        <w:rPr>
          <w:rFonts w:hint="eastAsia" w:ascii="宋体" w:hAnsi="宋体" w:eastAsia="宋体" w:cs="宋体"/>
          <w:color w:val="auto"/>
          <w:kern w:val="2"/>
          <w:sz w:val="24"/>
          <w:szCs w:val="24"/>
          <w:highlight w:val="none"/>
          <w:lang w:val="en-US" w:eastAsia="zh-CN" w:bidi="en-US"/>
        </w:rPr>
        <w:t>。</w:t>
      </w:r>
    </w:p>
    <w:p w14:paraId="4BF4A145">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69" w:name="_Toc6578"/>
      <w:r>
        <w:rPr>
          <w:rFonts w:hint="eastAsia" w:ascii="宋体" w:hAnsi="宋体" w:eastAsia="宋体" w:cs="宋体"/>
          <w:color w:val="auto"/>
          <w:kern w:val="2"/>
          <w:sz w:val="24"/>
          <w:szCs w:val="24"/>
          <w:highlight w:val="none"/>
          <w:lang w:val="en-US" w:eastAsia="zh-CN" w:bidi="ar-SA"/>
        </w:rPr>
        <w:t>18. 竣工验收（验收）</w:t>
      </w:r>
      <w:bookmarkEnd w:id="269"/>
    </w:p>
    <w:p w14:paraId="701E3671">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18.1验收工作分类</w:t>
      </w:r>
    </w:p>
    <w:p w14:paraId="7A1E2026">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根据《水利工程建设项目验收管理规定》（水利部令第</w:t>
      </w:r>
      <w:r>
        <w:rPr>
          <w:rFonts w:hint="eastAsia" w:ascii="宋体" w:hAnsi="宋体" w:eastAsia="宋体" w:cs="宋体"/>
          <w:color w:val="auto"/>
          <w:kern w:val="2"/>
          <w:sz w:val="24"/>
          <w:szCs w:val="24"/>
          <w:highlight w:val="none"/>
          <w:lang w:val="en-US" w:eastAsia="zh-CN" w:bidi="zh-CN"/>
        </w:rPr>
        <w:t>49</w:t>
      </w:r>
      <w:r>
        <w:rPr>
          <w:rFonts w:hint="eastAsia" w:ascii="宋体" w:hAnsi="宋体" w:eastAsia="宋体" w:cs="宋体"/>
          <w:color w:val="auto"/>
          <w:kern w:val="2"/>
          <w:sz w:val="24"/>
          <w:szCs w:val="24"/>
          <w:highlight w:val="none"/>
          <w:lang w:val="zh-CN" w:eastAsia="zh-CN" w:bidi="zh-CN"/>
        </w:rPr>
        <w:t>号）和《水利水电建设工程验收规程》（SL/T223—2025)的相关规定执行。</w:t>
      </w:r>
    </w:p>
    <w:p w14:paraId="61C07199">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18.2分部工程验收</w:t>
      </w:r>
    </w:p>
    <w:p w14:paraId="46F84D6C">
      <w:pPr>
        <w:pageBreakBefore w:val="0"/>
        <w:widowControl w:val="0"/>
        <w:tabs>
          <w:tab w:val="left" w:pos="7018"/>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18.2.</w:t>
      </w:r>
      <w:r>
        <w:rPr>
          <w:rFonts w:hint="eastAsia" w:ascii="宋体" w:hAnsi="宋体" w:eastAsia="宋体" w:cs="宋体"/>
          <w:color w:val="auto"/>
          <w:kern w:val="2"/>
          <w:sz w:val="24"/>
          <w:szCs w:val="24"/>
          <w:highlight w:val="none"/>
          <w:lang w:val="zh-CN" w:eastAsia="zh-CN" w:bidi="zh-CN"/>
        </w:rPr>
        <w:t>2本工程由发包人主持的分部工程验收为：</w:t>
      </w:r>
      <w:r>
        <w:rPr>
          <w:rFonts w:hint="eastAsia" w:ascii="宋体" w:hAnsi="宋体" w:eastAsia="宋体" w:cs="宋体"/>
          <w:color w:val="auto"/>
          <w:kern w:val="2"/>
          <w:sz w:val="24"/>
          <w:szCs w:val="24"/>
          <w:highlight w:val="none"/>
          <w:u w:val="single"/>
          <w:lang w:val="en-US" w:eastAsia="zh-CN" w:bidi="zh-CN"/>
        </w:rPr>
        <w:t xml:space="preserve"> 按相关规范规定  </w:t>
      </w:r>
      <w:r>
        <w:rPr>
          <w:rFonts w:hint="eastAsia" w:ascii="宋体" w:hAnsi="宋体" w:eastAsia="宋体" w:cs="宋体"/>
          <w:color w:val="auto"/>
          <w:kern w:val="2"/>
          <w:sz w:val="24"/>
          <w:szCs w:val="24"/>
          <w:highlight w:val="none"/>
          <w:lang w:val="zh-CN" w:eastAsia="zh-CN" w:bidi="zh-CN"/>
        </w:rPr>
        <w:t>。</w:t>
      </w:r>
    </w:p>
    <w:p w14:paraId="6844DD89">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18.3单位工程验收</w:t>
      </w:r>
    </w:p>
    <w:p w14:paraId="63B6735B">
      <w:pPr>
        <w:pageBreakBefore w:val="0"/>
        <w:widowControl w:val="0"/>
        <w:tabs>
          <w:tab w:val="left" w:pos="6036"/>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18.3.4</w:t>
      </w:r>
      <w:r>
        <w:rPr>
          <w:rFonts w:hint="eastAsia" w:ascii="宋体" w:hAnsi="宋体" w:eastAsia="宋体" w:cs="宋体"/>
          <w:color w:val="auto"/>
          <w:kern w:val="2"/>
          <w:sz w:val="24"/>
          <w:szCs w:val="24"/>
          <w:highlight w:val="none"/>
          <w:lang w:val="zh-CN" w:eastAsia="zh-CN" w:bidi="zh-CN"/>
        </w:rPr>
        <w:t>提前投入使用的单位工程包括：</w:t>
      </w:r>
      <w:r>
        <w:rPr>
          <w:rFonts w:hint="eastAsia" w:ascii="宋体" w:hAnsi="宋体" w:eastAsia="宋体" w:cs="宋体"/>
          <w:color w:val="auto"/>
          <w:kern w:val="2"/>
          <w:sz w:val="24"/>
          <w:szCs w:val="24"/>
          <w:highlight w:val="none"/>
          <w:u w:val="single"/>
          <w:lang w:val="en-US" w:eastAsia="zh-CN" w:bidi="zh-CN"/>
        </w:rPr>
        <w:t>按相关规范规定</w:t>
      </w:r>
      <w:r>
        <w:rPr>
          <w:rFonts w:hint="eastAsia" w:ascii="宋体" w:hAnsi="宋体" w:eastAsia="宋体" w:cs="宋体"/>
          <w:color w:val="auto"/>
          <w:kern w:val="2"/>
          <w:sz w:val="24"/>
          <w:szCs w:val="24"/>
          <w:highlight w:val="none"/>
          <w:lang w:val="en-US" w:eastAsia="zh-CN" w:bidi="en-US"/>
        </w:rPr>
        <w:t>。</w:t>
      </w:r>
    </w:p>
    <w:p w14:paraId="031D6EC4">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18.5阶段验收</w:t>
      </w:r>
    </w:p>
    <w:p w14:paraId="3CD4A4AD">
      <w:pPr>
        <w:pageBreakBefore w:val="0"/>
        <w:widowControl w:val="0"/>
        <w:tabs>
          <w:tab w:val="left" w:pos="6036"/>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18.5.1</w:t>
      </w:r>
      <w:r>
        <w:rPr>
          <w:rFonts w:hint="eastAsia" w:ascii="宋体" w:hAnsi="宋体" w:eastAsia="宋体" w:cs="宋体"/>
          <w:color w:val="auto"/>
          <w:kern w:val="2"/>
          <w:sz w:val="24"/>
          <w:szCs w:val="24"/>
          <w:highlight w:val="none"/>
          <w:lang w:val="zh-CN" w:eastAsia="zh-CN" w:bidi="zh-CN"/>
        </w:rPr>
        <w:t xml:space="preserve">本合同工程阶段验收类别包括： </w:t>
      </w:r>
      <w:r>
        <w:rPr>
          <w:rFonts w:hint="eastAsia" w:ascii="宋体" w:hAnsi="宋体" w:eastAsia="宋体" w:cs="宋体"/>
          <w:color w:val="auto"/>
          <w:kern w:val="2"/>
          <w:sz w:val="24"/>
          <w:szCs w:val="24"/>
          <w:highlight w:val="none"/>
          <w:u w:val="single"/>
          <w:lang w:val="en-US" w:eastAsia="zh-CN" w:bidi="zh-CN"/>
        </w:rPr>
        <w:t>按相关规范规定</w:t>
      </w:r>
      <w:r>
        <w:rPr>
          <w:rFonts w:hint="eastAsia" w:ascii="宋体" w:hAnsi="宋体" w:eastAsia="宋体" w:cs="宋体"/>
          <w:color w:val="auto"/>
          <w:kern w:val="2"/>
          <w:sz w:val="24"/>
          <w:szCs w:val="24"/>
          <w:highlight w:val="none"/>
          <w:lang w:val="en-US" w:eastAsia="zh-CN" w:bidi="en-US"/>
        </w:rPr>
        <w:t>。</w:t>
      </w:r>
    </w:p>
    <w:p w14:paraId="76708AB7">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18.6专项验收</w:t>
      </w:r>
    </w:p>
    <w:p w14:paraId="5AC91B02">
      <w:pPr>
        <w:pageBreakBefore w:val="0"/>
        <w:widowControl w:val="0"/>
        <w:tabs>
          <w:tab w:val="left" w:pos="6036"/>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18.6.2</w:t>
      </w:r>
      <w:r>
        <w:rPr>
          <w:rFonts w:hint="eastAsia" w:ascii="宋体" w:hAnsi="宋体" w:eastAsia="宋体" w:cs="宋体"/>
          <w:color w:val="auto"/>
          <w:kern w:val="2"/>
          <w:sz w:val="24"/>
          <w:szCs w:val="24"/>
          <w:highlight w:val="none"/>
          <w:lang w:val="zh-CN" w:eastAsia="zh-CN" w:bidi="zh-CN"/>
        </w:rPr>
        <w:t>本合同工程专项验收类别包括：</w:t>
      </w:r>
      <w:r>
        <w:rPr>
          <w:rFonts w:hint="eastAsia" w:ascii="宋体" w:hAnsi="宋体" w:eastAsia="宋体" w:cs="宋体"/>
          <w:color w:val="auto"/>
          <w:kern w:val="2"/>
          <w:sz w:val="24"/>
          <w:szCs w:val="24"/>
          <w:highlight w:val="none"/>
          <w:u w:val="single"/>
          <w:lang w:val="en-US" w:eastAsia="zh-CN" w:bidi="zh-CN"/>
        </w:rPr>
        <w:t>按相关规范规定</w:t>
      </w:r>
      <w:r>
        <w:rPr>
          <w:rFonts w:hint="eastAsia" w:ascii="宋体" w:hAnsi="宋体" w:eastAsia="宋体" w:cs="宋体"/>
          <w:color w:val="auto"/>
          <w:kern w:val="2"/>
          <w:sz w:val="24"/>
          <w:szCs w:val="24"/>
          <w:highlight w:val="none"/>
          <w:lang w:val="en-US" w:eastAsia="zh-CN" w:bidi="en-US"/>
        </w:rPr>
        <w:t>。</w:t>
      </w:r>
    </w:p>
    <w:p w14:paraId="74C77330">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18.8施工期运行</w:t>
      </w:r>
    </w:p>
    <w:p w14:paraId="35C688B9">
      <w:pPr>
        <w:pageBreakBefore w:val="0"/>
        <w:widowControl w:val="0"/>
        <w:tabs>
          <w:tab w:val="left" w:pos="7296"/>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en-US"/>
        </w:rPr>
      </w:pPr>
      <w:r>
        <w:rPr>
          <w:rFonts w:hint="eastAsia" w:ascii="宋体" w:hAnsi="宋体" w:eastAsia="宋体" w:cs="宋体"/>
          <w:color w:val="auto"/>
          <w:kern w:val="2"/>
          <w:sz w:val="24"/>
          <w:szCs w:val="24"/>
          <w:highlight w:val="none"/>
          <w:lang w:val="en-US" w:eastAsia="zh-CN" w:bidi="en-US"/>
        </w:rPr>
        <w:t>18.8.1</w:t>
      </w:r>
      <w:r>
        <w:rPr>
          <w:rFonts w:hint="eastAsia" w:ascii="宋体" w:hAnsi="宋体" w:eastAsia="宋体" w:cs="宋体"/>
          <w:color w:val="auto"/>
          <w:kern w:val="2"/>
          <w:sz w:val="24"/>
          <w:szCs w:val="24"/>
          <w:highlight w:val="none"/>
          <w:lang w:val="zh-CN" w:eastAsia="zh-CN" w:bidi="zh-CN"/>
        </w:rPr>
        <w:t>需要在施工期运行的单位工程或工程设备为：</w:t>
      </w:r>
      <w:r>
        <w:rPr>
          <w:rFonts w:hint="eastAsia" w:ascii="宋体" w:hAnsi="宋体" w:eastAsia="宋体" w:cs="宋体"/>
          <w:color w:val="auto"/>
          <w:kern w:val="2"/>
          <w:sz w:val="24"/>
          <w:szCs w:val="24"/>
          <w:highlight w:val="none"/>
          <w:u w:val="single"/>
          <w:lang w:val="zh-CN" w:eastAsia="zh-CN" w:bidi="zh-CN"/>
        </w:rPr>
        <w:t>无</w:t>
      </w:r>
      <w:r>
        <w:rPr>
          <w:rFonts w:hint="eastAsia" w:ascii="宋体" w:hAnsi="宋体" w:eastAsia="宋体" w:cs="宋体"/>
          <w:color w:val="auto"/>
          <w:kern w:val="2"/>
          <w:sz w:val="24"/>
          <w:szCs w:val="24"/>
          <w:highlight w:val="none"/>
          <w:lang w:val="en-US" w:eastAsia="zh-CN" w:bidi="en-US"/>
        </w:rPr>
        <w:t>。</w:t>
      </w:r>
    </w:p>
    <w:p w14:paraId="02E4CC57">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18.9试运行</w:t>
      </w:r>
    </w:p>
    <w:p w14:paraId="1FBB4B59">
      <w:pPr>
        <w:pageBreakBefore w:val="0"/>
        <w:widowControl w:val="0"/>
        <w:tabs>
          <w:tab w:val="left" w:pos="4570"/>
          <w:tab w:val="left" w:pos="7697"/>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18. 9.1</w:t>
      </w:r>
      <w:r>
        <w:rPr>
          <w:rFonts w:hint="eastAsia" w:ascii="宋体" w:hAnsi="宋体" w:eastAsia="宋体" w:cs="宋体"/>
          <w:color w:val="auto"/>
          <w:kern w:val="2"/>
          <w:sz w:val="24"/>
          <w:szCs w:val="24"/>
          <w:highlight w:val="none"/>
          <w:lang w:val="zh-CN" w:eastAsia="zh-CN" w:bidi="zh-CN"/>
        </w:rPr>
        <w:t>试运行的组织：</w:t>
      </w:r>
      <w:r>
        <w:rPr>
          <w:rFonts w:hint="eastAsia" w:ascii="宋体" w:hAnsi="宋体" w:eastAsia="宋体" w:cs="宋体"/>
          <w:color w:val="auto"/>
          <w:kern w:val="2"/>
          <w:sz w:val="24"/>
          <w:szCs w:val="24"/>
          <w:highlight w:val="none"/>
          <w:u w:val="single"/>
          <w:lang w:val="zh-CN" w:eastAsia="zh-CN" w:bidi="zh-CN"/>
        </w:rPr>
        <w:t>发包人</w:t>
      </w:r>
      <w:r>
        <w:rPr>
          <w:rFonts w:hint="eastAsia" w:ascii="宋体" w:hAnsi="宋体" w:eastAsia="宋体" w:cs="宋体"/>
          <w:color w:val="auto"/>
          <w:kern w:val="2"/>
          <w:sz w:val="24"/>
          <w:szCs w:val="24"/>
          <w:highlight w:val="none"/>
          <w:lang w:val="zh-CN" w:eastAsia="zh-CN" w:bidi="zh-CN"/>
        </w:rPr>
        <w:t>。</w:t>
      </w:r>
    </w:p>
    <w:p w14:paraId="67B2CE03">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70" w:name="_Toc13008"/>
      <w:r>
        <w:rPr>
          <w:rFonts w:hint="eastAsia" w:ascii="宋体" w:hAnsi="宋体" w:eastAsia="宋体" w:cs="宋体"/>
          <w:color w:val="auto"/>
          <w:kern w:val="2"/>
          <w:sz w:val="24"/>
          <w:szCs w:val="24"/>
          <w:highlight w:val="none"/>
          <w:lang w:val="en-US" w:eastAsia="zh-CN" w:bidi="ar-SA"/>
        </w:rPr>
        <w:t>19. 缺陷责任与保修责任</w:t>
      </w:r>
      <w:bookmarkEnd w:id="270"/>
    </w:p>
    <w:p w14:paraId="29A098B7">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19.1缺陷责任期（工程质量保修期）的起算时间</w:t>
      </w:r>
    </w:p>
    <w:p w14:paraId="3881E52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本工程缺陷责任期（工程质量保修）计算如下：起算日按通用条款</w:t>
      </w:r>
      <w:r>
        <w:rPr>
          <w:rFonts w:hint="eastAsia" w:ascii="宋体" w:hAnsi="宋体" w:eastAsia="宋体" w:cs="宋体"/>
          <w:color w:val="auto"/>
          <w:kern w:val="2"/>
          <w:sz w:val="24"/>
          <w:szCs w:val="24"/>
          <w:highlight w:val="none"/>
          <w:lang w:val="en-US" w:eastAsia="zh-CN" w:bidi="en-US"/>
        </w:rPr>
        <w:t>19.1</w:t>
      </w:r>
      <w:r>
        <w:rPr>
          <w:rFonts w:hint="eastAsia" w:ascii="宋体" w:hAnsi="宋体" w:eastAsia="宋体" w:cs="宋体"/>
          <w:color w:val="auto"/>
          <w:kern w:val="2"/>
          <w:sz w:val="24"/>
          <w:szCs w:val="24"/>
          <w:highlight w:val="none"/>
          <w:lang w:val="zh-CN" w:eastAsia="zh-CN" w:bidi="zh-CN"/>
        </w:rPr>
        <w:t>和</w:t>
      </w:r>
      <w:r>
        <w:rPr>
          <w:rFonts w:hint="eastAsia" w:ascii="宋体" w:hAnsi="宋体" w:eastAsia="宋体" w:cs="宋体"/>
          <w:color w:val="auto"/>
          <w:kern w:val="2"/>
          <w:sz w:val="24"/>
          <w:szCs w:val="24"/>
          <w:highlight w:val="none"/>
          <w:lang w:val="en-US" w:eastAsia="zh-CN" w:bidi="en-US"/>
        </w:rPr>
        <w:t>19.</w:t>
      </w:r>
      <w:r>
        <w:rPr>
          <w:rFonts w:hint="eastAsia" w:ascii="宋体" w:hAnsi="宋体" w:eastAsia="宋体" w:cs="宋体"/>
          <w:color w:val="auto"/>
          <w:kern w:val="2"/>
          <w:sz w:val="24"/>
          <w:szCs w:val="24"/>
          <w:highlight w:val="none"/>
          <w:lang w:val="zh-CN" w:eastAsia="zh-CN" w:bidi="zh-CN"/>
        </w:rPr>
        <w:t>7的约定，终止日按专用条款</w:t>
      </w:r>
      <w:r>
        <w:rPr>
          <w:rFonts w:hint="eastAsia" w:ascii="宋体" w:hAnsi="宋体" w:eastAsia="宋体" w:cs="宋体"/>
          <w:color w:val="auto"/>
          <w:kern w:val="2"/>
          <w:sz w:val="24"/>
          <w:szCs w:val="24"/>
          <w:highlight w:val="none"/>
          <w:lang w:val="en-US" w:eastAsia="zh-CN" w:bidi="en-US"/>
        </w:rPr>
        <w:t>1.1.4.5</w:t>
      </w:r>
      <w:r>
        <w:rPr>
          <w:rFonts w:hint="eastAsia" w:ascii="宋体" w:hAnsi="宋体" w:eastAsia="宋体" w:cs="宋体"/>
          <w:color w:val="auto"/>
          <w:kern w:val="2"/>
          <w:sz w:val="24"/>
          <w:szCs w:val="24"/>
          <w:highlight w:val="none"/>
          <w:lang w:val="zh-CN" w:eastAsia="zh-CN" w:bidi="zh-CN"/>
        </w:rPr>
        <w:t>约定。</w:t>
      </w:r>
    </w:p>
    <w:p w14:paraId="1F368034">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19.7保修责任</w:t>
      </w:r>
    </w:p>
    <w:p w14:paraId="6491AB08">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zh-CN"/>
        </w:rPr>
      </w:pPr>
      <w:r>
        <w:rPr>
          <w:rFonts w:hint="eastAsia" w:ascii="宋体" w:hAnsi="宋体" w:eastAsia="宋体" w:cs="宋体"/>
          <w:color w:val="auto"/>
          <w:kern w:val="2"/>
          <w:sz w:val="24"/>
          <w:szCs w:val="24"/>
          <w:highlight w:val="none"/>
          <w:lang w:val="zh-CN" w:eastAsia="zh-CN" w:bidi="zh-CN"/>
        </w:rPr>
        <w:t>本合同工程的保修期为：</w:t>
      </w:r>
      <w:r>
        <w:rPr>
          <w:rFonts w:hint="eastAsia" w:ascii="宋体" w:hAnsi="宋体" w:eastAsia="宋体" w:cs="宋体"/>
          <w:color w:val="auto"/>
          <w:kern w:val="2"/>
          <w:sz w:val="24"/>
          <w:szCs w:val="24"/>
          <w:highlight w:val="none"/>
          <w:u w:val="single"/>
          <w:lang w:val="en-US" w:eastAsia="zh-CN" w:bidi="zh-CN"/>
        </w:rPr>
        <w:t xml:space="preserve"> 起算日按通用条款19.1和19. 7的约定，工程缺陷责任期：12个月 </w:t>
      </w:r>
      <w:r>
        <w:rPr>
          <w:rFonts w:hint="eastAsia" w:ascii="宋体" w:hAnsi="宋体" w:eastAsia="宋体" w:cs="宋体"/>
          <w:color w:val="auto"/>
          <w:kern w:val="2"/>
          <w:sz w:val="24"/>
          <w:szCs w:val="24"/>
          <w:highlight w:val="none"/>
          <w:lang w:val="en-US" w:eastAsia="zh-CN" w:bidi="zh-CN"/>
        </w:rPr>
        <w:t>；</w:t>
      </w:r>
    </w:p>
    <w:p w14:paraId="08033A2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zh-CN"/>
        </w:rPr>
      </w:pPr>
      <w:r>
        <w:rPr>
          <w:rFonts w:hint="eastAsia" w:ascii="宋体" w:hAnsi="宋体" w:eastAsia="宋体" w:cs="宋体"/>
          <w:color w:val="auto"/>
          <w:kern w:val="2"/>
          <w:sz w:val="24"/>
          <w:szCs w:val="24"/>
          <w:highlight w:val="none"/>
          <w:lang w:val="en-US" w:eastAsia="zh-CN" w:bidi="zh-CN"/>
        </w:rPr>
        <w:t>保修范围：</w:t>
      </w:r>
      <w:r>
        <w:rPr>
          <w:rFonts w:hint="eastAsia" w:ascii="宋体" w:hAnsi="宋体" w:eastAsia="宋体" w:cs="宋体"/>
          <w:color w:val="auto"/>
          <w:kern w:val="2"/>
          <w:sz w:val="24"/>
          <w:szCs w:val="24"/>
          <w:highlight w:val="none"/>
          <w:u w:val="single"/>
          <w:lang w:val="en-US" w:eastAsia="zh-CN" w:bidi="zh-CN"/>
        </w:rPr>
        <w:t xml:space="preserve"> 所有施工内容 </w:t>
      </w:r>
      <w:r>
        <w:rPr>
          <w:rFonts w:hint="eastAsia" w:ascii="宋体" w:hAnsi="宋体" w:eastAsia="宋体" w:cs="宋体"/>
          <w:color w:val="auto"/>
          <w:kern w:val="2"/>
          <w:sz w:val="24"/>
          <w:szCs w:val="24"/>
          <w:highlight w:val="none"/>
          <w:lang w:val="en-US" w:eastAsia="zh-CN" w:bidi="zh-CN"/>
        </w:rPr>
        <w:t>。</w:t>
      </w:r>
    </w:p>
    <w:p w14:paraId="56B55E5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zh-CN"/>
        </w:rPr>
      </w:pPr>
      <w:r>
        <w:rPr>
          <w:rFonts w:hint="eastAsia" w:ascii="宋体" w:hAnsi="宋体" w:eastAsia="宋体" w:cs="宋体"/>
          <w:color w:val="auto"/>
          <w:kern w:val="2"/>
          <w:sz w:val="24"/>
          <w:szCs w:val="24"/>
          <w:highlight w:val="none"/>
          <w:lang w:val="en-US" w:eastAsia="zh-CN" w:bidi="zh-CN"/>
        </w:rPr>
        <w:t>保修责任：由承包人负责并承担相关的一切费用。</w:t>
      </w:r>
    </w:p>
    <w:p w14:paraId="7E14CD1A">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71" w:name="_Toc1113"/>
      <w:r>
        <w:rPr>
          <w:rFonts w:hint="eastAsia" w:ascii="宋体" w:hAnsi="宋体" w:eastAsia="宋体" w:cs="宋体"/>
          <w:color w:val="auto"/>
          <w:kern w:val="2"/>
          <w:sz w:val="24"/>
          <w:szCs w:val="24"/>
          <w:highlight w:val="none"/>
          <w:lang w:val="en-US" w:eastAsia="zh-CN" w:bidi="ar-SA"/>
        </w:rPr>
        <w:t>20. 保险</w:t>
      </w:r>
      <w:bookmarkEnd w:id="271"/>
    </w:p>
    <w:p w14:paraId="17ACC275">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20.1工程保险</w:t>
      </w:r>
    </w:p>
    <w:p w14:paraId="0E4EBF9B">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建筑工程一切险和（或）安装工程一切险投保人：</w:t>
      </w:r>
      <w:r>
        <w:rPr>
          <w:rFonts w:hint="eastAsia" w:ascii="宋体" w:hAnsi="宋体" w:eastAsia="宋体" w:cs="宋体"/>
          <w:color w:val="auto"/>
          <w:kern w:val="2"/>
          <w:sz w:val="24"/>
          <w:szCs w:val="24"/>
          <w:highlight w:val="none"/>
          <w:u w:val="single"/>
          <w:lang w:val="zh-CN" w:eastAsia="zh-CN" w:bidi="zh-CN"/>
        </w:rPr>
        <w:t xml:space="preserve"> 承包人</w:t>
      </w:r>
      <w:r>
        <w:rPr>
          <w:rFonts w:hint="eastAsia" w:ascii="宋体" w:hAnsi="宋体" w:eastAsia="宋体" w:cs="宋体"/>
          <w:color w:val="auto"/>
          <w:kern w:val="2"/>
          <w:sz w:val="24"/>
          <w:szCs w:val="24"/>
          <w:highlight w:val="none"/>
          <w:u w:val="single"/>
          <w:lang w:val="en-US" w:eastAsia="zh-CN" w:bidi="zh-CN"/>
        </w:rPr>
        <w:t xml:space="preserve"> </w:t>
      </w:r>
      <w:r>
        <w:rPr>
          <w:rFonts w:hint="eastAsia" w:ascii="宋体" w:hAnsi="宋体" w:eastAsia="宋体" w:cs="宋体"/>
          <w:color w:val="auto"/>
          <w:kern w:val="2"/>
          <w:sz w:val="24"/>
          <w:szCs w:val="24"/>
          <w:highlight w:val="none"/>
          <w:u w:val="single"/>
          <w:lang w:val="zh-CN" w:eastAsia="zh-CN" w:bidi="zh-CN"/>
        </w:rPr>
        <w:t xml:space="preserve"> </w:t>
      </w:r>
      <w:r>
        <w:rPr>
          <w:rFonts w:hint="eastAsia" w:ascii="宋体" w:hAnsi="宋体" w:eastAsia="宋体" w:cs="宋体"/>
          <w:color w:val="auto"/>
          <w:kern w:val="2"/>
          <w:sz w:val="24"/>
          <w:szCs w:val="24"/>
          <w:highlight w:val="none"/>
          <w:lang w:val="zh-CN" w:eastAsia="zh-CN" w:bidi="zh-CN"/>
        </w:rPr>
        <w:t>； 投保内容：</w:t>
      </w:r>
      <w:r>
        <w:rPr>
          <w:rFonts w:hint="eastAsia" w:ascii="宋体" w:hAnsi="宋体" w:eastAsia="宋体" w:cs="宋体"/>
          <w:color w:val="auto"/>
          <w:kern w:val="2"/>
          <w:sz w:val="24"/>
          <w:szCs w:val="24"/>
          <w:highlight w:val="none"/>
          <w:u w:val="single"/>
          <w:lang w:val="zh-CN" w:eastAsia="zh-CN" w:bidi="zh-CN"/>
        </w:rPr>
        <w:t xml:space="preserve"> 建筑意外伤害保险</w:t>
      </w:r>
      <w:r>
        <w:rPr>
          <w:rFonts w:hint="eastAsia" w:ascii="宋体" w:hAnsi="宋体" w:cs="宋体"/>
          <w:color w:val="auto"/>
          <w:kern w:val="2"/>
          <w:sz w:val="24"/>
          <w:szCs w:val="24"/>
          <w:highlight w:val="none"/>
          <w:u w:val="single"/>
          <w:lang w:val="zh-CN" w:eastAsia="zh-CN" w:bidi="zh-CN"/>
        </w:rPr>
        <w:t>、</w:t>
      </w:r>
      <w:r>
        <w:rPr>
          <w:rFonts w:hint="eastAsia" w:ascii="宋体" w:hAnsi="宋体" w:eastAsia="宋体" w:cs="宋体"/>
          <w:color w:val="auto"/>
          <w:kern w:val="2"/>
          <w:sz w:val="24"/>
          <w:szCs w:val="24"/>
          <w:highlight w:val="none"/>
          <w:u w:val="single"/>
          <w:lang w:val="zh-CN" w:eastAsia="zh-CN" w:bidi="zh-CN"/>
        </w:rPr>
        <w:t>工伤保险</w:t>
      </w:r>
      <w:r>
        <w:rPr>
          <w:rFonts w:hint="eastAsia" w:ascii="宋体" w:hAnsi="宋体" w:cs="宋体"/>
          <w:color w:val="auto"/>
          <w:kern w:val="2"/>
          <w:sz w:val="24"/>
          <w:szCs w:val="24"/>
          <w:highlight w:val="none"/>
          <w:u w:val="single"/>
          <w:lang w:val="zh-CN" w:eastAsia="zh-CN" w:bidi="zh-CN"/>
        </w:rPr>
        <w:t>、安全生产责任险</w:t>
      </w:r>
      <w:r>
        <w:rPr>
          <w:rFonts w:hint="eastAsia" w:ascii="宋体" w:hAnsi="宋体" w:eastAsia="宋体" w:cs="宋体"/>
          <w:color w:val="auto"/>
          <w:kern w:val="2"/>
          <w:sz w:val="24"/>
          <w:szCs w:val="24"/>
          <w:highlight w:val="none"/>
          <w:u w:val="single"/>
          <w:lang w:val="zh-CN" w:eastAsia="zh-CN" w:bidi="zh-CN"/>
        </w:rPr>
        <w:t xml:space="preserve"> </w:t>
      </w:r>
      <w:r>
        <w:rPr>
          <w:rFonts w:hint="eastAsia" w:ascii="宋体" w:hAnsi="宋体" w:eastAsia="宋体" w:cs="宋体"/>
          <w:color w:val="auto"/>
          <w:kern w:val="2"/>
          <w:sz w:val="24"/>
          <w:szCs w:val="24"/>
          <w:highlight w:val="none"/>
          <w:lang w:val="zh-CN" w:eastAsia="zh-CN" w:bidi="zh-CN"/>
        </w:rPr>
        <w:t>；保险金额、保险费率：</w:t>
      </w:r>
      <w:r>
        <w:rPr>
          <w:rFonts w:hint="eastAsia" w:ascii="宋体" w:hAnsi="宋体" w:eastAsia="宋体" w:cs="宋体"/>
          <w:color w:val="auto"/>
          <w:kern w:val="2"/>
          <w:sz w:val="24"/>
          <w:szCs w:val="24"/>
          <w:highlight w:val="none"/>
          <w:u w:val="single"/>
          <w:lang w:val="zh-CN" w:eastAsia="zh-CN" w:bidi="zh-CN"/>
        </w:rPr>
        <w:t>保险金额按建筑意外伤害保险及工伤保险相关规定投保，</w:t>
      </w:r>
      <w:r>
        <w:rPr>
          <w:rFonts w:hint="eastAsia" w:ascii="宋体" w:hAnsi="宋体" w:eastAsia="宋体" w:cs="宋体"/>
          <w:color w:val="auto"/>
          <w:kern w:val="2"/>
          <w:sz w:val="24"/>
          <w:szCs w:val="24"/>
          <w:highlight w:val="none"/>
          <w:lang w:val="zh-CN" w:eastAsia="zh-CN" w:bidi="zh-CN"/>
        </w:rPr>
        <w:t xml:space="preserve">保险期限: </w:t>
      </w:r>
      <w:r>
        <w:rPr>
          <w:rFonts w:hint="eastAsia" w:ascii="宋体" w:hAnsi="宋体" w:eastAsia="宋体" w:cs="宋体"/>
          <w:color w:val="auto"/>
          <w:kern w:val="2"/>
          <w:sz w:val="24"/>
          <w:szCs w:val="24"/>
          <w:highlight w:val="none"/>
          <w:u w:val="single"/>
          <w:lang w:val="zh-CN" w:eastAsia="zh-CN" w:bidi="zh-CN"/>
        </w:rPr>
        <w:t xml:space="preserve"> 保险期限自投保之日（工程开工之日）起至工程竣工（或投入使用）验收时止，时间上涵盖施工全过程的任一时段</w:t>
      </w:r>
      <w:r>
        <w:rPr>
          <w:rFonts w:hint="eastAsia" w:ascii="宋体" w:hAnsi="宋体" w:eastAsia="宋体" w:cs="宋体"/>
          <w:color w:val="auto"/>
          <w:kern w:val="2"/>
          <w:sz w:val="24"/>
          <w:szCs w:val="24"/>
          <w:highlight w:val="none"/>
          <w:lang w:val="en-US" w:eastAsia="zh-CN" w:bidi="zh-CN"/>
        </w:rPr>
        <w:t>。</w:t>
      </w:r>
    </w:p>
    <w:p w14:paraId="4242BDD0">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20.4第三者责任险</w:t>
      </w:r>
    </w:p>
    <w:p w14:paraId="06513882">
      <w:pPr>
        <w:pageBreakBefore w:val="0"/>
        <w:widowControl w:val="0"/>
        <w:tabs>
          <w:tab w:val="left" w:pos="8225"/>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 xml:space="preserve">20.4.2 </w:t>
      </w:r>
      <w:r>
        <w:rPr>
          <w:rFonts w:hint="eastAsia" w:ascii="宋体" w:hAnsi="宋体" w:eastAsia="宋体" w:cs="宋体"/>
          <w:color w:val="auto"/>
          <w:kern w:val="2"/>
          <w:sz w:val="24"/>
          <w:szCs w:val="24"/>
          <w:highlight w:val="none"/>
          <w:lang w:val="zh-CN" w:eastAsia="zh-CN" w:bidi="zh-CN"/>
        </w:rPr>
        <w:t>第三者责任险保险费率：</w:t>
      </w:r>
      <w:r>
        <w:rPr>
          <w:rFonts w:hint="eastAsia" w:ascii="宋体" w:hAnsi="宋体" w:eastAsia="宋体" w:cs="宋体"/>
          <w:color w:val="auto"/>
          <w:kern w:val="2"/>
          <w:sz w:val="24"/>
          <w:szCs w:val="24"/>
          <w:highlight w:val="none"/>
          <w:u w:val="single"/>
          <w:lang w:val="zh-CN" w:eastAsia="zh-CN" w:bidi="zh-CN"/>
        </w:rPr>
        <w:t xml:space="preserve">由承包人自行投保 </w:t>
      </w:r>
      <w:r>
        <w:rPr>
          <w:rFonts w:hint="eastAsia" w:ascii="宋体" w:hAnsi="宋体" w:eastAsia="宋体" w:cs="宋体"/>
          <w:color w:val="auto"/>
          <w:kern w:val="2"/>
          <w:sz w:val="24"/>
          <w:szCs w:val="24"/>
          <w:highlight w:val="none"/>
          <w:lang w:val="zh-CN" w:eastAsia="zh-CN" w:bidi="zh-CN"/>
        </w:rPr>
        <w:t>； 第三者责任险保险金额：</w:t>
      </w:r>
      <w:r>
        <w:rPr>
          <w:rFonts w:hint="eastAsia" w:ascii="宋体" w:hAnsi="宋体" w:eastAsia="宋体" w:cs="宋体"/>
          <w:color w:val="auto"/>
          <w:kern w:val="2"/>
          <w:sz w:val="24"/>
          <w:szCs w:val="24"/>
          <w:highlight w:val="none"/>
          <w:u w:val="single"/>
          <w:lang w:val="zh-CN" w:eastAsia="zh-CN" w:bidi="zh-CN"/>
        </w:rPr>
        <w:t xml:space="preserve">  由承包人自行投保</w:t>
      </w:r>
      <w:r>
        <w:rPr>
          <w:rFonts w:hint="eastAsia" w:ascii="宋体" w:hAnsi="宋体" w:eastAsia="宋体" w:cs="宋体"/>
          <w:color w:val="auto"/>
          <w:kern w:val="2"/>
          <w:sz w:val="24"/>
          <w:szCs w:val="24"/>
          <w:highlight w:val="none"/>
          <w:lang w:val="en-US" w:eastAsia="zh-CN" w:bidi="en-US"/>
        </w:rPr>
        <w:t>。</w:t>
      </w:r>
    </w:p>
    <w:p w14:paraId="3D2A3FB4">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20.5其他保险</w:t>
      </w:r>
    </w:p>
    <w:p w14:paraId="157179ED">
      <w:pPr>
        <w:tabs>
          <w:tab w:val="left" w:pos="8220"/>
        </w:tabs>
        <w:spacing w:line="360" w:lineRule="auto"/>
        <w:ind w:firstLine="480" w:firstLineChars="200"/>
        <w:rPr>
          <w:rFonts w:ascii="宋体" w:hAnsi="宋体" w:eastAsia="宋体" w:cs="宋体"/>
          <w:color w:val="auto"/>
          <w:kern w:val="0"/>
          <w:sz w:val="24"/>
          <w:highlight w:val="none"/>
          <w:lang w:bidi="zh-CN"/>
        </w:rPr>
      </w:pPr>
      <w:r>
        <w:rPr>
          <w:rFonts w:hint="eastAsia" w:ascii="宋体" w:hAnsi="宋体" w:eastAsia="宋体" w:cs="宋体"/>
          <w:color w:val="auto"/>
          <w:kern w:val="0"/>
          <w:sz w:val="24"/>
          <w:highlight w:val="none"/>
          <w:lang w:bidi="zh-CN"/>
        </w:rPr>
        <w:t>20.5.1安全生产责任险投保人：</w:t>
      </w:r>
      <w:r>
        <w:rPr>
          <w:rFonts w:hint="eastAsia" w:ascii="宋体" w:hAnsi="宋体" w:eastAsia="宋体" w:cs="宋体"/>
          <w:color w:val="auto"/>
          <w:kern w:val="0"/>
          <w:sz w:val="24"/>
          <w:highlight w:val="none"/>
          <w:u w:val="single"/>
          <w:lang w:bidi="zh-CN"/>
        </w:rPr>
        <w:t>承包人</w:t>
      </w:r>
      <w:r>
        <w:rPr>
          <w:rFonts w:hint="eastAsia" w:ascii="宋体" w:hAnsi="宋体" w:eastAsia="宋体" w:cs="宋体"/>
          <w:color w:val="auto"/>
          <w:kern w:val="0"/>
          <w:sz w:val="24"/>
          <w:highlight w:val="none"/>
          <w:lang w:bidi="zh-CN"/>
        </w:rPr>
        <w:t>；投保内容及要求按《南宁市水利局关于进一步推进水利工程建设领域安全生产责任保险工作的通知》（南水监督〔2024〕46号）文件执行。</w:t>
      </w:r>
    </w:p>
    <w:p w14:paraId="35B4D636">
      <w:pPr>
        <w:pageBreakBefore w:val="0"/>
        <w:widowControl w:val="0"/>
        <w:tabs>
          <w:tab w:val="left" w:pos="8220"/>
        </w:tabs>
        <w:kinsoku/>
        <w:wordWrap/>
        <w:overflowPunct/>
        <w:topLinePunct w:val="0"/>
        <w:autoSpaceDE/>
        <w:autoSpaceDN/>
        <w:bidi w:val="0"/>
        <w:snapToGrid/>
        <w:spacing w:line="440" w:lineRule="exact"/>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0"/>
          <w:sz w:val="24"/>
          <w:highlight w:val="none"/>
          <w:lang w:bidi="zh-CN"/>
        </w:rPr>
        <w:t>20.5.2</w:t>
      </w:r>
      <w:r>
        <w:rPr>
          <w:rFonts w:hint="eastAsia" w:ascii="宋体" w:hAnsi="宋体" w:eastAsia="宋体" w:cs="宋体"/>
          <w:color w:val="auto"/>
          <w:kern w:val="0"/>
          <w:sz w:val="24"/>
          <w:highlight w:val="none"/>
          <w:lang w:val="zh-CN" w:bidi="zh-CN"/>
        </w:rPr>
        <w:t>需要投保的其他内容：</w:t>
      </w:r>
      <w:r>
        <w:rPr>
          <w:rFonts w:hint="eastAsia" w:ascii="宋体" w:hAnsi="宋体" w:eastAsia="宋体" w:cs="宋体"/>
          <w:color w:val="auto"/>
          <w:kern w:val="0"/>
          <w:sz w:val="24"/>
          <w:highlight w:val="none"/>
          <w:u w:val="single"/>
          <w:lang w:val="zh-CN" w:bidi="zh-CN"/>
        </w:rPr>
        <w:t xml:space="preserve">  由承包人自行投保  </w:t>
      </w:r>
      <w:r>
        <w:rPr>
          <w:rFonts w:hint="eastAsia" w:ascii="宋体" w:hAnsi="宋体" w:eastAsia="宋体" w:cs="宋体"/>
          <w:color w:val="auto"/>
          <w:kern w:val="0"/>
          <w:sz w:val="24"/>
          <w:highlight w:val="none"/>
          <w:lang w:val="zh-CN" w:bidi="zh-CN"/>
        </w:rPr>
        <w:t>；保险金额、保险费率和保险期限：</w:t>
      </w:r>
      <w:r>
        <w:rPr>
          <w:rFonts w:hint="eastAsia" w:ascii="宋体" w:hAnsi="宋体" w:eastAsia="宋体" w:cs="宋体"/>
          <w:color w:val="auto"/>
          <w:kern w:val="0"/>
          <w:sz w:val="24"/>
          <w:highlight w:val="none"/>
          <w:u w:val="single"/>
          <w:lang w:val="zh-CN" w:bidi="zh-CN"/>
        </w:rPr>
        <w:t xml:space="preserve">由承包人自行投保  </w:t>
      </w:r>
      <w:r>
        <w:rPr>
          <w:rFonts w:hint="eastAsia" w:ascii="宋体" w:hAnsi="宋体" w:eastAsia="宋体" w:cs="宋体"/>
          <w:color w:val="auto"/>
          <w:kern w:val="0"/>
          <w:sz w:val="24"/>
          <w:highlight w:val="none"/>
          <w:u w:val="none"/>
          <w:lang w:val="zh-CN" w:bidi="zh-CN"/>
        </w:rPr>
        <w:t>。</w:t>
      </w:r>
    </w:p>
    <w:p w14:paraId="306202E4">
      <w:pPr>
        <w:pageBreakBefore w:val="0"/>
        <w:widowControl w:val="0"/>
        <w:kinsoku/>
        <w:wordWrap/>
        <w:overflowPunct/>
        <w:topLinePunct w:val="0"/>
        <w:autoSpaceDE/>
        <w:autoSpaceDN/>
        <w:bidi w:val="0"/>
        <w:adjustRightInd w:val="0"/>
        <w:snapToGrid/>
        <w:spacing w:before="0" w:after="0" w:line="440" w:lineRule="exact"/>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20.6对各项保险的一般要求</w:t>
      </w:r>
    </w:p>
    <w:p w14:paraId="37FDC915">
      <w:pPr>
        <w:pageBreakBefore w:val="0"/>
        <w:widowControl w:val="0"/>
        <w:kinsoku/>
        <w:wordWrap/>
        <w:overflowPunct/>
        <w:topLinePunct w:val="0"/>
        <w:autoSpaceDE/>
        <w:autoSpaceDN/>
        <w:bidi w:val="0"/>
        <w:snapToGrid/>
        <w:spacing w:line="440" w:lineRule="exact"/>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20.6.1保险凭证</w:t>
      </w:r>
    </w:p>
    <w:p w14:paraId="5751CC80">
      <w:pPr>
        <w:pageBreakBefore w:val="0"/>
        <w:widowControl w:val="0"/>
        <w:tabs>
          <w:tab w:val="left" w:pos="8220"/>
        </w:tabs>
        <w:kinsoku/>
        <w:wordWrap/>
        <w:overflowPunct/>
        <w:topLinePunct w:val="0"/>
        <w:autoSpaceDE/>
        <w:autoSpaceDN/>
        <w:bidi w:val="0"/>
        <w:snapToGrid/>
        <w:spacing w:line="440" w:lineRule="exact"/>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承包人提交保险凭证的期限：</w:t>
      </w:r>
      <w:r>
        <w:rPr>
          <w:rFonts w:hint="eastAsia" w:ascii="宋体" w:hAnsi="宋体" w:eastAsia="宋体" w:cs="宋体"/>
          <w:color w:val="auto"/>
          <w:kern w:val="2"/>
          <w:sz w:val="24"/>
          <w:szCs w:val="24"/>
          <w:highlight w:val="none"/>
          <w:u w:val="single"/>
          <w:lang w:val="zh-CN" w:eastAsia="zh-CN" w:bidi="zh-CN"/>
        </w:rPr>
        <w:t xml:space="preserve"> 签订合同之日起15天内  </w:t>
      </w:r>
      <w:r>
        <w:rPr>
          <w:rFonts w:hint="eastAsia" w:ascii="宋体" w:hAnsi="宋体" w:eastAsia="宋体" w:cs="宋体"/>
          <w:color w:val="auto"/>
          <w:kern w:val="2"/>
          <w:sz w:val="24"/>
          <w:szCs w:val="24"/>
          <w:highlight w:val="none"/>
          <w:lang w:val="zh-CN" w:eastAsia="zh-CN" w:bidi="zh-CN"/>
        </w:rPr>
        <w:t>； 保险条件：</w:t>
      </w:r>
      <w:r>
        <w:rPr>
          <w:rFonts w:hint="eastAsia" w:ascii="宋体" w:hAnsi="宋体" w:eastAsia="宋体" w:cs="宋体"/>
          <w:color w:val="auto"/>
          <w:kern w:val="2"/>
          <w:sz w:val="24"/>
          <w:szCs w:val="24"/>
          <w:highlight w:val="none"/>
          <w:u w:val="single"/>
          <w:lang w:val="zh-CN" w:eastAsia="zh-CN" w:bidi="zh-CN"/>
        </w:rPr>
        <w:t xml:space="preserve">  按相关规定执行 </w:t>
      </w:r>
      <w:r>
        <w:rPr>
          <w:rFonts w:hint="eastAsia" w:ascii="宋体" w:hAnsi="宋体" w:eastAsia="宋体" w:cs="宋体"/>
          <w:color w:val="auto"/>
          <w:kern w:val="2"/>
          <w:sz w:val="24"/>
          <w:szCs w:val="24"/>
          <w:highlight w:val="none"/>
          <w:lang w:val="zh-CN" w:eastAsia="zh-CN" w:bidi="zh-CN"/>
        </w:rPr>
        <w:t>。</w:t>
      </w:r>
    </w:p>
    <w:p w14:paraId="1747DE67">
      <w:pPr>
        <w:pageBreakBefore w:val="0"/>
        <w:widowControl w:val="0"/>
        <w:kinsoku/>
        <w:wordWrap/>
        <w:overflowPunct/>
        <w:topLinePunct w:val="0"/>
        <w:autoSpaceDE/>
        <w:autoSpaceDN/>
        <w:bidi w:val="0"/>
        <w:snapToGrid/>
        <w:spacing w:line="440" w:lineRule="exact"/>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20. 6.</w:t>
      </w:r>
      <w:r>
        <w:rPr>
          <w:rFonts w:hint="eastAsia" w:ascii="宋体" w:hAnsi="宋体" w:eastAsia="宋体" w:cs="宋体"/>
          <w:color w:val="auto"/>
          <w:kern w:val="2"/>
          <w:sz w:val="24"/>
          <w:szCs w:val="24"/>
          <w:highlight w:val="none"/>
          <w:lang w:val="zh-CN" w:eastAsia="zh-CN" w:bidi="zh-CN"/>
        </w:rPr>
        <w:t>4保险金不足的补偿</w:t>
      </w:r>
    </w:p>
    <w:p w14:paraId="527764CD">
      <w:pPr>
        <w:pageBreakBefore w:val="0"/>
        <w:widowControl w:val="0"/>
        <w:tabs>
          <w:tab w:val="left" w:pos="8215"/>
          <w:tab w:val="left" w:pos="8218"/>
        </w:tabs>
        <w:kinsoku/>
        <w:wordWrap/>
        <w:overflowPunct/>
        <w:topLinePunct w:val="0"/>
        <w:autoSpaceDE/>
        <w:autoSpaceDN/>
        <w:bidi w:val="0"/>
        <w:snapToGrid/>
        <w:spacing w:line="440" w:lineRule="exact"/>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承包人负责补偿的范围与金额：</w:t>
      </w:r>
      <w:r>
        <w:rPr>
          <w:rFonts w:hint="eastAsia" w:ascii="宋体" w:hAnsi="宋体" w:eastAsia="宋体" w:cs="宋体"/>
          <w:color w:val="auto"/>
          <w:kern w:val="2"/>
          <w:sz w:val="24"/>
          <w:szCs w:val="24"/>
          <w:highlight w:val="none"/>
          <w:u w:val="single"/>
          <w:lang w:val="zh-CN" w:eastAsia="zh-CN" w:bidi="zh-CN"/>
        </w:rPr>
        <w:t xml:space="preserve"> 保险金额不足的补偿由承包人负责</w:t>
      </w:r>
      <w:r>
        <w:rPr>
          <w:rFonts w:hint="eastAsia" w:ascii="宋体" w:hAnsi="宋体" w:eastAsia="宋体" w:cs="宋体"/>
          <w:bCs/>
          <w:color w:val="auto"/>
          <w:kern w:val="0"/>
          <w:sz w:val="24"/>
          <w:szCs w:val="24"/>
          <w:highlight w:val="none"/>
          <w:u w:val="single"/>
          <w:lang w:val="zh-CN" w:eastAsia="zh-CN" w:bidi="zh-CN"/>
        </w:rPr>
        <w:t xml:space="preserve"> </w:t>
      </w:r>
      <w:r>
        <w:rPr>
          <w:rFonts w:hint="eastAsia" w:ascii="宋体" w:hAnsi="宋体" w:eastAsia="宋体" w:cs="宋体"/>
          <w:color w:val="auto"/>
          <w:kern w:val="2"/>
          <w:sz w:val="24"/>
          <w:szCs w:val="24"/>
          <w:highlight w:val="none"/>
          <w:u w:val="single"/>
          <w:lang w:val="zh-CN" w:eastAsia="zh-CN" w:bidi="zh-CN"/>
        </w:rPr>
        <w:t xml:space="preserve"> </w:t>
      </w:r>
      <w:r>
        <w:rPr>
          <w:rFonts w:hint="eastAsia" w:ascii="宋体" w:hAnsi="宋体" w:eastAsia="宋体" w:cs="宋体"/>
          <w:color w:val="auto"/>
          <w:kern w:val="2"/>
          <w:sz w:val="24"/>
          <w:szCs w:val="24"/>
          <w:highlight w:val="none"/>
          <w:lang w:val="zh-CN" w:eastAsia="zh-CN" w:bidi="zh-CN"/>
        </w:rPr>
        <w:t>； 发包人负责补偿的范围与金额：</w:t>
      </w:r>
      <w:r>
        <w:rPr>
          <w:rFonts w:hint="eastAsia" w:ascii="宋体" w:hAnsi="宋体" w:eastAsia="宋体" w:cs="宋体"/>
          <w:color w:val="auto"/>
          <w:kern w:val="2"/>
          <w:sz w:val="24"/>
          <w:szCs w:val="24"/>
          <w:highlight w:val="none"/>
          <w:u w:val="single"/>
          <w:lang w:val="zh-CN" w:eastAsia="zh-CN" w:bidi="zh-CN"/>
        </w:rPr>
        <w:t xml:space="preserve"> 由于本工程一切保险均有投标人负责投保，其费用均列入报价，故发包人不承担保险金不足的补偿 </w:t>
      </w:r>
      <w:r>
        <w:rPr>
          <w:rFonts w:hint="eastAsia" w:ascii="宋体" w:hAnsi="宋体" w:eastAsia="宋体" w:cs="宋体"/>
          <w:color w:val="auto"/>
          <w:kern w:val="2"/>
          <w:sz w:val="24"/>
          <w:szCs w:val="24"/>
          <w:highlight w:val="none"/>
          <w:lang w:val="en-US" w:eastAsia="zh-CN" w:bidi="en-US"/>
        </w:rPr>
        <w:t>。</w:t>
      </w:r>
    </w:p>
    <w:p w14:paraId="2821C3FD">
      <w:pPr>
        <w:keepNext/>
        <w:keepLines/>
        <w:pageBreakBefore w:val="0"/>
        <w:widowControl w:val="0"/>
        <w:kinsoku/>
        <w:wordWrap/>
        <w:overflowPunct/>
        <w:topLinePunct w:val="0"/>
        <w:autoSpaceDE/>
        <w:autoSpaceDN/>
        <w:bidi w:val="0"/>
        <w:snapToGrid/>
        <w:spacing w:before="0" w:beforeLines="0" w:after="0" w:afterLines="0" w:line="440" w:lineRule="exact"/>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72" w:name="_Toc28038"/>
      <w:r>
        <w:rPr>
          <w:rFonts w:hint="eastAsia" w:ascii="宋体" w:hAnsi="宋体" w:eastAsia="宋体" w:cs="宋体"/>
          <w:color w:val="auto"/>
          <w:kern w:val="2"/>
          <w:sz w:val="24"/>
          <w:szCs w:val="24"/>
          <w:highlight w:val="none"/>
          <w:lang w:val="en-US" w:eastAsia="zh-CN" w:bidi="ar-SA"/>
        </w:rPr>
        <w:t>21. 不可抗力</w:t>
      </w:r>
      <w:bookmarkEnd w:id="272"/>
    </w:p>
    <w:p w14:paraId="48EA2D06">
      <w:pPr>
        <w:pageBreakBefore w:val="0"/>
        <w:widowControl w:val="0"/>
        <w:kinsoku/>
        <w:wordWrap/>
        <w:overflowPunct/>
        <w:topLinePunct w:val="0"/>
        <w:autoSpaceDE/>
        <w:autoSpaceDN/>
        <w:bidi w:val="0"/>
        <w:adjustRightInd w:val="0"/>
        <w:snapToGrid/>
        <w:spacing w:before="0" w:after="0" w:line="440" w:lineRule="exact"/>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21.1不可抗力的确认</w:t>
      </w:r>
    </w:p>
    <w:p w14:paraId="6B1F52F1">
      <w:pPr>
        <w:pageBreakBefore w:val="0"/>
        <w:widowControl w:val="0"/>
        <w:kinsoku/>
        <w:wordWrap/>
        <w:overflowPunct/>
        <w:topLinePunct w:val="0"/>
        <w:autoSpaceDE/>
        <w:autoSpaceDN/>
        <w:bidi w:val="0"/>
        <w:snapToGrid/>
        <w:spacing w:line="440" w:lineRule="exact"/>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21.1.1</w:t>
      </w:r>
      <w:r>
        <w:rPr>
          <w:rFonts w:hint="eastAsia" w:ascii="宋体" w:hAnsi="宋体" w:eastAsia="宋体" w:cs="宋体"/>
          <w:color w:val="auto"/>
          <w:kern w:val="2"/>
          <w:sz w:val="24"/>
          <w:szCs w:val="24"/>
          <w:highlight w:val="none"/>
          <w:lang w:val="zh-CN" w:eastAsia="zh-CN" w:bidi="zh-CN"/>
        </w:rPr>
        <w:t>不可抗力是指承包人和发包人在订立合同时不可预见，在工程施工过程中不可避免发生并不能克服的自然灾害和社会性突发事件，如地震、海啸、瘟疫、水灾、骚乱、 暴动、战争和本合同专用合同条款第</w:t>
      </w:r>
      <w:r>
        <w:rPr>
          <w:rFonts w:hint="eastAsia" w:ascii="宋体" w:hAnsi="宋体" w:eastAsia="宋体" w:cs="宋体"/>
          <w:color w:val="auto"/>
          <w:kern w:val="2"/>
          <w:sz w:val="24"/>
          <w:szCs w:val="24"/>
          <w:highlight w:val="none"/>
          <w:lang w:val="en-US" w:eastAsia="zh-CN" w:bidi="en-US"/>
        </w:rPr>
        <w:t xml:space="preserve">11. </w:t>
      </w:r>
      <w:r>
        <w:rPr>
          <w:rFonts w:hint="eastAsia" w:ascii="宋体" w:hAnsi="宋体" w:eastAsia="宋体" w:cs="宋体"/>
          <w:color w:val="auto"/>
          <w:kern w:val="2"/>
          <w:sz w:val="24"/>
          <w:szCs w:val="24"/>
          <w:highlight w:val="none"/>
          <w:lang w:val="zh-CN" w:eastAsia="zh-CN" w:bidi="zh-CN"/>
        </w:rPr>
        <w:t>4款的约定。</w:t>
      </w:r>
    </w:p>
    <w:p w14:paraId="13B08422">
      <w:pPr>
        <w:keepNext/>
        <w:keepLines/>
        <w:pageBreakBefore w:val="0"/>
        <w:widowControl w:val="0"/>
        <w:kinsoku/>
        <w:wordWrap/>
        <w:overflowPunct/>
        <w:topLinePunct w:val="0"/>
        <w:autoSpaceDE/>
        <w:autoSpaceDN/>
        <w:bidi w:val="0"/>
        <w:snapToGrid/>
        <w:spacing w:before="0" w:beforeLines="0" w:after="0" w:afterLines="0" w:line="440" w:lineRule="exact"/>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73" w:name="_Toc15187"/>
      <w:r>
        <w:rPr>
          <w:rFonts w:hint="eastAsia" w:ascii="宋体" w:hAnsi="宋体" w:eastAsia="宋体" w:cs="宋体"/>
          <w:color w:val="auto"/>
          <w:kern w:val="2"/>
          <w:sz w:val="24"/>
          <w:szCs w:val="24"/>
          <w:highlight w:val="none"/>
          <w:lang w:val="en-US" w:eastAsia="zh-CN" w:bidi="ar-SA"/>
        </w:rPr>
        <w:t>24. 争议的解决</w:t>
      </w:r>
      <w:bookmarkEnd w:id="273"/>
    </w:p>
    <w:p w14:paraId="5DE9D50B">
      <w:pPr>
        <w:pageBreakBefore w:val="0"/>
        <w:widowControl w:val="0"/>
        <w:kinsoku/>
        <w:wordWrap/>
        <w:overflowPunct/>
        <w:topLinePunct w:val="0"/>
        <w:autoSpaceDE/>
        <w:autoSpaceDN/>
        <w:bidi w:val="0"/>
        <w:adjustRightInd w:val="0"/>
        <w:snapToGrid/>
        <w:spacing w:before="0" w:after="0" w:line="440" w:lineRule="exact"/>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24.1争议的解决方式</w:t>
      </w:r>
    </w:p>
    <w:p w14:paraId="444F084B">
      <w:pPr>
        <w:pageBreakBefore w:val="0"/>
        <w:widowControl w:val="0"/>
        <w:kinsoku/>
        <w:wordWrap/>
        <w:overflowPunct/>
        <w:topLinePunct w:val="0"/>
        <w:autoSpaceDE/>
        <w:autoSpaceDN/>
        <w:bidi w:val="0"/>
        <w:snapToGrid/>
        <w:spacing w:line="440" w:lineRule="exact"/>
        <w:ind w:left="0" w:leftChars="0" w:firstLine="480" w:firstLineChars="200"/>
        <w:jc w:val="both"/>
        <w:rPr>
          <w:rFonts w:hint="eastAsia" w:ascii="宋体" w:hAnsi="宋体" w:eastAsia="宋体" w:cs="宋体"/>
          <w:color w:val="auto"/>
          <w:kern w:val="2"/>
          <w:sz w:val="24"/>
          <w:szCs w:val="24"/>
          <w:highlight w:val="none"/>
          <w:u w:val="single"/>
          <w:lang w:val="en-US" w:eastAsia="zh-CN" w:bidi="zh-CN"/>
        </w:rPr>
      </w:pPr>
      <w:r>
        <w:rPr>
          <w:rFonts w:hint="eastAsia" w:ascii="宋体" w:hAnsi="宋体" w:eastAsia="宋体" w:cs="宋体"/>
          <w:color w:val="auto"/>
          <w:kern w:val="2"/>
          <w:sz w:val="24"/>
          <w:szCs w:val="24"/>
          <w:highlight w:val="none"/>
          <w:lang w:val="en-US" w:eastAsia="zh-CN" w:bidi="zh-CN"/>
        </w:rPr>
        <w:t>合同当事人友好协商解决不成、不愿提请争议评审或不接受争议评审组意见的，约定的合同争议解决方式：</w:t>
      </w:r>
      <w:r>
        <w:rPr>
          <w:rFonts w:hint="eastAsia" w:ascii="宋体" w:hAnsi="宋体" w:eastAsia="宋体" w:cs="宋体"/>
          <w:color w:val="auto"/>
          <w:kern w:val="2"/>
          <w:sz w:val="24"/>
          <w:szCs w:val="24"/>
          <w:highlight w:val="none"/>
          <w:u w:val="single"/>
          <w:lang w:val="en-US" w:eastAsia="zh-CN" w:bidi="zh-CN"/>
        </w:rPr>
        <w:t>向甲方所在地有管辖权的人民法院提起诉讼。</w:t>
      </w:r>
    </w:p>
    <w:p w14:paraId="7A45DF00">
      <w:pPr>
        <w:keepNext/>
        <w:keepLines/>
        <w:pageBreakBefore w:val="0"/>
        <w:widowControl w:val="0"/>
        <w:kinsoku/>
        <w:wordWrap/>
        <w:overflowPunct/>
        <w:topLinePunct w:val="0"/>
        <w:autoSpaceDE/>
        <w:autoSpaceDN/>
        <w:bidi w:val="0"/>
        <w:snapToGrid/>
        <w:spacing w:before="0" w:beforeLines="0" w:after="0" w:afterLines="0" w:line="440" w:lineRule="exact"/>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74" w:name="_Toc3549"/>
      <w:r>
        <w:rPr>
          <w:rFonts w:hint="eastAsia" w:ascii="宋体" w:hAnsi="宋体" w:eastAsia="宋体" w:cs="宋体"/>
          <w:color w:val="auto"/>
          <w:kern w:val="2"/>
          <w:sz w:val="24"/>
          <w:szCs w:val="24"/>
          <w:highlight w:val="none"/>
          <w:lang w:val="en-US" w:eastAsia="zh-CN" w:bidi="ar-SA"/>
        </w:rPr>
        <w:t>25. 附加条款</w:t>
      </w:r>
      <w:bookmarkEnd w:id="274"/>
    </w:p>
    <w:p w14:paraId="169A06BD">
      <w:pPr>
        <w:pageBreakBefore w:val="0"/>
        <w:widowControl w:val="0"/>
        <w:kinsoku/>
        <w:wordWrap/>
        <w:overflowPunct/>
        <w:topLinePunct w:val="0"/>
        <w:autoSpaceDE/>
        <w:autoSpaceDN/>
        <w:bidi w:val="0"/>
        <w:adjustRightInd w:val="0"/>
        <w:snapToGrid/>
        <w:spacing w:before="0" w:after="0" w:line="440" w:lineRule="exact"/>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25.1对承包人的要求</w:t>
      </w:r>
    </w:p>
    <w:p w14:paraId="78903481">
      <w:pPr>
        <w:pageBreakBefore w:val="0"/>
        <w:widowControl w:val="0"/>
        <w:numPr>
          <w:ilvl w:val="0"/>
          <w:numId w:val="44"/>
        </w:numPr>
        <w:tabs>
          <w:tab w:val="left" w:pos="707"/>
        </w:tabs>
        <w:kinsoku/>
        <w:wordWrap/>
        <w:overflowPunct/>
        <w:topLinePunct w:val="0"/>
        <w:autoSpaceDE/>
        <w:autoSpaceDN/>
        <w:bidi w:val="0"/>
        <w:snapToGrid/>
        <w:spacing w:line="440" w:lineRule="exact"/>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因承包人的原因造成施工进度计划滞后，承包人均应按发包人和监理人的指示，采取有效措施赶上进度。若施工进度仍然满足不了发包人的要求，视为承包人已经构成违约，发包人可通知承包人解除合同。发包人可在发出通知5天后派员进驻工地直接监管工程, 使用承包人设备、临时工程和材料，另行组织人员或委托其他承包人施工，但发包人的这一行为不免除承包人按合同规定应负的责任。</w:t>
      </w:r>
    </w:p>
    <w:p w14:paraId="514F6F15">
      <w:pPr>
        <w:pageBreakBefore w:val="0"/>
        <w:widowControl w:val="0"/>
        <w:numPr>
          <w:ilvl w:val="0"/>
          <w:numId w:val="44"/>
        </w:numPr>
        <w:tabs>
          <w:tab w:val="left" w:pos="707"/>
        </w:tabs>
        <w:kinsoku/>
        <w:wordWrap/>
        <w:overflowPunct/>
        <w:topLinePunct w:val="0"/>
        <w:autoSpaceDE/>
        <w:autoSpaceDN/>
        <w:bidi w:val="0"/>
        <w:snapToGrid/>
        <w:spacing w:line="440" w:lineRule="exact"/>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遵守国务院《建设工程质量管理条例》，根据水利部、自治区和水利厅的有关质量管理规定，建立健全质量管理机构，结合工程实际制定完善的可操作性强的质量管理制度，施工质量等级达到合同约定等级。</w:t>
      </w:r>
    </w:p>
    <w:p w14:paraId="3FB29A64">
      <w:pPr>
        <w:pageBreakBefore w:val="0"/>
        <w:widowControl w:val="0"/>
        <w:numPr>
          <w:ilvl w:val="0"/>
          <w:numId w:val="44"/>
        </w:numPr>
        <w:tabs>
          <w:tab w:val="left" w:pos="707"/>
        </w:tabs>
        <w:kinsoku/>
        <w:wordWrap/>
        <w:overflowPunct/>
        <w:topLinePunct w:val="0"/>
        <w:autoSpaceDE/>
        <w:autoSpaceDN/>
        <w:bidi w:val="0"/>
        <w:snapToGrid/>
        <w:spacing w:line="440" w:lineRule="exact"/>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按国家《中华人民共和国安全生产法》、《建设工程安全生产管理条例》、自治区安全生产法规和水利水电工程施工安全操作规程的规定建立健全安全管理机构和安全管理制度，采取安全施工保障措施保障工程施工安全。</w:t>
      </w:r>
    </w:p>
    <w:p w14:paraId="0159F0AB">
      <w:pPr>
        <w:pageBreakBefore w:val="0"/>
        <w:widowControl w:val="0"/>
        <w:numPr>
          <w:ilvl w:val="0"/>
          <w:numId w:val="44"/>
        </w:numPr>
        <w:tabs>
          <w:tab w:val="left" w:pos="705"/>
        </w:tabs>
        <w:kinsoku/>
        <w:wordWrap/>
        <w:overflowPunct/>
        <w:topLinePunct w:val="0"/>
        <w:autoSpaceDE/>
        <w:autoSpaceDN/>
        <w:bidi w:val="0"/>
        <w:snapToGrid/>
        <w:spacing w:line="440" w:lineRule="exact"/>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按有关施工规程规范及本招标文件技术条款进行组织施工并实施施工过程和移交前工程保护措施。</w:t>
      </w:r>
    </w:p>
    <w:p w14:paraId="0926A438">
      <w:pPr>
        <w:pageBreakBefore w:val="0"/>
        <w:widowControl w:val="0"/>
        <w:numPr>
          <w:ilvl w:val="0"/>
          <w:numId w:val="44"/>
        </w:numPr>
        <w:tabs>
          <w:tab w:val="left" w:pos="710"/>
        </w:tabs>
        <w:kinsoku/>
        <w:wordWrap/>
        <w:overflowPunct/>
        <w:topLinePunct w:val="0"/>
        <w:autoSpaceDE/>
        <w:autoSpaceDN/>
        <w:bidi w:val="0"/>
        <w:snapToGrid/>
        <w:spacing w:line="440" w:lineRule="exact"/>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承包人违约有以下情况之一者，发包人有权采取合同规定的以下措施处理，并视情节轻重处予违约金。</w:t>
      </w:r>
    </w:p>
    <w:p w14:paraId="1252D2FC">
      <w:pPr>
        <w:pageBreakBefore w:val="0"/>
        <w:widowControl w:val="0"/>
        <w:numPr>
          <w:ilvl w:val="0"/>
          <w:numId w:val="45"/>
        </w:numPr>
        <w:tabs>
          <w:tab w:val="left" w:pos="883"/>
        </w:tabs>
        <w:kinsoku/>
        <w:wordWrap/>
        <w:overflowPunct/>
        <w:topLinePunct w:val="0"/>
        <w:autoSpaceDE/>
        <w:autoSpaceDN/>
        <w:bidi w:val="0"/>
        <w:snapToGrid/>
        <w:spacing w:line="440" w:lineRule="exact"/>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未经发包人批准，施工期内承包人调走主要施工技术人员(包括建造师、专业工程师)，经发现不及时调回的，违约金额为履约保证金金额的5% ～20% (视情节严重而定)</w:t>
      </w:r>
      <w:r>
        <w:rPr>
          <w:rFonts w:hint="eastAsia" w:ascii="宋体" w:hAnsi="宋体" w:eastAsia="宋体" w:cs="宋体"/>
          <w:color w:val="auto"/>
          <w:kern w:val="2"/>
          <w:sz w:val="24"/>
          <w:szCs w:val="24"/>
          <w:highlight w:val="none"/>
          <w:lang w:val="en-US" w:eastAsia="zh-CN" w:bidi="en-US"/>
        </w:rPr>
        <w:t>。</w:t>
      </w:r>
    </w:p>
    <w:p w14:paraId="4094B1FB">
      <w:pPr>
        <w:pageBreakBefore w:val="0"/>
        <w:widowControl w:val="0"/>
        <w:numPr>
          <w:ilvl w:val="0"/>
          <w:numId w:val="45"/>
        </w:numPr>
        <w:tabs>
          <w:tab w:val="left" w:pos="880"/>
        </w:tabs>
        <w:kinsoku/>
        <w:wordWrap/>
        <w:overflowPunct/>
        <w:topLinePunct w:val="0"/>
        <w:autoSpaceDE/>
        <w:autoSpaceDN/>
        <w:bidi w:val="0"/>
        <w:snapToGrid/>
        <w:spacing w:line="440" w:lineRule="exact"/>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未经发包人批准，施工期内自行调走主要施工机械，经发现不及时调回的，违约金额为履约保证金金额的5% ～20% (视情节严重而定)</w:t>
      </w:r>
      <w:r>
        <w:rPr>
          <w:rFonts w:hint="eastAsia" w:ascii="宋体" w:hAnsi="宋体" w:eastAsia="宋体" w:cs="宋体"/>
          <w:color w:val="auto"/>
          <w:kern w:val="2"/>
          <w:sz w:val="24"/>
          <w:szCs w:val="24"/>
          <w:highlight w:val="none"/>
          <w:lang w:val="en-US" w:eastAsia="zh-CN" w:bidi="en-US"/>
        </w:rPr>
        <w:t>。</w:t>
      </w:r>
    </w:p>
    <w:p w14:paraId="6E135ED7">
      <w:pPr>
        <w:pageBreakBefore w:val="0"/>
        <w:widowControl w:val="0"/>
        <w:numPr>
          <w:ilvl w:val="0"/>
          <w:numId w:val="45"/>
        </w:numPr>
        <w:tabs>
          <w:tab w:val="left" w:pos="883"/>
        </w:tabs>
        <w:kinsoku/>
        <w:wordWrap/>
        <w:overflowPunct/>
        <w:topLinePunct w:val="0"/>
        <w:autoSpaceDE/>
        <w:autoSpaceDN/>
        <w:bidi w:val="0"/>
        <w:snapToGrid/>
        <w:spacing w:line="440" w:lineRule="exact"/>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所有以上违约金额均在承包人的履约保证金(包括银行利息)及计量支付款内扣除，承包人履约保证金被扣除后，由发包人从最后一次计量支付时扣相应金额补足履约保证金。</w:t>
      </w:r>
    </w:p>
    <w:p w14:paraId="7A4013E5">
      <w:pPr>
        <w:pageBreakBefore w:val="0"/>
        <w:widowControl w:val="0"/>
        <w:numPr>
          <w:ilvl w:val="0"/>
          <w:numId w:val="45"/>
        </w:numPr>
        <w:tabs>
          <w:tab w:val="left" w:pos="885"/>
        </w:tabs>
        <w:kinsoku/>
        <w:wordWrap/>
        <w:overflowPunct/>
        <w:topLinePunct w:val="0"/>
        <w:autoSpaceDE/>
        <w:autoSpaceDN/>
        <w:bidi w:val="0"/>
        <w:snapToGrid/>
        <w:spacing w:line="440" w:lineRule="exact"/>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的人员机械进场必须按照合同书或根据工程实际调整经监理人和发包人确认的人员和机械进场时间表进场，承包人不得拖延、调换或减少。主要机械的数量、型号和劳动力、材料的投入，应与合同相符，若发包人或建设主管部门认为合同规定的进场机 械、材料和劳动力不能满足施工进度要求，有权指令承包人增加机械、材料和劳动力投入, 承包人不得拒绝。</w:t>
      </w:r>
    </w:p>
    <w:p w14:paraId="6D214F2C">
      <w:pPr>
        <w:pageBreakBefore w:val="0"/>
        <w:widowControl w:val="0"/>
        <w:numPr>
          <w:ilvl w:val="0"/>
          <w:numId w:val="45"/>
        </w:numPr>
        <w:tabs>
          <w:tab w:val="left" w:pos="880"/>
        </w:tabs>
        <w:kinsoku/>
        <w:wordWrap/>
        <w:overflowPunct/>
        <w:topLinePunct w:val="0"/>
        <w:autoSpaceDE/>
        <w:autoSpaceDN/>
        <w:bidi w:val="0"/>
        <w:snapToGrid/>
        <w:spacing w:line="440" w:lineRule="exact"/>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合同履行过程中，承包人未按规定要求落实安全生产措施费用专款专用，挪用、 扣减安全生产措施费用，且不服从发包人或监理人的安全生产管理，发包人有权对违反安 全生产相关规定的行为处以罚款直至终止合同。</w:t>
      </w:r>
    </w:p>
    <w:p w14:paraId="5C85B1B6">
      <w:pPr>
        <w:pageBreakBefore w:val="0"/>
        <w:widowControl w:val="0"/>
        <w:numPr>
          <w:ilvl w:val="0"/>
          <w:numId w:val="44"/>
        </w:numPr>
        <w:tabs>
          <w:tab w:val="left" w:pos="739"/>
        </w:tabs>
        <w:kinsoku/>
        <w:wordWrap/>
        <w:overflowPunct/>
        <w:topLinePunct w:val="0"/>
        <w:autoSpaceDE/>
        <w:autoSpaceDN/>
        <w:bidi w:val="0"/>
        <w:snapToGrid/>
        <w:spacing w:line="440" w:lineRule="exact"/>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承包人生活设施及施工场地，应自费配备消防设备，防止火灾发生。</w:t>
      </w:r>
    </w:p>
    <w:p w14:paraId="10249066">
      <w:pPr>
        <w:pageBreakBefore w:val="0"/>
        <w:widowControl w:val="0"/>
        <w:numPr>
          <w:ilvl w:val="0"/>
          <w:numId w:val="44"/>
        </w:numPr>
        <w:tabs>
          <w:tab w:val="left" w:pos="719"/>
        </w:tabs>
        <w:kinsoku/>
        <w:wordWrap/>
        <w:overflowPunct/>
        <w:topLinePunct w:val="0"/>
        <w:autoSpaceDE/>
        <w:autoSpaceDN/>
        <w:bidi w:val="0"/>
        <w:snapToGrid/>
        <w:spacing w:line="440" w:lineRule="exact"/>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承包人使用的劳动力均应进行保险，否则不准安排工作，禁止使用童工。</w:t>
      </w:r>
    </w:p>
    <w:p w14:paraId="3B18E7B2">
      <w:pPr>
        <w:pageBreakBefore w:val="0"/>
        <w:widowControl w:val="0"/>
        <w:tabs>
          <w:tab w:val="left" w:pos="880"/>
        </w:tabs>
        <w:kinsoku/>
        <w:wordWrap/>
        <w:overflowPunct/>
        <w:topLinePunct w:val="0"/>
        <w:autoSpaceDE/>
        <w:autoSpaceDN/>
        <w:bidi w:val="0"/>
        <w:snapToGrid/>
        <w:spacing w:line="440" w:lineRule="exact"/>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8.凡招标文件的合同条件、技术规范、设计图纸没有明显提及或明显遗漏或明显错误的，应以国内现行规范解释为依据，或以国内惯例解释处理。承包人发现后应及时向监理工程师报告，防止造成损失，并不利用以上文件的含糊、遗漏、错误或缺点索取利益。</w:t>
      </w:r>
    </w:p>
    <w:p w14:paraId="496EF9D2">
      <w:pPr>
        <w:pageBreakBefore w:val="0"/>
        <w:widowControl w:val="0"/>
        <w:tabs>
          <w:tab w:val="left" w:pos="299"/>
        </w:tabs>
        <w:kinsoku/>
        <w:wordWrap/>
        <w:overflowPunct/>
        <w:topLinePunct w:val="0"/>
        <w:autoSpaceDE/>
        <w:autoSpaceDN/>
        <w:bidi w:val="0"/>
        <w:snapToGrid/>
        <w:spacing w:line="440" w:lineRule="exact"/>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25.2发包人所有付款（含预付款）均转入如下承包人单位基本账户（签订施工合同时标明），承包人单位基本账户发生改变时，承包人应书面通知 （法定代表人签字并加盖单位电子公章）发包人。</w:t>
      </w:r>
    </w:p>
    <w:p w14:paraId="21A7ACAD">
      <w:pPr>
        <w:pStyle w:val="32"/>
        <w:rPr>
          <w:rFonts w:hint="eastAsia" w:ascii="宋体" w:hAnsi="宋体" w:eastAsia="宋体" w:cs="宋体"/>
          <w:color w:val="auto"/>
          <w:kern w:val="2"/>
          <w:sz w:val="24"/>
          <w:szCs w:val="24"/>
          <w:highlight w:val="none"/>
          <w:lang w:val="zh-CN" w:eastAsia="zh-CN" w:bidi="zh-CN"/>
        </w:rPr>
      </w:pPr>
    </w:p>
    <w:p w14:paraId="257856D2">
      <w:pPr>
        <w:pStyle w:val="32"/>
        <w:rPr>
          <w:rFonts w:hint="eastAsia" w:ascii="宋体" w:hAnsi="宋体" w:eastAsia="宋体" w:cs="宋体"/>
          <w:color w:val="auto"/>
          <w:kern w:val="2"/>
          <w:sz w:val="24"/>
          <w:szCs w:val="24"/>
          <w:highlight w:val="none"/>
          <w:lang w:val="zh-CN" w:eastAsia="zh-CN" w:bidi="zh-CN"/>
        </w:rPr>
      </w:pPr>
    </w:p>
    <w:p w14:paraId="0BFA0124">
      <w:pPr>
        <w:pStyle w:val="32"/>
        <w:rPr>
          <w:rFonts w:hint="eastAsia" w:ascii="宋体" w:hAnsi="宋体" w:eastAsia="宋体" w:cs="宋体"/>
          <w:color w:val="auto"/>
          <w:kern w:val="2"/>
          <w:sz w:val="24"/>
          <w:szCs w:val="24"/>
          <w:highlight w:val="none"/>
          <w:lang w:val="zh-CN" w:eastAsia="zh-CN" w:bidi="zh-CN"/>
        </w:rPr>
      </w:pPr>
    </w:p>
    <w:p w14:paraId="64016F72">
      <w:pPr>
        <w:pStyle w:val="32"/>
        <w:rPr>
          <w:rFonts w:hint="eastAsia" w:ascii="宋体" w:hAnsi="宋体" w:eastAsia="宋体" w:cs="宋体"/>
          <w:color w:val="auto"/>
          <w:kern w:val="2"/>
          <w:sz w:val="24"/>
          <w:szCs w:val="24"/>
          <w:highlight w:val="none"/>
          <w:lang w:val="zh-CN" w:eastAsia="zh-CN" w:bidi="zh-CN"/>
        </w:rPr>
      </w:pPr>
    </w:p>
    <w:p w14:paraId="14F590B8">
      <w:pPr>
        <w:pStyle w:val="32"/>
        <w:rPr>
          <w:rFonts w:hint="eastAsia" w:ascii="宋体" w:hAnsi="宋体" w:eastAsia="宋体" w:cs="宋体"/>
          <w:color w:val="auto"/>
          <w:kern w:val="2"/>
          <w:sz w:val="24"/>
          <w:szCs w:val="24"/>
          <w:highlight w:val="none"/>
          <w:lang w:val="zh-CN" w:eastAsia="zh-CN" w:bidi="zh-CN"/>
        </w:rPr>
      </w:pPr>
    </w:p>
    <w:p w14:paraId="4861E179">
      <w:pPr>
        <w:pStyle w:val="32"/>
        <w:rPr>
          <w:rFonts w:hint="eastAsia" w:ascii="宋体" w:hAnsi="宋体" w:eastAsia="宋体" w:cs="宋体"/>
          <w:color w:val="auto"/>
          <w:kern w:val="2"/>
          <w:sz w:val="24"/>
          <w:szCs w:val="24"/>
          <w:highlight w:val="none"/>
          <w:lang w:val="zh-CN" w:eastAsia="zh-CN" w:bidi="zh-CN"/>
        </w:rPr>
      </w:pPr>
    </w:p>
    <w:p w14:paraId="17D39D24">
      <w:pPr>
        <w:pStyle w:val="32"/>
        <w:rPr>
          <w:rFonts w:hint="eastAsia" w:ascii="宋体" w:hAnsi="宋体" w:eastAsia="宋体" w:cs="宋体"/>
          <w:color w:val="auto"/>
          <w:kern w:val="2"/>
          <w:sz w:val="24"/>
          <w:szCs w:val="24"/>
          <w:highlight w:val="none"/>
          <w:lang w:val="zh-CN" w:eastAsia="zh-CN" w:bidi="zh-CN"/>
        </w:rPr>
      </w:pPr>
    </w:p>
    <w:p w14:paraId="1706A00C">
      <w:pPr>
        <w:pStyle w:val="32"/>
        <w:rPr>
          <w:rFonts w:hint="eastAsia" w:ascii="宋体" w:hAnsi="宋体" w:eastAsia="宋体" w:cs="宋体"/>
          <w:color w:val="auto"/>
          <w:kern w:val="2"/>
          <w:sz w:val="24"/>
          <w:szCs w:val="24"/>
          <w:highlight w:val="none"/>
          <w:lang w:val="zh-CN" w:eastAsia="zh-CN" w:bidi="zh-CN"/>
        </w:rPr>
      </w:pPr>
    </w:p>
    <w:p w14:paraId="1D4E07BB">
      <w:pPr>
        <w:pStyle w:val="32"/>
        <w:rPr>
          <w:rFonts w:hint="eastAsia" w:ascii="宋体" w:hAnsi="宋体" w:eastAsia="宋体" w:cs="宋体"/>
          <w:color w:val="auto"/>
          <w:kern w:val="2"/>
          <w:sz w:val="24"/>
          <w:szCs w:val="24"/>
          <w:highlight w:val="none"/>
          <w:lang w:val="zh-CN" w:eastAsia="zh-CN" w:bidi="zh-CN"/>
        </w:rPr>
      </w:pPr>
    </w:p>
    <w:p w14:paraId="11B1181F">
      <w:pPr>
        <w:pStyle w:val="32"/>
        <w:rPr>
          <w:rFonts w:hint="eastAsia" w:ascii="宋体" w:hAnsi="宋体" w:eastAsia="宋体" w:cs="宋体"/>
          <w:color w:val="auto"/>
          <w:kern w:val="2"/>
          <w:sz w:val="24"/>
          <w:szCs w:val="24"/>
          <w:highlight w:val="none"/>
          <w:lang w:val="zh-CN" w:eastAsia="zh-CN" w:bidi="zh-CN"/>
        </w:rPr>
      </w:pPr>
    </w:p>
    <w:p w14:paraId="4A59CAB1">
      <w:pPr>
        <w:pStyle w:val="32"/>
        <w:rPr>
          <w:rFonts w:hint="eastAsia" w:ascii="宋体" w:hAnsi="宋体" w:eastAsia="宋体" w:cs="宋体"/>
          <w:color w:val="auto"/>
          <w:kern w:val="2"/>
          <w:sz w:val="24"/>
          <w:szCs w:val="24"/>
          <w:highlight w:val="none"/>
          <w:lang w:val="zh-CN" w:eastAsia="zh-CN" w:bidi="zh-CN"/>
        </w:rPr>
      </w:pPr>
    </w:p>
    <w:p w14:paraId="1F8231AD">
      <w:pPr>
        <w:pStyle w:val="32"/>
        <w:rPr>
          <w:rFonts w:hint="eastAsia" w:ascii="宋体" w:hAnsi="宋体" w:eastAsia="宋体" w:cs="宋体"/>
          <w:color w:val="auto"/>
          <w:kern w:val="2"/>
          <w:sz w:val="24"/>
          <w:szCs w:val="24"/>
          <w:highlight w:val="none"/>
          <w:lang w:val="zh-CN" w:eastAsia="zh-CN" w:bidi="zh-CN"/>
        </w:rPr>
      </w:pPr>
    </w:p>
    <w:p w14:paraId="6457313B">
      <w:pPr>
        <w:pStyle w:val="32"/>
        <w:rPr>
          <w:rFonts w:hint="eastAsia" w:ascii="宋体" w:hAnsi="宋体" w:eastAsia="宋体" w:cs="宋体"/>
          <w:color w:val="auto"/>
          <w:kern w:val="2"/>
          <w:sz w:val="24"/>
          <w:szCs w:val="24"/>
          <w:highlight w:val="none"/>
          <w:lang w:val="zh-CN" w:eastAsia="zh-CN" w:bidi="zh-CN"/>
        </w:rPr>
      </w:pPr>
    </w:p>
    <w:p w14:paraId="0F273BE4">
      <w:pPr>
        <w:pStyle w:val="32"/>
        <w:rPr>
          <w:rFonts w:hint="eastAsia" w:ascii="宋体" w:hAnsi="宋体" w:eastAsia="宋体" w:cs="宋体"/>
          <w:color w:val="auto"/>
          <w:kern w:val="2"/>
          <w:sz w:val="24"/>
          <w:szCs w:val="24"/>
          <w:highlight w:val="none"/>
          <w:lang w:val="zh-CN" w:eastAsia="zh-CN" w:bidi="zh-CN"/>
        </w:rPr>
      </w:pPr>
    </w:p>
    <w:p w14:paraId="07519C3B">
      <w:pPr>
        <w:pStyle w:val="32"/>
        <w:rPr>
          <w:rFonts w:hint="eastAsia" w:ascii="宋体" w:hAnsi="宋体" w:eastAsia="宋体" w:cs="宋体"/>
          <w:color w:val="auto"/>
          <w:kern w:val="2"/>
          <w:sz w:val="24"/>
          <w:szCs w:val="24"/>
          <w:highlight w:val="none"/>
          <w:lang w:val="zh-CN" w:eastAsia="zh-CN" w:bidi="zh-CN"/>
        </w:rPr>
      </w:pPr>
    </w:p>
    <w:p w14:paraId="530C712A">
      <w:pPr>
        <w:pStyle w:val="32"/>
        <w:rPr>
          <w:rFonts w:hint="eastAsia" w:ascii="宋体" w:hAnsi="宋体" w:eastAsia="宋体" w:cs="宋体"/>
          <w:color w:val="auto"/>
          <w:kern w:val="2"/>
          <w:sz w:val="24"/>
          <w:szCs w:val="24"/>
          <w:highlight w:val="none"/>
          <w:lang w:val="zh-CN" w:eastAsia="zh-CN" w:bidi="zh-CN"/>
        </w:rPr>
      </w:pPr>
    </w:p>
    <w:p w14:paraId="271D6F89">
      <w:pPr>
        <w:pStyle w:val="32"/>
        <w:rPr>
          <w:rFonts w:hint="eastAsia" w:ascii="宋体" w:hAnsi="宋体" w:eastAsia="宋体" w:cs="宋体"/>
          <w:color w:val="auto"/>
          <w:kern w:val="2"/>
          <w:sz w:val="24"/>
          <w:szCs w:val="24"/>
          <w:highlight w:val="none"/>
          <w:lang w:val="zh-CN" w:eastAsia="zh-CN" w:bidi="zh-CN"/>
        </w:rPr>
      </w:pPr>
    </w:p>
    <w:p w14:paraId="4D899500">
      <w:pPr>
        <w:pStyle w:val="32"/>
        <w:rPr>
          <w:rFonts w:hint="eastAsia" w:ascii="宋体" w:hAnsi="宋体" w:eastAsia="宋体" w:cs="宋体"/>
          <w:color w:val="auto"/>
          <w:kern w:val="2"/>
          <w:sz w:val="24"/>
          <w:szCs w:val="24"/>
          <w:highlight w:val="none"/>
          <w:lang w:val="zh-CN" w:eastAsia="zh-CN" w:bidi="zh-CN"/>
        </w:rPr>
      </w:pPr>
    </w:p>
    <w:p w14:paraId="20639E75">
      <w:pPr>
        <w:pStyle w:val="32"/>
        <w:rPr>
          <w:rFonts w:hint="eastAsia" w:ascii="宋体" w:hAnsi="宋体" w:eastAsia="宋体" w:cs="宋体"/>
          <w:color w:val="auto"/>
          <w:kern w:val="2"/>
          <w:sz w:val="24"/>
          <w:szCs w:val="24"/>
          <w:highlight w:val="none"/>
          <w:lang w:val="zh-CN" w:eastAsia="zh-CN" w:bidi="zh-CN"/>
        </w:rPr>
      </w:pPr>
    </w:p>
    <w:p w14:paraId="3D4620BF">
      <w:pPr>
        <w:pStyle w:val="32"/>
        <w:rPr>
          <w:rFonts w:hint="eastAsia" w:ascii="宋体" w:hAnsi="宋体" w:eastAsia="宋体" w:cs="宋体"/>
          <w:color w:val="auto"/>
          <w:kern w:val="2"/>
          <w:sz w:val="24"/>
          <w:szCs w:val="24"/>
          <w:highlight w:val="none"/>
          <w:lang w:val="zh-CN" w:eastAsia="zh-CN" w:bidi="zh-CN"/>
        </w:rPr>
      </w:pPr>
    </w:p>
    <w:p w14:paraId="650E044E">
      <w:pPr>
        <w:pStyle w:val="32"/>
        <w:rPr>
          <w:rFonts w:hint="eastAsia" w:ascii="宋体" w:hAnsi="宋体" w:eastAsia="宋体" w:cs="宋体"/>
          <w:color w:val="auto"/>
          <w:kern w:val="2"/>
          <w:sz w:val="24"/>
          <w:szCs w:val="24"/>
          <w:highlight w:val="none"/>
          <w:lang w:val="zh-CN" w:eastAsia="zh-CN" w:bidi="zh-CN"/>
        </w:rPr>
      </w:pPr>
    </w:p>
    <w:p w14:paraId="2B24326B">
      <w:pPr>
        <w:pStyle w:val="32"/>
        <w:rPr>
          <w:rFonts w:hint="eastAsia" w:ascii="宋体" w:hAnsi="宋体" w:eastAsia="宋体" w:cs="宋体"/>
          <w:color w:val="auto"/>
          <w:kern w:val="2"/>
          <w:sz w:val="24"/>
          <w:szCs w:val="24"/>
          <w:highlight w:val="none"/>
          <w:lang w:val="zh-CN" w:eastAsia="zh-CN" w:bidi="zh-CN"/>
        </w:rPr>
      </w:pPr>
    </w:p>
    <w:p w14:paraId="5737FCEE">
      <w:pPr>
        <w:pStyle w:val="32"/>
        <w:rPr>
          <w:rFonts w:hint="eastAsia" w:ascii="宋体" w:hAnsi="宋体" w:eastAsia="宋体" w:cs="宋体"/>
          <w:color w:val="auto"/>
          <w:kern w:val="2"/>
          <w:sz w:val="24"/>
          <w:szCs w:val="24"/>
          <w:highlight w:val="none"/>
          <w:lang w:val="zh-CN" w:eastAsia="zh-CN" w:bidi="zh-CN"/>
        </w:rPr>
      </w:pPr>
    </w:p>
    <w:p w14:paraId="5E779AAA">
      <w:pPr>
        <w:pStyle w:val="32"/>
        <w:rPr>
          <w:rFonts w:hint="eastAsia" w:ascii="宋体" w:hAnsi="宋体" w:eastAsia="宋体" w:cs="宋体"/>
          <w:color w:val="auto"/>
          <w:kern w:val="2"/>
          <w:sz w:val="24"/>
          <w:szCs w:val="24"/>
          <w:highlight w:val="none"/>
          <w:lang w:val="zh-CN" w:eastAsia="zh-CN" w:bidi="zh-CN"/>
        </w:rPr>
      </w:pPr>
    </w:p>
    <w:p w14:paraId="31FCF5E5">
      <w:pPr>
        <w:pStyle w:val="32"/>
        <w:rPr>
          <w:rFonts w:hint="eastAsia" w:ascii="宋体" w:hAnsi="宋体" w:eastAsia="宋体" w:cs="宋体"/>
          <w:color w:val="auto"/>
          <w:kern w:val="2"/>
          <w:sz w:val="24"/>
          <w:szCs w:val="24"/>
          <w:highlight w:val="none"/>
          <w:lang w:val="zh-CN" w:eastAsia="zh-CN" w:bidi="zh-CN"/>
        </w:rPr>
      </w:pPr>
    </w:p>
    <w:p w14:paraId="634C0F54">
      <w:pPr>
        <w:pStyle w:val="32"/>
        <w:rPr>
          <w:rFonts w:hint="eastAsia" w:ascii="宋体" w:hAnsi="宋体" w:eastAsia="宋体" w:cs="宋体"/>
          <w:color w:val="auto"/>
          <w:kern w:val="2"/>
          <w:sz w:val="24"/>
          <w:szCs w:val="24"/>
          <w:highlight w:val="none"/>
          <w:lang w:val="zh-CN" w:eastAsia="zh-CN" w:bidi="zh-CN"/>
        </w:rPr>
      </w:pPr>
    </w:p>
    <w:p w14:paraId="3EF5B728">
      <w:pPr>
        <w:pStyle w:val="32"/>
        <w:rPr>
          <w:rFonts w:hint="eastAsia" w:ascii="宋体" w:hAnsi="宋体" w:eastAsia="宋体" w:cs="宋体"/>
          <w:color w:val="auto"/>
          <w:kern w:val="2"/>
          <w:sz w:val="24"/>
          <w:szCs w:val="24"/>
          <w:highlight w:val="none"/>
          <w:lang w:val="zh-CN" w:eastAsia="zh-CN" w:bidi="zh-CN"/>
        </w:rPr>
      </w:pPr>
    </w:p>
    <w:p w14:paraId="5E936FC4">
      <w:pPr>
        <w:pStyle w:val="32"/>
        <w:rPr>
          <w:rFonts w:hint="eastAsia" w:ascii="宋体" w:hAnsi="宋体" w:eastAsia="宋体" w:cs="宋体"/>
          <w:color w:val="auto"/>
          <w:kern w:val="2"/>
          <w:sz w:val="24"/>
          <w:szCs w:val="24"/>
          <w:highlight w:val="none"/>
          <w:lang w:val="zh-CN" w:eastAsia="zh-CN" w:bidi="zh-CN"/>
        </w:rPr>
      </w:pPr>
    </w:p>
    <w:p w14:paraId="46D6FB7F">
      <w:pPr>
        <w:pStyle w:val="32"/>
        <w:rPr>
          <w:rFonts w:hint="eastAsia" w:ascii="宋体" w:hAnsi="宋体" w:eastAsia="宋体" w:cs="宋体"/>
          <w:color w:val="auto"/>
          <w:kern w:val="2"/>
          <w:sz w:val="24"/>
          <w:szCs w:val="24"/>
          <w:highlight w:val="none"/>
          <w:lang w:val="zh-CN" w:eastAsia="zh-CN" w:bidi="zh-CN"/>
        </w:rPr>
      </w:pPr>
    </w:p>
    <w:p w14:paraId="0B12BB28">
      <w:pPr>
        <w:pStyle w:val="32"/>
        <w:rPr>
          <w:rFonts w:hint="eastAsia" w:ascii="宋体" w:hAnsi="宋体" w:eastAsia="宋体" w:cs="宋体"/>
          <w:color w:val="auto"/>
          <w:kern w:val="2"/>
          <w:sz w:val="24"/>
          <w:szCs w:val="24"/>
          <w:highlight w:val="none"/>
          <w:lang w:val="zh-CN" w:eastAsia="zh-CN" w:bidi="zh-CN"/>
        </w:rPr>
      </w:pPr>
    </w:p>
    <w:p w14:paraId="5221A46B">
      <w:pPr>
        <w:keepNext/>
        <w:keepLines/>
        <w:pageBreakBefore w:val="0"/>
        <w:widowControl w:val="0"/>
        <w:kinsoku/>
        <w:wordWrap/>
        <w:overflowPunct/>
        <w:topLinePunct w:val="0"/>
        <w:autoSpaceDE/>
        <w:autoSpaceDN/>
        <w:bidi w:val="0"/>
        <w:adjustRightInd/>
        <w:snapToGrid/>
        <w:spacing w:before="340" w:after="330" w:line="360" w:lineRule="auto"/>
        <w:jc w:val="center"/>
        <w:textAlignment w:val="auto"/>
        <w:outlineLvl w:val="1"/>
        <w:rPr>
          <w:rFonts w:hint="eastAsia" w:ascii="宋体" w:hAnsi="宋体" w:eastAsia="宋体" w:cs="宋体"/>
          <w:b/>
          <w:bCs/>
          <w:color w:val="auto"/>
          <w:kern w:val="44"/>
          <w:sz w:val="44"/>
          <w:szCs w:val="44"/>
          <w:highlight w:val="none"/>
          <w:lang w:val="en-US" w:eastAsia="zh-CN" w:bidi="ar-SA"/>
        </w:rPr>
      </w:pPr>
      <w:bookmarkStart w:id="275" w:name="_Toc6814"/>
      <w:r>
        <w:rPr>
          <w:rFonts w:hint="eastAsia" w:ascii="宋体" w:hAnsi="宋体" w:eastAsia="宋体" w:cs="宋体"/>
          <w:b/>
          <w:bCs/>
          <w:color w:val="auto"/>
          <w:kern w:val="44"/>
          <w:sz w:val="44"/>
          <w:szCs w:val="44"/>
          <w:highlight w:val="none"/>
          <w:lang w:val="en-US" w:eastAsia="zh-CN" w:bidi="ar-SA"/>
        </w:rPr>
        <w:t>第五节 合同附件格式</w:t>
      </w:r>
      <w:bookmarkEnd w:id="275"/>
    </w:p>
    <w:p w14:paraId="7DA4422B">
      <w:pPr>
        <w:keepNext/>
        <w:keepLines/>
        <w:widowControl w:val="0"/>
        <w:spacing w:before="280" w:after="290" w:line="372" w:lineRule="auto"/>
        <w:jc w:val="both"/>
        <w:outlineLvl w:val="4"/>
        <w:rPr>
          <w:rFonts w:ascii="Times New Roman" w:hAnsi="Times New Roman" w:eastAsia="宋体" w:cs="Times New Roman"/>
          <w:b/>
          <w:color w:val="auto"/>
          <w:kern w:val="2"/>
          <w:sz w:val="28"/>
          <w:szCs w:val="24"/>
          <w:highlight w:val="none"/>
          <w:lang w:val="en-US" w:eastAsia="zh-CN" w:bidi="ar-SA"/>
        </w:rPr>
      </w:pPr>
      <w:r>
        <w:rPr>
          <w:rFonts w:hint="eastAsia" w:ascii="宋体" w:hAnsi="宋体" w:eastAsia="宋体" w:cs="宋体"/>
          <w:b/>
          <w:color w:val="auto"/>
          <w:kern w:val="2"/>
          <w:sz w:val="28"/>
          <w:szCs w:val="24"/>
          <w:highlight w:val="none"/>
          <w:lang w:val="en-US" w:eastAsia="zh-CN" w:bidi="ar-SA"/>
        </w:rPr>
        <w:t>附件一：履约保函</w:t>
      </w:r>
    </w:p>
    <w:p w14:paraId="7CDD89D2">
      <w:pPr>
        <w:widowControl w:val="0"/>
        <w:jc w:val="center"/>
        <w:rPr>
          <w:rFonts w:ascii="宋体" w:hAnsi="宋体" w:eastAsia="宋体" w:cs="宋体"/>
          <w:b/>
          <w:color w:val="auto"/>
          <w:kern w:val="2"/>
          <w:sz w:val="32"/>
          <w:szCs w:val="32"/>
          <w:highlight w:val="none"/>
          <w:lang w:val="en-US" w:eastAsia="zh-CN" w:bidi="ar-SA"/>
        </w:rPr>
      </w:pPr>
      <w:r>
        <w:rPr>
          <w:rFonts w:hint="eastAsia" w:ascii="宋体" w:hAnsi="宋体" w:eastAsia="宋体" w:cs="宋体"/>
          <w:b/>
          <w:color w:val="auto"/>
          <w:kern w:val="2"/>
          <w:sz w:val="32"/>
          <w:szCs w:val="32"/>
          <w:highlight w:val="none"/>
          <w:lang w:val="en-US" w:eastAsia="zh-CN" w:bidi="ar-SA"/>
        </w:rPr>
        <w:t>履约保函</w:t>
      </w:r>
    </w:p>
    <w:p w14:paraId="02336EE7">
      <w:pPr>
        <w:widowControl w:val="0"/>
        <w:jc w:val="center"/>
        <w:rPr>
          <w:rFonts w:ascii="宋体" w:hAnsi="宋体" w:eastAsia="宋体" w:cs="宋体"/>
          <w:b/>
          <w:color w:val="auto"/>
          <w:kern w:val="2"/>
          <w:sz w:val="21"/>
          <w:szCs w:val="24"/>
          <w:highlight w:val="none"/>
          <w:lang w:val="en-US" w:eastAsia="zh-CN" w:bidi="ar-SA"/>
        </w:rPr>
      </w:pPr>
    </w:p>
    <w:p w14:paraId="397A1FCE">
      <w:pPr>
        <w:widowControl w:val="0"/>
        <w:jc w:val="center"/>
        <w:rPr>
          <w:rFonts w:ascii="Times New Roman" w:hAnsi="Times New Roman" w:eastAsia="宋体" w:cs="Times New Roman"/>
          <w:b/>
          <w:color w:val="auto"/>
          <w:kern w:val="2"/>
          <w:sz w:val="21"/>
          <w:szCs w:val="24"/>
          <w:highlight w:val="none"/>
          <w:lang w:val="en-US" w:eastAsia="zh-CN" w:bidi="ar-SA"/>
        </w:rPr>
      </w:pPr>
    </w:p>
    <w:p w14:paraId="26BA6CEF">
      <w:pPr>
        <w:widowControl w:val="0"/>
        <w:tabs>
          <w:tab w:val="left" w:pos="1870"/>
        </w:tabs>
        <w:spacing w:after="340" w:line="354" w:lineRule="exact"/>
        <w:jc w:val="both"/>
        <w:rPr>
          <w:rFonts w:hint="eastAsia" w:ascii="宋体" w:hAnsi="宋体" w:eastAsia="宋体" w:cs="宋体"/>
          <w:color w:val="auto"/>
          <w:kern w:val="2"/>
          <w:sz w:val="20"/>
          <w:szCs w:val="20"/>
          <w:highlight w:val="none"/>
          <w:lang w:val="zh-CN" w:eastAsia="zh-CN" w:bidi="zh-CN"/>
        </w:rPr>
      </w:pPr>
      <w:r>
        <w:rPr>
          <w:rFonts w:hint="eastAsia" w:ascii="宋体" w:hAnsi="宋体" w:eastAsia="宋体" w:cs="宋体"/>
          <w:color w:val="auto"/>
          <w:kern w:val="2"/>
          <w:sz w:val="20"/>
          <w:szCs w:val="20"/>
          <w:highlight w:val="none"/>
          <w:u w:val="single"/>
          <w:lang w:val="zh-CN" w:eastAsia="zh-CN" w:bidi="zh-CN"/>
        </w:rPr>
        <w:tab/>
      </w:r>
      <w:r>
        <w:rPr>
          <w:rFonts w:hint="eastAsia" w:ascii="宋体" w:hAnsi="宋体" w:eastAsia="宋体" w:cs="宋体"/>
          <w:color w:val="auto"/>
          <w:kern w:val="2"/>
          <w:sz w:val="20"/>
          <w:szCs w:val="20"/>
          <w:highlight w:val="none"/>
          <w:lang w:val="zh-CN" w:eastAsia="zh-CN" w:bidi="zh-CN"/>
        </w:rPr>
        <w:t>（发包人名称）：</w:t>
      </w:r>
    </w:p>
    <w:p w14:paraId="53E69FFB">
      <w:pPr>
        <w:widowControl w:val="0"/>
        <w:tabs>
          <w:tab w:val="left" w:pos="847"/>
          <w:tab w:val="left" w:pos="1870"/>
          <w:tab w:val="left" w:pos="3485"/>
          <w:tab w:val="left" w:pos="3554"/>
          <w:tab w:val="left" w:pos="6878"/>
          <w:tab w:val="left" w:pos="8059"/>
        </w:tabs>
        <w:spacing w:line="354" w:lineRule="exact"/>
        <w:ind w:firstLine="420"/>
        <w:jc w:val="both"/>
        <w:rPr>
          <w:rFonts w:hint="eastAsia" w:ascii="宋体" w:hAnsi="宋体" w:eastAsia="宋体" w:cs="宋体"/>
          <w:color w:val="auto"/>
          <w:kern w:val="2"/>
          <w:sz w:val="20"/>
          <w:szCs w:val="20"/>
          <w:highlight w:val="none"/>
          <w:lang w:val="zh-CN" w:eastAsia="zh-CN" w:bidi="zh-CN"/>
        </w:rPr>
      </w:pPr>
      <w:r>
        <w:rPr>
          <w:rFonts w:hint="eastAsia" w:ascii="宋体" w:hAnsi="宋体" w:eastAsia="宋体" w:cs="宋体"/>
          <w:color w:val="auto"/>
          <w:kern w:val="2"/>
          <w:sz w:val="20"/>
          <w:szCs w:val="20"/>
          <w:highlight w:val="none"/>
          <w:lang w:val="zh-CN" w:eastAsia="zh-CN" w:bidi="zh-CN"/>
        </w:rPr>
        <w:t xml:space="preserve">鉴于（发包人名称，以下简称“发包人”）接受 </w:t>
      </w:r>
      <w:r>
        <w:rPr>
          <w:rFonts w:hint="eastAsia" w:ascii="宋体" w:hAnsi="宋体" w:eastAsia="宋体" w:cs="宋体"/>
          <w:color w:val="auto"/>
          <w:kern w:val="2"/>
          <w:sz w:val="20"/>
          <w:szCs w:val="20"/>
          <w:highlight w:val="none"/>
          <w:u w:val="single"/>
          <w:lang w:val="zh-CN" w:eastAsia="zh-CN" w:bidi="zh-CN"/>
        </w:rPr>
        <w:tab/>
      </w:r>
      <w:r>
        <w:rPr>
          <w:rFonts w:hint="eastAsia" w:ascii="宋体" w:hAnsi="宋体" w:eastAsia="宋体" w:cs="宋体"/>
          <w:color w:val="auto"/>
          <w:kern w:val="2"/>
          <w:sz w:val="20"/>
          <w:szCs w:val="20"/>
          <w:highlight w:val="none"/>
          <w:lang w:val="zh-CN" w:eastAsia="zh-CN" w:bidi="zh-CN"/>
        </w:rPr>
        <w:t>（承包人名称，以下称“承包人”）于</w:t>
      </w:r>
      <w:r>
        <w:rPr>
          <w:rFonts w:hint="eastAsia" w:ascii="宋体" w:hAnsi="宋体" w:eastAsia="宋体" w:cs="宋体"/>
          <w:color w:val="auto"/>
          <w:kern w:val="2"/>
          <w:sz w:val="20"/>
          <w:szCs w:val="20"/>
          <w:highlight w:val="none"/>
          <w:u w:val="single"/>
          <w:lang w:val="zh-CN" w:eastAsia="zh-CN" w:bidi="zh-CN"/>
        </w:rPr>
        <w:t xml:space="preserve">          </w:t>
      </w:r>
      <w:r>
        <w:rPr>
          <w:rFonts w:hint="eastAsia" w:ascii="宋体" w:hAnsi="宋体" w:eastAsia="宋体" w:cs="宋体"/>
          <w:color w:val="auto"/>
          <w:kern w:val="2"/>
          <w:sz w:val="20"/>
          <w:szCs w:val="20"/>
          <w:highlight w:val="none"/>
          <w:lang w:val="zh-CN" w:eastAsia="zh-CN" w:bidi="zh-CN"/>
        </w:rPr>
        <w:t>年</w:t>
      </w:r>
      <w:r>
        <w:rPr>
          <w:rFonts w:hint="eastAsia" w:ascii="宋体" w:hAnsi="宋体" w:eastAsia="宋体" w:cs="宋体"/>
          <w:color w:val="auto"/>
          <w:kern w:val="2"/>
          <w:sz w:val="20"/>
          <w:szCs w:val="20"/>
          <w:highlight w:val="none"/>
          <w:u w:val="single"/>
          <w:lang w:val="zh-CN" w:eastAsia="zh-CN" w:bidi="zh-CN"/>
        </w:rPr>
        <w:t xml:space="preserve">       </w:t>
      </w:r>
      <w:r>
        <w:rPr>
          <w:rFonts w:hint="eastAsia" w:ascii="宋体" w:hAnsi="宋体" w:eastAsia="宋体" w:cs="宋体"/>
          <w:color w:val="auto"/>
          <w:kern w:val="2"/>
          <w:sz w:val="20"/>
          <w:szCs w:val="20"/>
          <w:highlight w:val="none"/>
          <w:lang w:val="zh-CN" w:eastAsia="zh-CN" w:bidi="zh-CN"/>
        </w:rPr>
        <w:t xml:space="preserve">月 </w:t>
      </w:r>
      <w:r>
        <w:rPr>
          <w:rFonts w:hint="eastAsia" w:ascii="宋体" w:hAnsi="宋体" w:eastAsia="宋体" w:cs="宋体"/>
          <w:color w:val="auto"/>
          <w:kern w:val="2"/>
          <w:sz w:val="20"/>
          <w:szCs w:val="20"/>
          <w:highlight w:val="none"/>
          <w:u w:val="single"/>
          <w:lang w:val="zh-CN" w:eastAsia="zh-CN" w:bidi="zh-CN"/>
        </w:rPr>
        <w:tab/>
      </w:r>
      <w:r>
        <w:rPr>
          <w:rFonts w:hint="eastAsia" w:ascii="宋体" w:hAnsi="宋体" w:eastAsia="宋体" w:cs="宋体"/>
          <w:color w:val="auto"/>
          <w:kern w:val="2"/>
          <w:sz w:val="20"/>
          <w:szCs w:val="20"/>
          <w:highlight w:val="none"/>
          <w:lang w:val="zh-CN" w:eastAsia="zh-CN" w:bidi="zh-CN"/>
        </w:rPr>
        <w:t>日递交的（项目名称）</w:t>
      </w:r>
      <w:r>
        <w:rPr>
          <w:rFonts w:hint="eastAsia" w:ascii="宋体" w:hAnsi="宋体" w:eastAsia="宋体" w:cs="宋体"/>
          <w:color w:val="auto"/>
          <w:kern w:val="2"/>
          <w:sz w:val="20"/>
          <w:szCs w:val="20"/>
          <w:highlight w:val="none"/>
          <w:u w:val="single"/>
          <w:lang w:val="zh-CN" w:eastAsia="zh-CN" w:bidi="zh-CN"/>
        </w:rPr>
        <w:t xml:space="preserve">             </w:t>
      </w:r>
      <w:r>
        <w:rPr>
          <w:rFonts w:hint="eastAsia" w:ascii="宋体" w:hAnsi="宋体" w:eastAsia="宋体" w:cs="宋体"/>
          <w:color w:val="auto"/>
          <w:kern w:val="2"/>
          <w:sz w:val="20"/>
          <w:szCs w:val="20"/>
          <w:highlight w:val="none"/>
          <w:lang w:val="zh-CN" w:eastAsia="zh-CN" w:bidi="zh-CN"/>
        </w:rPr>
        <w:t>（标段名称）的投标文件。我方愿意无条件地、不可撤销地就承包人履行与你方订立的合同，向你方提供担保。</w:t>
      </w:r>
    </w:p>
    <w:p w14:paraId="5F2094AB">
      <w:pPr>
        <w:widowControl w:val="0"/>
        <w:tabs>
          <w:tab w:val="left" w:pos="733"/>
          <w:tab w:val="left" w:pos="4879"/>
          <w:tab w:val="left" w:pos="7402"/>
        </w:tabs>
        <w:spacing w:line="354" w:lineRule="exact"/>
        <w:ind w:firstLine="400" w:firstLineChars="200"/>
        <w:jc w:val="both"/>
        <w:rPr>
          <w:rFonts w:hint="eastAsia" w:ascii="宋体" w:hAnsi="宋体" w:eastAsia="宋体" w:cs="宋体"/>
          <w:color w:val="auto"/>
          <w:kern w:val="2"/>
          <w:sz w:val="20"/>
          <w:szCs w:val="20"/>
          <w:highlight w:val="none"/>
          <w:lang w:val="zh-CN" w:eastAsia="zh-CN" w:bidi="zh-CN"/>
        </w:rPr>
      </w:pPr>
      <w:r>
        <w:rPr>
          <w:rFonts w:hint="eastAsia" w:ascii="宋体" w:hAnsi="宋体" w:eastAsia="宋体" w:cs="宋体"/>
          <w:color w:val="auto"/>
          <w:kern w:val="2"/>
          <w:sz w:val="20"/>
          <w:szCs w:val="20"/>
          <w:highlight w:val="none"/>
          <w:lang w:val="en-US" w:eastAsia="zh-CN" w:bidi="zh-CN"/>
        </w:rPr>
        <w:t>1.</w:t>
      </w:r>
      <w:r>
        <w:rPr>
          <w:rFonts w:hint="eastAsia" w:ascii="宋体" w:hAnsi="宋体" w:eastAsia="宋体" w:cs="宋体"/>
          <w:color w:val="auto"/>
          <w:kern w:val="2"/>
          <w:sz w:val="20"/>
          <w:szCs w:val="20"/>
          <w:highlight w:val="none"/>
          <w:lang w:val="zh-CN" w:eastAsia="zh-CN" w:bidi="zh-CN"/>
        </w:rPr>
        <w:t>担保金额人民币（大写）</w:t>
      </w:r>
      <w:r>
        <w:rPr>
          <w:rFonts w:hint="eastAsia" w:ascii="宋体" w:hAnsi="宋体" w:eastAsia="宋体" w:cs="宋体"/>
          <w:color w:val="auto"/>
          <w:kern w:val="2"/>
          <w:sz w:val="20"/>
          <w:szCs w:val="20"/>
          <w:highlight w:val="none"/>
          <w:u w:val="single"/>
          <w:lang w:val="zh-CN" w:eastAsia="zh-CN" w:bidi="zh-CN"/>
        </w:rPr>
        <w:tab/>
      </w:r>
      <w:r>
        <w:rPr>
          <w:rFonts w:hint="eastAsia" w:ascii="宋体" w:hAnsi="宋体" w:eastAsia="宋体" w:cs="宋体"/>
          <w:color w:val="auto"/>
          <w:kern w:val="2"/>
          <w:sz w:val="20"/>
          <w:szCs w:val="20"/>
          <w:highlight w:val="none"/>
          <w:lang w:val="zh-CN" w:eastAsia="zh-CN" w:bidi="zh-CN"/>
        </w:rPr>
        <w:t>元（¥</w:t>
      </w:r>
      <w:r>
        <w:rPr>
          <w:rFonts w:hint="eastAsia" w:ascii="宋体" w:hAnsi="宋体" w:eastAsia="宋体" w:cs="宋体"/>
          <w:color w:val="auto"/>
          <w:kern w:val="2"/>
          <w:sz w:val="20"/>
          <w:szCs w:val="20"/>
          <w:highlight w:val="none"/>
          <w:u w:val="single"/>
          <w:lang w:val="zh-CN" w:eastAsia="zh-CN" w:bidi="zh-CN"/>
        </w:rPr>
        <w:tab/>
      </w:r>
      <w:r>
        <w:rPr>
          <w:rFonts w:hint="eastAsia" w:ascii="宋体" w:hAnsi="宋体" w:eastAsia="宋体" w:cs="宋体"/>
          <w:color w:val="auto"/>
          <w:kern w:val="2"/>
          <w:sz w:val="20"/>
          <w:szCs w:val="20"/>
          <w:highlight w:val="none"/>
          <w:lang w:val="en-US" w:eastAsia="zh-CN" w:bidi="ar-SA"/>
        </w:rPr>
        <w:t>元）</w:t>
      </w:r>
      <w:r>
        <w:rPr>
          <w:rFonts w:hint="eastAsia" w:ascii="宋体" w:hAnsi="宋体" w:eastAsia="宋体" w:cs="宋体"/>
          <w:color w:val="auto"/>
          <w:kern w:val="2"/>
          <w:sz w:val="20"/>
          <w:szCs w:val="20"/>
          <w:highlight w:val="none"/>
          <w:vertAlign w:val="subscript"/>
          <w:lang w:val="en-US" w:eastAsia="zh-CN" w:bidi="ar-SA"/>
        </w:rPr>
        <w:t>o</w:t>
      </w:r>
    </w:p>
    <w:p w14:paraId="62BE2E28">
      <w:pPr>
        <w:widowControl w:val="0"/>
        <w:tabs>
          <w:tab w:val="left" w:pos="697"/>
        </w:tabs>
        <w:spacing w:line="354" w:lineRule="exact"/>
        <w:ind w:firstLine="400" w:firstLineChars="200"/>
        <w:jc w:val="both"/>
        <w:rPr>
          <w:rFonts w:hint="eastAsia" w:ascii="宋体" w:hAnsi="宋体" w:eastAsia="宋体" w:cs="宋体"/>
          <w:color w:val="auto"/>
          <w:kern w:val="2"/>
          <w:sz w:val="20"/>
          <w:szCs w:val="20"/>
          <w:highlight w:val="none"/>
          <w:lang w:val="zh-CN" w:eastAsia="zh-CN" w:bidi="zh-CN"/>
        </w:rPr>
      </w:pPr>
      <w:r>
        <w:rPr>
          <w:rFonts w:hint="eastAsia" w:ascii="宋体" w:hAnsi="宋体" w:eastAsia="宋体" w:cs="宋体"/>
          <w:color w:val="auto"/>
          <w:kern w:val="2"/>
          <w:sz w:val="20"/>
          <w:szCs w:val="20"/>
          <w:highlight w:val="none"/>
          <w:lang w:val="en-US" w:eastAsia="zh-CN" w:bidi="zh-CN"/>
        </w:rPr>
        <w:t>2.</w:t>
      </w:r>
      <w:r>
        <w:rPr>
          <w:rFonts w:hint="eastAsia" w:ascii="宋体" w:hAnsi="宋体" w:eastAsia="宋体" w:cs="宋体"/>
          <w:color w:val="auto"/>
          <w:kern w:val="2"/>
          <w:sz w:val="20"/>
          <w:szCs w:val="20"/>
          <w:highlight w:val="none"/>
          <w:lang w:val="zh-CN" w:eastAsia="zh-CN" w:bidi="zh-CN"/>
        </w:rPr>
        <w:t>担保有效期自发包人与承包人签订的合同生效之日起至发包人签发工程完工证书之日止。</w:t>
      </w:r>
    </w:p>
    <w:p w14:paraId="594366E2">
      <w:pPr>
        <w:widowControl w:val="0"/>
        <w:tabs>
          <w:tab w:val="left" w:pos="736"/>
        </w:tabs>
        <w:spacing w:line="354" w:lineRule="exact"/>
        <w:ind w:firstLine="400" w:firstLineChars="200"/>
        <w:jc w:val="both"/>
        <w:rPr>
          <w:rFonts w:hint="eastAsia" w:ascii="宋体" w:hAnsi="宋体" w:eastAsia="宋体" w:cs="宋体"/>
          <w:color w:val="auto"/>
          <w:kern w:val="2"/>
          <w:sz w:val="20"/>
          <w:szCs w:val="20"/>
          <w:highlight w:val="none"/>
          <w:lang w:val="zh-CN" w:eastAsia="zh-CN" w:bidi="zh-CN"/>
        </w:rPr>
      </w:pPr>
      <w:r>
        <w:rPr>
          <w:rFonts w:hint="eastAsia" w:ascii="宋体" w:hAnsi="宋体" w:eastAsia="宋体" w:cs="宋体"/>
          <w:color w:val="auto"/>
          <w:kern w:val="2"/>
          <w:sz w:val="20"/>
          <w:szCs w:val="20"/>
          <w:highlight w:val="none"/>
          <w:lang w:val="en-US" w:eastAsia="zh-CN" w:bidi="zh-CN"/>
        </w:rPr>
        <w:t>3.</w:t>
      </w:r>
      <w:r>
        <w:rPr>
          <w:rFonts w:hint="eastAsia" w:ascii="宋体" w:hAnsi="宋体" w:eastAsia="宋体" w:cs="宋体"/>
          <w:color w:val="auto"/>
          <w:kern w:val="2"/>
          <w:sz w:val="20"/>
          <w:szCs w:val="20"/>
          <w:highlight w:val="none"/>
          <w:lang w:val="zh-CN" w:eastAsia="zh-CN" w:bidi="zh-CN"/>
        </w:rPr>
        <w:t>在本担保有效期内，因承包人违反合同约定的义务给你方造成经济损失时，我方在收到你方以书面形式提出的在担保金额内的赔偿要求后，无条件地在7天内予以支付。</w:t>
      </w:r>
    </w:p>
    <w:p w14:paraId="05F1BBBB">
      <w:pPr>
        <w:widowControl w:val="0"/>
        <w:tabs>
          <w:tab w:val="left" w:pos="740"/>
        </w:tabs>
        <w:spacing w:after="340" w:line="354" w:lineRule="exact"/>
        <w:ind w:firstLine="400" w:firstLineChars="200"/>
        <w:jc w:val="both"/>
        <w:rPr>
          <w:rFonts w:hint="eastAsia" w:ascii="宋体" w:hAnsi="宋体" w:eastAsia="宋体" w:cs="宋体"/>
          <w:color w:val="auto"/>
          <w:kern w:val="2"/>
          <w:sz w:val="20"/>
          <w:szCs w:val="20"/>
          <w:highlight w:val="none"/>
          <w:lang w:val="zh-CN" w:eastAsia="zh-CN" w:bidi="zh-CN"/>
        </w:rPr>
      </w:pPr>
      <w:r>
        <w:rPr>
          <w:rFonts w:hint="eastAsia" w:ascii="宋体" w:hAnsi="宋体" w:eastAsia="宋体" w:cs="宋体"/>
          <w:color w:val="auto"/>
          <w:kern w:val="2"/>
          <w:sz w:val="20"/>
          <w:szCs w:val="20"/>
          <w:highlight w:val="none"/>
          <w:lang w:val="en-US" w:eastAsia="zh-CN" w:bidi="zh-CN"/>
        </w:rPr>
        <w:t>4.</w:t>
      </w:r>
      <w:r>
        <w:rPr>
          <w:rFonts w:hint="eastAsia" w:ascii="宋体" w:hAnsi="宋体" w:eastAsia="宋体" w:cs="宋体"/>
          <w:color w:val="auto"/>
          <w:kern w:val="2"/>
          <w:sz w:val="20"/>
          <w:szCs w:val="20"/>
          <w:highlight w:val="none"/>
          <w:lang w:val="zh-CN" w:eastAsia="zh-CN" w:bidi="zh-CN"/>
        </w:rPr>
        <w:t>发包人和承包人按《通用合同条款》第15条变更合同时，我方承担本担保规定的义务不变。</w:t>
      </w:r>
    </w:p>
    <w:p w14:paraId="504A8CB0">
      <w:pPr>
        <w:widowControl w:val="0"/>
        <w:jc w:val="right"/>
        <w:rPr>
          <w:rFonts w:ascii="Times New Roman" w:hAnsi="Times New Roman" w:eastAsia="宋体" w:cs="Times New Roman"/>
          <w:color w:val="auto"/>
          <w:kern w:val="2"/>
          <w:sz w:val="20"/>
          <w:szCs w:val="24"/>
          <w:highlight w:val="none"/>
          <w:lang w:val="en-US" w:eastAsia="zh-CN" w:bidi="ar-SA"/>
        </w:rPr>
      </w:pPr>
      <w:r>
        <w:rPr>
          <w:rFonts w:hint="eastAsia" w:ascii="宋体" w:hAnsi="宋体" w:eastAsia="宋体" w:cs="宋体"/>
          <w:color w:val="auto"/>
          <w:kern w:val="2"/>
          <w:sz w:val="20"/>
          <w:szCs w:val="20"/>
          <w:highlight w:val="none"/>
          <w:lang w:val="en-US" w:eastAsia="zh-CN" w:bidi="ar-SA"/>
        </w:rPr>
        <w:t xml:space="preserve">   </w:t>
      </w:r>
      <w:r>
        <w:rPr>
          <w:rFonts w:hint="eastAsia" w:ascii="Times New Roman" w:hAnsi="Times New Roman" w:eastAsia="宋体" w:cs="Times New Roman"/>
          <w:color w:val="auto"/>
          <w:kern w:val="2"/>
          <w:sz w:val="20"/>
          <w:szCs w:val="24"/>
          <w:highlight w:val="none"/>
          <w:lang w:val="en-US" w:eastAsia="zh-CN" w:bidi="ar-SA"/>
        </w:rPr>
        <w:t>担  保 人：</w:t>
      </w:r>
      <w:r>
        <w:rPr>
          <w:rFonts w:hint="eastAsia" w:ascii="Times New Roman" w:hAnsi="Times New Roman" w:eastAsia="宋体" w:cs="Times New Roman"/>
          <w:color w:val="auto"/>
          <w:kern w:val="2"/>
          <w:sz w:val="20"/>
          <w:szCs w:val="24"/>
          <w:highlight w:val="none"/>
          <w:u w:val="single"/>
          <w:lang w:val="en-US" w:eastAsia="zh-CN" w:bidi="ar-SA"/>
        </w:rPr>
        <w:t xml:space="preserve">                                              </w:t>
      </w:r>
      <w:r>
        <w:rPr>
          <w:rFonts w:hint="eastAsia" w:ascii="Times New Roman" w:hAnsi="Times New Roman" w:eastAsia="宋体" w:cs="Times New Roman"/>
          <w:color w:val="auto"/>
          <w:kern w:val="2"/>
          <w:sz w:val="20"/>
          <w:szCs w:val="24"/>
          <w:highlight w:val="none"/>
          <w:lang w:val="en-US" w:eastAsia="zh-CN" w:bidi="ar-SA"/>
        </w:rPr>
        <w:t>（盖单位公章）</w:t>
      </w:r>
      <w:r>
        <w:rPr>
          <w:rFonts w:ascii="Times New Roman" w:hAnsi="Times New Roman" w:eastAsia="宋体" w:cs="Times New Roman"/>
          <w:color w:val="auto"/>
          <w:kern w:val="2"/>
          <w:sz w:val="20"/>
          <w:szCs w:val="24"/>
          <w:highlight w:val="none"/>
          <w:lang w:val="en-US" w:eastAsia="zh-CN" w:bidi="ar-SA"/>
        </w:rPr>
        <w:t xml:space="preserve"> </w:t>
      </w:r>
    </w:p>
    <w:p w14:paraId="11BE1BD5">
      <w:pPr>
        <w:widowControl w:val="0"/>
        <w:jc w:val="right"/>
        <w:rPr>
          <w:rFonts w:ascii="Times New Roman" w:hAnsi="Times New Roman" w:eastAsia="宋体" w:cs="Times New Roman"/>
          <w:color w:val="auto"/>
          <w:kern w:val="2"/>
          <w:sz w:val="20"/>
          <w:szCs w:val="24"/>
          <w:highlight w:val="none"/>
          <w:lang w:val="en-US" w:eastAsia="zh-CN" w:bidi="ar-SA"/>
        </w:rPr>
      </w:pPr>
      <w:r>
        <w:rPr>
          <w:rFonts w:hint="eastAsia" w:ascii="Times New Roman" w:hAnsi="Times New Roman" w:eastAsia="宋体" w:cs="Times New Roman"/>
          <w:color w:val="auto"/>
          <w:kern w:val="2"/>
          <w:sz w:val="20"/>
          <w:szCs w:val="24"/>
          <w:highlight w:val="none"/>
          <w:lang w:val="en-US" w:eastAsia="zh-CN" w:bidi="ar-SA"/>
        </w:rPr>
        <w:t xml:space="preserve">           定代表人(或委托代理人)：</w:t>
      </w:r>
      <w:r>
        <w:rPr>
          <w:rFonts w:hint="eastAsia" w:ascii="Times New Roman" w:hAnsi="Times New Roman" w:eastAsia="宋体" w:cs="Times New Roman"/>
          <w:color w:val="auto"/>
          <w:kern w:val="2"/>
          <w:sz w:val="20"/>
          <w:szCs w:val="24"/>
          <w:highlight w:val="none"/>
          <w:u w:val="single"/>
          <w:lang w:val="en-US" w:eastAsia="zh-CN" w:bidi="ar-SA"/>
        </w:rPr>
        <w:t xml:space="preserve">                              </w:t>
      </w:r>
      <w:r>
        <w:rPr>
          <w:rFonts w:hint="eastAsia" w:ascii="Times New Roman" w:hAnsi="Times New Roman" w:eastAsia="宋体" w:cs="Times New Roman"/>
          <w:color w:val="auto"/>
          <w:kern w:val="2"/>
          <w:sz w:val="20"/>
          <w:szCs w:val="24"/>
          <w:highlight w:val="none"/>
          <w:lang w:val="en-US" w:eastAsia="zh-CN" w:bidi="ar-SA"/>
        </w:rPr>
        <w:t>（签字）</w:t>
      </w:r>
    </w:p>
    <w:p w14:paraId="0A49E994">
      <w:pPr>
        <w:widowControl w:val="0"/>
        <w:jc w:val="right"/>
        <w:rPr>
          <w:rFonts w:ascii="Times New Roman" w:hAnsi="Times New Roman" w:eastAsia="宋体" w:cs="Times New Roman"/>
          <w:color w:val="auto"/>
          <w:kern w:val="2"/>
          <w:sz w:val="20"/>
          <w:szCs w:val="24"/>
          <w:highlight w:val="none"/>
          <w:lang w:val="en-US" w:eastAsia="zh-CN" w:bidi="ar-SA"/>
        </w:rPr>
      </w:pPr>
      <w:r>
        <w:rPr>
          <w:rFonts w:hint="eastAsia" w:ascii="Times New Roman" w:hAnsi="Times New Roman" w:eastAsia="宋体" w:cs="Times New Roman"/>
          <w:color w:val="auto"/>
          <w:kern w:val="2"/>
          <w:sz w:val="20"/>
          <w:szCs w:val="24"/>
          <w:highlight w:val="none"/>
          <w:lang w:val="en-US" w:eastAsia="zh-CN" w:bidi="ar-SA"/>
        </w:rPr>
        <w:t>地       址：</w:t>
      </w:r>
      <w:r>
        <w:rPr>
          <w:rFonts w:hint="eastAsia" w:ascii="Times New Roman" w:hAnsi="Times New Roman" w:eastAsia="宋体" w:cs="Times New Roman"/>
          <w:color w:val="auto"/>
          <w:kern w:val="2"/>
          <w:sz w:val="20"/>
          <w:szCs w:val="24"/>
          <w:highlight w:val="none"/>
          <w:u w:val="single"/>
          <w:lang w:val="en-US" w:eastAsia="zh-CN" w:bidi="ar-SA"/>
        </w:rPr>
        <w:t xml:space="preserve">                </w:t>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hint="eastAsia" w:ascii="Times New Roman" w:hAnsi="Times New Roman" w:eastAsia="宋体" w:cs="Times New Roman"/>
          <w:color w:val="auto"/>
          <w:kern w:val="2"/>
          <w:sz w:val="20"/>
          <w:szCs w:val="24"/>
          <w:highlight w:val="none"/>
          <w:u w:val="single"/>
          <w:lang w:val="en-US" w:eastAsia="zh-CN" w:bidi="ar-SA"/>
        </w:rPr>
        <w:t xml:space="preserve">   </w:t>
      </w:r>
      <w:r>
        <w:rPr>
          <w:rFonts w:hint="eastAsia" w:ascii="Times New Roman" w:hAnsi="Times New Roman" w:eastAsia="宋体" w:cs="Times New Roman"/>
          <w:color w:val="auto"/>
          <w:kern w:val="2"/>
          <w:sz w:val="20"/>
          <w:szCs w:val="24"/>
          <w:highlight w:val="none"/>
          <w:lang w:val="en-US" w:eastAsia="zh-CN" w:bidi="ar-SA"/>
        </w:rPr>
        <w:t xml:space="preserve"> </w:t>
      </w:r>
    </w:p>
    <w:p w14:paraId="0FACD68B">
      <w:pPr>
        <w:widowControl w:val="0"/>
        <w:jc w:val="right"/>
        <w:rPr>
          <w:rFonts w:ascii="Times New Roman" w:hAnsi="Times New Roman" w:eastAsia="宋体" w:cs="Times New Roman"/>
          <w:color w:val="auto"/>
          <w:kern w:val="2"/>
          <w:sz w:val="20"/>
          <w:szCs w:val="24"/>
          <w:highlight w:val="none"/>
          <w:lang w:val="en-US" w:eastAsia="zh-CN" w:bidi="ar-SA"/>
        </w:rPr>
      </w:pPr>
      <w:r>
        <w:rPr>
          <w:rFonts w:hint="eastAsia" w:ascii="Times New Roman" w:hAnsi="Times New Roman" w:eastAsia="宋体" w:cs="Times New Roman"/>
          <w:color w:val="auto"/>
          <w:kern w:val="2"/>
          <w:sz w:val="20"/>
          <w:szCs w:val="24"/>
          <w:highlight w:val="none"/>
          <w:lang w:val="en-US" w:eastAsia="zh-CN" w:bidi="ar-SA"/>
        </w:rPr>
        <w:t xml:space="preserve">        邮政编码：</w:t>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hint="eastAsia" w:ascii="Times New Roman" w:hAnsi="Times New Roman" w:eastAsia="宋体" w:cs="Times New Roman"/>
          <w:color w:val="auto"/>
          <w:kern w:val="2"/>
          <w:sz w:val="20"/>
          <w:szCs w:val="24"/>
          <w:highlight w:val="none"/>
          <w:u w:val="single"/>
          <w:lang w:val="en-US" w:eastAsia="zh-CN" w:bidi="ar-SA"/>
        </w:rPr>
        <w:t xml:space="preserve"> </w:t>
      </w:r>
      <w:r>
        <w:rPr>
          <w:rFonts w:hint="eastAsia" w:ascii="Times New Roman" w:hAnsi="Times New Roman" w:eastAsia="宋体" w:cs="Times New Roman"/>
          <w:color w:val="auto"/>
          <w:kern w:val="2"/>
          <w:sz w:val="20"/>
          <w:szCs w:val="24"/>
          <w:highlight w:val="none"/>
          <w:lang w:val="en-US" w:eastAsia="zh-CN" w:bidi="ar-SA"/>
        </w:rPr>
        <w:t xml:space="preserve"> </w:t>
      </w:r>
    </w:p>
    <w:p w14:paraId="22692ACB">
      <w:pPr>
        <w:widowControl w:val="0"/>
        <w:jc w:val="right"/>
        <w:rPr>
          <w:rFonts w:ascii="Times New Roman" w:hAnsi="Times New Roman" w:eastAsia="宋体" w:cs="Times New Roman"/>
          <w:color w:val="auto"/>
          <w:kern w:val="2"/>
          <w:sz w:val="20"/>
          <w:szCs w:val="24"/>
          <w:highlight w:val="none"/>
          <w:u w:val="single"/>
          <w:lang w:val="en-US" w:eastAsia="zh-CN" w:bidi="ar-SA"/>
        </w:rPr>
      </w:pPr>
      <w:r>
        <w:rPr>
          <w:rFonts w:hint="eastAsia" w:ascii="Times New Roman" w:hAnsi="Times New Roman" w:eastAsia="宋体" w:cs="Times New Roman"/>
          <w:color w:val="auto"/>
          <w:kern w:val="2"/>
          <w:sz w:val="20"/>
          <w:szCs w:val="24"/>
          <w:highlight w:val="none"/>
          <w:lang w:val="en-US" w:eastAsia="zh-CN" w:bidi="ar-SA"/>
        </w:rPr>
        <w:t xml:space="preserve">        电        话：</w:t>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p>
    <w:p w14:paraId="0B7B4FEB">
      <w:pPr>
        <w:widowControl w:val="0"/>
        <w:jc w:val="right"/>
        <w:rPr>
          <w:rFonts w:ascii="Times New Roman" w:hAnsi="Times New Roman" w:eastAsia="宋体" w:cs="Times New Roman"/>
          <w:color w:val="auto"/>
          <w:kern w:val="2"/>
          <w:sz w:val="20"/>
          <w:szCs w:val="24"/>
          <w:highlight w:val="none"/>
          <w:lang w:val="en-US" w:eastAsia="zh-CN" w:bidi="ar-SA"/>
        </w:rPr>
      </w:pPr>
      <w:r>
        <w:rPr>
          <w:rFonts w:hint="eastAsia" w:ascii="Times New Roman" w:hAnsi="Times New Roman" w:eastAsia="宋体" w:cs="Times New Roman"/>
          <w:color w:val="auto"/>
          <w:kern w:val="2"/>
          <w:sz w:val="20"/>
          <w:szCs w:val="24"/>
          <w:highlight w:val="none"/>
          <w:lang w:val="en-US" w:eastAsia="zh-CN" w:bidi="ar-SA"/>
        </w:rPr>
        <w:t xml:space="preserve">        传        真：</w:t>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p>
    <w:p w14:paraId="35E1F9C4">
      <w:pPr>
        <w:widowControl w:val="0"/>
        <w:jc w:val="right"/>
        <w:rPr>
          <w:rFonts w:hint="eastAsia" w:ascii="宋体" w:hAnsi="宋体" w:eastAsia="宋体" w:cs="宋体"/>
          <w:color w:val="auto"/>
          <w:kern w:val="2"/>
          <w:sz w:val="20"/>
          <w:szCs w:val="20"/>
          <w:highlight w:val="none"/>
          <w:lang w:val="en-US" w:eastAsia="zh-CN" w:bidi="ar-SA"/>
        </w:rPr>
      </w:pPr>
      <w:r>
        <w:rPr>
          <w:rFonts w:ascii="Times New Roman" w:hAnsi="Times New Roman" w:eastAsia="宋体" w:cs="Times New Roman"/>
          <w:color w:val="auto"/>
          <w:kern w:val="2"/>
          <w:sz w:val="20"/>
          <w:szCs w:val="24"/>
          <w:highlight w:val="none"/>
          <w:u w:val="single"/>
          <w:lang w:val="en-US" w:eastAsia="zh-CN" w:bidi="ar-SA"/>
        </w:rPr>
        <w:tab/>
      </w:r>
      <w:r>
        <w:rPr>
          <w:rFonts w:hint="eastAsia" w:ascii="Times New Roman" w:hAnsi="Times New Roman" w:eastAsia="宋体" w:cs="Times New Roman"/>
          <w:color w:val="auto"/>
          <w:kern w:val="2"/>
          <w:sz w:val="20"/>
          <w:szCs w:val="24"/>
          <w:highlight w:val="none"/>
          <w:u w:val="single"/>
          <w:lang w:val="en-US" w:eastAsia="zh-CN" w:bidi="ar-SA"/>
        </w:rPr>
        <w:t xml:space="preserve">       </w:t>
      </w:r>
      <w:r>
        <w:rPr>
          <w:rFonts w:hint="eastAsia" w:ascii="Times New Roman" w:hAnsi="Times New Roman" w:eastAsia="宋体" w:cs="Times New Roman"/>
          <w:color w:val="auto"/>
          <w:kern w:val="2"/>
          <w:sz w:val="20"/>
          <w:szCs w:val="24"/>
          <w:highlight w:val="none"/>
          <w:lang w:val="en-US" w:eastAsia="zh-CN" w:bidi="ar-SA"/>
        </w:rPr>
        <w:t>年</w:t>
      </w:r>
      <w:r>
        <w:rPr>
          <w:rFonts w:ascii="Times New Roman" w:hAnsi="Times New Roman" w:eastAsia="宋体" w:cs="Times New Roman"/>
          <w:color w:val="auto"/>
          <w:kern w:val="2"/>
          <w:sz w:val="20"/>
          <w:szCs w:val="24"/>
          <w:highlight w:val="none"/>
          <w:u w:val="single"/>
          <w:lang w:val="en-US" w:eastAsia="zh-CN" w:bidi="ar-SA"/>
        </w:rPr>
        <w:tab/>
      </w:r>
      <w:r>
        <w:rPr>
          <w:rFonts w:hint="eastAsia" w:ascii="Times New Roman" w:hAnsi="Times New Roman" w:eastAsia="宋体" w:cs="Times New Roman"/>
          <w:color w:val="auto"/>
          <w:kern w:val="2"/>
          <w:sz w:val="20"/>
          <w:szCs w:val="24"/>
          <w:highlight w:val="none"/>
          <w:u w:val="single"/>
          <w:lang w:val="en-US" w:eastAsia="zh-CN" w:bidi="ar-SA"/>
        </w:rPr>
        <w:t xml:space="preserve">       </w:t>
      </w:r>
      <w:r>
        <w:rPr>
          <w:rFonts w:hint="eastAsia" w:ascii="Times New Roman" w:hAnsi="Times New Roman" w:eastAsia="宋体" w:cs="Times New Roman"/>
          <w:color w:val="auto"/>
          <w:kern w:val="2"/>
          <w:sz w:val="20"/>
          <w:szCs w:val="24"/>
          <w:highlight w:val="none"/>
          <w:lang w:val="en-US" w:eastAsia="zh-CN" w:bidi="ar-SA"/>
        </w:rPr>
        <w:t>月</w:t>
      </w:r>
      <w:r>
        <w:rPr>
          <w:rFonts w:hint="eastAsia" w:ascii="Times New Roman" w:hAnsi="Times New Roman" w:eastAsia="宋体" w:cs="Times New Roman"/>
          <w:color w:val="auto"/>
          <w:kern w:val="2"/>
          <w:sz w:val="20"/>
          <w:szCs w:val="24"/>
          <w:highlight w:val="none"/>
          <w:u w:val="single"/>
          <w:lang w:val="en-US" w:eastAsia="zh-CN" w:bidi="ar-SA"/>
        </w:rPr>
        <w:t xml:space="preserve">              </w:t>
      </w:r>
      <w:r>
        <w:rPr>
          <w:rFonts w:hint="eastAsia" w:ascii="Times New Roman" w:hAnsi="Times New Roman" w:eastAsia="宋体" w:cs="Times New Roman"/>
          <w:color w:val="auto"/>
          <w:kern w:val="2"/>
          <w:sz w:val="20"/>
          <w:szCs w:val="24"/>
          <w:highlight w:val="none"/>
          <w:lang w:val="en-US" w:eastAsia="zh-CN" w:bidi="ar-SA"/>
        </w:rPr>
        <w:t xml:space="preserve">日 </w:t>
      </w:r>
      <w:r>
        <w:rPr>
          <w:rFonts w:hint="eastAsia" w:ascii="宋体" w:hAnsi="宋体" w:eastAsia="宋体" w:cs="宋体"/>
          <w:color w:val="auto"/>
          <w:kern w:val="2"/>
          <w:sz w:val="20"/>
          <w:szCs w:val="20"/>
          <w:highlight w:val="none"/>
          <w:lang w:val="en-US" w:eastAsia="zh-CN" w:bidi="ar-SA"/>
        </w:rPr>
        <w:t xml:space="preserve">    </w:t>
      </w:r>
    </w:p>
    <w:p w14:paraId="26F54513">
      <w:pPr>
        <w:widowControl w:val="0"/>
        <w:jc w:val="both"/>
        <w:rPr>
          <w:rFonts w:hint="eastAsia" w:ascii="宋体" w:hAnsi="宋体" w:eastAsia="宋体" w:cs="宋体"/>
          <w:color w:val="auto"/>
          <w:kern w:val="2"/>
          <w:sz w:val="20"/>
          <w:szCs w:val="20"/>
          <w:highlight w:val="none"/>
          <w:lang w:val="zh-CN" w:eastAsia="zh-CN" w:bidi="zh-CN"/>
        </w:rPr>
      </w:pPr>
      <w:r>
        <w:rPr>
          <w:rFonts w:hint="eastAsia" w:ascii="宋体" w:hAnsi="宋体" w:eastAsia="宋体" w:cs="宋体"/>
          <w:color w:val="auto"/>
          <w:kern w:val="2"/>
          <w:sz w:val="20"/>
          <w:szCs w:val="20"/>
          <w:highlight w:val="none"/>
          <w:lang w:val="zh-CN" w:eastAsia="zh-CN" w:bidi="zh-CN"/>
        </w:rPr>
        <w:t>注：</w:t>
      </w:r>
    </w:p>
    <w:p w14:paraId="266F6280">
      <w:pPr>
        <w:widowControl w:val="0"/>
        <w:tabs>
          <w:tab w:val="left" w:pos="733"/>
        </w:tabs>
        <w:spacing w:line="354" w:lineRule="exact"/>
        <w:jc w:val="both"/>
        <w:rPr>
          <w:rFonts w:hint="eastAsia" w:ascii="宋体" w:hAnsi="宋体" w:eastAsia="宋体" w:cs="宋体"/>
          <w:color w:val="auto"/>
          <w:kern w:val="2"/>
          <w:sz w:val="20"/>
          <w:szCs w:val="20"/>
          <w:highlight w:val="none"/>
          <w:lang w:val="zh-CN" w:eastAsia="zh-CN" w:bidi="zh-CN"/>
        </w:rPr>
      </w:pPr>
      <w:r>
        <w:rPr>
          <w:rFonts w:hint="eastAsia" w:ascii="宋体" w:hAnsi="宋体" w:eastAsia="宋体" w:cs="宋体"/>
          <w:color w:val="auto"/>
          <w:kern w:val="2"/>
          <w:sz w:val="20"/>
          <w:szCs w:val="20"/>
          <w:highlight w:val="none"/>
          <w:lang w:val="en-US" w:eastAsia="zh-CN" w:bidi="zh-CN"/>
        </w:rPr>
        <w:t>1.</w:t>
      </w:r>
      <w:r>
        <w:rPr>
          <w:rFonts w:hint="eastAsia" w:ascii="宋体" w:hAnsi="宋体" w:eastAsia="宋体" w:cs="宋体"/>
          <w:color w:val="auto"/>
          <w:kern w:val="2"/>
          <w:sz w:val="20"/>
          <w:szCs w:val="20"/>
          <w:highlight w:val="none"/>
          <w:lang w:val="zh-CN" w:eastAsia="zh-CN" w:bidi="zh-CN"/>
        </w:rPr>
        <w:t>担保人必须是投标人单位基本账户的开户银行。</w:t>
      </w:r>
    </w:p>
    <w:p w14:paraId="2136DD3D">
      <w:pPr>
        <w:widowControl w:val="0"/>
        <w:tabs>
          <w:tab w:val="left" w:pos="750"/>
        </w:tabs>
        <w:spacing w:after="340" w:line="354" w:lineRule="exact"/>
        <w:jc w:val="both"/>
        <w:rPr>
          <w:rFonts w:hint="eastAsia" w:ascii="宋体" w:hAnsi="宋体" w:eastAsia="宋体" w:cs="宋体"/>
          <w:color w:val="auto"/>
          <w:kern w:val="2"/>
          <w:sz w:val="20"/>
          <w:szCs w:val="20"/>
          <w:highlight w:val="none"/>
          <w:lang w:val="zh-CN" w:eastAsia="zh-CN" w:bidi="zh-CN"/>
        </w:rPr>
      </w:pPr>
      <w:r>
        <w:rPr>
          <w:rFonts w:hint="eastAsia" w:ascii="宋体" w:hAnsi="宋体" w:eastAsia="宋体" w:cs="宋体"/>
          <w:color w:val="auto"/>
          <w:kern w:val="2"/>
          <w:sz w:val="20"/>
          <w:szCs w:val="20"/>
          <w:highlight w:val="none"/>
          <w:lang w:val="en-US" w:eastAsia="zh-CN" w:bidi="zh-CN"/>
        </w:rPr>
        <w:t>2.</w:t>
      </w:r>
      <w:r>
        <w:rPr>
          <w:rFonts w:hint="eastAsia" w:ascii="宋体" w:hAnsi="宋体" w:eastAsia="宋体" w:cs="宋体"/>
          <w:color w:val="auto"/>
          <w:kern w:val="2"/>
          <w:sz w:val="20"/>
          <w:szCs w:val="20"/>
          <w:highlight w:val="none"/>
          <w:lang w:val="zh-CN" w:eastAsia="zh-CN" w:bidi="zh-CN"/>
        </w:rPr>
        <w:t>委托代理人应附授权委托书。</w:t>
      </w:r>
    </w:p>
    <w:p w14:paraId="41832460">
      <w:pPr>
        <w:widowControl w:val="0"/>
        <w:tabs>
          <w:tab w:val="left" w:pos="750"/>
        </w:tabs>
        <w:spacing w:after="340" w:line="354" w:lineRule="exact"/>
        <w:jc w:val="both"/>
        <w:rPr>
          <w:rFonts w:hint="eastAsia" w:ascii="宋体" w:hAnsi="宋体" w:eastAsia="宋体" w:cs="宋体"/>
          <w:color w:val="auto"/>
          <w:kern w:val="2"/>
          <w:sz w:val="20"/>
          <w:szCs w:val="20"/>
          <w:highlight w:val="none"/>
          <w:lang w:val="zh-CN" w:eastAsia="zh-CN" w:bidi="zh-CN"/>
        </w:rPr>
      </w:pPr>
    </w:p>
    <w:p w14:paraId="272301F3">
      <w:pPr>
        <w:widowControl w:val="0"/>
        <w:tabs>
          <w:tab w:val="left" w:pos="750"/>
        </w:tabs>
        <w:spacing w:after="340" w:line="354" w:lineRule="exact"/>
        <w:jc w:val="both"/>
        <w:rPr>
          <w:rFonts w:hint="eastAsia" w:ascii="宋体" w:hAnsi="宋体" w:eastAsia="宋体" w:cs="宋体"/>
          <w:color w:val="auto"/>
          <w:kern w:val="2"/>
          <w:sz w:val="20"/>
          <w:szCs w:val="20"/>
          <w:highlight w:val="none"/>
          <w:lang w:val="zh-CN" w:eastAsia="zh-CN" w:bidi="zh-CN"/>
        </w:rPr>
      </w:pPr>
    </w:p>
    <w:p w14:paraId="5564334B">
      <w:pPr>
        <w:widowControl w:val="0"/>
        <w:tabs>
          <w:tab w:val="left" w:pos="750"/>
        </w:tabs>
        <w:spacing w:after="340" w:line="354" w:lineRule="exact"/>
        <w:jc w:val="both"/>
        <w:rPr>
          <w:rFonts w:hint="eastAsia" w:ascii="宋体" w:hAnsi="宋体" w:eastAsia="宋体" w:cs="宋体"/>
          <w:color w:val="auto"/>
          <w:kern w:val="2"/>
          <w:sz w:val="20"/>
          <w:szCs w:val="20"/>
          <w:highlight w:val="none"/>
          <w:lang w:val="zh-CN" w:eastAsia="zh-CN" w:bidi="zh-CN"/>
        </w:rPr>
      </w:pPr>
    </w:p>
    <w:p w14:paraId="61D4BDC7">
      <w:pPr>
        <w:keepNext/>
        <w:keepLines/>
        <w:widowControl w:val="0"/>
        <w:spacing w:before="280" w:after="290" w:line="372" w:lineRule="auto"/>
        <w:jc w:val="both"/>
        <w:outlineLvl w:val="4"/>
        <w:rPr>
          <w:rFonts w:ascii="Times New Roman" w:hAnsi="Times New Roman" w:eastAsia="宋体" w:cs="Times New Roman"/>
          <w:b/>
          <w:color w:val="auto"/>
          <w:kern w:val="2"/>
          <w:sz w:val="28"/>
          <w:szCs w:val="24"/>
          <w:highlight w:val="none"/>
          <w:lang w:val="en-US" w:eastAsia="zh-CN" w:bidi="ar-SA"/>
        </w:rPr>
      </w:pPr>
      <w:r>
        <w:rPr>
          <w:rFonts w:hint="eastAsia" w:ascii="宋体" w:hAnsi="宋体" w:eastAsia="宋体" w:cs="宋体"/>
          <w:b/>
          <w:color w:val="auto"/>
          <w:kern w:val="2"/>
          <w:sz w:val="28"/>
          <w:szCs w:val="24"/>
          <w:highlight w:val="none"/>
          <w:lang w:val="en-US" w:eastAsia="zh-CN" w:bidi="ar-SA"/>
        </w:rPr>
        <w:br w:type="page"/>
      </w:r>
      <w:r>
        <w:rPr>
          <w:rFonts w:hint="eastAsia" w:ascii="宋体" w:hAnsi="宋体" w:eastAsia="宋体" w:cs="宋体"/>
          <w:b/>
          <w:color w:val="auto"/>
          <w:kern w:val="2"/>
          <w:sz w:val="28"/>
          <w:szCs w:val="24"/>
          <w:highlight w:val="none"/>
          <w:lang w:val="en-US" w:eastAsia="zh-CN" w:bidi="ar-SA"/>
        </w:rPr>
        <w:t>附件二：预付款担保函</w:t>
      </w:r>
    </w:p>
    <w:p w14:paraId="55BCA60B">
      <w:pPr>
        <w:widowControl w:val="0"/>
        <w:spacing w:before="120" w:beforeLines="50"/>
        <w:jc w:val="center"/>
        <w:rPr>
          <w:rFonts w:ascii="宋体" w:hAnsi="宋体" w:eastAsia="宋体" w:cs="宋体"/>
          <w:b/>
          <w:color w:val="auto"/>
          <w:kern w:val="2"/>
          <w:sz w:val="32"/>
          <w:szCs w:val="32"/>
          <w:highlight w:val="none"/>
          <w:lang w:val="en-US" w:eastAsia="zh-CN" w:bidi="ar-SA"/>
        </w:rPr>
      </w:pPr>
      <w:r>
        <w:rPr>
          <w:rFonts w:hint="eastAsia" w:ascii="宋体" w:hAnsi="宋体" w:eastAsia="宋体" w:cs="宋体"/>
          <w:b/>
          <w:color w:val="auto"/>
          <w:kern w:val="2"/>
          <w:sz w:val="32"/>
          <w:szCs w:val="32"/>
          <w:highlight w:val="none"/>
          <w:lang w:val="en-US" w:eastAsia="zh-CN" w:bidi="ar-SA"/>
        </w:rPr>
        <w:t>预付款担保函</w:t>
      </w:r>
    </w:p>
    <w:p w14:paraId="1D544DB1">
      <w:pPr>
        <w:widowControl w:val="0"/>
        <w:jc w:val="center"/>
        <w:rPr>
          <w:rFonts w:ascii="Times New Roman" w:hAnsi="Times New Roman" w:eastAsia="宋体" w:cs="Times New Roman"/>
          <w:b/>
          <w:color w:val="auto"/>
          <w:kern w:val="2"/>
          <w:sz w:val="21"/>
          <w:szCs w:val="24"/>
          <w:highlight w:val="none"/>
          <w:lang w:val="en-US" w:eastAsia="zh-CN" w:bidi="ar-SA"/>
        </w:rPr>
      </w:pPr>
    </w:p>
    <w:p w14:paraId="4C03C745">
      <w:pPr>
        <w:widowControl w:val="0"/>
        <w:tabs>
          <w:tab w:val="left" w:pos="1870"/>
        </w:tabs>
        <w:spacing w:after="340"/>
        <w:jc w:val="both"/>
        <w:rPr>
          <w:rFonts w:ascii="宋体" w:hAnsi="宋体" w:eastAsia="宋体" w:cs="宋体"/>
          <w:color w:val="auto"/>
          <w:kern w:val="2"/>
          <w:sz w:val="20"/>
          <w:szCs w:val="20"/>
          <w:highlight w:val="none"/>
          <w:lang w:val="zh-CN" w:eastAsia="zh-CN" w:bidi="zh-CN"/>
        </w:rPr>
      </w:pPr>
      <w:r>
        <w:rPr>
          <w:rFonts w:ascii="宋体" w:hAnsi="宋体" w:eastAsia="宋体" w:cs="宋体"/>
          <w:color w:val="auto"/>
          <w:kern w:val="2"/>
          <w:sz w:val="20"/>
          <w:szCs w:val="20"/>
          <w:highlight w:val="none"/>
          <w:u w:val="single"/>
          <w:lang w:val="zh-CN" w:eastAsia="zh-CN" w:bidi="zh-CN"/>
        </w:rPr>
        <w:tab/>
      </w:r>
      <w:r>
        <w:rPr>
          <w:rFonts w:ascii="宋体" w:hAnsi="宋体" w:eastAsia="宋体" w:cs="宋体"/>
          <w:color w:val="auto"/>
          <w:kern w:val="2"/>
          <w:sz w:val="20"/>
          <w:szCs w:val="20"/>
          <w:highlight w:val="none"/>
          <w:lang w:val="zh-CN" w:eastAsia="zh-CN" w:bidi="zh-CN"/>
        </w:rPr>
        <w:t>（发包人名称）:</w:t>
      </w:r>
    </w:p>
    <w:p w14:paraId="0DDF2026">
      <w:pPr>
        <w:widowControl w:val="0"/>
        <w:tabs>
          <w:tab w:val="left" w:pos="1870"/>
          <w:tab w:val="left" w:pos="2707"/>
          <w:tab w:val="left" w:pos="5004"/>
          <w:tab w:val="left" w:pos="5033"/>
          <w:tab w:val="left" w:pos="6163"/>
          <w:tab w:val="left" w:pos="7322"/>
          <w:tab w:val="left" w:pos="8333"/>
        </w:tabs>
        <w:spacing w:after="120" w:line="355" w:lineRule="exact"/>
        <w:ind w:firstLine="420"/>
        <w:jc w:val="both"/>
        <w:rPr>
          <w:rFonts w:ascii="宋体" w:hAnsi="宋体" w:eastAsia="宋体" w:cs="宋体"/>
          <w:color w:val="auto"/>
          <w:kern w:val="2"/>
          <w:sz w:val="20"/>
          <w:szCs w:val="20"/>
          <w:highlight w:val="none"/>
          <w:lang w:val="zh-CN" w:eastAsia="zh-CN" w:bidi="zh-CN"/>
        </w:rPr>
      </w:pPr>
      <w:r>
        <w:rPr>
          <w:rFonts w:ascii="宋体" w:hAnsi="宋体" w:eastAsia="宋体" w:cs="宋体"/>
          <w:color w:val="auto"/>
          <w:kern w:val="2"/>
          <w:sz w:val="20"/>
          <w:szCs w:val="20"/>
          <w:highlight w:val="none"/>
          <w:lang w:val="zh-CN" w:eastAsia="zh-CN" w:bidi="zh-CN"/>
        </w:rPr>
        <w:t>根据</w:t>
      </w:r>
      <w:r>
        <w:rPr>
          <w:rFonts w:ascii="宋体" w:hAnsi="宋体" w:eastAsia="宋体" w:cs="宋体"/>
          <w:color w:val="auto"/>
          <w:kern w:val="2"/>
          <w:sz w:val="20"/>
          <w:szCs w:val="20"/>
          <w:highlight w:val="none"/>
          <w:u w:val="single"/>
          <w:lang w:val="zh-CN" w:eastAsia="zh-CN" w:bidi="zh-CN"/>
        </w:rPr>
        <w:tab/>
      </w:r>
      <w:r>
        <w:rPr>
          <w:rFonts w:ascii="宋体" w:hAnsi="宋体" w:eastAsia="宋体" w:cs="宋体"/>
          <w:color w:val="auto"/>
          <w:kern w:val="2"/>
          <w:sz w:val="20"/>
          <w:szCs w:val="20"/>
          <w:highlight w:val="none"/>
          <w:lang w:val="zh-CN" w:eastAsia="zh-CN" w:bidi="zh-CN"/>
        </w:rPr>
        <w:t>（承包人名称，以下称“承包人”）与</w:t>
      </w:r>
      <w:r>
        <w:rPr>
          <w:rFonts w:ascii="宋体" w:hAnsi="宋体" w:eastAsia="宋体" w:cs="宋体"/>
          <w:color w:val="auto"/>
          <w:kern w:val="2"/>
          <w:sz w:val="20"/>
          <w:szCs w:val="20"/>
          <w:highlight w:val="none"/>
          <w:u w:val="single"/>
          <w:lang w:val="zh-CN" w:eastAsia="zh-CN" w:bidi="zh-CN"/>
        </w:rPr>
        <w:tab/>
      </w:r>
      <w:r>
        <w:rPr>
          <w:rFonts w:ascii="宋体" w:hAnsi="宋体" w:eastAsia="宋体" w:cs="宋体"/>
          <w:color w:val="auto"/>
          <w:kern w:val="2"/>
          <w:sz w:val="20"/>
          <w:szCs w:val="20"/>
          <w:highlight w:val="none"/>
          <w:lang w:val="zh-CN" w:eastAsia="zh-CN" w:bidi="zh-CN"/>
        </w:rPr>
        <w:t xml:space="preserve"> （发包人名称，以下简称“发包人”）于</w:t>
      </w:r>
      <w:r>
        <w:rPr>
          <w:rFonts w:ascii="宋体" w:hAnsi="宋体" w:eastAsia="宋体" w:cs="宋体"/>
          <w:color w:val="auto"/>
          <w:kern w:val="2"/>
          <w:sz w:val="20"/>
          <w:szCs w:val="20"/>
          <w:highlight w:val="none"/>
          <w:u w:val="single"/>
          <w:lang w:val="zh-CN" w:eastAsia="zh-CN" w:bidi="zh-CN"/>
        </w:rPr>
        <w:tab/>
      </w:r>
      <w:r>
        <w:rPr>
          <w:rFonts w:hint="eastAsia" w:ascii="宋体" w:hAnsi="宋体" w:eastAsia="宋体" w:cs="宋体"/>
          <w:color w:val="auto"/>
          <w:kern w:val="2"/>
          <w:sz w:val="20"/>
          <w:szCs w:val="20"/>
          <w:highlight w:val="none"/>
          <w:u w:val="single"/>
          <w:lang w:val="zh-CN" w:eastAsia="zh-CN" w:bidi="zh-CN"/>
        </w:rPr>
        <w:t xml:space="preserve">  </w:t>
      </w:r>
      <w:r>
        <w:rPr>
          <w:rFonts w:ascii="宋体" w:hAnsi="宋体" w:eastAsia="宋体" w:cs="宋体"/>
          <w:color w:val="auto"/>
          <w:kern w:val="2"/>
          <w:sz w:val="20"/>
          <w:szCs w:val="20"/>
          <w:highlight w:val="none"/>
          <w:lang w:val="zh-CN" w:eastAsia="zh-CN" w:bidi="zh-CN"/>
        </w:rPr>
        <w:t>年</w:t>
      </w:r>
      <w:r>
        <w:rPr>
          <w:rFonts w:ascii="宋体" w:hAnsi="宋体" w:eastAsia="宋体" w:cs="宋体"/>
          <w:color w:val="auto"/>
          <w:kern w:val="2"/>
          <w:sz w:val="20"/>
          <w:szCs w:val="20"/>
          <w:highlight w:val="none"/>
          <w:u w:val="single"/>
          <w:lang w:val="zh-CN" w:eastAsia="zh-CN" w:bidi="zh-CN"/>
        </w:rPr>
        <w:tab/>
      </w:r>
      <w:r>
        <w:rPr>
          <w:rFonts w:ascii="宋体" w:hAnsi="宋体" w:eastAsia="宋体" w:cs="宋体"/>
          <w:color w:val="auto"/>
          <w:kern w:val="2"/>
          <w:sz w:val="20"/>
          <w:szCs w:val="20"/>
          <w:highlight w:val="none"/>
          <w:lang w:val="zh-CN" w:eastAsia="zh-CN" w:bidi="zh-CN"/>
        </w:rPr>
        <w:t>月</w:t>
      </w:r>
      <w:r>
        <w:rPr>
          <w:rFonts w:hint="eastAsia" w:ascii="宋体" w:hAnsi="宋体" w:eastAsia="宋体" w:cs="宋体"/>
          <w:color w:val="auto"/>
          <w:kern w:val="2"/>
          <w:sz w:val="20"/>
          <w:szCs w:val="20"/>
          <w:highlight w:val="none"/>
          <w:u w:val="single"/>
          <w:lang w:val="zh-CN" w:eastAsia="zh-CN" w:bidi="zh-CN"/>
        </w:rPr>
        <w:t xml:space="preserve">        </w:t>
      </w:r>
      <w:r>
        <w:rPr>
          <w:rFonts w:ascii="宋体" w:hAnsi="宋体" w:eastAsia="宋体" w:cs="宋体"/>
          <w:color w:val="auto"/>
          <w:kern w:val="2"/>
          <w:sz w:val="20"/>
          <w:szCs w:val="20"/>
          <w:highlight w:val="none"/>
          <w:lang w:val="zh-CN" w:eastAsia="zh-CN" w:bidi="zh-CN"/>
        </w:rPr>
        <w:t xml:space="preserve">日签订的 </w:t>
      </w:r>
      <w:r>
        <w:rPr>
          <w:rFonts w:ascii="宋体" w:hAnsi="宋体" w:eastAsia="宋体" w:cs="宋体"/>
          <w:color w:val="auto"/>
          <w:kern w:val="2"/>
          <w:sz w:val="20"/>
          <w:szCs w:val="20"/>
          <w:highlight w:val="none"/>
          <w:u w:val="single"/>
          <w:lang w:val="zh-CN" w:eastAsia="zh-CN" w:bidi="zh-CN"/>
        </w:rPr>
        <w:tab/>
      </w:r>
      <w:r>
        <w:rPr>
          <w:rFonts w:ascii="宋体" w:hAnsi="宋体" w:eastAsia="宋体" w:cs="宋体"/>
          <w:color w:val="auto"/>
          <w:kern w:val="2"/>
          <w:sz w:val="20"/>
          <w:szCs w:val="20"/>
          <w:highlight w:val="none"/>
          <w:lang w:val="zh-CN" w:eastAsia="zh-CN" w:bidi="zh-CN"/>
        </w:rPr>
        <w:t>（项目名称）</w:t>
      </w:r>
      <w:r>
        <w:rPr>
          <w:rFonts w:ascii="宋体" w:hAnsi="宋体" w:eastAsia="宋体" w:cs="宋体"/>
          <w:color w:val="auto"/>
          <w:kern w:val="2"/>
          <w:sz w:val="20"/>
          <w:szCs w:val="20"/>
          <w:highlight w:val="none"/>
          <w:u w:val="single"/>
          <w:lang w:val="zh-CN" w:eastAsia="zh-CN" w:bidi="zh-CN"/>
        </w:rPr>
        <w:tab/>
      </w:r>
      <w:r>
        <w:rPr>
          <w:rFonts w:ascii="宋体" w:hAnsi="宋体" w:eastAsia="宋体" w:cs="宋体"/>
          <w:color w:val="auto"/>
          <w:kern w:val="2"/>
          <w:sz w:val="20"/>
          <w:szCs w:val="20"/>
          <w:highlight w:val="none"/>
          <w:lang w:val="zh-CN" w:eastAsia="zh-CN" w:bidi="zh-CN"/>
        </w:rPr>
        <w:t>（标段名称）合同协议书，承包人 按约定的金额向发包人提交一份预付款担保，即有权得到发包人支付相等金额的预付款。 我方愿意就你方提供给承包人的预付款提供担保。</w:t>
      </w:r>
    </w:p>
    <w:p w14:paraId="430F3D93">
      <w:pPr>
        <w:widowControl w:val="0"/>
        <w:numPr>
          <w:ilvl w:val="0"/>
          <w:numId w:val="46"/>
        </w:numPr>
        <w:tabs>
          <w:tab w:val="left" w:pos="719"/>
          <w:tab w:val="left" w:pos="4879"/>
          <w:tab w:val="left" w:pos="7402"/>
        </w:tabs>
        <w:spacing w:line="372" w:lineRule="auto"/>
        <w:jc w:val="both"/>
        <w:rPr>
          <w:rFonts w:ascii="宋体" w:hAnsi="宋体" w:eastAsia="宋体" w:cs="宋体"/>
          <w:color w:val="auto"/>
          <w:kern w:val="2"/>
          <w:sz w:val="20"/>
          <w:szCs w:val="20"/>
          <w:highlight w:val="none"/>
          <w:lang w:val="zh-CN" w:eastAsia="zh-CN" w:bidi="zh-CN"/>
        </w:rPr>
      </w:pPr>
      <w:r>
        <w:rPr>
          <w:rFonts w:ascii="宋体" w:hAnsi="宋体" w:eastAsia="宋体" w:cs="宋体"/>
          <w:color w:val="auto"/>
          <w:kern w:val="2"/>
          <w:sz w:val="20"/>
          <w:szCs w:val="20"/>
          <w:highlight w:val="none"/>
          <w:lang w:val="zh-CN" w:eastAsia="zh-CN" w:bidi="zh-CN"/>
        </w:rPr>
        <w:t>担保金额人民币（大写）</w:t>
      </w:r>
      <w:r>
        <w:rPr>
          <w:rFonts w:ascii="宋体" w:hAnsi="宋体" w:eastAsia="宋体" w:cs="宋体"/>
          <w:color w:val="auto"/>
          <w:kern w:val="2"/>
          <w:sz w:val="20"/>
          <w:szCs w:val="20"/>
          <w:highlight w:val="none"/>
          <w:u w:val="single"/>
          <w:lang w:val="zh-CN" w:eastAsia="zh-CN" w:bidi="zh-CN"/>
        </w:rPr>
        <w:tab/>
      </w:r>
      <w:r>
        <w:rPr>
          <w:rFonts w:ascii="宋体" w:hAnsi="宋体" w:eastAsia="宋体" w:cs="宋体"/>
          <w:color w:val="auto"/>
          <w:kern w:val="2"/>
          <w:sz w:val="20"/>
          <w:szCs w:val="20"/>
          <w:highlight w:val="none"/>
          <w:lang w:val="zh-CN" w:eastAsia="zh-CN" w:bidi="zh-CN"/>
        </w:rPr>
        <w:t>元（¥</w:t>
      </w:r>
      <w:r>
        <w:rPr>
          <w:rFonts w:ascii="宋体" w:hAnsi="宋体" w:eastAsia="宋体" w:cs="宋体"/>
          <w:color w:val="auto"/>
          <w:kern w:val="2"/>
          <w:sz w:val="20"/>
          <w:szCs w:val="20"/>
          <w:highlight w:val="none"/>
          <w:u w:val="single"/>
          <w:lang w:val="zh-CN" w:eastAsia="zh-CN" w:bidi="zh-CN"/>
        </w:rPr>
        <w:tab/>
      </w:r>
      <w:r>
        <w:rPr>
          <w:rFonts w:hint="eastAsia" w:ascii="宋体" w:hAnsi="宋体" w:eastAsia="宋体" w:cs="宋体"/>
          <w:color w:val="auto"/>
          <w:kern w:val="2"/>
          <w:sz w:val="20"/>
          <w:szCs w:val="20"/>
          <w:highlight w:val="none"/>
          <w:lang w:val="en-US" w:eastAsia="zh-CN" w:bidi="ar-SA"/>
        </w:rPr>
        <w:t>）</w:t>
      </w:r>
      <w:r>
        <w:rPr>
          <w:rFonts w:ascii="Times New Roman" w:hAnsi="Times New Roman" w:eastAsia="宋体" w:cs="Times New Roman"/>
          <w:color w:val="auto"/>
          <w:kern w:val="2"/>
          <w:sz w:val="20"/>
          <w:szCs w:val="20"/>
          <w:highlight w:val="none"/>
          <w:vertAlign w:val="subscript"/>
          <w:lang w:val="en-US" w:eastAsia="zh-CN" w:bidi="ar-SA"/>
        </w:rPr>
        <w:t>o</w:t>
      </w:r>
    </w:p>
    <w:p w14:paraId="191283D9">
      <w:pPr>
        <w:widowControl w:val="0"/>
        <w:numPr>
          <w:ilvl w:val="0"/>
          <w:numId w:val="46"/>
        </w:numPr>
        <w:tabs>
          <w:tab w:val="left" w:pos="726"/>
        </w:tabs>
        <w:spacing w:line="355" w:lineRule="exact"/>
        <w:jc w:val="both"/>
        <w:rPr>
          <w:rFonts w:ascii="宋体" w:hAnsi="宋体" w:eastAsia="宋体" w:cs="宋体"/>
          <w:color w:val="auto"/>
          <w:kern w:val="2"/>
          <w:sz w:val="20"/>
          <w:szCs w:val="20"/>
          <w:highlight w:val="none"/>
          <w:lang w:val="zh-CN" w:eastAsia="zh-CN" w:bidi="zh-CN"/>
        </w:rPr>
      </w:pPr>
      <w:r>
        <w:rPr>
          <w:rFonts w:ascii="宋体" w:hAnsi="宋体" w:eastAsia="宋体" w:cs="宋体"/>
          <w:color w:val="auto"/>
          <w:kern w:val="2"/>
          <w:sz w:val="20"/>
          <w:szCs w:val="20"/>
          <w:highlight w:val="none"/>
          <w:lang w:val="zh-CN" w:eastAsia="zh-CN" w:bidi="zh-CN"/>
        </w:rPr>
        <w:t>担保有效期自预付款支付给承包人起生效，至发包人签发的进度付款证书说明已完全扣清止。</w:t>
      </w:r>
    </w:p>
    <w:p w14:paraId="5A750F2D">
      <w:pPr>
        <w:widowControl w:val="0"/>
        <w:numPr>
          <w:ilvl w:val="0"/>
          <w:numId w:val="46"/>
        </w:numPr>
        <w:tabs>
          <w:tab w:val="left" w:pos="731"/>
        </w:tabs>
        <w:spacing w:line="355" w:lineRule="exact"/>
        <w:jc w:val="both"/>
        <w:rPr>
          <w:rFonts w:ascii="宋体" w:hAnsi="宋体" w:eastAsia="宋体" w:cs="宋体"/>
          <w:color w:val="auto"/>
          <w:kern w:val="2"/>
          <w:sz w:val="20"/>
          <w:szCs w:val="20"/>
          <w:highlight w:val="none"/>
          <w:lang w:val="zh-CN" w:eastAsia="zh-CN" w:bidi="zh-CN"/>
        </w:rPr>
      </w:pPr>
      <w:r>
        <w:rPr>
          <w:rFonts w:ascii="宋体" w:hAnsi="宋体" w:eastAsia="宋体" w:cs="宋体"/>
          <w:color w:val="auto"/>
          <w:kern w:val="2"/>
          <w:sz w:val="20"/>
          <w:szCs w:val="20"/>
          <w:highlight w:val="none"/>
          <w:lang w:val="zh-CN" w:eastAsia="zh-CN" w:bidi="zh-CN"/>
        </w:rPr>
        <w:t>在本担保有效期内，因承包人违反合同约定的义务而要求收回预付款时，我方在收到你方的书面通知后，无条件地在</w:t>
      </w:r>
      <w:r>
        <w:rPr>
          <w:rFonts w:ascii="Times New Roman" w:hAnsi="Times New Roman" w:eastAsia="宋体" w:cs="Times New Roman"/>
          <w:color w:val="auto"/>
          <w:kern w:val="2"/>
          <w:sz w:val="20"/>
          <w:szCs w:val="20"/>
          <w:highlight w:val="none"/>
          <w:lang w:val="zh-CN" w:eastAsia="zh-CN" w:bidi="zh-CN"/>
        </w:rPr>
        <w:t>7</w:t>
      </w:r>
      <w:r>
        <w:rPr>
          <w:rFonts w:ascii="宋体" w:hAnsi="宋体" w:eastAsia="宋体" w:cs="宋体"/>
          <w:color w:val="auto"/>
          <w:kern w:val="2"/>
          <w:sz w:val="20"/>
          <w:szCs w:val="20"/>
          <w:highlight w:val="none"/>
          <w:lang w:val="zh-CN" w:eastAsia="zh-CN" w:bidi="zh-CN"/>
        </w:rPr>
        <w:t>天内予以支付。但本担保的担保金额，在任何时候不应超过预付款金额减去发包人按合同约定在向承包人签发的进度付款证书中已扣回的金额。发包人和承包人按《通用合同条款》第</w:t>
      </w:r>
      <w:r>
        <w:rPr>
          <w:rFonts w:ascii="Times New Roman" w:hAnsi="Times New Roman" w:eastAsia="宋体" w:cs="Times New Roman"/>
          <w:color w:val="auto"/>
          <w:kern w:val="2"/>
          <w:sz w:val="20"/>
          <w:szCs w:val="20"/>
          <w:highlight w:val="none"/>
          <w:lang w:val="zh-CN" w:eastAsia="zh-CN" w:bidi="zh-CN"/>
        </w:rPr>
        <w:t>15</w:t>
      </w:r>
      <w:r>
        <w:rPr>
          <w:rFonts w:ascii="宋体" w:hAnsi="宋体" w:eastAsia="宋体" w:cs="宋体"/>
          <w:color w:val="auto"/>
          <w:kern w:val="2"/>
          <w:sz w:val="20"/>
          <w:szCs w:val="20"/>
          <w:highlight w:val="none"/>
          <w:lang w:val="zh-CN" w:eastAsia="zh-CN" w:bidi="zh-CN"/>
        </w:rPr>
        <w:t>条变更合同时，我方承担本担保规定的 义务不变。</w:t>
      </w:r>
    </w:p>
    <w:p w14:paraId="4ED132A8">
      <w:pPr>
        <w:widowControl w:val="0"/>
        <w:tabs>
          <w:tab w:val="left" w:pos="731"/>
        </w:tabs>
        <w:spacing w:line="355" w:lineRule="exact"/>
        <w:ind w:left="420"/>
        <w:jc w:val="both"/>
        <w:rPr>
          <w:rFonts w:ascii="宋体" w:hAnsi="宋体" w:eastAsia="宋体" w:cs="宋体"/>
          <w:color w:val="auto"/>
          <w:kern w:val="2"/>
          <w:sz w:val="20"/>
          <w:szCs w:val="20"/>
          <w:highlight w:val="none"/>
          <w:lang w:val="zh-CN" w:eastAsia="zh-CN" w:bidi="zh-CN"/>
        </w:rPr>
      </w:pPr>
    </w:p>
    <w:p w14:paraId="49AD7EE7">
      <w:pPr>
        <w:widowControl w:val="0"/>
        <w:jc w:val="right"/>
        <w:rPr>
          <w:rFonts w:ascii="Times New Roman" w:hAnsi="Times New Roman" w:eastAsia="宋体" w:cs="Times New Roman"/>
          <w:color w:val="auto"/>
          <w:kern w:val="2"/>
          <w:sz w:val="20"/>
          <w:szCs w:val="24"/>
          <w:highlight w:val="none"/>
          <w:lang w:val="en-US" w:eastAsia="zh-CN" w:bidi="ar-SA"/>
        </w:rPr>
      </w:pPr>
      <w:r>
        <w:rPr>
          <w:rFonts w:hint="eastAsia" w:ascii="Times New Roman" w:hAnsi="Times New Roman" w:eastAsia="宋体" w:cs="Times New Roman"/>
          <w:color w:val="auto"/>
          <w:kern w:val="2"/>
          <w:sz w:val="20"/>
          <w:szCs w:val="24"/>
          <w:highlight w:val="none"/>
          <w:lang w:val="en-US" w:eastAsia="zh-CN" w:bidi="ar-SA"/>
        </w:rPr>
        <w:t>担  保 人：</w:t>
      </w:r>
      <w:r>
        <w:rPr>
          <w:rFonts w:hint="eastAsia" w:ascii="Times New Roman" w:hAnsi="Times New Roman" w:eastAsia="宋体" w:cs="Times New Roman"/>
          <w:color w:val="auto"/>
          <w:kern w:val="2"/>
          <w:sz w:val="20"/>
          <w:szCs w:val="24"/>
          <w:highlight w:val="none"/>
          <w:u w:val="single"/>
          <w:lang w:val="en-US" w:eastAsia="zh-CN" w:bidi="ar-SA"/>
        </w:rPr>
        <w:t xml:space="preserve">                                              </w:t>
      </w:r>
      <w:r>
        <w:rPr>
          <w:rFonts w:hint="eastAsia" w:ascii="Times New Roman" w:hAnsi="Times New Roman" w:eastAsia="宋体" w:cs="Times New Roman"/>
          <w:color w:val="auto"/>
          <w:kern w:val="2"/>
          <w:sz w:val="20"/>
          <w:szCs w:val="24"/>
          <w:highlight w:val="none"/>
          <w:lang w:val="en-US" w:eastAsia="zh-CN" w:bidi="ar-SA"/>
        </w:rPr>
        <w:t>（盖单位公章）</w:t>
      </w:r>
      <w:r>
        <w:rPr>
          <w:rFonts w:ascii="Times New Roman" w:hAnsi="Times New Roman" w:eastAsia="宋体" w:cs="Times New Roman"/>
          <w:color w:val="auto"/>
          <w:kern w:val="2"/>
          <w:sz w:val="20"/>
          <w:szCs w:val="24"/>
          <w:highlight w:val="none"/>
          <w:lang w:val="en-US" w:eastAsia="zh-CN" w:bidi="ar-SA"/>
        </w:rPr>
        <w:t xml:space="preserve"> </w:t>
      </w:r>
    </w:p>
    <w:p w14:paraId="0BD77283">
      <w:pPr>
        <w:widowControl w:val="0"/>
        <w:jc w:val="right"/>
        <w:rPr>
          <w:rFonts w:ascii="Times New Roman" w:hAnsi="Times New Roman" w:eastAsia="宋体" w:cs="Times New Roman"/>
          <w:color w:val="auto"/>
          <w:kern w:val="2"/>
          <w:sz w:val="20"/>
          <w:szCs w:val="24"/>
          <w:highlight w:val="none"/>
          <w:lang w:val="en-US" w:eastAsia="zh-CN" w:bidi="ar-SA"/>
        </w:rPr>
      </w:pPr>
      <w:r>
        <w:rPr>
          <w:rFonts w:hint="eastAsia" w:ascii="Times New Roman" w:hAnsi="Times New Roman" w:eastAsia="宋体" w:cs="Times New Roman"/>
          <w:color w:val="auto"/>
          <w:kern w:val="2"/>
          <w:sz w:val="20"/>
          <w:szCs w:val="24"/>
          <w:highlight w:val="none"/>
          <w:lang w:val="en-US" w:eastAsia="zh-CN" w:bidi="ar-SA"/>
        </w:rPr>
        <w:t xml:space="preserve">           定代表人(或委托代理人)：</w:t>
      </w:r>
      <w:r>
        <w:rPr>
          <w:rFonts w:hint="eastAsia" w:ascii="Times New Roman" w:hAnsi="Times New Roman" w:eastAsia="宋体" w:cs="Times New Roman"/>
          <w:color w:val="auto"/>
          <w:kern w:val="2"/>
          <w:sz w:val="20"/>
          <w:szCs w:val="24"/>
          <w:highlight w:val="none"/>
          <w:u w:val="single"/>
          <w:lang w:val="en-US" w:eastAsia="zh-CN" w:bidi="ar-SA"/>
        </w:rPr>
        <w:t xml:space="preserve">                              </w:t>
      </w:r>
      <w:r>
        <w:rPr>
          <w:rFonts w:hint="eastAsia" w:ascii="Times New Roman" w:hAnsi="Times New Roman" w:eastAsia="宋体" w:cs="Times New Roman"/>
          <w:color w:val="auto"/>
          <w:kern w:val="2"/>
          <w:sz w:val="20"/>
          <w:szCs w:val="24"/>
          <w:highlight w:val="none"/>
          <w:lang w:val="en-US" w:eastAsia="zh-CN" w:bidi="ar-SA"/>
        </w:rPr>
        <w:t>（签字）</w:t>
      </w:r>
    </w:p>
    <w:p w14:paraId="3D3588B3">
      <w:pPr>
        <w:widowControl w:val="0"/>
        <w:jc w:val="right"/>
        <w:rPr>
          <w:rFonts w:ascii="Times New Roman" w:hAnsi="Times New Roman" w:eastAsia="宋体" w:cs="Times New Roman"/>
          <w:color w:val="auto"/>
          <w:kern w:val="2"/>
          <w:sz w:val="20"/>
          <w:szCs w:val="24"/>
          <w:highlight w:val="none"/>
          <w:lang w:val="en-US" w:eastAsia="zh-CN" w:bidi="ar-SA"/>
        </w:rPr>
      </w:pPr>
      <w:r>
        <w:rPr>
          <w:rFonts w:hint="eastAsia" w:ascii="Times New Roman" w:hAnsi="Times New Roman" w:eastAsia="宋体" w:cs="Times New Roman"/>
          <w:color w:val="auto"/>
          <w:kern w:val="2"/>
          <w:sz w:val="20"/>
          <w:szCs w:val="24"/>
          <w:highlight w:val="none"/>
          <w:lang w:val="en-US" w:eastAsia="zh-CN" w:bidi="ar-SA"/>
        </w:rPr>
        <w:t>地       址：</w:t>
      </w:r>
      <w:r>
        <w:rPr>
          <w:rFonts w:hint="eastAsia" w:ascii="Times New Roman" w:hAnsi="Times New Roman" w:eastAsia="宋体" w:cs="Times New Roman"/>
          <w:color w:val="auto"/>
          <w:kern w:val="2"/>
          <w:sz w:val="20"/>
          <w:szCs w:val="24"/>
          <w:highlight w:val="none"/>
          <w:u w:val="single"/>
          <w:lang w:val="en-US" w:eastAsia="zh-CN" w:bidi="ar-SA"/>
        </w:rPr>
        <w:t xml:space="preserve">                </w:t>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hint="eastAsia" w:ascii="Times New Roman" w:hAnsi="Times New Roman" w:eastAsia="宋体" w:cs="Times New Roman"/>
          <w:color w:val="auto"/>
          <w:kern w:val="2"/>
          <w:sz w:val="20"/>
          <w:szCs w:val="24"/>
          <w:highlight w:val="none"/>
          <w:u w:val="single"/>
          <w:lang w:val="en-US" w:eastAsia="zh-CN" w:bidi="ar-SA"/>
        </w:rPr>
        <w:t xml:space="preserve">   </w:t>
      </w:r>
      <w:r>
        <w:rPr>
          <w:rFonts w:hint="eastAsia" w:ascii="Times New Roman" w:hAnsi="Times New Roman" w:eastAsia="宋体" w:cs="Times New Roman"/>
          <w:color w:val="auto"/>
          <w:kern w:val="2"/>
          <w:sz w:val="20"/>
          <w:szCs w:val="24"/>
          <w:highlight w:val="none"/>
          <w:lang w:val="en-US" w:eastAsia="zh-CN" w:bidi="ar-SA"/>
        </w:rPr>
        <w:t xml:space="preserve"> </w:t>
      </w:r>
    </w:p>
    <w:p w14:paraId="18BC6D2C">
      <w:pPr>
        <w:widowControl w:val="0"/>
        <w:jc w:val="right"/>
        <w:rPr>
          <w:rFonts w:ascii="Times New Roman" w:hAnsi="Times New Roman" w:eastAsia="宋体" w:cs="Times New Roman"/>
          <w:color w:val="auto"/>
          <w:kern w:val="2"/>
          <w:sz w:val="20"/>
          <w:szCs w:val="24"/>
          <w:highlight w:val="none"/>
          <w:lang w:val="en-US" w:eastAsia="zh-CN" w:bidi="ar-SA"/>
        </w:rPr>
      </w:pPr>
      <w:r>
        <w:rPr>
          <w:rFonts w:hint="eastAsia" w:ascii="Times New Roman" w:hAnsi="Times New Roman" w:eastAsia="宋体" w:cs="Times New Roman"/>
          <w:color w:val="auto"/>
          <w:kern w:val="2"/>
          <w:sz w:val="20"/>
          <w:szCs w:val="24"/>
          <w:highlight w:val="none"/>
          <w:lang w:val="en-US" w:eastAsia="zh-CN" w:bidi="ar-SA"/>
        </w:rPr>
        <w:t xml:space="preserve">        邮政编码：</w:t>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hint="eastAsia" w:ascii="Times New Roman" w:hAnsi="Times New Roman" w:eastAsia="宋体" w:cs="Times New Roman"/>
          <w:color w:val="auto"/>
          <w:kern w:val="2"/>
          <w:sz w:val="20"/>
          <w:szCs w:val="24"/>
          <w:highlight w:val="none"/>
          <w:u w:val="single"/>
          <w:lang w:val="en-US" w:eastAsia="zh-CN" w:bidi="ar-SA"/>
        </w:rPr>
        <w:t xml:space="preserve"> </w:t>
      </w:r>
      <w:r>
        <w:rPr>
          <w:rFonts w:hint="eastAsia" w:ascii="Times New Roman" w:hAnsi="Times New Roman" w:eastAsia="宋体" w:cs="Times New Roman"/>
          <w:color w:val="auto"/>
          <w:kern w:val="2"/>
          <w:sz w:val="20"/>
          <w:szCs w:val="24"/>
          <w:highlight w:val="none"/>
          <w:lang w:val="en-US" w:eastAsia="zh-CN" w:bidi="ar-SA"/>
        </w:rPr>
        <w:t xml:space="preserve"> </w:t>
      </w:r>
    </w:p>
    <w:p w14:paraId="7B8CEF9A">
      <w:pPr>
        <w:widowControl w:val="0"/>
        <w:jc w:val="right"/>
        <w:rPr>
          <w:rFonts w:ascii="Times New Roman" w:hAnsi="Times New Roman" w:eastAsia="宋体" w:cs="Times New Roman"/>
          <w:color w:val="auto"/>
          <w:kern w:val="2"/>
          <w:sz w:val="20"/>
          <w:szCs w:val="24"/>
          <w:highlight w:val="none"/>
          <w:u w:val="single"/>
          <w:lang w:val="en-US" w:eastAsia="zh-CN" w:bidi="ar-SA"/>
        </w:rPr>
      </w:pPr>
      <w:r>
        <w:rPr>
          <w:rFonts w:hint="eastAsia" w:ascii="Times New Roman" w:hAnsi="Times New Roman" w:eastAsia="宋体" w:cs="Times New Roman"/>
          <w:color w:val="auto"/>
          <w:kern w:val="2"/>
          <w:sz w:val="20"/>
          <w:szCs w:val="24"/>
          <w:highlight w:val="none"/>
          <w:lang w:val="en-US" w:eastAsia="zh-CN" w:bidi="ar-SA"/>
        </w:rPr>
        <w:t xml:space="preserve">        电        话：</w:t>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p>
    <w:p w14:paraId="3B5B2661">
      <w:pPr>
        <w:widowControl w:val="0"/>
        <w:jc w:val="right"/>
        <w:rPr>
          <w:rFonts w:ascii="Times New Roman" w:hAnsi="Times New Roman" w:eastAsia="宋体" w:cs="Times New Roman"/>
          <w:color w:val="auto"/>
          <w:kern w:val="2"/>
          <w:sz w:val="20"/>
          <w:szCs w:val="24"/>
          <w:highlight w:val="none"/>
          <w:lang w:val="en-US" w:eastAsia="zh-CN" w:bidi="ar-SA"/>
        </w:rPr>
      </w:pPr>
      <w:r>
        <w:rPr>
          <w:rFonts w:hint="eastAsia" w:ascii="Times New Roman" w:hAnsi="Times New Roman" w:eastAsia="宋体" w:cs="Times New Roman"/>
          <w:color w:val="auto"/>
          <w:kern w:val="2"/>
          <w:sz w:val="20"/>
          <w:szCs w:val="24"/>
          <w:highlight w:val="none"/>
          <w:lang w:val="en-US" w:eastAsia="zh-CN" w:bidi="ar-SA"/>
        </w:rPr>
        <w:t xml:space="preserve">        传        真：</w:t>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p>
    <w:p w14:paraId="05B2991F">
      <w:pPr>
        <w:widowControl w:val="0"/>
        <w:jc w:val="right"/>
        <w:rPr>
          <w:rFonts w:ascii="Times New Roman" w:hAnsi="Times New Roman" w:eastAsia="宋体" w:cs="Times New Roman"/>
          <w:color w:val="auto"/>
          <w:kern w:val="2"/>
          <w:sz w:val="21"/>
          <w:szCs w:val="24"/>
          <w:highlight w:val="none"/>
          <w:lang w:val="en-US" w:eastAsia="zh-CN" w:bidi="ar-SA"/>
        </w:rPr>
      </w:pPr>
      <w:r>
        <w:rPr>
          <w:rFonts w:ascii="Times New Roman" w:hAnsi="Times New Roman" w:eastAsia="宋体" w:cs="Times New Roman"/>
          <w:color w:val="auto"/>
          <w:kern w:val="2"/>
          <w:sz w:val="20"/>
          <w:szCs w:val="24"/>
          <w:highlight w:val="none"/>
          <w:u w:val="single"/>
          <w:lang w:val="en-US" w:eastAsia="zh-CN" w:bidi="ar-SA"/>
        </w:rPr>
        <w:tab/>
      </w:r>
      <w:r>
        <w:rPr>
          <w:rFonts w:hint="eastAsia" w:ascii="Times New Roman" w:hAnsi="Times New Roman" w:eastAsia="宋体" w:cs="Times New Roman"/>
          <w:color w:val="auto"/>
          <w:kern w:val="2"/>
          <w:sz w:val="20"/>
          <w:szCs w:val="24"/>
          <w:highlight w:val="none"/>
          <w:u w:val="single"/>
          <w:lang w:val="en-US" w:eastAsia="zh-CN" w:bidi="ar-SA"/>
        </w:rPr>
        <w:t xml:space="preserve">       </w:t>
      </w:r>
      <w:r>
        <w:rPr>
          <w:rFonts w:hint="eastAsia" w:ascii="Times New Roman" w:hAnsi="Times New Roman" w:eastAsia="宋体" w:cs="Times New Roman"/>
          <w:color w:val="auto"/>
          <w:kern w:val="2"/>
          <w:sz w:val="20"/>
          <w:szCs w:val="24"/>
          <w:highlight w:val="none"/>
          <w:lang w:val="en-US" w:eastAsia="zh-CN" w:bidi="ar-SA"/>
        </w:rPr>
        <w:t>年</w:t>
      </w:r>
      <w:r>
        <w:rPr>
          <w:rFonts w:ascii="Times New Roman" w:hAnsi="Times New Roman" w:eastAsia="宋体" w:cs="Times New Roman"/>
          <w:color w:val="auto"/>
          <w:kern w:val="2"/>
          <w:sz w:val="20"/>
          <w:szCs w:val="24"/>
          <w:highlight w:val="none"/>
          <w:u w:val="single"/>
          <w:lang w:val="en-US" w:eastAsia="zh-CN" w:bidi="ar-SA"/>
        </w:rPr>
        <w:tab/>
      </w:r>
      <w:r>
        <w:rPr>
          <w:rFonts w:hint="eastAsia" w:ascii="Times New Roman" w:hAnsi="Times New Roman" w:eastAsia="宋体" w:cs="Times New Roman"/>
          <w:color w:val="auto"/>
          <w:kern w:val="2"/>
          <w:sz w:val="20"/>
          <w:szCs w:val="24"/>
          <w:highlight w:val="none"/>
          <w:u w:val="single"/>
          <w:lang w:val="en-US" w:eastAsia="zh-CN" w:bidi="ar-SA"/>
        </w:rPr>
        <w:t xml:space="preserve">       </w:t>
      </w:r>
      <w:r>
        <w:rPr>
          <w:rFonts w:hint="eastAsia" w:ascii="Times New Roman" w:hAnsi="Times New Roman" w:eastAsia="宋体" w:cs="Times New Roman"/>
          <w:color w:val="auto"/>
          <w:kern w:val="2"/>
          <w:sz w:val="20"/>
          <w:szCs w:val="24"/>
          <w:highlight w:val="none"/>
          <w:lang w:val="en-US" w:eastAsia="zh-CN" w:bidi="ar-SA"/>
        </w:rPr>
        <w:t>月</w:t>
      </w:r>
      <w:r>
        <w:rPr>
          <w:rFonts w:hint="eastAsia" w:ascii="Times New Roman" w:hAnsi="Times New Roman" w:eastAsia="宋体" w:cs="Times New Roman"/>
          <w:color w:val="auto"/>
          <w:kern w:val="2"/>
          <w:sz w:val="20"/>
          <w:szCs w:val="24"/>
          <w:highlight w:val="none"/>
          <w:u w:val="single"/>
          <w:lang w:val="en-US" w:eastAsia="zh-CN" w:bidi="ar-SA"/>
        </w:rPr>
        <w:t xml:space="preserve">              </w:t>
      </w:r>
      <w:r>
        <w:rPr>
          <w:rFonts w:hint="eastAsia" w:ascii="Times New Roman" w:hAnsi="Times New Roman" w:eastAsia="宋体" w:cs="Times New Roman"/>
          <w:color w:val="auto"/>
          <w:kern w:val="2"/>
          <w:sz w:val="20"/>
          <w:szCs w:val="24"/>
          <w:highlight w:val="none"/>
          <w:lang w:val="en-US" w:eastAsia="zh-CN" w:bidi="ar-SA"/>
        </w:rPr>
        <w:t xml:space="preserve">日 </w:t>
      </w:r>
      <w:r>
        <w:rPr>
          <w:rFonts w:hint="eastAsia" w:ascii="Times New Roman" w:hAnsi="Times New Roman" w:eastAsia="宋体" w:cs="Times New Roman"/>
          <w:color w:val="auto"/>
          <w:kern w:val="2"/>
          <w:sz w:val="21"/>
          <w:szCs w:val="24"/>
          <w:highlight w:val="none"/>
          <w:lang w:val="en-US" w:eastAsia="zh-CN" w:bidi="ar-SA"/>
        </w:rPr>
        <w:t xml:space="preserve">    </w:t>
      </w:r>
    </w:p>
    <w:p w14:paraId="1E254BAC">
      <w:pPr>
        <w:widowControl w:val="0"/>
        <w:tabs>
          <w:tab w:val="left" w:pos="726"/>
        </w:tabs>
        <w:spacing w:after="340" w:line="355" w:lineRule="exact"/>
        <w:jc w:val="both"/>
        <w:rPr>
          <w:rFonts w:ascii="宋体" w:hAnsi="宋体" w:eastAsia="宋体" w:cs="宋体"/>
          <w:color w:val="auto"/>
          <w:kern w:val="2"/>
          <w:sz w:val="20"/>
          <w:szCs w:val="20"/>
          <w:highlight w:val="none"/>
          <w:lang w:val="zh-CN" w:eastAsia="zh-CN" w:bidi="zh-CN"/>
        </w:rPr>
      </w:pPr>
      <w:r>
        <w:rPr>
          <w:rFonts w:ascii="宋体" w:hAnsi="宋体" w:eastAsia="宋体" w:cs="宋体"/>
          <w:color w:val="auto"/>
          <w:kern w:val="2"/>
          <w:sz w:val="20"/>
          <w:szCs w:val="20"/>
          <w:highlight w:val="none"/>
          <w:lang w:val="zh-CN" w:eastAsia="zh-CN" w:bidi="zh-CN"/>
        </w:rPr>
        <w:t>注：</w:t>
      </w:r>
    </w:p>
    <w:p w14:paraId="1FE22AD6">
      <w:pPr>
        <w:widowControl w:val="0"/>
        <w:jc w:val="both"/>
        <w:rPr>
          <w:rFonts w:ascii="宋体" w:hAnsi="宋体" w:eastAsia="宋体" w:cs="宋体"/>
          <w:color w:val="auto"/>
          <w:kern w:val="2"/>
          <w:sz w:val="20"/>
          <w:szCs w:val="20"/>
          <w:highlight w:val="none"/>
          <w:lang w:val="zh-CN" w:eastAsia="zh-CN" w:bidi="zh-CN"/>
        </w:rPr>
      </w:pPr>
      <w:r>
        <w:rPr>
          <w:rFonts w:hint="eastAsia" w:ascii="宋体" w:hAnsi="宋体" w:eastAsia="宋体" w:cs="宋体"/>
          <w:color w:val="auto"/>
          <w:kern w:val="2"/>
          <w:sz w:val="20"/>
          <w:szCs w:val="20"/>
          <w:highlight w:val="none"/>
          <w:lang w:val="zh-CN" w:eastAsia="zh-CN" w:bidi="zh-CN"/>
        </w:rPr>
        <w:t>1．</w:t>
      </w:r>
      <w:r>
        <w:rPr>
          <w:rFonts w:ascii="宋体" w:hAnsi="宋体" w:eastAsia="宋体" w:cs="宋体"/>
          <w:color w:val="auto"/>
          <w:kern w:val="2"/>
          <w:sz w:val="20"/>
          <w:szCs w:val="20"/>
          <w:highlight w:val="none"/>
          <w:lang w:val="zh-CN" w:eastAsia="zh-CN" w:bidi="zh-CN"/>
        </w:rPr>
        <w:t>担保人必须是投标人单位基本账户的开户银行。</w:t>
      </w:r>
    </w:p>
    <w:p w14:paraId="75CBA104">
      <w:pPr>
        <w:widowControl w:val="0"/>
        <w:snapToGrid w:val="0"/>
        <w:jc w:val="left"/>
        <w:rPr>
          <w:rFonts w:ascii="宋体" w:hAnsi="宋体" w:eastAsia="宋体" w:cs="宋体"/>
          <w:color w:val="auto"/>
          <w:kern w:val="0"/>
          <w:sz w:val="20"/>
          <w:szCs w:val="20"/>
          <w:highlight w:val="none"/>
          <w:lang w:val="zh-CN" w:eastAsia="zh-CN" w:bidi="zh-CN"/>
        </w:rPr>
      </w:pPr>
      <w:r>
        <w:rPr>
          <w:rFonts w:hint="eastAsia" w:ascii="宋体" w:hAnsi="宋体" w:eastAsia="宋体" w:cs="宋体"/>
          <w:color w:val="auto"/>
          <w:kern w:val="0"/>
          <w:sz w:val="20"/>
          <w:szCs w:val="20"/>
          <w:highlight w:val="none"/>
          <w:lang w:val="zh-CN" w:eastAsia="zh-CN" w:bidi="zh-CN"/>
        </w:rPr>
        <w:t>2．</w:t>
      </w:r>
      <w:r>
        <w:rPr>
          <w:rFonts w:ascii="宋体" w:hAnsi="宋体" w:eastAsia="宋体" w:cs="宋体"/>
          <w:color w:val="auto"/>
          <w:kern w:val="0"/>
          <w:sz w:val="20"/>
          <w:szCs w:val="20"/>
          <w:highlight w:val="none"/>
          <w:lang w:val="zh-CN" w:eastAsia="zh-CN" w:bidi="zh-CN"/>
        </w:rPr>
        <w:t>委托代理人应附授权委托书</w:t>
      </w:r>
    </w:p>
    <w:p w14:paraId="4CEBF3B3">
      <w:pPr>
        <w:widowControl w:val="0"/>
        <w:snapToGrid w:val="0"/>
        <w:jc w:val="left"/>
        <w:rPr>
          <w:rFonts w:ascii="宋体" w:hAnsi="宋体" w:eastAsia="宋体" w:cs="宋体"/>
          <w:color w:val="auto"/>
          <w:kern w:val="0"/>
          <w:sz w:val="20"/>
          <w:szCs w:val="20"/>
          <w:highlight w:val="none"/>
          <w:lang w:val="zh-CN" w:eastAsia="zh-CN" w:bidi="zh-CN"/>
        </w:rPr>
      </w:pPr>
    </w:p>
    <w:p w14:paraId="27659EEA">
      <w:pPr>
        <w:widowControl w:val="0"/>
        <w:snapToGrid w:val="0"/>
        <w:jc w:val="left"/>
        <w:rPr>
          <w:rFonts w:ascii="宋体" w:hAnsi="宋体" w:eastAsia="宋体" w:cs="宋体"/>
          <w:color w:val="auto"/>
          <w:kern w:val="0"/>
          <w:sz w:val="20"/>
          <w:szCs w:val="20"/>
          <w:highlight w:val="none"/>
          <w:lang w:val="zh-CN" w:eastAsia="zh-CN" w:bidi="zh-CN"/>
        </w:rPr>
      </w:pPr>
    </w:p>
    <w:p w14:paraId="2255D863">
      <w:pPr>
        <w:widowControl w:val="0"/>
        <w:snapToGrid w:val="0"/>
        <w:jc w:val="left"/>
        <w:rPr>
          <w:rFonts w:ascii="宋体" w:hAnsi="宋体" w:eastAsia="宋体" w:cs="宋体"/>
          <w:color w:val="auto"/>
          <w:kern w:val="0"/>
          <w:sz w:val="20"/>
          <w:szCs w:val="20"/>
          <w:highlight w:val="none"/>
          <w:lang w:val="zh-CN" w:eastAsia="zh-CN" w:bidi="zh-CN"/>
        </w:rPr>
      </w:pPr>
    </w:p>
    <w:p w14:paraId="3F3BCB7E">
      <w:pPr>
        <w:widowControl w:val="0"/>
        <w:snapToGrid w:val="0"/>
        <w:jc w:val="left"/>
        <w:rPr>
          <w:rFonts w:ascii="宋体" w:hAnsi="宋体" w:eastAsia="宋体" w:cs="宋体"/>
          <w:color w:val="auto"/>
          <w:kern w:val="0"/>
          <w:sz w:val="20"/>
          <w:szCs w:val="20"/>
          <w:highlight w:val="none"/>
          <w:lang w:val="zh-CN" w:eastAsia="zh-CN" w:bidi="zh-CN"/>
        </w:rPr>
      </w:pPr>
    </w:p>
    <w:p w14:paraId="399DF3EF">
      <w:pPr>
        <w:pStyle w:val="24"/>
        <w:ind w:left="0" w:leftChars="0" w:firstLine="0" w:firstLineChars="0"/>
        <w:rPr>
          <w:rFonts w:hint="eastAsia"/>
          <w:color w:val="auto"/>
          <w:highlight w:val="none"/>
        </w:rPr>
        <w:sectPr>
          <w:headerReference r:id="rId18" w:type="default"/>
          <w:footerReference r:id="rId19" w:type="default"/>
          <w:pgSz w:w="11907" w:h="16840"/>
          <w:pgMar w:top="1440" w:right="1440" w:bottom="1440" w:left="1797" w:header="851" w:footer="851" w:gutter="0"/>
          <w:cols w:space="720" w:num="1"/>
          <w:docGrid w:linePitch="312" w:charSpace="0"/>
        </w:sectPr>
      </w:pPr>
    </w:p>
    <w:p w14:paraId="413DB2AD">
      <w:pPr>
        <w:pStyle w:val="2"/>
        <w:jc w:val="center"/>
        <w:rPr>
          <w:rFonts w:hint="default" w:eastAsia="宋体"/>
          <w:color w:val="auto"/>
          <w:highlight w:val="none"/>
          <w:lang w:val="en-US" w:eastAsia="zh-CN"/>
        </w:rPr>
      </w:pPr>
      <w:bookmarkStart w:id="276" w:name="_Toc28511"/>
      <w:bookmarkStart w:id="277" w:name="_Toc23153"/>
      <w:bookmarkStart w:id="278" w:name="_Toc13697"/>
      <w:bookmarkStart w:id="279" w:name="_Toc18563"/>
      <w:bookmarkStart w:id="280" w:name="_Toc20243"/>
      <w:bookmarkStart w:id="281" w:name="_Toc32429"/>
      <w:r>
        <w:rPr>
          <w:rFonts w:hint="eastAsia" w:ascii="宋体" w:hAnsi="宋体" w:eastAsia="宋体" w:cs="宋体"/>
          <w:color w:val="auto"/>
          <w:highlight w:val="none"/>
        </w:rPr>
        <w:t xml:space="preserve">第七章 </w:t>
      </w:r>
      <w:r>
        <w:rPr>
          <w:rFonts w:hint="eastAsia" w:ascii="宋体" w:hAnsi="宋体" w:eastAsia="宋体" w:cs="宋体"/>
          <w:color w:val="auto"/>
          <w:highlight w:val="none"/>
          <w:lang w:val="en-US" w:eastAsia="zh-CN"/>
        </w:rPr>
        <w:t>工程量清单（另册）</w:t>
      </w:r>
      <w:bookmarkEnd w:id="276"/>
      <w:bookmarkEnd w:id="277"/>
      <w:bookmarkEnd w:id="278"/>
      <w:bookmarkEnd w:id="279"/>
      <w:bookmarkEnd w:id="280"/>
      <w:bookmarkEnd w:id="281"/>
    </w:p>
    <w:p w14:paraId="456D681D">
      <w:pPr>
        <w:tabs>
          <w:tab w:val="left" w:pos="3261"/>
        </w:tabs>
        <w:spacing w:line="360" w:lineRule="auto"/>
        <w:contextualSpacing/>
        <w:jc w:val="center"/>
        <w:rPr>
          <w:rFonts w:hint="eastAsia" w:ascii="宋体" w:hAnsi="宋体" w:eastAsia="宋体" w:cs="宋体"/>
          <w:b/>
          <w:color w:val="auto"/>
          <w:sz w:val="44"/>
          <w:szCs w:val="44"/>
          <w:highlight w:val="none"/>
        </w:rPr>
        <w:sectPr>
          <w:headerReference r:id="rId20" w:type="default"/>
          <w:footerReference r:id="rId21" w:type="default"/>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p>
    <w:p w14:paraId="2F0CFDA3">
      <w:pPr>
        <w:pStyle w:val="2"/>
        <w:jc w:val="center"/>
        <w:rPr>
          <w:rFonts w:hint="eastAsia"/>
          <w:color w:val="auto"/>
          <w:highlight w:val="none"/>
        </w:rPr>
      </w:pPr>
      <w:bookmarkStart w:id="282" w:name="_Toc11576"/>
      <w:bookmarkStart w:id="283" w:name="_Toc11341"/>
      <w:bookmarkStart w:id="284" w:name="_Toc31581"/>
      <w:bookmarkStart w:id="285" w:name="_Toc948"/>
      <w:bookmarkStart w:id="286" w:name="_Toc20643"/>
      <w:bookmarkStart w:id="287" w:name="_Toc6522"/>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八</w:t>
      </w:r>
      <w:r>
        <w:rPr>
          <w:rFonts w:hint="eastAsia" w:ascii="宋体" w:hAnsi="宋体" w:eastAsia="宋体" w:cs="宋体"/>
          <w:color w:val="auto"/>
          <w:highlight w:val="none"/>
        </w:rPr>
        <w:t xml:space="preserve">章 </w:t>
      </w:r>
      <w:r>
        <w:rPr>
          <w:rFonts w:hint="eastAsia" w:ascii="宋体" w:hAnsi="宋体" w:eastAsia="宋体" w:cs="宋体"/>
          <w:color w:val="auto"/>
          <w:highlight w:val="none"/>
          <w:lang w:val="en-US" w:eastAsia="zh-CN"/>
        </w:rPr>
        <w:t>图纸（另册）</w:t>
      </w:r>
      <w:bookmarkEnd w:id="282"/>
      <w:bookmarkEnd w:id="283"/>
      <w:bookmarkEnd w:id="284"/>
      <w:bookmarkEnd w:id="285"/>
      <w:bookmarkEnd w:id="286"/>
      <w:bookmarkEnd w:id="287"/>
    </w:p>
    <w:p w14:paraId="659D8F9D">
      <w:pPr>
        <w:pStyle w:val="25"/>
        <w:rPr>
          <w:rFonts w:hint="eastAsia"/>
          <w:color w:val="auto"/>
          <w:highlight w:val="none"/>
        </w:rPr>
      </w:pPr>
    </w:p>
    <w:p w14:paraId="033DD2A0">
      <w:pPr>
        <w:rPr>
          <w:rFonts w:hint="eastAsia"/>
          <w:color w:val="auto"/>
          <w:highlight w:val="none"/>
        </w:rPr>
      </w:pPr>
    </w:p>
    <w:p w14:paraId="58FF4EAB">
      <w:pPr>
        <w:pStyle w:val="25"/>
        <w:rPr>
          <w:rFonts w:hint="eastAsia"/>
          <w:color w:val="auto"/>
          <w:highlight w:val="none"/>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p>
    <w:p w14:paraId="0632E4DC">
      <w:pPr>
        <w:pStyle w:val="2"/>
        <w:spacing w:line="360" w:lineRule="auto"/>
        <w:jc w:val="center"/>
        <w:rPr>
          <w:rFonts w:hint="eastAsia" w:ascii="宋体" w:hAnsi="宋体" w:eastAsia="宋体" w:cs="宋体"/>
          <w:b/>
          <w:bCs/>
          <w:color w:val="auto"/>
          <w:highlight w:val="none"/>
          <w:lang w:val="en-US"/>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bookmarkStart w:id="288" w:name="_Toc24715"/>
      <w:bookmarkStart w:id="289" w:name="_Toc24083"/>
      <w:bookmarkStart w:id="290" w:name="_Toc25695"/>
      <w:bookmarkStart w:id="291" w:name="_Toc11110"/>
      <w:bookmarkStart w:id="292" w:name="_Toc1166"/>
      <w:bookmarkStart w:id="293" w:name="_Toc7745"/>
      <w:bookmarkStart w:id="294" w:name="_Toc5640"/>
      <w:r>
        <w:rPr>
          <w:rFonts w:hint="eastAsia" w:ascii="宋体" w:hAnsi="宋体" w:eastAsia="宋体" w:cs="宋体"/>
          <w:b/>
          <w:bCs/>
          <w:color w:val="auto"/>
          <w:highlight w:val="none"/>
        </w:rPr>
        <w:t>第</w:t>
      </w:r>
      <w:r>
        <w:rPr>
          <w:rFonts w:hint="eastAsia" w:ascii="宋体" w:hAnsi="宋体" w:eastAsia="宋体" w:cs="宋体"/>
          <w:b/>
          <w:bCs/>
          <w:color w:val="auto"/>
          <w:highlight w:val="none"/>
          <w:lang w:val="en-US" w:eastAsia="zh-CN"/>
        </w:rPr>
        <w:t>九</w:t>
      </w:r>
      <w:r>
        <w:rPr>
          <w:rFonts w:hint="eastAsia" w:ascii="宋体" w:hAnsi="宋体" w:eastAsia="宋体" w:cs="宋体"/>
          <w:b/>
          <w:bCs/>
          <w:color w:val="auto"/>
          <w:highlight w:val="none"/>
        </w:rPr>
        <w:t>章 质疑、投诉材料格式</w:t>
      </w:r>
      <w:bookmarkEnd w:id="288"/>
      <w:bookmarkEnd w:id="289"/>
      <w:bookmarkEnd w:id="290"/>
      <w:bookmarkEnd w:id="291"/>
      <w:bookmarkEnd w:id="292"/>
      <w:bookmarkEnd w:id="293"/>
      <w:bookmarkEnd w:id="294"/>
    </w:p>
    <w:p w14:paraId="58E178FF">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质疑函（格式）</w:t>
      </w:r>
    </w:p>
    <w:p w14:paraId="244AD516">
      <w:pPr>
        <w:pStyle w:val="16"/>
        <w:spacing w:line="360" w:lineRule="auto"/>
        <w:ind w:firstLine="482" w:firstLineChars="200"/>
        <w:contextualSpacing/>
        <w:rPr>
          <w:rFonts w:hint="eastAsia" w:ascii="宋体" w:hAnsi="宋体" w:eastAsia="宋体" w:cs="宋体"/>
          <w:b/>
          <w:bCs/>
          <w:color w:val="auto"/>
          <w:sz w:val="24"/>
          <w:szCs w:val="24"/>
          <w:highlight w:val="none"/>
        </w:rPr>
      </w:pPr>
    </w:p>
    <w:p w14:paraId="01EADDBD">
      <w:pPr>
        <w:pStyle w:val="16"/>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一、质疑供应商基本信息：</w:t>
      </w:r>
    </w:p>
    <w:p w14:paraId="0C0FEA96">
      <w:pPr>
        <w:pStyle w:val="16"/>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质疑供应商：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13277550">
      <w:pPr>
        <w:pStyle w:val="16"/>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74E544E3">
      <w:pPr>
        <w:pStyle w:val="16"/>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190A4CD3">
      <w:pPr>
        <w:pStyle w:val="16"/>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p>
    <w:p w14:paraId="70E9737A">
      <w:pPr>
        <w:pStyle w:val="16"/>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35CF28A4">
      <w:pPr>
        <w:pStyle w:val="16"/>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5E7CD253">
      <w:pPr>
        <w:pStyle w:val="16"/>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二、质疑项目基本情况：</w:t>
      </w:r>
    </w:p>
    <w:p w14:paraId="27734613">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1801DAA0">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7CB990FC">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62662CFC">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w:t>
      </w:r>
    </w:p>
    <w:p w14:paraId="02BC853E">
      <w:pPr>
        <w:pStyle w:val="16"/>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   采购文件获取日期：</w:t>
      </w:r>
      <w:r>
        <w:rPr>
          <w:rFonts w:hint="eastAsia" w:ascii="宋体" w:hAnsi="宋体" w:eastAsia="宋体" w:cs="宋体"/>
          <w:bCs/>
          <w:color w:val="auto"/>
          <w:sz w:val="24"/>
          <w:szCs w:val="24"/>
          <w:highlight w:val="none"/>
          <w:u w:val="single"/>
        </w:rPr>
        <w:t xml:space="preserve">                                   </w:t>
      </w:r>
    </w:p>
    <w:p w14:paraId="7CE942B1">
      <w:pPr>
        <w:pStyle w:val="16"/>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□采购过程   </w:t>
      </w:r>
    </w:p>
    <w:p w14:paraId="1B8B6ECC">
      <w:pPr>
        <w:pStyle w:val="16"/>
        <w:spacing w:line="360" w:lineRule="auto"/>
        <w:ind w:left="25" w:leftChars="12" w:firstLine="352" w:firstLineChars="147"/>
        <w:contextualSpacing/>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□成交结果   </w:t>
      </w:r>
    </w:p>
    <w:p w14:paraId="0CE2F28E">
      <w:pPr>
        <w:pStyle w:val="16"/>
        <w:spacing w:line="360" w:lineRule="auto"/>
        <w:ind w:left="25" w:leftChars="12" w:firstLine="472" w:firstLineChars="196"/>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三、质疑事项具体内容</w:t>
      </w:r>
    </w:p>
    <w:p w14:paraId="18907C8E">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质疑事项1：</w:t>
      </w:r>
      <w:r>
        <w:rPr>
          <w:rFonts w:hint="eastAsia" w:ascii="宋体" w:hAnsi="宋体" w:eastAsia="宋体" w:cs="宋体"/>
          <w:bCs/>
          <w:color w:val="auto"/>
          <w:sz w:val="24"/>
          <w:szCs w:val="24"/>
          <w:highlight w:val="none"/>
          <w:u w:val="single"/>
        </w:rPr>
        <w:t xml:space="preserve">                                                                    </w:t>
      </w:r>
    </w:p>
    <w:p w14:paraId="68E50A25">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r>
        <w:rPr>
          <w:rFonts w:hint="eastAsia" w:ascii="宋体" w:hAnsi="宋体" w:eastAsia="宋体" w:cs="宋体"/>
          <w:bCs/>
          <w:color w:val="auto"/>
          <w:sz w:val="24"/>
          <w:szCs w:val="24"/>
          <w:highlight w:val="none"/>
          <w:u w:val="single"/>
        </w:rPr>
        <w:t xml:space="preserve">                                                                      </w:t>
      </w:r>
    </w:p>
    <w:p w14:paraId="379EB195">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u w:val="single"/>
        </w:rPr>
        <w:t xml:space="preserve">               </w:t>
      </w:r>
    </w:p>
    <w:p w14:paraId="1CE43C00">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质疑事项2</w:t>
      </w:r>
    </w:p>
    <w:p w14:paraId="190DBD3A">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60618ABF">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四、与质疑事项相关的质疑请求：</w:t>
      </w:r>
    </w:p>
    <w:p w14:paraId="7D25E957">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44D517CB">
      <w:pPr>
        <w:pStyle w:val="16"/>
        <w:spacing w:line="360" w:lineRule="auto"/>
        <w:ind w:left="25" w:leftChars="12" w:firstLine="352" w:firstLineChars="147"/>
        <w:contextualSpacing/>
        <w:rPr>
          <w:rFonts w:hint="eastAsia" w:ascii="宋体" w:hAnsi="宋体" w:eastAsia="宋体" w:cs="宋体"/>
          <w:color w:val="auto"/>
          <w:sz w:val="24"/>
          <w:szCs w:val="24"/>
          <w:highlight w:val="none"/>
        </w:rPr>
      </w:pPr>
    </w:p>
    <w:p w14:paraId="7A22892B">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04B7748B">
      <w:pPr>
        <w:pStyle w:val="16"/>
        <w:spacing w:line="360" w:lineRule="auto"/>
        <w:ind w:left="25" w:leftChars="12" w:firstLine="352" w:firstLineChars="147"/>
        <w:contextualSpacing/>
        <w:rPr>
          <w:rFonts w:hint="eastAsia" w:ascii="宋体" w:hAnsi="宋体" w:eastAsia="宋体" w:cs="宋体"/>
          <w:color w:val="auto"/>
          <w:sz w:val="24"/>
          <w:szCs w:val="24"/>
          <w:highlight w:val="none"/>
        </w:rPr>
      </w:pPr>
    </w:p>
    <w:p w14:paraId="59F3B683">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7F8A9416">
      <w:pPr>
        <w:pStyle w:val="16"/>
        <w:spacing w:line="360" w:lineRule="auto"/>
        <w:contextualSpacing/>
        <w:rPr>
          <w:rFonts w:hint="eastAsia" w:ascii="宋体" w:hAnsi="宋体" w:eastAsia="宋体" w:cs="宋体"/>
          <w:b/>
          <w:color w:val="auto"/>
          <w:sz w:val="24"/>
          <w:szCs w:val="24"/>
          <w:highlight w:val="none"/>
          <w:lang w:eastAsia="zh-CN"/>
        </w:rPr>
      </w:pPr>
    </w:p>
    <w:p w14:paraId="5D106761">
      <w:pPr>
        <w:pStyle w:val="16"/>
        <w:spacing w:line="360" w:lineRule="auto"/>
        <w:contextualSpacing/>
        <w:rPr>
          <w:rFonts w:hint="eastAsia" w:ascii="宋体" w:hAnsi="宋体" w:eastAsia="宋体" w:cs="宋体"/>
          <w:b/>
          <w:color w:val="auto"/>
          <w:sz w:val="24"/>
          <w:szCs w:val="24"/>
          <w:highlight w:val="none"/>
          <w:lang w:eastAsia="zh-CN"/>
        </w:rPr>
      </w:pPr>
    </w:p>
    <w:p w14:paraId="4A04162A">
      <w:pPr>
        <w:pStyle w:val="16"/>
        <w:spacing w:line="360" w:lineRule="auto"/>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14F1F899">
      <w:pPr>
        <w:pStyle w:val="16"/>
        <w:spacing w:line="360" w:lineRule="auto"/>
        <w:ind w:left="25" w:leftChars="12" w:firstLine="354" w:firstLineChars="147"/>
        <w:contextualSpacing/>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1.供应商提出质疑时，应提交质疑函和必要的证明材料</w:t>
      </w:r>
      <w:r>
        <w:rPr>
          <w:rFonts w:hint="eastAsia" w:ascii="宋体" w:hAnsi="宋体" w:eastAsia="宋体" w:cs="宋体"/>
          <w:b/>
          <w:bCs/>
          <w:color w:val="auto"/>
          <w:sz w:val="24"/>
          <w:szCs w:val="24"/>
          <w:highlight w:val="none"/>
        </w:rPr>
        <w:t>。</w:t>
      </w:r>
    </w:p>
    <w:p w14:paraId="0DABCDC4">
      <w:pPr>
        <w:pStyle w:val="16"/>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CF6E7E4">
      <w:pPr>
        <w:pStyle w:val="16"/>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3.质疑函的质疑事项应具体、明确，并有必要的事实依据和法律依据。</w:t>
      </w:r>
    </w:p>
    <w:p w14:paraId="2E3CA3AA">
      <w:pPr>
        <w:pStyle w:val="16"/>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4.质疑函的质疑请求应与质疑事项相关。</w:t>
      </w:r>
    </w:p>
    <w:p w14:paraId="0B4CE20F">
      <w:pPr>
        <w:pStyle w:val="16"/>
        <w:spacing w:line="360" w:lineRule="auto"/>
        <w:ind w:left="25" w:leftChars="12" w:firstLine="354" w:firstLineChars="147"/>
        <w:contextualSpacing/>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5.质疑供应商为法人或者其他组织的，质疑函应由法定代表人、主要负责人，或者其授权代表签字或者盖章，并加盖公章。</w:t>
      </w:r>
    </w:p>
    <w:p w14:paraId="046E782B">
      <w:pPr>
        <w:pStyle w:val="16"/>
        <w:snapToGrid w:val="0"/>
        <w:spacing w:line="360" w:lineRule="auto"/>
        <w:rPr>
          <w:rFonts w:hint="eastAsia" w:ascii="宋体" w:hAnsi="宋体" w:eastAsia="宋体" w:cs="宋体"/>
          <w:b/>
          <w:color w:val="auto"/>
          <w:sz w:val="24"/>
          <w:szCs w:val="24"/>
          <w:highlight w:val="none"/>
        </w:rPr>
      </w:pPr>
    </w:p>
    <w:p w14:paraId="6CEEC2B7">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color w:val="auto"/>
          <w:sz w:val="44"/>
          <w:highlight w:val="none"/>
        </w:rPr>
        <w:br w:type="page"/>
      </w:r>
      <w:r>
        <w:rPr>
          <w:rFonts w:hint="eastAsia" w:ascii="宋体" w:hAnsi="宋体" w:eastAsia="宋体" w:cs="宋体"/>
          <w:b/>
          <w:bCs/>
          <w:color w:val="auto"/>
          <w:sz w:val="32"/>
          <w:szCs w:val="32"/>
          <w:highlight w:val="none"/>
        </w:rPr>
        <w:t>投诉书（格式）</w:t>
      </w:r>
    </w:p>
    <w:p w14:paraId="470C6666">
      <w:pPr>
        <w:pStyle w:val="16"/>
        <w:snapToGrid w:val="0"/>
        <w:spacing w:line="360" w:lineRule="auto"/>
        <w:ind w:firstLine="482" w:firstLineChars="200"/>
        <w:rPr>
          <w:rFonts w:hint="eastAsia" w:ascii="宋体" w:hAnsi="宋体" w:eastAsia="宋体" w:cs="宋体"/>
          <w:b/>
          <w:bCs/>
          <w:color w:val="auto"/>
          <w:sz w:val="24"/>
          <w:szCs w:val="24"/>
          <w:highlight w:val="none"/>
        </w:rPr>
      </w:pPr>
    </w:p>
    <w:p w14:paraId="2F3D6B85">
      <w:pPr>
        <w:pStyle w:val="16"/>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一、投诉相关主体基本情况：</w:t>
      </w:r>
    </w:p>
    <w:p w14:paraId="164DF7B1">
      <w:pPr>
        <w:pStyle w:val="16"/>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22B76D8C">
      <w:pPr>
        <w:pStyle w:val="16"/>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338D9965">
      <w:pPr>
        <w:pStyle w:val="16"/>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法定代表人/主要负责人：</w:t>
      </w:r>
      <w:r>
        <w:rPr>
          <w:rFonts w:hint="eastAsia" w:ascii="宋体" w:hAnsi="宋体" w:eastAsia="宋体" w:cs="宋体"/>
          <w:bCs/>
          <w:color w:val="auto"/>
          <w:sz w:val="24"/>
          <w:szCs w:val="24"/>
          <w:highlight w:val="none"/>
          <w:u w:val="single"/>
        </w:rPr>
        <w:t xml:space="preserve">                                                         </w:t>
      </w:r>
    </w:p>
    <w:p w14:paraId="0044321B">
      <w:pPr>
        <w:pStyle w:val="16"/>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20405D25">
      <w:pPr>
        <w:pStyle w:val="16"/>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58E92151">
      <w:pPr>
        <w:pStyle w:val="16"/>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1C509CCD">
      <w:pPr>
        <w:pStyle w:val="16"/>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363631E2">
      <w:pPr>
        <w:pStyle w:val="16"/>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被投诉人1：</w:t>
      </w:r>
    </w:p>
    <w:p w14:paraId="3CB2FFF9">
      <w:pPr>
        <w:pStyle w:val="16"/>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5DC6148F">
      <w:pPr>
        <w:pStyle w:val="16"/>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3DBCDCD3">
      <w:pPr>
        <w:pStyle w:val="16"/>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7E53B9D9">
      <w:pPr>
        <w:pStyle w:val="16"/>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被投诉人2：</w:t>
      </w:r>
    </w:p>
    <w:p w14:paraId="074D9CE3">
      <w:pPr>
        <w:pStyle w:val="16"/>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43475492">
      <w:pPr>
        <w:pStyle w:val="16"/>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相关供应商：</w:t>
      </w:r>
      <w:r>
        <w:rPr>
          <w:rFonts w:hint="eastAsia" w:ascii="宋体" w:hAnsi="宋体" w:eastAsia="宋体" w:cs="宋体"/>
          <w:bCs/>
          <w:color w:val="auto"/>
          <w:sz w:val="24"/>
          <w:szCs w:val="24"/>
          <w:highlight w:val="none"/>
          <w:u w:val="single"/>
        </w:rPr>
        <w:t xml:space="preserve">                                                                       </w:t>
      </w:r>
    </w:p>
    <w:p w14:paraId="65D55641">
      <w:pPr>
        <w:pStyle w:val="16"/>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p>
    <w:p w14:paraId="6C27B3FC">
      <w:pPr>
        <w:pStyle w:val="16"/>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667F72AC">
      <w:pPr>
        <w:pStyle w:val="16"/>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二、投诉项目基本情况：</w:t>
      </w:r>
    </w:p>
    <w:p w14:paraId="564B3E0E">
      <w:pPr>
        <w:pStyle w:val="16"/>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4B2BE5F3">
      <w:pPr>
        <w:pStyle w:val="16"/>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54EA5CDB">
      <w:pPr>
        <w:pStyle w:val="16"/>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5BD5626C">
      <w:pPr>
        <w:pStyle w:val="16"/>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代理机构名称：</w:t>
      </w:r>
      <w:r>
        <w:rPr>
          <w:rFonts w:hint="eastAsia" w:ascii="宋体" w:hAnsi="宋体" w:eastAsia="宋体" w:cs="宋体"/>
          <w:bCs/>
          <w:color w:val="auto"/>
          <w:sz w:val="24"/>
          <w:szCs w:val="24"/>
          <w:highlight w:val="none"/>
          <w:u w:val="single"/>
        </w:rPr>
        <w:t xml:space="preserve">                                                                      </w:t>
      </w:r>
    </w:p>
    <w:p w14:paraId="0653BC72">
      <w:pPr>
        <w:pStyle w:val="16"/>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招标文件公告：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25290F0D">
      <w:pPr>
        <w:pStyle w:val="16"/>
        <w:spacing w:line="360" w:lineRule="auto"/>
        <w:ind w:left="25" w:leftChars="12" w:firstLine="472" w:firstLineChars="197"/>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采购结果公告：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1437CFEB">
      <w:pPr>
        <w:pStyle w:val="16"/>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三、质疑基本情况</w:t>
      </w:r>
    </w:p>
    <w:p w14:paraId="0D646495">
      <w:pPr>
        <w:pStyle w:val="1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提出质疑，质疑事项为：</w:t>
      </w:r>
    </w:p>
    <w:p w14:paraId="3804E4ED">
      <w:pPr>
        <w:pStyle w:val="16"/>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288C7FE5">
      <w:pPr>
        <w:pStyle w:val="16"/>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04B4A07B">
      <w:pPr>
        <w:pStyle w:val="1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采购人/代理机构</w:t>
      </w:r>
      <w:r>
        <w:rPr>
          <w:rFonts w:hint="eastAsia" w:ascii="宋体" w:hAnsi="宋体" w:eastAsia="宋体" w:cs="宋体"/>
          <w:bCs/>
          <w:color w:val="auto"/>
          <w:sz w:val="24"/>
          <w:szCs w:val="24"/>
          <w:highlight w:val="none"/>
        </w:rPr>
        <w:t>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bCs/>
          <w:color w:val="auto"/>
          <w:sz w:val="24"/>
          <w:szCs w:val="24"/>
          <w:highlight w:val="none"/>
        </w:rPr>
        <w:t xml:space="preserve">就质疑事项作出了答复/没有在法定期限内作出答复。                                                                                             </w:t>
      </w:r>
    </w:p>
    <w:p w14:paraId="40E10274">
      <w:pPr>
        <w:pStyle w:val="16"/>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四、投诉事项具体内容</w:t>
      </w:r>
    </w:p>
    <w:p w14:paraId="38142897">
      <w:pPr>
        <w:pStyle w:val="16"/>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投诉事项1：</w:t>
      </w:r>
      <w:r>
        <w:rPr>
          <w:rFonts w:hint="eastAsia" w:ascii="宋体" w:hAnsi="宋体" w:eastAsia="宋体" w:cs="宋体"/>
          <w:bCs/>
          <w:color w:val="auto"/>
          <w:sz w:val="24"/>
          <w:szCs w:val="24"/>
          <w:highlight w:val="none"/>
          <w:u w:val="single"/>
        </w:rPr>
        <w:t xml:space="preserve">                                                                           </w:t>
      </w:r>
    </w:p>
    <w:p w14:paraId="6FDAE68D">
      <w:pPr>
        <w:pStyle w:val="16"/>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事实依据：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5152746B">
      <w:pPr>
        <w:pStyle w:val="16"/>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 xml:space="preserve">                                                                                        </w:t>
      </w:r>
    </w:p>
    <w:p w14:paraId="257CCC1A">
      <w:pPr>
        <w:pStyle w:val="16"/>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法律依据：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6FFA2A7A">
      <w:pPr>
        <w:pStyle w:val="16"/>
        <w:spacing w:line="360" w:lineRule="auto"/>
        <w:ind w:left="25" w:leftChars="12" w:firstLine="352" w:firstLineChars="14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4FB01D82">
      <w:pPr>
        <w:pStyle w:val="16"/>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投诉事项2  </w:t>
      </w:r>
      <w:r>
        <w:rPr>
          <w:rFonts w:hint="eastAsia" w:ascii="宋体" w:hAnsi="宋体" w:eastAsia="宋体" w:cs="宋体"/>
          <w:bCs/>
          <w:color w:val="auto"/>
          <w:sz w:val="24"/>
          <w:szCs w:val="24"/>
          <w:highlight w:val="none"/>
        </w:rPr>
        <w:t xml:space="preserve">   </w:t>
      </w:r>
    </w:p>
    <w:p w14:paraId="3059723A">
      <w:pPr>
        <w:pStyle w:val="16"/>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729A37EA">
      <w:pPr>
        <w:pStyle w:val="16"/>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五、与投诉事项相关的投诉请求：</w:t>
      </w:r>
    </w:p>
    <w:p w14:paraId="2ABC5760">
      <w:pPr>
        <w:pStyle w:val="16"/>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4112D653">
      <w:pPr>
        <w:pStyle w:val="16"/>
        <w:spacing w:line="360" w:lineRule="auto"/>
        <w:ind w:left="25" w:leftChars="12" w:firstLine="352" w:firstLineChars="147"/>
        <w:rPr>
          <w:rFonts w:hint="eastAsia" w:ascii="宋体" w:hAnsi="宋体" w:eastAsia="宋体" w:cs="宋体"/>
          <w:color w:val="auto"/>
          <w:sz w:val="24"/>
          <w:szCs w:val="24"/>
          <w:highlight w:val="none"/>
        </w:rPr>
      </w:pPr>
    </w:p>
    <w:p w14:paraId="4219A719">
      <w:pPr>
        <w:pStyle w:val="16"/>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2B64E0C8">
      <w:pPr>
        <w:pStyle w:val="16"/>
        <w:spacing w:line="360" w:lineRule="auto"/>
        <w:ind w:left="25" w:leftChars="12" w:firstLine="352" w:firstLineChars="147"/>
        <w:rPr>
          <w:rFonts w:hint="eastAsia" w:ascii="宋体" w:hAnsi="宋体" w:eastAsia="宋体" w:cs="宋体"/>
          <w:color w:val="auto"/>
          <w:sz w:val="24"/>
          <w:szCs w:val="24"/>
          <w:highlight w:val="none"/>
        </w:rPr>
      </w:pPr>
    </w:p>
    <w:p w14:paraId="06CE7F8C">
      <w:pPr>
        <w:pStyle w:val="16"/>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453AC3BC">
      <w:pPr>
        <w:pStyle w:val="16"/>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w:t>
      </w:r>
    </w:p>
    <w:p w14:paraId="767EEB21">
      <w:pPr>
        <w:pStyle w:val="16"/>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25883111">
      <w:pPr>
        <w:pStyle w:val="16"/>
        <w:spacing w:line="360" w:lineRule="auto"/>
        <w:ind w:left="25" w:leftChars="12" w:firstLine="354" w:firstLineChars="147"/>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sz w:val="24"/>
          <w:szCs w:val="24"/>
          <w:highlight w:val="none"/>
        </w:rPr>
        <w:t>。</w:t>
      </w:r>
    </w:p>
    <w:p w14:paraId="4CFD8877">
      <w:pPr>
        <w:pStyle w:val="16"/>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6700BF11">
      <w:pPr>
        <w:pStyle w:val="16"/>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3.投诉书应简要列明质疑事项，质疑函、质疑答复等作为附件材料提供。</w:t>
      </w:r>
    </w:p>
    <w:p w14:paraId="4242F16B">
      <w:pPr>
        <w:pStyle w:val="16"/>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4.投诉书的投诉事项应具体、明确，并有必要的事实依据和法律依据。</w:t>
      </w:r>
    </w:p>
    <w:p w14:paraId="2BFBBD4D">
      <w:pPr>
        <w:pStyle w:val="16"/>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5.投诉书的投诉请求应与投诉事项相关。</w:t>
      </w:r>
    </w:p>
    <w:p w14:paraId="0DD4CA06">
      <w:pPr>
        <w:pStyle w:val="16"/>
        <w:spacing w:line="360" w:lineRule="auto"/>
        <w:ind w:left="25" w:leftChars="12" w:firstLine="354" w:firstLineChars="147"/>
        <w:rPr>
          <w:color w:val="auto"/>
          <w:highlight w:val="none"/>
        </w:rPr>
      </w:pPr>
      <w:r>
        <w:rPr>
          <w:rFonts w:hint="eastAsia" w:ascii="宋体" w:hAnsi="宋体" w:eastAsia="宋体" w:cs="宋体"/>
          <w:b/>
          <w:color w:val="auto"/>
          <w:sz w:val="24"/>
          <w:szCs w:val="24"/>
          <w:highlight w:val="none"/>
        </w:rPr>
        <w:t>6.投诉人为法人或者其他组织的，投诉书应由法定代表人、主要负责人，或者其授权代表签字或者盖章，并加盖公章。</w:t>
      </w:r>
    </w:p>
    <w:p w14:paraId="6D871F9E">
      <w:pPr>
        <w:rPr>
          <w:rFonts w:hint="eastAsia"/>
          <w:color w:val="auto"/>
          <w:highlight w:val="none"/>
        </w:rPr>
      </w:pPr>
    </w:p>
    <w:p w14:paraId="25577F78">
      <w:pPr>
        <w:rPr>
          <w:rFonts w:hint="eastAsia"/>
          <w:color w:val="auto"/>
          <w:highlight w:val="none"/>
        </w:rPr>
      </w:pPr>
    </w:p>
    <w:p w14:paraId="336D3C30">
      <w:pPr>
        <w:rPr>
          <w:color w:val="auto"/>
          <w:highlight w:val="none"/>
        </w:rPr>
      </w:pPr>
    </w:p>
    <w:sectPr>
      <w:footerReference r:id="rId24" w:type="first"/>
      <w:headerReference r:id="rId22" w:type="default"/>
      <w:footerReference r:id="rId23" w:type="default"/>
      <w:pgSz w:w="11910" w:h="16840"/>
      <w:pgMar w:top="1340" w:right="150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小标宋简体">
    <w:panose1 w:val="03000509000000000000"/>
    <w:charset w:val="86"/>
    <w:family w:val="script"/>
    <w:pitch w:val="default"/>
    <w:sig w:usb0="00000001" w:usb1="080E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Tahoma">
    <w:panose1 w:val="020B0604030504040204"/>
    <w:charset w:val="00"/>
    <w:family w:val="auto"/>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Wingdings 2">
    <w:altName w:val="Wingdings"/>
    <w:panose1 w:val="05020102010507070707"/>
    <w:charset w:val="02"/>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C5585">
    <w:pPr>
      <w:pStyle w:val="20"/>
      <w:tabs>
        <w:tab w:val="center" w:pos="4439"/>
        <w:tab w:val="clear" w:pos="4153"/>
      </w:tabs>
      <w:jc w:val="both"/>
    </w:pPr>
  </w:p>
  <w:p w14:paraId="18F0F7BA">
    <w:pPr>
      <w:pStyle w:val="2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2DB99">
    <w:pPr>
      <w:widowControl w:val="0"/>
      <w:snapToGrid w:val="0"/>
      <w:jc w:val="left"/>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lang w:val="en-US" w:eastAsia="zh-CN" w:bidi="ar-SA"/>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766F66">
                          <w:pPr>
                            <w:widowControl w:val="0"/>
                            <w:snapToGrid w:val="0"/>
                            <w:jc w:val="left"/>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lang w:val="en-US" w:eastAsia="zh-CN" w:bidi="ar-SA"/>
                            </w:rPr>
                            <w:fldChar w:fldCharType="begin"/>
                          </w:r>
                          <w:r>
                            <w:rPr>
                              <w:rFonts w:ascii="Times New Roman" w:hAnsi="Times New Roman" w:eastAsia="宋体" w:cs="Times New Roman"/>
                              <w:kern w:val="0"/>
                              <w:sz w:val="18"/>
                              <w:szCs w:val="18"/>
                              <w:lang w:val="en-US" w:eastAsia="zh-CN" w:bidi="ar-SA"/>
                            </w:rPr>
                            <w:instrText xml:space="preserve"> PAGE  \* MERGEFORMAT </w:instrText>
                          </w:r>
                          <w:r>
                            <w:rPr>
                              <w:rFonts w:ascii="Times New Roman" w:hAnsi="Times New Roman" w:eastAsia="宋体" w:cs="Times New Roman"/>
                              <w:kern w:val="0"/>
                              <w:sz w:val="18"/>
                              <w:szCs w:val="18"/>
                              <w:lang w:val="en-US" w:eastAsia="zh-CN" w:bidi="ar-SA"/>
                            </w:rPr>
                            <w:fldChar w:fldCharType="separate"/>
                          </w:r>
                          <w:r>
                            <w:rPr>
                              <w:rFonts w:ascii="Times New Roman" w:hAnsi="Times New Roman" w:eastAsia="宋体" w:cs="Times New Roman"/>
                              <w:kern w:val="0"/>
                              <w:sz w:val="18"/>
                              <w:szCs w:val="18"/>
                              <w:lang w:val="en-US" w:eastAsia="zh-CN" w:bidi="ar-SA"/>
                            </w:rPr>
                            <w:t>80</w:t>
                          </w:r>
                          <w:r>
                            <w:rPr>
                              <w:rFonts w:ascii="Times New Roman" w:hAnsi="Times New Roman" w:eastAsia="宋体" w:cs="Times New Roman"/>
                              <w:kern w:val="0"/>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4ufaQ4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bi59pDgCAABxBAAADgAAAAAAAAABACAAAAAfAQAAZHJzL2Uyb0RvYy54&#10;bWxQSwUGAAAAAAYABgBZAQAAyQUAAAAA&#10;">
              <v:fill on="f" focussize="0,0"/>
              <v:stroke on="f" weight="0.5pt"/>
              <v:imagedata o:title=""/>
              <o:lock v:ext="edit" aspectratio="f"/>
              <v:textbox inset="0mm,0mm,0mm,0mm" style="mso-fit-shape-to-text:t;">
                <w:txbxContent>
                  <w:p w14:paraId="15766F66">
                    <w:pPr>
                      <w:widowControl w:val="0"/>
                      <w:snapToGrid w:val="0"/>
                      <w:jc w:val="left"/>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lang w:val="en-US" w:eastAsia="zh-CN" w:bidi="ar-SA"/>
                      </w:rPr>
                      <w:fldChar w:fldCharType="begin"/>
                    </w:r>
                    <w:r>
                      <w:rPr>
                        <w:rFonts w:ascii="Times New Roman" w:hAnsi="Times New Roman" w:eastAsia="宋体" w:cs="Times New Roman"/>
                        <w:kern w:val="0"/>
                        <w:sz w:val="18"/>
                        <w:szCs w:val="18"/>
                        <w:lang w:val="en-US" w:eastAsia="zh-CN" w:bidi="ar-SA"/>
                      </w:rPr>
                      <w:instrText xml:space="preserve"> PAGE  \* MERGEFORMAT </w:instrText>
                    </w:r>
                    <w:r>
                      <w:rPr>
                        <w:rFonts w:ascii="Times New Roman" w:hAnsi="Times New Roman" w:eastAsia="宋体" w:cs="Times New Roman"/>
                        <w:kern w:val="0"/>
                        <w:sz w:val="18"/>
                        <w:szCs w:val="18"/>
                        <w:lang w:val="en-US" w:eastAsia="zh-CN" w:bidi="ar-SA"/>
                      </w:rPr>
                      <w:fldChar w:fldCharType="separate"/>
                    </w:r>
                    <w:r>
                      <w:rPr>
                        <w:rFonts w:ascii="Times New Roman" w:hAnsi="Times New Roman" w:eastAsia="宋体" w:cs="Times New Roman"/>
                        <w:kern w:val="0"/>
                        <w:sz w:val="18"/>
                        <w:szCs w:val="18"/>
                        <w:lang w:val="en-US" w:eastAsia="zh-CN" w:bidi="ar-SA"/>
                      </w:rPr>
                      <w:t>80</w:t>
                    </w:r>
                    <w:r>
                      <w:rPr>
                        <w:rFonts w:ascii="Times New Roman" w:hAnsi="Times New Roman" w:eastAsia="宋体" w:cs="Times New Roman"/>
                        <w:kern w:val="0"/>
                        <w:sz w:val="18"/>
                        <w:szCs w:val="18"/>
                        <w:lang w:val="en-US" w:eastAsia="zh-CN" w:bidi="ar-SA"/>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2DAB0">
    <w:pPr>
      <w:pStyle w:val="20"/>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73A6AA">
                          <w:pPr>
                            <w:pStyle w:val="2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7273A6AA">
                    <w:pPr>
                      <w:pStyle w:val="2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C91BB">
    <w:pPr>
      <w:pStyle w:val="2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51DFB06">
                          <w:pPr>
                            <w:pStyle w:val="20"/>
                          </w:pPr>
                          <w:r>
                            <w:fldChar w:fldCharType="begin"/>
                          </w:r>
                          <w:r>
                            <w:instrText xml:space="preserve"> PAGE  \* MERGEFORMAT </w:instrText>
                          </w:r>
                          <w:r>
                            <w:fldChar w:fldCharType="separate"/>
                          </w:r>
                          <w:r>
                            <w:t>105</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05VZckBAACbAwAADgAAAGRycy9lMm9Eb2MueG1srVPNjtMwEL4j8Q6W&#10;79RpJ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SLm/CaEsctTvzy/dvlx6/Lz68E&#10;fdigPkCNeQ8BM9Nw5wdMnv2Azqx7UNHmLyoiGMf2nq/tlUMiIj9ar9brCkMCY/MF8dnj8xAhvZXe&#10;kmw0NOL8Slv56T2kMXVOydWcv9fGlBka95cDMbOHZe4jx2ylYT9Mgva+PaOeHkffUIebTol557Cz&#10;eUtmI87GfjaOIepDh9SWhReE22NCEoVbrjDCToVxZkXdtF95Kf68l6zHf2r7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LTlVlyQEAAJsDAAAOAAAAAAAAAAEAIAAAAB4BAABkcnMvZTJvRG9j&#10;LnhtbFBLBQYAAAAABgAGAFkBAABZBQAAAAA=&#10;">
              <v:fill on="f" focussize="0,0"/>
              <v:stroke on="f"/>
              <v:imagedata o:title=""/>
              <o:lock v:ext="edit" aspectratio="f"/>
              <v:textbox inset="0mm,0mm,0mm,0mm" style="mso-fit-shape-to-text:t;">
                <w:txbxContent>
                  <w:p w14:paraId="151DFB06">
                    <w:pPr>
                      <w:pStyle w:val="20"/>
                    </w:pPr>
                    <w:r>
                      <w:fldChar w:fldCharType="begin"/>
                    </w:r>
                    <w:r>
                      <w:instrText xml:space="preserve"> PAGE  \* MERGEFORMAT </w:instrText>
                    </w:r>
                    <w:r>
                      <w:fldChar w:fldCharType="separate"/>
                    </w:r>
                    <w:r>
                      <w:t>105</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DB88A">
    <w:pPr>
      <w:pStyle w:val="2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168BF57">
                          <w:pPr>
                            <w:pStyle w:val="20"/>
                            <w:jc w:val="center"/>
                          </w:pPr>
                          <w:r>
                            <w:fldChar w:fldCharType="begin"/>
                          </w:r>
                          <w:r>
                            <w:instrText xml:space="preserve"> PAGE  \* MERGEFORMAT </w:instrText>
                          </w:r>
                          <w:r>
                            <w:fldChar w:fldCharType="separate"/>
                          </w:r>
                          <w:r>
                            <w:t>90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3168BF57">
                    <w:pPr>
                      <w:pStyle w:val="20"/>
                      <w:jc w:val="center"/>
                    </w:pPr>
                    <w:r>
                      <w:fldChar w:fldCharType="begin"/>
                    </w:r>
                    <w:r>
                      <w:instrText xml:space="preserve"> PAGE  \* MERGEFORMAT </w:instrText>
                    </w:r>
                    <w:r>
                      <w:fldChar w:fldCharType="separate"/>
                    </w:r>
                    <w:r>
                      <w:t>90</w:t>
                    </w:r>
                    <w:r>
                      <w:fldChar w:fldCharType="end"/>
                    </w:r>
                  </w:p>
                </w:txbxContent>
              </v:textbox>
            </v:shape>
          </w:pict>
        </mc:Fallback>
      </mc:AlternateContent>
    </w:r>
  </w:p>
  <w:p w14:paraId="292517DD">
    <w:pPr>
      <w:pStyle w:val="20"/>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11D05">
    <w:pPr>
      <w:pStyle w:val="2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41CDC16">
                          <w:pPr>
                            <w:pStyle w:val="20"/>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41CDC16">
                    <w:pPr>
                      <w:pStyle w:val="20"/>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F6FFC">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6C248">
    <w:pPr>
      <w:pStyle w:val="20"/>
      <w:tabs>
        <w:tab w:val="center" w:pos="4439"/>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50ABD52"/>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NPPqHM0BAACnAwAADgAAAAAAAAABACAAAAAeAQAAZHJzL2Uy&#10;b0RvYy54bWxQSwUGAAAAAAYABgBZAQAAXQUAAAAA&#10;">
              <v:fill on="f" focussize="0,0"/>
              <v:stroke on="f"/>
              <v:imagedata o:title=""/>
              <o:lock v:ext="edit" aspectratio="f"/>
              <v:textbox inset="0mm,0mm,0mm,0mm" style="mso-fit-shape-to-text:t;">
                <w:txbxContent>
                  <w:p w14:paraId="150ABD52"/>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80944">
    <w:pPr>
      <w:pStyle w:val="20"/>
      <w:tabs>
        <w:tab w:val="center" w:pos="4439"/>
        <w:tab w:val="clear" w:pos="4153"/>
      </w:tabs>
      <w:jc w:val="both"/>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BCBFB29">
                          <w:pPr>
                            <w:pStyle w:val="2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iC+ss0BAACn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9iC+ss0BAACnAwAADgAAAAAAAAABACAAAAAeAQAAZHJzL2Uy&#10;b0RvYy54bWxQSwUGAAAAAAYABgBZAQAAXQUAAAAA&#10;">
              <v:fill on="f" focussize="0,0"/>
              <v:stroke on="f"/>
              <v:imagedata o:title=""/>
              <o:lock v:ext="edit" aspectratio="f"/>
              <v:textbox inset="0mm,0mm,0mm,0mm" style="mso-fit-shape-to-text:t;">
                <w:txbxContent>
                  <w:p w14:paraId="5BCBFB29">
                    <w:pPr>
                      <w:pStyle w:val="2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p w14:paraId="65F3E668">
    <w:pPr>
      <w:pStyle w:val="2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42E15">
    <w:pPr>
      <w:pStyle w:val="20"/>
      <w:tabs>
        <w:tab w:val="center" w:pos="4439"/>
        <w:tab w:val="clear" w:pos="4153"/>
      </w:tabs>
      <w:jc w:val="both"/>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754631F">
                          <w:pPr>
                            <w:pStyle w:val="2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CX2GkzAEAAKcDAAAOAAAAAAAAAAEAIAAAAB4BAABkcnMvZTJv&#10;RG9jLnhtbFBLBQYAAAAABgAGAFkBAABcBQAAAAA=&#10;">
              <v:fill on="f" focussize="0,0"/>
              <v:stroke on="f"/>
              <v:imagedata o:title=""/>
              <o:lock v:ext="edit" aspectratio="f"/>
              <v:textbox inset="0mm,0mm,0mm,0mm" style="mso-fit-shape-to-text:t;">
                <w:txbxContent>
                  <w:p w14:paraId="0754631F">
                    <w:pPr>
                      <w:pStyle w:val="2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p w14:paraId="304F5804">
    <w:pPr>
      <w:pStyle w:val="2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35981">
    <w:pPr>
      <w:pStyle w:val="2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1072C45">
                          <w:pPr>
                            <w:pStyle w:val="20"/>
                          </w:pPr>
                          <w:r>
                            <w:fldChar w:fldCharType="begin"/>
                          </w:r>
                          <w:r>
                            <w:instrText xml:space="preserve"> PAGE  \* MERGEFORMAT </w:instrText>
                          </w:r>
                          <w:r>
                            <w:fldChar w:fldCharType="separate"/>
                          </w:r>
                          <w:r>
                            <w:t>91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61072C45">
                    <w:pPr>
                      <w:pStyle w:val="20"/>
                    </w:pPr>
                    <w:r>
                      <w:fldChar w:fldCharType="begin"/>
                    </w:r>
                    <w:r>
                      <w:instrText xml:space="preserve"> PAGE  \* MERGEFORMAT </w:instrText>
                    </w:r>
                    <w:r>
                      <w:fldChar w:fldCharType="separate"/>
                    </w:r>
                    <w:r>
                      <w:t>91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E015B">
    <w:pPr>
      <w:pStyle w:val="20"/>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C568A86">
                          <w:pPr>
                            <w:pStyle w:val="2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19</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0uhMYs0BAACnAwAADgAAAAAAAAABACAAAAAeAQAAZHJzL2Uy&#10;b0RvYy54bWxQSwUGAAAAAAYABgBZAQAAXQUAAAAA&#10;">
              <v:fill on="f" focussize="0,0"/>
              <v:stroke on="f"/>
              <v:imagedata o:title=""/>
              <o:lock v:ext="edit" aspectratio="f"/>
              <v:textbox inset="0mm,0mm,0mm,0mm" style="mso-fit-shape-to-text:t;">
                <w:txbxContent>
                  <w:p w14:paraId="4C568A86">
                    <w:pPr>
                      <w:pStyle w:val="2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19</w:t>
                    </w:r>
                    <w:r>
                      <w:rPr>
                        <w:rFonts w:hint="eastAsia"/>
                        <w:lang w:eastAsia="zh-CN"/>
                      </w:rPr>
                      <w:fldChar w:fldCharType="end"/>
                    </w:r>
                  </w:p>
                </w:txbxContent>
              </v:textbox>
            </v:shape>
          </w:pict>
        </mc:Fallback>
      </mc:AlternateContent>
    </w:r>
  </w:p>
  <w:p w14:paraId="5ED632CA">
    <w:pPr>
      <w:pStyle w:val="2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9867A">
    <w:pPr>
      <w:widowControl w:val="0"/>
      <w:snapToGrid w:val="0"/>
      <w:jc w:val="left"/>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lang w:val="en-US" w:eastAsia="zh-CN" w:bidi="ar-S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0CEEE34">
                          <w:pPr>
                            <w:widowControl w:val="0"/>
                            <w:snapToGrid w:val="0"/>
                            <w:jc w:val="left"/>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lang w:val="en-US" w:eastAsia="zh-CN" w:bidi="ar-SA"/>
                            </w:rPr>
                            <w:fldChar w:fldCharType="begin"/>
                          </w:r>
                          <w:r>
                            <w:rPr>
                              <w:rFonts w:ascii="Times New Roman" w:hAnsi="Times New Roman" w:eastAsia="宋体" w:cs="Times New Roman"/>
                              <w:kern w:val="0"/>
                              <w:sz w:val="18"/>
                              <w:szCs w:val="18"/>
                              <w:lang w:val="en-US" w:eastAsia="zh-CN" w:bidi="ar-SA"/>
                            </w:rPr>
                            <w:instrText xml:space="preserve"> PAGE  \* MERGEFORMAT </w:instrText>
                          </w:r>
                          <w:r>
                            <w:rPr>
                              <w:rFonts w:ascii="Times New Roman" w:hAnsi="Times New Roman" w:eastAsia="宋体" w:cs="Times New Roman"/>
                              <w:kern w:val="0"/>
                              <w:sz w:val="18"/>
                              <w:szCs w:val="18"/>
                              <w:lang w:val="en-US" w:eastAsia="zh-CN" w:bidi="ar-SA"/>
                            </w:rPr>
                            <w:fldChar w:fldCharType="separate"/>
                          </w:r>
                          <w:r>
                            <w:rPr>
                              <w:rFonts w:ascii="Times New Roman" w:hAnsi="Times New Roman" w:eastAsia="宋体" w:cs="Times New Roman"/>
                              <w:kern w:val="0"/>
                              <w:sz w:val="18"/>
                              <w:szCs w:val="18"/>
                              <w:lang w:val="en-US" w:eastAsia="zh-CN" w:bidi="ar-SA"/>
                            </w:rPr>
                            <w:t>79</w:t>
                          </w:r>
                          <w:r>
                            <w:rPr>
                              <w:rFonts w:ascii="Times New Roman" w:hAnsi="Times New Roman" w:eastAsia="宋体" w:cs="Times New Roman"/>
                              <w:kern w:val="0"/>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Fazzc3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RWs83NwIAAHEEAAAOAAAAAAAAAAEAIAAAAB8BAABkcnMvZTJvRG9jLnht&#10;bFBLBQYAAAAABgAGAFkBAADIBQAAAAA=&#10;">
              <v:fill on="f" focussize="0,0"/>
              <v:stroke on="f" weight="0.5pt"/>
              <v:imagedata o:title=""/>
              <o:lock v:ext="edit" aspectratio="f"/>
              <v:textbox inset="0mm,0mm,0mm,0mm" style="mso-fit-shape-to-text:t;">
                <w:txbxContent>
                  <w:p w14:paraId="10CEEE34">
                    <w:pPr>
                      <w:widowControl w:val="0"/>
                      <w:snapToGrid w:val="0"/>
                      <w:jc w:val="left"/>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lang w:val="en-US" w:eastAsia="zh-CN" w:bidi="ar-SA"/>
                      </w:rPr>
                      <w:fldChar w:fldCharType="begin"/>
                    </w:r>
                    <w:r>
                      <w:rPr>
                        <w:rFonts w:ascii="Times New Roman" w:hAnsi="Times New Roman" w:eastAsia="宋体" w:cs="Times New Roman"/>
                        <w:kern w:val="0"/>
                        <w:sz w:val="18"/>
                        <w:szCs w:val="18"/>
                        <w:lang w:val="en-US" w:eastAsia="zh-CN" w:bidi="ar-SA"/>
                      </w:rPr>
                      <w:instrText xml:space="preserve"> PAGE  \* MERGEFORMAT </w:instrText>
                    </w:r>
                    <w:r>
                      <w:rPr>
                        <w:rFonts w:ascii="Times New Roman" w:hAnsi="Times New Roman" w:eastAsia="宋体" w:cs="Times New Roman"/>
                        <w:kern w:val="0"/>
                        <w:sz w:val="18"/>
                        <w:szCs w:val="18"/>
                        <w:lang w:val="en-US" w:eastAsia="zh-CN" w:bidi="ar-SA"/>
                      </w:rPr>
                      <w:fldChar w:fldCharType="separate"/>
                    </w:r>
                    <w:r>
                      <w:rPr>
                        <w:rFonts w:ascii="Times New Roman" w:hAnsi="Times New Roman" w:eastAsia="宋体" w:cs="Times New Roman"/>
                        <w:kern w:val="0"/>
                        <w:sz w:val="18"/>
                        <w:szCs w:val="18"/>
                        <w:lang w:val="en-US" w:eastAsia="zh-CN" w:bidi="ar-SA"/>
                      </w:rPr>
                      <w:t>79</w:t>
                    </w:r>
                    <w:r>
                      <w:rPr>
                        <w:rFonts w:ascii="Times New Roman" w:hAnsi="Times New Roman" w:eastAsia="宋体" w:cs="Times New Roman"/>
                        <w:kern w:val="0"/>
                        <w:sz w:val="18"/>
                        <w:szCs w:val="18"/>
                        <w:lang w:val="en-US" w:eastAsia="zh-CN" w:bidi="ar-S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944EE">
    <w:pPr>
      <w:widowControl w:val="0"/>
      <w:snapToGrid w:val="0"/>
      <w:jc w:val="center"/>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lang w:val="en-US" w:eastAsia="zh-CN" w:bidi="ar-SA"/>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561A955">
                          <w:pPr>
                            <w:widowControl w:val="0"/>
                            <w:snapToGrid w:val="0"/>
                            <w:jc w:val="left"/>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lang w:val="en-US" w:eastAsia="zh-CN" w:bidi="ar-SA"/>
                            </w:rPr>
                            <w:fldChar w:fldCharType="begin"/>
                          </w:r>
                          <w:r>
                            <w:rPr>
                              <w:rFonts w:ascii="Times New Roman" w:hAnsi="Times New Roman" w:eastAsia="宋体" w:cs="Times New Roman"/>
                              <w:kern w:val="0"/>
                              <w:sz w:val="18"/>
                              <w:szCs w:val="18"/>
                              <w:lang w:val="en-US" w:eastAsia="zh-CN" w:bidi="ar-SA"/>
                            </w:rPr>
                            <w:instrText xml:space="preserve"> PAGE  \* MERGEFORMAT </w:instrText>
                          </w:r>
                          <w:r>
                            <w:rPr>
                              <w:rFonts w:ascii="Times New Roman" w:hAnsi="Times New Roman" w:eastAsia="宋体" w:cs="Times New Roman"/>
                              <w:kern w:val="0"/>
                              <w:sz w:val="18"/>
                              <w:szCs w:val="18"/>
                              <w:lang w:val="en-US" w:eastAsia="zh-CN" w:bidi="ar-SA"/>
                            </w:rPr>
                            <w:fldChar w:fldCharType="separate"/>
                          </w:r>
                          <w:r>
                            <w:rPr>
                              <w:rFonts w:ascii="Times New Roman" w:hAnsi="Times New Roman" w:eastAsia="宋体" w:cs="Times New Roman"/>
                              <w:kern w:val="0"/>
                              <w:sz w:val="18"/>
                              <w:szCs w:val="18"/>
                              <w:lang w:val="en-US" w:eastAsia="zh-CN" w:bidi="ar-SA"/>
                            </w:rPr>
                            <w:t>2</w:t>
                          </w:r>
                          <w:r>
                            <w:rPr>
                              <w:rFonts w:ascii="Times New Roman" w:hAnsi="Times New Roman" w:eastAsia="宋体" w:cs="Times New Roman"/>
                              <w:kern w:val="0"/>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zQzU3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R+vqQ9Vd&#10;wBxaFrZ6Z3lME6XydnUMkDYpHgXqVEGn4gaTmHrWv5o46n/uU9Tj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7c0M1NwIAAHEEAAAOAAAAAAAAAAEAIAAAAB8BAABkcnMvZTJvRG9jLnht&#10;bFBLBQYAAAAABgAGAFkBAADIBQAAAAA=&#10;">
              <v:fill on="f" focussize="0,0"/>
              <v:stroke on="f" weight="0.5pt"/>
              <v:imagedata o:title=""/>
              <o:lock v:ext="edit" aspectratio="f"/>
              <v:textbox inset="0mm,0mm,0mm,0mm" style="mso-fit-shape-to-text:t;">
                <w:txbxContent>
                  <w:p w14:paraId="4561A955">
                    <w:pPr>
                      <w:widowControl w:val="0"/>
                      <w:snapToGrid w:val="0"/>
                      <w:jc w:val="left"/>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lang w:val="en-US" w:eastAsia="zh-CN" w:bidi="ar-SA"/>
                      </w:rPr>
                      <w:fldChar w:fldCharType="begin"/>
                    </w:r>
                    <w:r>
                      <w:rPr>
                        <w:rFonts w:ascii="Times New Roman" w:hAnsi="Times New Roman" w:eastAsia="宋体" w:cs="Times New Roman"/>
                        <w:kern w:val="0"/>
                        <w:sz w:val="18"/>
                        <w:szCs w:val="18"/>
                        <w:lang w:val="en-US" w:eastAsia="zh-CN" w:bidi="ar-SA"/>
                      </w:rPr>
                      <w:instrText xml:space="preserve"> PAGE  \* MERGEFORMAT </w:instrText>
                    </w:r>
                    <w:r>
                      <w:rPr>
                        <w:rFonts w:ascii="Times New Roman" w:hAnsi="Times New Roman" w:eastAsia="宋体" w:cs="Times New Roman"/>
                        <w:kern w:val="0"/>
                        <w:sz w:val="18"/>
                        <w:szCs w:val="18"/>
                        <w:lang w:val="en-US" w:eastAsia="zh-CN" w:bidi="ar-SA"/>
                      </w:rPr>
                      <w:fldChar w:fldCharType="separate"/>
                    </w:r>
                    <w:r>
                      <w:rPr>
                        <w:rFonts w:ascii="Times New Roman" w:hAnsi="Times New Roman" w:eastAsia="宋体" w:cs="Times New Roman"/>
                        <w:kern w:val="0"/>
                        <w:sz w:val="18"/>
                        <w:szCs w:val="18"/>
                        <w:lang w:val="en-US" w:eastAsia="zh-CN" w:bidi="ar-SA"/>
                      </w:rPr>
                      <w:t>2</w:t>
                    </w:r>
                    <w:r>
                      <w:rPr>
                        <w:rFonts w:ascii="Times New Roman" w:hAnsi="Times New Roman" w:eastAsia="宋体" w:cs="Times New Roman"/>
                        <w:kern w:val="0"/>
                        <w:sz w:val="18"/>
                        <w:szCs w:val="18"/>
                        <w:lang w:val="en-US" w:eastAsia="zh-CN" w:bidi="ar-S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851B5">
    <w:pPr>
      <w:pStyle w:val="21"/>
      <w:rPr>
        <w:color w:val="auto"/>
      </w:rPr>
    </w:pPr>
    <w:r>
      <w:rPr>
        <w:rFonts w:hint="eastAsia"/>
        <w:color w:val="auto"/>
      </w:rPr>
      <w:t>南宁市政府采购竞争性磋商采购文件（项目编号：</w:t>
    </w:r>
    <w:r>
      <w:rPr>
        <w:rFonts w:hint="eastAsia"/>
        <w:color w:val="auto"/>
        <w:lang w:eastAsia="zh-CN"/>
      </w:rPr>
      <w:t>NNZC2026-C2-230022-JHGC</w:t>
    </w:r>
    <w:r>
      <w:rPr>
        <w:rFonts w:hint="eastAsia"/>
        <w:color w:val="auto"/>
      </w:rPr>
      <w:t>）</w:t>
    </w:r>
  </w:p>
  <w:p w14:paraId="4E3340CE">
    <w:pPr>
      <w:pStyle w:val="2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B7900">
    <w:pPr>
      <w:pStyle w:val="2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BE37D">
    <w:pPr>
      <w:pStyle w:val="21"/>
      <w:rPr>
        <w:color w:val="auto"/>
      </w:rPr>
    </w:pPr>
    <w:r>
      <w:rPr>
        <w:rFonts w:hint="eastAsia"/>
        <w:color w:val="auto"/>
      </w:rPr>
      <w:t>南宁市政府采购竞争性磋商采购文件（项目编号：</w:t>
    </w:r>
    <w:r>
      <w:rPr>
        <w:rFonts w:hint="eastAsia"/>
        <w:color w:val="auto"/>
        <w:lang w:eastAsia="zh-CN"/>
      </w:rPr>
      <w:t>NNZC2026-C2-230022-JHGC</w:t>
    </w:r>
    <w:r>
      <w:rPr>
        <w:rFonts w:hint="eastAsia"/>
        <w:color w:val="auto"/>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BB13D">
    <w:pPr>
      <w:widowControl w:val="0"/>
      <w:pBdr>
        <w:bottom w:val="none" w:color="auto" w:sz="0" w:space="0"/>
      </w:pBdr>
      <w:snapToGrid w:val="0"/>
      <w:jc w:val="center"/>
      <w:rPr>
        <w:rFonts w:ascii="Times New Roman" w:hAnsi="Times New Roman" w:eastAsia="宋体" w:cs="Times New Roman"/>
        <w:kern w:val="0"/>
        <w:sz w:val="18"/>
        <w:szCs w:val="18"/>
        <w:lang w:val="en-US" w:eastAsia="zh-CN" w:bidi="ar-S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6BDF2">
    <w:pPr>
      <w:widowControl w:val="0"/>
      <w:pBdr>
        <w:bottom w:val="none" w:color="auto" w:sz="0" w:space="1"/>
      </w:pBdr>
      <w:snapToGrid w:val="0"/>
      <w:jc w:val="center"/>
      <w:rPr>
        <w:rFonts w:ascii="Times New Roman" w:hAnsi="Times New Roman" w:eastAsia="宋体" w:cs="Times New Roman"/>
        <w:kern w:val="0"/>
        <w:sz w:val="18"/>
        <w:szCs w:val="18"/>
        <w:lang w:val="en-US" w:eastAsia="zh-CN" w:bidi="ar-S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69C21">
    <w:pPr>
      <w:pStyle w:val="21"/>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55BAA1">
    <w:pPr>
      <w:pStyle w:val="21"/>
      <w:rPr>
        <w:color w:val="auto"/>
      </w:rPr>
    </w:pPr>
    <w:r>
      <w:rPr>
        <w:rFonts w:hint="eastAsia"/>
        <w:color w:val="auto"/>
      </w:rPr>
      <w:t>南宁市政府采购竞争性磋商采购文件（项目编号：</w:t>
    </w:r>
    <w:r>
      <w:rPr>
        <w:rFonts w:hint="eastAsia"/>
        <w:color w:val="auto"/>
        <w:lang w:eastAsia="zh-CN"/>
      </w:rPr>
      <w:t xml:space="preserve">   </w:t>
    </w:r>
    <w:r>
      <w:rPr>
        <w:rFonts w:hint="eastAsia"/>
        <w:color w:val="auto"/>
      </w:rPr>
      <w:t>）</w:t>
    </w:r>
  </w:p>
  <w:p w14:paraId="161F221A">
    <w:pPr>
      <w:pStyle w:val="21"/>
      <w:pBdr>
        <w:bottom w:val="none" w:color="auto" w:sz="0" w:space="0"/>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F7976">
    <w:pPr>
      <w:pStyle w:val="21"/>
    </w:pPr>
    <w:r>
      <w:rPr>
        <w:rFonts w:hint="eastAsia"/>
        <w:color w:val="auto"/>
      </w:rPr>
      <w:t>南宁市政府采购竞争性磋商采购文件（项目编号：</w:t>
    </w:r>
    <w:r>
      <w:rPr>
        <w:rFonts w:hint="eastAsia"/>
        <w:color w:val="auto"/>
        <w:lang w:eastAsia="zh-CN"/>
      </w:rPr>
      <w:t xml:space="preserve">   </w:t>
    </w:r>
    <w:r>
      <w:rPr>
        <w:rFonts w:hint="eastAsia"/>
        <w:color w:val="auto"/>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1">
    <w:nsid w:val="00000003"/>
    <w:multiLevelType w:val="multilevel"/>
    <w:tmpl w:val="00000003"/>
    <w:lvl w:ilvl="0" w:tentative="0">
      <w:start w:val="1"/>
      <w:numFmt w:val="decimal"/>
      <w:lvlText w:val="（%1）"/>
      <w:lvlJc w:val="left"/>
      <w:pPr>
        <w:tabs>
          <w:tab w:val="left" w:pos="1140"/>
        </w:tabs>
        <w:ind w:left="1140" w:hanging="7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00000004"/>
    <w:multiLevelType w:val="singleLevel"/>
    <w:tmpl w:val="00000004"/>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3">
    <w:nsid w:val="00000005"/>
    <w:multiLevelType w:val="singleLevel"/>
    <w:tmpl w:val="00000005"/>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4">
    <w:nsid w:val="00000006"/>
    <w:multiLevelType w:val="singleLevel"/>
    <w:tmpl w:val="00000006"/>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5">
    <w:nsid w:val="00000007"/>
    <w:multiLevelType w:val="singleLevel"/>
    <w:tmpl w:val="00000007"/>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6">
    <w:nsid w:val="00000008"/>
    <w:multiLevelType w:val="singleLevel"/>
    <w:tmpl w:val="00000008"/>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7">
    <w:nsid w:val="00000009"/>
    <w:multiLevelType w:val="singleLevel"/>
    <w:tmpl w:val="00000009"/>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8">
    <w:nsid w:val="0000000A"/>
    <w:multiLevelType w:val="singleLevel"/>
    <w:tmpl w:val="0000000A"/>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9">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0">
    <w:nsid w:val="0000000C"/>
    <w:multiLevelType w:val="singleLevel"/>
    <w:tmpl w:val="0000000C"/>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11">
    <w:nsid w:val="0000000D"/>
    <w:multiLevelType w:val="singleLevel"/>
    <w:tmpl w:val="0000000D"/>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12">
    <w:nsid w:val="0000000E"/>
    <w:multiLevelType w:val="singleLevel"/>
    <w:tmpl w:val="0000000E"/>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13">
    <w:nsid w:val="0000000F"/>
    <w:multiLevelType w:val="singleLevel"/>
    <w:tmpl w:val="0000000F"/>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14">
    <w:nsid w:val="00000010"/>
    <w:multiLevelType w:val="singleLevel"/>
    <w:tmpl w:val="00000010"/>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15">
    <w:nsid w:val="00000011"/>
    <w:multiLevelType w:val="singleLevel"/>
    <w:tmpl w:val="00000011"/>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16">
    <w:nsid w:val="00000012"/>
    <w:multiLevelType w:val="singleLevel"/>
    <w:tmpl w:val="00000012"/>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17">
    <w:nsid w:val="00000013"/>
    <w:multiLevelType w:val="singleLevel"/>
    <w:tmpl w:val="00000013"/>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18">
    <w:nsid w:val="00000014"/>
    <w:multiLevelType w:val="singleLevel"/>
    <w:tmpl w:val="00000014"/>
    <w:lvl w:ilvl="0" w:tentative="0">
      <w:start w:val="1"/>
      <w:numFmt w:val="decimalEnclosedCircle"/>
      <w:lvlText w:val="%1"/>
      <w:lvlJc w:val="left"/>
      <w:rPr>
        <w:rFonts w:ascii="宋体" w:hAnsi="宋体" w:eastAsia="宋体" w:cs="宋体"/>
        <w:b w:val="0"/>
        <w:bCs w:val="0"/>
        <w:i w:val="0"/>
        <w:iCs w:val="0"/>
        <w:smallCaps w:val="0"/>
        <w:color w:val="000000"/>
        <w:spacing w:val="0"/>
        <w:w w:val="100"/>
        <w:position w:val="0"/>
        <w:sz w:val="20"/>
        <w:szCs w:val="20"/>
        <w:u w:val="none"/>
        <w:shd w:val="clear" w:color="auto" w:fill="auto"/>
        <w:lang w:val="zh-CN" w:eastAsia="zh-CN" w:bidi="zh-CN"/>
      </w:rPr>
    </w:lvl>
  </w:abstractNum>
  <w:abstractNum w:abstractNumId="19">
    <w:nsid w:val="00000015"/>
    <w:multiLevelType w:val="singleLevel"/>
    <w:tmpl w:val="00000015"/>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20">
    <w:nsid w:val="00000016"/>
    <w:multiLevelType w:val="singleLevel"/>
    <w:tmpl w:val="00000016"/>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21">
    <w:nsid w:val="00000017"/>
    <w:multiLevelType w:val="singleLevel"/>
    <w:tmpl w:val="00000017"/>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22">
    <w:nsid w:val="00000018"/>
    <w:multiLevelType w:val="singleLevel"/>
    <w:tmpl w:val="00000018"/>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en-US" w:eastAsia="en-US" w:bidi="en-US"/>
      </w:rPr>
    </w:lvl>
  </w:abstractNum>
  <w:abstractNum w:abstractNumId="23">
    <w:nsid w:val="00000019"/>
    <w:multiLevelType w:val="singleLevel"/>
    <w:tmpl w:val="00000019"/>
    <w:lvl w:ilvl="0" w:tentative="0">
      <w:start w:val="22"/>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FFFFFF"/>
        <w:lang w:val="en-US" w:eastAsia="en-US" w:bidi="en-US"/>
      </w:rPr>
    </w:lvl>
  </w:abstractNum>
  <w:abstractNum w:abstractNumId="24">
    <w:nsid w:val="0000001A"/>
    <w:multiLevelType w:val="singleLevel"/>
    <w:tmpl w:val="0000001A"/>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25">
    <w:nsid w:val="0000001B"/>
    <w:multiLevelType w:val="singleLevel"/>
    <w:tmpl w:val="0000001B"/>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26">
    <w:nsid w:val="0000001C"/>
    <w:multiLevelType w:val="singleLevel"/>
    <w:tmpl w:val="0000001C"/>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27">
    <w:nsid w:val="0000001D"/>
    <w:multiLevelType w:val="singleLevel"/>
    <w:tmpl w:val="0000001D"/>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28">
    <w:nsid w:val="0000001E"/>
    <w:multiLevelType w:val="singleLevel"/>
    <w:tmpl w:val="0000001E"/>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29">
    <w:nsid w:val="00000020"/>
    <w:multiLevelType w:val="singleLevel"/>
    <w:tmpl w:val="00000020"/>
    <w:lvl w:ilvl="0" w:tentative="0">
      <w:start w:val="2"/>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30">
    <w:nsid w:val="00000021"/>
    <w:multiLevelType w:val="singleLevel"/>
    <w:tmpl w:val="00000021"/>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31">
    <w:nsid w:val="00000022"/>
    <w:multiLevelType w:val="singleLevel"/>
    <w:tmpl w:val="00000022"/>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32">
    <w:nsid w:val="00000023"/>
    <w:multiLevelType w:val="singleLevel"/>
    <w:tmpl w:val="00000023"/>
    <w:lvl w:ilvl="0" w:tentative="0">
      <w:start w:val="1"/>
      <w:numFmt w:val="decimalEnclosedCircle"/>
      <w:lvlText w:val="%1"/>
      <w:lvlJc w:val="left"/>
      <w:rPr>
        <w:rFonts w:ascii="宋体" w:hAnsi="宋体" w:eastAsia="宋体" w:cs="宋体"/>
        <w:b w:val="0"/>
        <w:bCs w:val="0"/>
        <w:i w:val="0"/>
        <w:iCs w:val="0"/>
        <w:smallCaps w:val="0"/>
        <w:color w:val="000000"/>
        <w:spacing w:val="0"/>
        <w:w w:val="100"/>
        <w:position w:val="0"/>
        <w:sz w:val="20"/>
        <w:szCs w:val="20"/>
        <w:u w:val="none"/>
        <w:shd w:val="clear" w:color="auto" w:fill="auto"/>
        <w:lang w:val="zh-CN" w:eastAsia="zh-CN" w:bidi="zh-CN"/>
      </w:rPr>
    </w:lvl>
  </w:abstractNum>
  <w:abstractNum w:abstractNumId="33">
    <w:nsid w:val="00000024"/>
    <w:multiLevelType w:val="singleLevel"/>
    <w:tmpl w:val="00000024"/>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34">
    <w:nsid w:val="00000025"/>
    <w:multiLevelType w:val="singleLevel"/>
    <w:tmpl w:val="00000025"/>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35">
    <w:nsid w:val="00000026"/>
    <w:multiLevelType w:val="singleLevel"/>
    <w:tmpl w:val="00000026"/>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36">
    <w:nsid w:val="00000027"/>
    <w:multiLevelType w:val="singleLevel"/>
    <w:tmpl w:val="00000027"/>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37">
    <w:nsid w:val="00000028"/>
    <w:multiLevelType w:val="singleLevel"/>
    <w:tmpl w:val="00000028"/>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38">
    <w:nsid w:val="00000029"/>
    <w:multiLevelType w:val="singleLevel"/>
    <w:tmpl w:val="00000029"/>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39">
    <w:nsid w:val="0000002A"/>
    <w:multiLevelType w:val="singleLevel"/>
    <w:tmpl w:val="0000002A"/>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40">
    <w:nsid w:val="0000002B"/>
    <w:multiLevelType w:val="singleLevel"/>
    <w:tmpl w:val="0000002B"/>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41">
    <w:nsid w:val="163D9E49"/>
    <w:multiLevelType w:val="singleLevel"/>
    <w:tmpl w:val="163D9E49"/>
    <w:lvl w:ilvl="0" w:tentative="0">
      <w:start w:val="4"/>
      <w:numFmt w:val="decimal"/>
      <w:suff w:val="space"/>
      <w:lvlText w:val="%1."/>
      <w:lvlJc w:val="left"/>
    </w:lvl>
  </w:abstractNum>
  <w:abstractNum w:abstractNumId="42">
    <w:nsid w:val="22A42B04"/>
    <w:multiLevelType w:val="singleLevel"/>
    <w:tmpl w:val="22A42B04"/>
    <w:lvl w:ilvl="0" w:tentative="0">
      <w:start w:val="1"/>
      <w:numFmt w:val="decimal"/>
      <w:pStyle w:val="9"/>
      <w:lvlText w:val="%1."/>
      <w:lvlJc w:val="left"/>
      <w:pPr>
        <w:tabs>
          <w:tab w:val="left" w:pos="360"/>
        </w:tabs>
        <w:ind w:left="360" w:hanging="360"/>
      </w:pPr>
    </w:lvl>
  </w:abstractNum>
  <w:abstractNum w:abstractNumId="43">
    <w:nsid w:val="77633241"/>
    <w:multiLevelType w:val="singleLevel"/>
    <w:tmpl w:val="77633241"/>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num w:numId="1">
    <w:abstractNumId w:val="4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1"/>
  </w:num>
  <w:num w:numId="5">
    <w:abstractNumId w:val="40"/>
  </w:num>
  <w:num w:numId="6">
    <w:abstractNumId w:val="9"/>
  </w:num>
  <w:num w:numId="7">
    <w:abstractNumId w:val="34"/>
  </w:num>
  <w:num w:numId="8">
    <w:abstractNumId w:val="3"/>
  </w:num>
  <w:num w:numId="9">
    <w:abstractNumId w:val="14"/>
  </w:num>
  <w:num w:numId="10">
    <w:abstractNumId w:val="24"/>
  </w:num>
  <w:num w:numId="11">
    <w:abstractNumId w:val="33"/>
  </w:num>
  <w:num w:numId="12">
    <w:abstractNumId w:val="0"/>
  </w:num>
  <w:num w:numId="13">
    <w:abstractNumId w:val="1"/>
  </w:num>
  <w:num w:numId="14">
    <w:abstractNumId w:val="20"/>
  </w:num>
  <w:num w:numId="15">
    <w:abstractNumId w:val="7"/>
  </w:num>
  <w:num w:numId="16">
    <w:abstractNumId w:val="10"/>
  </w:num>
  <w:num w:numId="17">
    <w:abstractNumId w:val="19"/>
  </w:num>
  <w:num w:numId="18">
    <w:abstractNumId w:val="39"/>
  </w:num>
  <w:num w:numId="19">
    <w:abstractNumId w:val="17"/>
  </w:num>
  <w:num w:numId="20">
    <w:abstractNumId w:val="38"/>
  </w:num>
  <w:num w:numId="21">
    <w:abstractNumId w:val="25"/>
  </w:num>
  <w:num w:numId="22">
    <w:abstractNumId w:val="2"/>
  </w:num>
  <w:num w:numId="23">
    <w:abstractNumId w:val="21"/>
  </w:num>
  <w:num w:numId="24">
    <w:abstractNumId w:val="6"/>
  </w:num>
  <w:num w:numId="25">
    <w:abstractNumId w:val="28"/>
  </w:num>
  <w:num w:numId="26">
    <w:abstractNumId w:val="37"/>
  </w:num>
  <w:num w:numId="27">
    <w:abstractNumId w:val="12"/>
  </w:num>
  <w:num w:numId="28">
    <w:abstractNumId w:val="4"/>
  </w:num>
  <w:num w:numId="29">
    <w:abstractNumId w:val="27"/>
  </w:num>
  <w:num w:numId="30">
    <w:abstractNumId w:val="31"/>
  </w:num>
  <w:num w:numId="31">
    <w:abstractNumId w:val="35"/>
  </w:num>
  <w:num w:numId="32">
    <w:abstractNumId w:val="36"/>
  </w:num>
  <w:num w:numId="33">
    <w:abstractNumId w:val="26"/>
  </w:num>
  <w:num w:numId="34">
    <w:abstractNumId w:val="16"/>
  </w:num>
  <w:num w:numId="35">
    <w:abstractNumId w:val="5"/>
  </w:num>
  <w:num w:numId="36">
    <w:abstractNumId w:val="23"/>
  </w:num>
  <w:num w:numId="37">
    <w:abstractNumId w:val="30"/>
  </w:num>
  <w:num w:numId="38">
    <w:abstractNumId w:val="15"/>
  </w:num>
  <w:num w:numId="39">
    <w:abstractNumId w:val="13"/>
  </w:num>
  <w:num w:numId="40">
    <w:abstractNumId w:val="32"/>
  </w:num>
  <w:num w:numId="41">
    <w:abstractNumId w:val="18"/>
  </w:num>
  <w:num w:numId="42">
    <w:abstractNumId w:val="11"/>
  </w:num>
  <w:num w:numId="43">
    <w:abstractNumId w:val="29"/>
  </w:num>
  <w:num w:numId="44">
    <w:abstractNumId w:val="22"/>
  </w:num>
  <w:num w:numId="45">
    <w:abstractNumId w:val="8"/>
  </w:num>
  <w:num w:numId="4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3OThkYjM3MzU3NjIxYWU4NTI1NzY1ZmZkZjQ4NjEifQ=="/>
  </w:docVars>
  <w:rsids>
    <w:rsidRoot w:val="4A792BC1"/>
    <w:rsid w:val="003A6B66"/>
    <w:rsid w:val="00A67D58"/>
    <w:rsid w:val="0159387C"/>
    <w:rsid w:val="01FE3CA0"/>
    <w:rsid w:val="028E4F47"/>
    <w:rsid w:val="02B80216"/>
    <w:rsid w:val="031501B1"/>
    <w:rsid w:val="03611667"/>
    <w:rsid w:val="03ED4337"/>
    <w:rsid w:val="0442423B"/>
    <w:rsid w:val="064F4F9D"/>
    <w:rsid w:val="06C62F02"/>
    <w:rsid w:val="08392579"/>
    <w:rsid w:val="08B46A13"/>
    <w:rsid w:val="08BB76B3"/>
    <w:rsid w:val="0927769E"/>
    <w:rsid w:val="09396436"/>
    <w:rsid w:val="09616F12"/>
    <w:rsid w:val="0A0C3321"/>
    <w:rsid w:val="0A256191"/>
    <w:rsid w:val="0B195A81"/>
    <w:rsid w:val="0B1C3308"/>
    <w:rsid w:val="0B5E4333"/>
    <w:rsid w:val="0B7D0DF1"/>
    <w:rsid w:val="0BB348A6"/>
    <w:rsid w:val="0C27447E"/>
    <w:rsid w:val="0C41127C"/>
    <w:rsid w:val="0CA32483"/>
    <w:rsid w:val="0D35493D"/>
    <w:rsid w:val="0D6C6927"/>
    <w:rsid w:val="0DF30354"/>
    <w:rsid w:val="0E372937"/>
    <w:rsid w:val="0E7B0A75"/>
    <w:rsid w:val="0F1609AB"/>
    <w:rsid w:val="0F76123D"/>
    <w:rsid w:val="0F8F00B0"/>
    <w:rsid w:val="0FB84CC3"/>
    <w:rsid w:val="0FD83CA6"/>
    <w:rsid w:val="10BA7FBF"/>
    <w:rsid w:val="10C81F6C"/>
    <w:rsid w:val="10D91A83"/>
    <w:rsid w:val="112847B9"/>
    <w:rsid w:val="113C0779"/>
    <w:rsid w:val="114A3477"/>
    <w:rsid w:val="11534786"/>
    <w:rsid w:val="11AE74B8"/>
    <w:rsid w:val="12D06EB6"/>
    <w:rsid w:val="14060DE1"/>
    <w:rsid w:val="14554682"/>
    <w:rsid w:val="14BE02C7"/>
    <w:rsid w:val="157709B0"/>
    <w:rsid w:val="163F4A7E"/>
    <w:rsid w:val="164E59A4"/>
    <w:rsid w:val="1672275E"/>
    <w:rsid w:val="17A567B7"/>
    <w:rsid w:val="18324737"/>
    <w:rsid w:val="18406443"/>
    <w:rsid w:val="18761375"/>
    <w:rsid w:val="188B3EA1"/>
    <w:rsid w:val="18C9640A"/>
    <w:rsid w:val="18F62EB7"/>
    <w:rsid w:val="196D545F"/>
    <w:rsid w:val="19B412DF"/>
    <w:rsid w:val="1A7D1C1D"/>
    <w:rsid w:val="1B4B2B35"/>
    <w:rsid w:val="1B54323F"/>
    <w:rsid w:val="1BE72869"/>
    <w:rsid w:val="1C7D00AF"/>
    <w:rsid w:val="1CBD25FA"/>
    <w:rsid w:val="1D5B335B"/>
    <w:rsid w:val="1D64798E"/>
    <w:rsid w:val="1D867E58"/>
    <w:rsid w:val="1D8B2357"/>
    <w:rsid w:val="1D984854"/>
    <w:rsid w:val="1E1E31CB"/>
    <w:rsid w:val="1EA21019"/>
    <w:rsid w:val="1F901EA7"/>
    <w:rsid w:val="200054D9"/>
    <w:rsid w:val="2031368A"/>
    <w:rsid w:val="209B0B03"/>
    <w:rsid w:val="20A7394C"/>
    <w:rsid w:val="20AC4CD8"/>
    <w:rsid w:val="20DB1848"/>
    <w:rsid w:val="216929AF"/>
    <w:rsid w:val="21F419A2"/>
    <w:rsid w:val="227B299A"/>
    <w:rsid w:val="22963C78"/>
    <w:rsid w:val="22B03359"/>
    <w:rsid w:val="22C32593"/>
    <w:rsid w:val="237F37C8"/>
    <w:rsid w:val="2431093C"/>
    <w:rsid w:val="252D5589"/>
    <w:rsid w:val="25A641D2"/>
    <w:rsid w:val="25BE5AC8"/>
    <w:rsid w:val="25CC2EDF"/>
    <w:rsid w:val="25D16D75"/>
    <w:rsid w:val="26A7481C"/>
    <w:rsid w:val="26EA2784"/>
    <w:rsid w:val="272677C4"/>
    <w:rsid w:val="272A2BE1"/>
    <w:rsid w:val="276C1C6C"/>
    <w:rsid w:val="27BB1274"/>
    <w:rsid w:val="28892160"/>
    <w:rsid w:val="28907B3A"/>
    <w:rsid w:val="28D5118E"/>
    <w:rsid w:val="29736AC1"/>
    <w:rsid w:val="2A685EFA"/>
    <w:rsid w:val="2BC4508F"/>
    <w:rsid w:val="2C2D1DFD"/>
    <w:rsid w:val="2C934D84"/>
    <w:rsid w:val="2CD81465"/>
    <w:rsid w:val="2DC07007"/>
    <w:rsid w:val="2E2A34C6"/>
    <w:rsid w:val="2E556795"/>
    <w:rsid w:val="2EC92CDF"/>
    <w:rsid w:val="2EE43FBD"/>
    <w:rsid w:val="2F1B5F91"/>
    <w:rsid w:val="2FC17E5A"/>
    <w:rsid w:val="300D520F"/>
    <w:rsid w:val="311C141E"/>
    <w:rsid w:val="31211C6B"/>
    <w:rsid w:val="31CF2D03"/>
    <w:rsid w:val="31F91ADC"/>
    <w:rsid w:val="3267783E"/>
    <w:rsid w:val="32F12805"/>
    <w:rsid w:val="33342978"/>
    <w:rsid w:val="3345560D"/>
    <w:rsid w:val="336E20A7"/>
    <w:rsid w:val="336F0F7F"/>
    <w:rsid w:val="33A40745"/>
    <w:rsid w:val="33A474CF"/>
    <w:rsid w:val="34EB079D"/>
    <w:rsid w:val="35330875"/>
    <w:rsid w:val="35E623C9"/>
    <w:rsid w:val="35F867DF"/>
    <w:rsid w:val="35FA7C22"/>
    <w:rsid w:val="363B0967"/>
    <w:rsid w:val="36956DC4"/>
    <w:rsid w:val="36DF1C32"/>
    <w:rsid w:val="376E466E"/>
    <w:rsid w:val="37DA240C"/>
    <w:rsid w:val="37ED732A"/>
    <w:rsid w:val="38B1344E"/>
    <w:rsid w:val="38E90085"/>
    <w:rsid w:val="390F7E89"/>
    <w:rsid w:val="39657835"/>
    <w:rsid w:val="39870694"/>
    <w:rsid w:val="39F304BB"/>
    <w:rsid w:val="3A106F28"/>
    <w:rsid w:val="3A747564"/>
    <w:rsid w:val="3AB30460"/>
    <w:rsid w:val="3B1F25AF"/>
    <w:rsid w:val="3B2C2F74"/>
    <w:rsid w:val="3C2E1562"/>
    <w:rsid w:val="3C920BB5"/>
    <w:rsid w:val="3CCC056A"/>
    <w:rsid w:val="3D200751"/>
    <w:rsid w:val="3D25588D"/>
    <w:rsid w:val="3D402D06"/>
    <w:rsid w:val="3D6176CB"/>
    <w:rsid w:val="3D883A92"/>
    <w:rsid w:val="3EFF6AAC"/>
    <w:rsid w:val="3F470381"/>
    <w:rsid w:val="3F6057F8"/>
    <w:rsid w:val="3FA27C76"/>
    <w:rsid w:val="40C625AD"/>
    <w:rsid w:val="419D4D10"/>
    <w:rsid w:val="41A922AE"/>
    <w:rsid w:val="41D836F6"/>
    <w:rsid w:val="42C83582"/>
    <w:rsid w:val="42FE52B7"/>
    <w:rsid w:val="43127AF9"/>
    <w:rsid w:val="432A1A6E"/>
    <w:rsid w:val="43516F22"/>
    <w:rsid w:val="43746A4F"/>
    <w:rsid w:val="43BC29BB"/>
    <w:rsid w:val="43C5218D"/>
    <w:rsid w:val="43E81820"/>
    <w:rsid w:val="443006B8"/>
    <w:rsid w:val="4467501D"/>
    <w:rsid w:val="44E62669"/>
    <w:rsid w:val="44EE3048"/>
    <w:rsid w:val="45390B01"/>
    <w:rsid w:val="45C02C36"/>
    <w:rsid w:val="4705784A"/>
    <w:rsid w:val="47190850"/>
    <w:rsid w:val="48081CE6"/>
    <w:rsid w:val="48BC6A59"/>
    <w:rsid w:val="493E4372"/>
    <w:rsid w:val="49656BC0"/>
    <w:rsid w:val="49B334D9"/>
    <w:rsid w:val="4A050C18"/>
    <w:rsid w:val="4A792BC1"/>
    <w:rsid w:val="4AE21B38"/>
    <w:rsid w:val="4AF37275"/>
    <w:rsid w:val="4B614574"/>
    <w:rsid w:val="4B644064"/>
    <w:rsid w:val="4BAC74BE"/>
    <w:rsid w:val="4CFA45B5"/>
    <w:rsid w:val="4D0B463B"/>
    <w:rsid w:val="4DAC0452"/>
    <w:rsid w:val="4E747294"/>
    <w:rsid w:val="4E760D0B"/>
    <w:rsid w:val="4F7479F9"/>
    <w:rsid w:val="4F7E2B86"/>
    <w:rsid w:val="4FDE6BE1"/>
    <w:rsid w:val="501E0C85"/>
    <w:rsid w:val="50D94BAC"/>
    <w:rsid w:val="513B5867"/>
    <w:rsid w:val="51796AEB"/>
    <w:rsid w:val="51894D3E"/>
    <w:rsid w:val="51A77922"/>
    <w:rsid w:val="52025AE9"/>
    <w:rsid w:val="52490566"/>
    <w:rsid w:val="529F0F39"/>
    <w:rsid w:val="53184FEC"/>
    <w:rsid w:val="535950B1"/>
    <w:rsid w:val="536B0AA5"/>
    <w:rsid w:val="538901F4"/>
    <w:rsid w:val="54120E10"/>
    <w:rsid w:val="55170170"/>
    <w:rsid w:val="554E3DBB"/>
    <w:rsid w:val="56267342"/>
    <w:rsid w:val="56310FE7"/>
    <w:rsid w:val="573C7C43"/>
    <w:rsid w:val="58005F43"/>
    <w:rsid w:val="58840494"/>
    <w:rsid w:val="5928560F"/>
    <w:rsid w:val="5A1D3D5C"/>
    <w:rsid w:val="5AAA6FB5"/>
    <w:rsid w:val="5C06444B"/>
    <w:rsid w:val="5CD73EA8"/>
    <w:rsid w:val="5CE72757"/>
    <w:rsid w:val="5CE868B8"/>
    <w:rsid w:val="5D3242F4"/>
    <w:rsid w:val="5DA35C00"/>
    <w:rsid w:val="5E807052"/>
    <w:rsid w:val="5FDB4F12"/>
    <w:rsid w:val="5FE40853"/>
    <w:rsid w:val="6020318F"/>
    <w:rsid w:val="60334DE7"/>
    <w:rsid w:val="60A31BC3"/>
    <w:rsid w:val="60DC6C22"/>
    <w:rsid w:val="61555AB1"/>
    <w:rsid w:val="61B21B87"/>
    <w:rsid w:val="62052439"/>
    <w:rsid w:val="62333367"/>
    <w:rsid w:val="6239745E"/>
    <w:rsid w:val="63042A79"/>
    <w:rsid w:val="64CC0858"/>
    <w:rsid w:val="65420B1A"/>
    <w:rsid w:val="65B90E14"/>
    <w:rsid w:val="65E57691"/>
    <w:rsid w:val="666F593F"/>
    <w:rsid w:val="66B81126"/>
    <w:rsid w:val="67237B54"/>
    <w:rsid w:val="67375865"/>
    <w:rsid w:val="67B11F87"/>
    <w:rsid w:val="67FC35EF"/>
    <w:rsid w:val="68224C33"/>
    <w:rsid w:val="683F2481"/>
    <w:rsid w:val="68E85E7D"/>
    <w:rsid w:val="691A77E9"/>
    <w:rsid w:val="698C4A89"/>
    <w:rsid w:val="69C7008E"/>
    <w:rsid w:val="6A161929"/>
    <w:rsid w:val="6A570D8C"/>
    <w:rsid w:val="6AA647C4"/>
    <w:rsid w:val="6AAD4C88"/>
    <w:rsid w:val="6D110330"/>
    <w:rsid w:val="6D21370B"/>
    <w:rsid w:val="6D723464"/>
    <w:rsid w:val="6DDB7D5E"/>
    <w:rsid w:val="6DF332FA"/>
    <w:rsid w:val="6E946696"/>
    <w:rsid w:val="6FD1581C"/>
    <w:rsid w:val="70251764"/>
    <w:rsid w:val="70592393"/>
    <w:rsid w:val="7073427E"/>
    <w:rsid w:val="708B319F"/>
    <w:rsid w:val="70E542D8"/>
    <w:rsid w:val="70F31F92"/>
    <w:rsid w:val="721970A7"/>
    <w:rsid w:val="722A4E10"/>
    <w:rsid w:val="73164BEE"/>
    <w:rsid w:val="7390022E"/>
    <w:rsid w:val="73A0182E"/>
    <w:rsid w:val="74890D53"/>
    <w:rsid w:val="75292E35"/>
    <w:rsid w:val="755C503D"/>
    <w:rsid w:val="75FA4D6A"/>
    <w:rsid w:val="760E24A8"/>
    <w:rsid w:val="762416C6"/>
    <w:rsid w:val="77DA4BE2"/>
    <w:rsid w:val="78234247"/>
    <w:rsid w:val="798C478A"/>
    <w:rsid w:val="7A374E51"/>
    <w:rsid w:val="7A551F3B"/>
    <w:rsid w:val="7B0F5D12"/>
    <w:rsid w:val="7B60505B"/>
    <w:rsid w:val="7C016BE2"/>
    <w:rsid w:val="7CAA1288"/>
    <w:rsid w:val="7CCD2F68"/>
    <w:rsid w:val="7CDE0446"/>
    <w:rsid w:val="7D006F22"/>
    <w:rsid w:val="7D580A83"/>
    <w:rsid w:val="7D807FDA"/>
    <w:rsid w:val="7DE71EDA"/>
    <w:rsid w:val="7EDC636B"/>
    <w:rsid w:val="7F2A67EA"/>
    <w:rsid w:val="7FE933F6"/>
    <w:rsid w:val="7FF134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nhideWhenUsed="0" w:uiPriority="9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iPriority="39" w:semiHidden="0" w:name="toc 1"/>
    <w:lsdException w:qFormat="1"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iPriority="99"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unhideWhenUsed/>
    <w:qFormat/>
    <w:uiPriority w:val="9"/>
    <w:pPr>
      <w:keepNext/>
      <w:keepLines/>
      <w:spacing w:before="260" w:after="260" w:line="416" w:lineRule="auto"/>
      <w:outlineLvl w:val="2"/>
    </w:pPr>
    <w:rPr>
      <w:sz w:val="32"/>
      <w:szCs w:val="32"/>
    </w:rPr>
  </w:style>
  <w:style w:type="paragraph" w:styleId="5">
    <w:name w:val="heading 4"/>
    <w:basedOn w:val="1"/>
    <w:next w:val="1"/>
    <w:qFormat/>
    <w:uiPriority w:val="99"/>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paragraph" w:styleId="6">
    <w:name w:val="heading 5"/>
    <w:basedOn w:val="5"/>
    <w:next w:val="7"/>
    <w:qFormat/>
    <w:uiPriority w:val="0"/>
    <w:pPr>
      <w:keepNext/>
      <w:keepLines/>
      <w:spacing w:before="280" w:after="290" w:line="372" w:lineRule="auto"/>
      <w:outlineLvl w:val="4"/>
    </w:pPr>
    <w:rPr>
      <w:sz w:val="28"/>
    </w:rPr>
  </w:style>
  <w:style w:type="character" w:default="1" w:styleId="29">
    <w:name w:val="Default Paragraph Font"/>
    <w:semiHidden/>
    <w:qFormat/>
    <w:uiPriority w:val="0"/>
  </w:style>
  <w:style w:type="table" w:default="1" w:styleId="27">
    <w:name w:val="Normal Table"/>
    <w:semiHidden/>
    <w:qFormat/>
    <w:uiPriority w:val="0"/>
    <w:tblPr>
      <w:tblCellMar>
        <w:top w:w="0" w:type="dxa"/>
        <w:left w:w="108" w:type="dxa"/>
        <w:bottom w:w="0" w:type="dxa"/>
        <w:right w:w="108" w:type="dxa"/>
      </w:tblCellMar>
    </w:tblPr>
  </w:style>
  <w:style w:type="paragraph" w:styleId="7">
    <w:name w:val="Normal Indent"/>
    <w:basedOn w:val="1"/>
    <w:unhideWhenUsed/>
    <w:qFormat/>
    <w:uiPriority w:val="99"/>
    <w:pPr>
      <w:ind w:firstLine="420"/>
    </w:pPr>
    <w:rPr>
      <w:szCs w:val="20"/>
    </w:rPr>
  </w:style>
  <w:style w:type="paragraph" w:styleId="8">
    <w:name w:val="index 8"/>
    <w:basedOn w:val="1"/>
    <w:next w:val="1"/>
    <w:qFormat/>
    <w:uiPriority w:val="0"/>
    <w:pPr>
      <w:tabs>
        <w:tab w:val="left" w:pos="540"/>
        <w:tab w:val="left" w:pos="900"/>
      </w:tabs>
      <w:jc w:val="center"/>
    </w:pPr>
    <w:rPr>
      <w:rFonts w:hAnsi="宋体" w:cs="宋体"/>
      <w:color w:val="000000"/>
      <w:sz w:val="32"/>
      <w:szCs w:val="32"/>
    </w:rPr>
  </w:style>
  <w:style w:type="paragraph" w:styleId="9">
    <w:name w:val="List Number"/>
    <w:basedOn w:val="1"/>
    <w:qFormat/>
    <w:uiPriority w:val="0"/>
    <w:pPr>
      <w:numPr>
        <w:ilvl w:val="0"/>
        <w:numId w:val="1"/>
      </w:numPr>
    </w:pPr>
  </w:style>
  <w:style w:type="paragraph" w:styleId="10">
    <w:name w:val="annotation text"/>
    <w:basedOn w:val="1"/>
    <w:unhideWhenUsed/>
    <w:qFormat/>
    <w:uiPriority w:val="99"/>
    <w:pPr>
      <w:jc w:val="left"/>
    </w:pPr>
  </w:style>
  <w:style w:type="paragraph" w:styleId="11">
    <w:name w:val="Body Text 3"/>
    <w:basedOn w:val="1"/>
    <w:qFormat/>
    <w:uiPriority w:val="99"/>
    <w:pPr>
      <w:spacing w:after="120"/>
    </w:pPr>
    <w:rPr>
      <w:sz w:val="16"/>
      <w:szCs w:val="16"/>
    </w:rPr>
  </w:style>
  <w:style w:type="paragraph" w:styleId="12">
    <w:name w:val="Body Text"/>
    <w:basedOn w:val="1"/>
    <w:unhideWhenUsed/>
    <w:qFormat/>
    <w:uiPriority w:val="99"/>
    <w:pPr>
      <w:spacing w:after="120"/>
    </w:pPr>
  </w:style>
  <w:style w:type="paragraph" w:styleId="13">
    <w:name w:val="Body Text Indent"/>
    <w:basedOn w:val="1"/>
    <w:unhideWhenUsed/>
    <w:qFormat/>
    <w:uiPriority w:val="99"/>
    <w:pPr>
      <w:ind w:firstLine="830" w:firstLineChars="352"/>
    </w:pPr>
    <w:rPr>
      <w:rFonts w:ascii="仿宋_GB2312" w:eastAsia="仿宋_GB2312"/>
      <w:kern w:val="0"/>
      <w:sz w:val="32"/>
      <w:szCs w:val="20"/>
    </w:rPr>
  </w:style>
  <w:style w:type="paragraph" w:styleId="14">
    <w:name w:val="List 2"/>
    <w:basedOn w:val="1"/>
    <w:unhideWhenUsed/>
    <w:qFormat/>
    <w:uiPriority w:val="99"/>
    <w:pPr>
      <w:ind w:left="100" w:leftChars="200" w:hanging="200" w:hangingChars="200"/>
      <w:contextualSpacing/>
    </w:pPr>
  </w:style>
  <w:style w:type="paragraph" w:styleId="15">
    <w:name w:val="toc 3"/>
    <w:basedOn w:val="1"/>
    <w:next w:val="1"/>
    <w:qFormat/>
    <w:uiPriority w:val="0"/>
    <w:pPr>
      <w:ind w:left="840" w:leftChars="400"/>
    </w:pPr>
  </w:style>
  <w:style w:type="paragraph" w:styleId="16">
    <w:name w:val="Plain Text"/>
    <w:basedOn w:val="17"/>
    <w:next w:val="1"/>
    <w:unhideWhenUsed/>
    <w:qFormat/>
    <w:uiPriority w:val="99"/>
    <w:rPr>
      <w:rFonts w:ascii="宋体" w:hAnsi="Courier New"/>
      <w:kern w:val="0"/>
      <w:sz w:val="20"/>
      <w:szCs w:val="21"/>
    </w:rPr>
  </w:style>
  <w:style w:type="paragraph" w:customStyle="1" w:styleId="17">
    <w:name w:val="正文_2_0"/>
    <w:next w:val="18"/>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
    <w:name w:val="页脚_2"/>
    <w:basedOn w:val="17"/>
    <w:unhideWhenUsed/>
    <w:qFormat/>
    <w:uiPriority w:val="99"/>
    <w:pPr>
      <w:tabs>
        <w:tab w:val="center" w:pos="4153"/>
        <w:tab w:val="right" w:pos="8306"/>
      </w:tabs>
      <w:snapToGrid w:val="0"/>
      <w:jc w:val="left"/>
    </w:pPr>
    <w:rPr>
      <w:sz w:val="18"/>
      <w:szCs w:val="18"/>
    </w:rPr>
  </w:style>
  <w:style w:type="paragraph" w:styleId="19">
    <w:name w:val="Date"/>
    <w:basedOn w:val="1"/>
    <w:next w:val="1"/>
    <w:unhideWhenUsed/>
    <w:qFormat/>
    <w:uiPriority w:val="99"/>
    <w:pPr>
      <w:ind w:left="100" w:leftChars="2500"/>
    </w:pPr>
  </w:style>
  <w:style w:type="paragraph" w:styleId="20">
    <w:name w:val="footer"/>
    <w:basedOn w:val="1"/>
    <w:next w:val="1"/>
    <w:unhideWhenUsed/>
    <w:qFormat/>
    <w:uiPriority w:val="0"/>
    <w:pPr>
      <w:tabs>
        <w:tab w:val="center" w:pos="4153"/>
        <w:tab w:val="right" w:pos="8306"/>
      </w:tabs>
      <w:snapToGrid w:val="0"/>
      <w:jc w:val="left"/>
    </w:pPr>
    <w:rPr>
      <w:kern w:val="0"/>
      <w:sz w:val="18"/>
      <w:szCs w:val="18"/>
    </w:rPr>
  </w:style>
  <w:style w:type="paragraph" w:styleId="21">
    <w:name w:val="header"/>
    <w:basedOn w:val="1"/>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22">
    <w:name w:val="toc 1"/>
    <w:basedOn w:val="1"/>
    <w:next w:val="1"/>
    <w:unhideWhenUsed/>
    <w:qFormat/>
    <w:uiPriority w:val="39"/>
  </w:style>
  <w:style w:type="paragraph" w:styleId="23">
    <w:name w:val="List"/>
    <w:basedOn w:val="1"/>
    <w:unhideWhenUsed/>
    <w:qFormat/>
    <w:uiPriority w:val="99"/>
    <w:pPr>
      <w:ind w:left="200" w:hanging="200" w:hangingChars="200"/>
      <w:contextualSpacing/>
    </w:pPr>
  </w:style>
  <w:style w:type="paragraph" w:styleId="24">
    <w:name w:val="table of figures"/>
    <w:basedOn w:val="1"/>
    <w:next w:val="1"/>
    <w:qFormat/>
    <w:uiPriority w:val="0"/>
    <w:pPr>
      <w:ind w:leftChars="200" w:hanging="200" w:hangingChars="200"/>
    </w:pPr>
    <w:rPr>
      <w:rFonts w:ascii="Times New Roman" w:hAnsi="Times New Roman" w:eastAsia="宋体" w:cs="Times New Roman"/>
    </w:rPr>
  </w:style>
  <w:style w:type="paragraph" w:styleId="25">
    <w:name w:val="toc 2"/>
    <w:basedOn w:val="1"/>
    <w:next w:val="1"/>
    <w:unhideWhenUsed/>
    <w:qFormat/>
    <w:uiPriority w:val="39"/>
    <w:pPr>
      <w:tabs>
        <w:tab w:val="right" w:leader="dot" w:pos="8296"/>
      </w:tabs>
      <w:ind w:left="420" w:leftChars="200"/>
    </w:pPr>
  </w:style>
  <w:style w:type="paragraph" w:styleId="26">
    <w:name w:val="Body Text First Indent 2"/>
    <w:basedOn w:val="13"/>
    <w:next w:val="1"/>
    <w:qFormat/>
    <w:uiPriority w:val="0"/>
    <w:pPr>
      <w:spacing w:before="240" w:after="120" w:line="360" w:lineRule="auto"/>
      <w:ind w:left="420" w:leftChars="200" w:firstLine="420" w:firstLineChars="200"/>
    </w:pPr>
    <w:rPr>
      <w:rFonts w:ascii="宋体" w:hAnsi="Calibri" w:eastAsia="宋体" w:cs="宋体"/>
      <w:kern w:val="2"/>
      <w:sz w:val="21"/>
      <w:szCs w:val="24"/>
    </w:r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page number"/>
    <w:basedOn w:val="29"/>
    <w:qFormat/>
    <w:uiPriority w:val="0"/>
    <w:rPr>
      <w:rFonts w:ascii="Times New Roman" w:hAnsi="Times New Roman" w:eastAsia="宋体" w:cs="Times New Roman"/>
    </w:rPr>
  </w:style>
  <w:style w:type="character" w:styleId="31">
    <w:name w:val="Hyperlink"/>
    <w:unhideWhenUsed/>
    <w:qFormat/>
    <w:uiPriority w:val="99"/>
    <w:rPr>
      <w:color w:val="0000FF"/>
      <w:u w:val="single"/>
    </w:rPr>
  </w:style>
  <w:style w:type="paragraph" w:customStyle="1" w:styleId="32">
    <w:name w:val="正文-公1"/>
    <w:basedOn w:val="1"/>
    <w:qFormat/>
    <w:uiPriority w:val="0"/>
    <w:pPr>
      <w:ind w:firstLine="200" w:firstLineChars="200"/>
      <w:jc w:val="left"/>
    </w:pPr>
    <w:rPr>
      <w:rFonts w:eastAsia="仿宋_GB2312"/>
    </w:rPr>
  </w:style>
  <w:style w:type="paragraph" w:customStyle="1" w:styleId="33">
    <w:name w:val="表格文字"/>
    <w:basedOn w:val="13"/>
    <w:qFormat/>
    <w:uiPriority w:val="0"/>
    <w:pPr>
      <w:spacing w:before="60" w:after="60" w:line="240" w:lineRule="auto"/>
      <w:ind w:firstLine="0"/>
    </w:pPr>
    <w:rPr>
      <w:rFonts w:ascii="Times New Roman" w:hAnsi="Times New Roman"/>
      <w:szCs w:val="24"/>
    </w:rPr>
  </w:style>
  <w:style w:type="paragraph" w:customStyle="1" w:styleId="34">
    <w:name w:val="正文2"/>
    <w:basedOn w:val="1"/>
    <w:qFormat/>
    <w:uiPriority w:val="0"/>
    <w:pPr>
      <w:adjustRightInd w:val="0"/>
      <w:spacing w:before="156" w:line="360" w:lineRule="auto"/>
      <w:ind w:firstLine="510" w:firstLineChars="200"/>
    </w:pPr>
    <w:rPr>
      <w:kern w:val="0"/>
      <w:sz w:val="24"/>
      <w:szCs w:val="20"/>
    </w:rPr>
  </w:style>
  <w:style w:type="paragraph" w:customStyle="1" w:styleId="35">
    <w:name w:val="样式5"/>
    <w:basedOn w:val="1"/>
    <w:qFormat/>
    <w:uiPriority w:val="99"/>
    <w:pPr>
      <w:adjustRightInd w:val="0"/>
      <w:spacing w:line="440" w:lineRule="exact"/>
      <w:ind w:left="2" w:firstLine="480" w:firstLineChars="200"/>
    </w:pPr>
    <w:rPr>
      <w:rFonts w:ascii="仿宋_GB2312" w:hAnsi="仿宋" w:eastAsia="仿宋_GB2312"/>
      <w:sz w:val="24"/>
    </w:rPr>
  </w:style>
  <w:style w:type="paragraph" w:customStyle="1" w:styleId="36">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9">
    <w:name w:val="10"/>
    <w:qFormat/>
    <w:uiPriority w:val="0"/>
    <w:rPr>
      <w:rFonts w:hint="default" w:ascii="Times New Roman" w:hAnsi="Times New Roman" w:cs="Times New Roman"/>
    </w:rPr>
  </w:style>
  <w:style w:type="paragraph" w:customStyle="1" w:styleId="40">
    <w:name w:val="正文_2"/>
    <w:basedOn w:val="4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正文_3"/>
    <w:basedOn w:val="1"/>
    <w:qFormat/>
    <w:uiPriority w:val="0"/>
    <w:rPr>
      <w:szCs w:val="22"/>
    </w:rPr>
  </w:style>
  <w:style w:type="paragraph" w:customStyle="1" w:styleId="42">
    <w:name w:val="标题 2_1"/>
    <w:basedOn w:val="40"/>
    <w:next w:val="17"/>
    <w:qFormat/>
    <w:uiPriority w:val="99"/>
    <w:pPr>
      <w:keepNext/>
      <w:keepLines/>
      <w:spacing w:before="60" w:after="60" w:line="413" w:lineRule="auto"/>
      <w:outlineLvl w:val="1"/>
    </w:pPr>
    <w:rPr>
      <w:rFonts w:ascii="Arial" w:hAnsi="Arial" w:eastAsia="黑体"/>
      <w:b/>
      <w:bCs/>
      <w:szCs w:val="32"/>
    </w:rPr>
  </w:style>
  <w:style w:type="paragraph" w:customStyle="1" w:styleId="43">
    <w:name w:val="表格文字115"/>
    <w:basedOn w:val="1"/>
    <w:qFormat/>
    <w:uiPriority w:val="0"/>
    <w:pPr>
      <w:spacing w:before="25" w:after="25"/>
      <w:jc w:val="left"/>
    </w:pPr>
    <w:rPr>
      <w:bCs/>
      <w:spacing w:val="10"/>
      <w:kern w:val="0"/>
      <w:sz w:val="24"/>
    </w:rPr>
  </w:style>
  <w:style w:type="paragraph" w:customStyle="1" w:styleId="44">
    <w:name w:val="Normal Indent1"/>
    <w:basedOn w:val="1"/>
    <w:qFormat/>
    <w:uiPriority w:val="0"/>
    <w:pPr>
      <w:spacing w:line="660" w:lineRule="exact"/>
      <w:ind w:firstLine="720"/>
    </w:pPr>
    <w:rPr>
      <w:rFonts w:eastAsia="Cambria Math"/>
      <w:sz w:val="36"/>
      <w:szCs w:val="36"/>
    </w:rPr>
  </w:style>
  <w:style w:type="paragraph" w:customStyle="1" w:styleId="45">
    <w:name w:val="font5"/>
    <w:basedOn w:val="1"/>
    <w:qFormat/>
    <w:uiPriority w:val="0"/>
    <w:pPr>
      <w:widowControl/>
      <w:spacing w:before="100" w:beforeAutospacing="1" w:after="100" w:afterAutospacing="1"/>
      <w:jc w:val="left"/>
    </w:pPr>
    <w:rPr>
      <w:kern w:val="0"/>
      <w:sz w:val="24"/>
      <w:szCs w:val="20"/>
    </w:rPr>
  </w:style>
  <w:style w:type="paragraph" w:customStyle="1" w:styleId="46">
    <w:name w:val="正文文本 (2)4"/>
    <w:basedOn w:val="1"/>
    <w:qFormat/>
    <w:uiPriority w:val="0"/>
    <w:pPr>
      <w:shd w:val="clear" w:color="auto" w:fill="FFFFFF"/>
      <w:spacing w:before="300" w:line="439" w:lineRule="exact"/>
      <w:jc w:val="distribute"/>
    </w:pPr>
    <w:rPr>
      <w:rFonts w:ascii="MingLiU" w:hAnsi="MingLiU" w:eastAsia="MingLiU"/>
      <w:spacing w:val="20"/>
    </w:rPr>
  </w:style>
  <w:style w:type="character" w:customStyle="1" w:styleId="47">
    <w:name w:val="正文文本 (2) + 间距 0 pt Exact1"/>
    <w:qFormat/>
    <w:uiPriority w:val="0"/>
    <w:rPr>
      <w:rFonts w:ascii="MingLiU" w:hAnsi="MingLiU" w:eastAsia="MingLiU" w:cs="MingLiU"/>
      <w:color w:val="000000"/>
      <w:spacing w:val="0"/>
      <w:w w:val="100"/>
      <w:position w:val="0"/>
      <w:sz w:val="22"/>
      <w:szCs w:val="22"/>
      <w:u w:val="none"/>
      <w:shd w:val="clear" w:color="auto" w:fill="FFFFFF"/>
      <w:lang w:val="zh-CN" w:eastAsia="zh-CN"/>
    </w:rPr>
  </w:style>
  <w:style w:type="character" w:customStyle="1" w:styleId="48">
    <w:name w:val="正文文本 (2) + 5.5 pt1"/>
    <w:qFormat/>
    <w:uiPriority w:val="0"/>
    <w:rPr>
      <w:rFonts w:ascii="MingLiU" w:hAnsi="MingLiU" w:eastAsia="MingLiU" w:cs="MingLiU"/>
      <w:i/>
      <w:iCs/>
      <w:color w:val="000000"/>
      <w:spacing w:val="-20"/>
      <w:w w:val="100"/>
      <w:position w:val="0"/>
      <w:sz w:val="11"/>
      <w:szCs w:val="11"/>
      <w:u w:val="none"/>
      <w:shd w:val="clear" w:color="auto" w:fill="FFFFFF"/>
      <w:lang w:val="zh-CN" w:eastAsia="zh-CN"/>
    </w:rPr>
  </w:style>
  <w:style w:type="paragraph" w:customStyle="1" w:styleId="49">
    <w:name w:val="正文_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0">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1">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52">
    <w:name w:val="Table Text"/>
    <w:basedOn w:val="1"/>
    <w:semiHidden/>
    <w:qFormat/>
    <w:uiPriority w:val="0"/>
    <w:pPr>
      <w:widowControl/>
      <w:kinsoku w:val="0"/>
      <w:autoSpaceDE w:val="0"/>
      <w:autoSpaceDN w:val="0"/>
      <w:adjustRightInd w:val="0"/>
      <w:snapToGrid w:val="0"/>
      <w:spacing w:line="240" w:lineRule="auto"/>
      <w:jc w:val="left"/>
      <w:textAlignment w:val="baseline"/>
    </w:pPr>
    <w:rPr>
      <w:rFonts w:ascii="宋体" w:hAnsi="宋体" w:eastAsia="宋体" w:cs="宋体"/>
      <w:snapToGrid w:val="0"/>
      <w:color w:val="000000"/>
      <w:kern w:val="0"/>
      <w:sz w:val="20"/>
      <w:szCs w:val="20"/>
      <w:lang w:val="en-US" w:eastAsia="en-US" w:bidi="ar-SA"/>
    </w:rPr>
  </w:style>
  <w:style w:type="paragraph" w:customStyle="1" w:styleId="53">
    <w:name w:val="Body text|1"/>
    <w:basedOn w:val="1"/>
    <w:qFormat/>
    <w:uiPriority w:val="0"/>
    <w:pPr>
      <w:spacing w:line="360" w:lineRule="auto"/>
      <w:ind w:firstLine="400"/>
    </w:pPr>
    <w:rPr>
      <w:rFonts w:ascii="宋体" w:hAnsi="宋体" w:cs="宋体"/>
      <w:kern w:val="0"/>
      <w:sz w:val="20"/>
      <w:szCs w:val="20"/>
      <w:lang w:val="zh-CN" w:bidi="zh-CN"/>
    </w:rPr>
  </w:style>
  <w:style w:type="paragraph" w:customStyle="1" w:styleId="54">
    <w:name w:val="Body text|1_1"/>
    <w:basedOn w:val="17"/>
    <w:qFormat/>
    <w:uiPriority w:val="0"/>
    <w:pPr>
      <w:spacing w:line="360" w:lineRule="auto"/>
      <w:ind w:firstLine="400"/>
    </w:pPr>
    <w:rPr>
      <w:rFonts w:ascii="宋体" w:hAnsi="宋体" w:eastAsia="宋体" w:cs="宋体"/>
      <w:color w:val="auto"/>
      <w:kern w:val="2"/>
      <w:sz w:val="20"/>
      <w:szCs w:val="20"/>
      <w:lang w:val="zh-CN" w:eastAsia="zh-CN" w:bidi="zh-CN"/>
    </w:rPr>
  </w:style>
  <w:style w:type="paragraph" w:customStyle="1" w:styleId="55">
    <w:name w:val="Body text|2"/>
    <w:basedOn w:val="1"/>
    <w:next w:val="1"/>
    <w:autoRedefine/>
    <w:qFormat/>
    <w:uiPriority w:val="0"/>
    <w:pPr>
      <w:spacing w:after="30"/>
      <w:ind w:firstLine="420"/>
    </w:pPr>
    <w:rPr>
      <w:rFonts w:ascii="Times New Roman" w:hAnsi="Times New Roman"/>
      <w:kern w:val="0"/>
      <w:sz w:val="20"/>
      <w:szCs w:val="20"/>
    </w:rPr>
  </w:style>
  <w:style w:type="paragraph" w:customStyle="1" w:styleId="56">
    <w:name w:val="Other|1"/>
    <w:basedOn w:val="1"/>
    <w:autoRedefine/>
    <w:qFormat/>
    <w:uiPriority w:val="0"/>
    <w:pPr>
      <w:spacing w:line="263" w:lineRule="exact"/>
    </w:pPr>
    <w:rPr>
      <w:rFonts w:ascii="宋体" w:hAnsi="宋体" w:eastAsia="宋体" w:cs="宋体"/>
      <w:color w:val="auto"/>
      <w:kern w:val="2"/>
      <w:sz w:val="18"/>
      <w:szCs w:val="18"/>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3" Type="http://schemas.openxmlformats.org/officeDocument/2006/relationships/fontTable" Target="fontTable.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2.wmf"/><Relationship Id="rId3" Type="http://schemas.openxmlformats.org/officeDocument/2006/relationships/header" Target="header1.xml"/><Relationship Id="rId29" Type="http://schemas.openxmlformats.org/officeDocument/2006/relationships/oleObject" Target="embeddings/oleObject3.bin"/><Relationship Id="rId28" Type="http://schemas.openxmlformats.org/officeDocument/2006/relationships/oleObject" Target="embeddings/oleObject2.bin"/><Relationship Id="rId27" Type="http://schemas.openxmlformats.org/officeDocument/2006/relationships/image" Target="media/image1.wmf"/><Relationship Id="rId26" Type="http://schemas.openxmlformats.org/officeDocument/2006/relationships/oleObject" Target="embeddings/oleObject1.bin"/><Relationship Id="rId25" Type="http://schemas.openxmlformats.org/officeDocument/2006/relationships/theme" Target="theme/theme1.xml"/><Relationship Id="rId24" Type="http://schemas.openxmlformats.org/officeDocument/2006/relationships/footer" Target="footer14.xml"/><Relationship Id="rId23" Type="http://schemas.openxmlformats.org/officeDocument/2006/relationships/footer" Target="footer13.xml"/><Relationship Id="rId22" Type="http://schemas.openxmlformats.org/officeDocument/2006/relationships/header" Target="header8.xml"/><Relationship Id="rId21" Type="http://schemas.openxmlformats.org/officeDocument/2006/relationships/footer" Target="footer12.xml"/><Relationship Id="rId20" Type="http://schemas.openxmlformats.org/officeDocument/2006/relationships/header" Target="header7.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header" Target="header6.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header" Target="header5.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159</Pages>
  <Words>5623</Words>
  <Characters>6541</Characters>
  <Lines>0</Lines>
  <Paragraphs>0</Paragraphs>
  <TotalTime>0</TotalTime>
  <ScaleCrop>false</ScaleCrop>
  <LinksUpToDate>false</LinksUpToDate>
  <CharactersWithSpaces>6708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2023-08-08T10:52:00Z</dcterms:created>
  <dc:creator>HMM</dc:creator>
  <cp:lastModifiedBy>哈基米</cp:lastModifiedBy>
  <cp:lastPrinted>2025-09-12T03:26:00Z</cp:lastPrinted>
  <dcterms:modified xsi:type="dcterms:W3CDTF">2026-04-29T09:19:49Z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680F253A605F47549AD934292168F848_11</vt:lpwstr>
  </property>
  <property fmtid="{D5CDD505-2E9C-101B-9397-08002B2CF9AE}" pid="4" name="KSOTemplateDocerSaveRecord">
    <vt:lpwstr>eyJoZGlkIjoiNmVlOWJlMWJmODRiNjZkZGQ2ZWJjOWQ0ZDgxOTZhOWQiLCJ1c2VySWQiOiIyODIxMDU4MDMifQ==</vt:lpwstr>
  </property>
</Properties>
</file>